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customXml/itemProps2.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docProps/custom.xml" ContentType="application/vnd.openxmlformats-officedocument.custom-propertie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185AC53C">
      <w:pPr>
        <w:pBdr/>
        <w:spacing w:line="360" w:lineRule="auto"/>
        <w:ind/>
        <w:jc w:val="center"/>
        <w:rPr>
          <w:rFonts w:ascii="Times New Roman" w:hAnsi="Times New Roman" w:cs="Times New Roman"/>
          <w:b/>
          <w:sz w:val="24"/>
          <w:szCs w:val="24"/>
        </w:rPr>
      </w:pPr>
      <w:r>
        <w:rPr>
          <w:rFonts w:ascii="Times New Roman" w:hAnsi="Times New Roman" w:cs="Times New Roman"/>
          <w:b/>
          <w:sz w:val="24"/>
          <w:szCs w:val="24"/>
        </w:rPr>
      </w:r>
      <w:r>
        <w:rPr>
          <w:rFonts w:ascii="Times New Roman" w:hAnsi="Times New Roman" w:cs="Times New Roman"/>
          <w:b/>
          <w:sz w:val="24"/>
          <w:szCs w:val="24"/>
        </w:rPr>
      </w:r>
      <w:r>
        <w:rPr>
          <w:rFonts w:ascii="Times New Roman" w:hAnsi="Times New Roman" w:cs="Times New Roman"/>
          <w:b/>
          <w:sz w:val="24"/>
          <w:szCs w:val="24"/>
        </w:rPr>
      </w:r>
    </w:p>
    <w:tbl>
      <w:tblPr>
        <w:tblStyle w:val="1103"/>
        <w:tblInd w:w="0" w:type="dxa"/>
        <w:tblW w:w="0" w:type="auto"/>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Look w:val="04A0" w:firstRow="1" w:lastRow="0" w:firstColumn="1" w:lastColumn="0" w:noHBand="0" w:noVBand="1"/>
      </w:tblPr>
      <w:tblGrid>
        <w:gridCol w:w="9016"/>
      </w:tblGrid>
      <w:tr>
        <w:trPr>
          <w:trHeight w:val="512"/>
        </w:trPr>
        <w:tc>
          <w:tcPr>
            <w:shd w:val="clear" w:color="auto" w:fill="d7d7d7" w:themeFill="background1" w:themeFillShade="D8"/>
            <w:tcBorders/>
            <w:tcW w:w="9309" w:type="dxa"/>
            <w:vAlign w:val="center"/>
          </w:tcPr>
          <w:p w14:paraId="6D4D45F1">
            <w:pPr>
              <w:pBdr/>
              <w:spacing w:line="360" w:lineRule="auto"/>
              <w:ind/>
              <w:jc w:val="center"/>
              <w:rPr>
                <w:rFonts w:ascii="Times New Roman" w:hAnsi="Times New Roman" w:cs="Times New Roman"/>
                <w:b/>
                <w:sz w:val="24"/>
                <w:szCs w:val="24"/>
              </w:rPr>
            </w:pPr>
            <w:r>
              <w:rPr>
                <w:rFonts w:ascii="Times New Roman" w:hAnsi="Times New Roman" w:cs="Times New Roman"/>
                <w:b/>
                <w:sz w:val="24"/>
                <w:szCs w:val="24"/>
              </w:rPr>
              <w:t xml:space="preserve">TERMO</w:t>
            </w:r>
            <w:r>
              <w:rPr>
                <w:rFonts w:ascii="Times New Roman" w:hAnsi="Times New Roman" w:cs="Times New Roman"/>
                <w:b/>
                <w:spacing w:val="-12"/>
                <w:sz w:val="24"/>
                <w:szCs w:val="24"/>
              </w:rPr>
              <w:t xml:space="preserve"> </w:t>
            </w:r>
            <w:r>
              <w:rPr>
                <w:rFonts w:ascii="Times New Roman" w:hAnsi="Times New Roman" w:cs="Times New Roman"/>
                <w:b/>
                <w:sz w:val="24"/>
                <w:szCs w:val="24"/>
              </w:rPr>
              <w:t xml:space="preserve">DE</w:t>
            </w:r>
            <w:r>
              <w:rPr>
                <w:rFonts w:ascii="Times New Roman" w:hAnsi="Times New Roman" w:cs="Times New Roman"/>
                <w:b/>
                <w:spacing w:val="-12"/>
                <w:sz w:val="24"/>
                <w:szCs w:val="24"/>
              </w:rPr>
              <w:t xml:space="preserve"> </w:t>
            </w:r>
            <w:r>
              <w:rPr>
                <w:rFonts w:ascii="Times New Roman" w:hAnsi="Times New Roman" w:cs="Times New Roman"/>
                <w:b/>
                <w:sz w:val="24"/>
                <w:szCs w:val="24"/>
              </w:rPr>
              <w:t xml:space="preserve">REFERÊNCIA</w:t>
            </w:r>
            <w:r>
              <w:rPr>
                <w:rFonts w:ascii="Times New Roman" w:hAnsi="Times New Roman" w:cs="Times New Roman"/>
                <w:b/>
                <w:sz w:val="24"/>
                <w:szCs w:val="24"/>
              </w:rPr>
            </w:r>
            <w:r>
              <w:rPr>
                <w:rFonts w:ascii="Times New Roman" w:hAnsi="Times New Roman" w:cs="Times New Roman"/>
                <w:b/>
                <w:sz w:val="24"/>
                <w:szCs w:val="24"/>
              </w:rPr>
            </w:r>
          </w:p>
        </w:tc>
      </w:tr>
    </w:tbl>
    <w:p w14:paraId="1D1F888E">
      <w:pPr>
        <w:pBdr/>
        <w:spacing w:line="360" w:lineRule="auto"/>
        <w:ind/>
        <w:jc w:val="center"/>
        <w:rPr>
          <w:rFonts w:ascii="Times New Roman" w:hAnsi="Times New Roman" w:cs="Times New Roman"/>
          <w:b/>
          <w:sz w:val="24"/>
          <w:szCs w:val="24"/>
        </w:rPr>
      </w:pPr>
      <w:r>
        <w:rPr>
          <w:rFonts w:ascii="Times New Roman" w:hAnsi="Times New Roman" w:cs="Times New Roman"/>
          <w:b/>
          <w:sz w:val="24"/>
          <w:szCs w:val="24"/>
        </w:rPr>
      </w:r>
      <w:r>
        <w:rPr>
          <w:rFonts w:ascii="Times New Roman" w:hAnsi="Times New Roman" w:cs="Times New Roman"/>
          <w:b/>
          <w:sz w:val="24"/>
          <w:szCs w:val="24"/>
        </w:rPr>
      </w:r>
      <w:r>
        <w:rPr>
          <w:rFonts w:ascii="Times New Roman" w:hAnsi="Times New Roman" w:cs="Times New Roman"/>
          <w:b/>
          <w:sz w:val="24"/>
          <w:szCs w:val="24"/>
        </w:rPr>
      </w:r>
    </w:p>
    <w:p w14:paraId="5DC670C6">
      <w:pPr>
        <w:pBdr/>
        <w:tabs>
          <w:tab w:val="left" w:leader="none" w:pos="1637"/>
          <w:tab w:val="left" w:leader="none" w:pos="1956"/>
          <w:tab w:val="left" w:leader="none" w:pos="3029"/>
          <w:tab w:val="left" w:leader="none" w:pos="3348"/>
          <w:tab w:val="left" w:leader="none" w:pos="3541"/>
          <w:tab w:val="left" w:leader="none" w:pos="4813"/>
          <w:tab w:val="left" w:leader="none" w:pos="5134"/>
          <w:tab w:val="left" w:leader="none" w:pos="6122"/>
        </w:tabs>
        <w:spacing w:line="360" w:lineRule="auto"/>
        <w:ind w:right="787" w:hanging="3"/>
        <w:rPr>
          <w:rFonts w:ascii="Times New Roman" w:hAnsi="Times New Roman" w:cs="Times New Roman"/>
          <w:b/>
          <w:sz w:val="24"/>
          <w:szCs w:val="24"/>
        </w:rPr>
      </w:pPr>
      <w:r>
        <w:rPr>
          <w:rFonts w:ascii="Times New Roman" w:hAnsi="Times New Roman" w:cs="Times New Roman"/>
          <w:b/>
          <w:spacing w:val="-2"/>
          <w:sz w:val="24"/>
          <w:szCs w:val="24"/>
        </w:rPr>
        <w:t xml:space="preserve">SIGILO: </w:t>
      </w:r>
      <w:r>
        <w:rPr>
          <w:rFonts w:ascii="Times New Roman" w:hAnsi="Times New Roman" w:cs="Times New Roman"/>
          <w:b/>
          <w:spacing w:val="-10"/>
          <w:sz w:val="24"/>
          <w:szCs w:val="24"/>
        </w:rPr>
        <w:t xml:space="preserve">(   </w:t>
      </w:r>
      <w:r>
        <w:rPr>
          <w:rFonts w:ascii="Times New Roman" w:hAnsi="Times New Roman" w:cs="Times New Roman"/>
          <w:b/>
          <w:sz w:val="24"/>
          <w:szCs w:val="24"/>
        </w:rPr>
        <w:t xml:space="preserve">) SIM</w:t>
      </w:r>
      <w:r>
        <w:rPr>
          <w:rFonts w:ascii="Times New Roman" w:hAnsi="Times New Roman" w:cs="Times New Roman"/>
          <w:b/>
          <w:sz w:val="24"/>
          <w:szCs w:val="24"/>
        </w:rPr>
        <w:tab/>
      </w:r>
      <w:r>
        <w:rPr>
          <w:rFonts w:ascii="Times New Roman" w:hAnsi="Times New Roman" w:cs="Times New Roman"/>
          <w:b/>
          <w:sz w:val="24"/>
          <w:szCs w:val="24"/>
        </w:rPr>
        <w:t xml:space="preserve"> </w:t>
      </w:r>
      <w:r>
        <w:rPr>
          <w:rFonts w:ascii="Times New Roman" w:hAnsi="Times New Roman" w:cs="Times New Roman"/>
          <w:b/>
          <w:spacing w:val="-10"/>
          <w:sz w:val="24"/>
          <w:szCs w:val="24"/>
        </w:rPr>
        <w:t xml:space="preserve">( X </w:t>
      </w:r>
      <w:r>
        <w:rPr>
          <w:rFonts w:ascii="Times New Roman" w:hAnsi="Times New Roman" w:cs="Times New Roman"/>
          <w:b/>
          <w:sz w:val="24"/>
          <w:szCs w:val="24"/>
        </w:rPr>
        <w:t xml:space="preserve">) NÃO</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r>
      <w:r>
        <w:rPr>
          <w:rFonts w:ascii="Times New Roman" w:hAnsi="Times New Roman" w:cs="Times New Roman"/>
          <w:b/>
          <w:sz w:val="24"/>
          <w:szCs w:val="24"/>
        </w:rPr>
      </w:r>
    </w:p>
    <w:p w14:paraId="20E136D2">
      <w:pPr>
        <w:pBdr/>
        <w:tabs>
          <w:tab w:val="left" w:leader="none" w:pos="1637"/>
          <w:tab w:val="left" w:leader="none" w:pos="1956"/>
          <w:tab w:val="left" w:leader="none" w:pos="3029"/>
          <w:tab w:val="left" w:leader="none" w:pos="3348"/>
          <w:tab w:val="left" w:leader="none" w:pos="3541"/>
          <w:tab w:val="left" w:leader="none" w:pos="4813"/>
          <w:tab w:val="left" w:leader="none" w:pos="5134"/>
          <w:tab w:val="left" w:leader="none" w:pos="6122"/>
        </w:tabs>
        <w:spacing w:line="360" w:lineRule="auto"/>
        <w:ind w:right="-200" w:hanging="3"/>
        <w:rPr>
          <w:rFonts w:ascii="Times New Roman" w:hAnsi="Times New Roman" w:cs="Times New Roman"/>
          <w:b/>
          <w:sz w:val="24"/>
          <w:szCs w:val="24"/>
        </w:rPr>
      </w:pPr>
      <w:r>
        <w:rPr>
          <w:rFonts w:ascii="Times New Roman" w:hAnsi="Times New Roman" w:cs="Times New Roman"/>
          <w:b/>
          <w:sz w:val="24"/>
          <w:szCs w:val="24"/>
        </w:rPr>
        <w:t xml:space="preserve">PREVISÃO</w:t>
      </w:r>
      <w:r>
        <w:rPr>
          <w:rFonts w:ascii="Times New Roman" w:hAnsi="Times New Roman" w:cs="Times New Roman"/>
          <w:b/>
          <w:spacing w:val="-11"/>
          <w:sz w:val="24"/>
          <w:szCs w:val="24"/>
        </w:rPr>
        <w:t xml:space="preserve"> </w:t>
      </w:r>
      <w:r>
        <w:rPr>
          <w:rFonts w:ascii="Times New Roman" w:hAnsi="Times New Roman" w:cs="Times New Roman"/>
          <w:b/>
          <w:sz w:val="24"/>
          <w:szCs w:val="24"/>
        </w:rPr>
        <w:t xml:space="preserve">NO</w:t>
      </w:r>
      <w:r>
        <w:rPr>
          <w:rFonts w:ascii="Times New Roman" w:hAnsi="Times New Roman" w:cs="Times New Roman"/>
          <w:b/>
          <w:spacing w:val="-11"/>
          <w:sz w:val="24"/>
          <w:szCs w:val="24"/>
        </w:rPr>
        <w:t xml:space="preserve"> </w:t>
      </w:r>
      <w:r>
        <w:rPr>
          <w:rFonts w:ascii="Times New Roman" w:hAnsi="Times New Roman" w:cs="Times New Roman"/>
          <w:b/>
          <w:sz w:val="24"/>
          <w:szCs w:val="24"/>
        </w:rPr>
        <w:t xml:space="preserve">PLANO</w:t>
      </w:r>
      <w:r>
        <w:rPr>
          <w:rFonts w:ascii="Times New Roman" w:hAnsi="Times New Roman" w:cs="Times New Roman"/>
          <w:b/>
          <w:spacing w:val="-11"/>
          <w:sz w:val="24"/>
          <w:szCs w:val="24"/>
        </w:rPr>
        <w:t xml:space="preserve"> </w:t>
      </w:r>
      <w:r>
        <w:rPr>
          <w:rFonts w:ascii="Times New Roman" w:hAnsi="Times New Roman" w:cs="Times New Roman"/>
          <w:b/>
          <w:sz w:val="24"/>
          <w:szCs w:val="24"/>
        </w:rPr>
        <w:t xml:space="preserve">DE CONTRATAÇÃO ANUAL: ( </w:t>
      </w:r>
      <w:r>
        <w:rPr>
          <w:rFonts w:ascii="Times New Roman" w:hAnsi="Times New Roman" w:cs="Times New Roman"/>
          <w:b/>
          <w:spacing w:val="80"/>
          <w:sz w:val="24"/>
          <w:szCs w:val="24"/>
        </w:rPr>
        <w:t xml:space="preserve">X</w:t>
      </w:r>
      <w:r>
        <w:rPr>
          <w:rFonts w:ascii="Times New Roman" w:hAnsi="Times New Roman" w:cs="Times New Roman"/>
          <w:b/>
          <w:sz w:val="24"/>
          <w:szCs w:val="24"/>
        </w:rPr>
        <w:t xml:space="preserve">) SIM </w:t>
      </w:r>
      <w:r>
        <w:rPr>
          <w:rFonts w:ascii="Times New Roman" w:hAnsi="Times New Roman" w:cs="Times New Roman"/>
          <w:b/>
          <w:spacing w:val="-10"/>
          <w:sz w:val="24"/>
          <w:szCs w:val="24"/>
        </w:rPr>
        <w:t xml:space="preserve">(   </w:t>
      </w:r>
      <w:r>
        <w:rPr>
          <w:rFonts w:ascii="Times New Roman" w:hAnsi="Times New Roman" w:cs="Times New Roman"/>
          <w:b/>
          <w:sz w:val="24"/>
          <w:szCs w:val="24"/>
        </w:rPr>
        <w:t xml:space="preserve">) NÃO</w:t>
      </w:r>
      <w:r>
        <w:rPr>
          <w:rFonts w:ascii="Times New Roman" w:hAnsi="Times New Roman" w:cs="Times New Roman"/>
          <w:b/>
          <w:sz w:val="24"/>
          <w:szCs w:val="24"/>
        </w:rPr>
      </w:r>
      <w:r>
        <w:rPr>
          <w:rFonts w:ascii="Times New Roman" w:hAnsi="Times New Roman" w:cs="Times New Roman"/>
          <w:b/>
          <w:sz w:val="24"/>
          <w:szCs w:val="24"/>
        </w:rPr>
      </w:r>
    </w:p>
    <w:p w14:paraId="7B00D66D">
      <w:pPr>
        <w:pBdr/>
        <w:spacing w:line="360" w:lineRule="auto"/>
        <w:ind/>
        <w:jc w:val="center"/>
        <w:rPr>
          <w:rFonts w:ascii="Times New Roman" w:hAnsi="Times New Roman" w:cs="Times New Roman"/>
          <w:b/>
          <w:sz w:val="24"/>
          <w:szCs w:val="24"/>
        </w:rPr>
      </w:pPr>
      <w:r>
        <w:rPr>
          <w:rFonts w:ascii="Times New Roman" w:hAnsi="Times New Roman" w:cs="Times New Roman"/>
          <w:b/>
          <w:sz w:val="24"/>
          <w:szCs w:val="24"/>
        </w:rPr>
      </w:r>
      <w:r>
        <w:rPr>
          <w:rFonts w:ascii="Times New Roman" w:hAnsi="Times New Roman" w:cs="Times New Roman"/>
          <w:b/>
          <w:sz w:val="24"/>
          <w:szCs w:val="24"/>
        </w:rPr>
      </w:r>
      <w:r>
        <w:rPr>
          <w:rFonts w:ascii="Times New Roman" w:hAnsi="Times New Roman" w:cs="Times New Roman"/>
          <w:b/>
          <w:sz w:val="24"/>
          <w:szCs w:val="24"/>
        </w:rPr>
      </w:r>
    </w:p>
    <w:tbl>
      <w:tblPr>
        <w:tblStyle w:val="1103"/>
        <w:tblInd w:w="0" w:type="dxa"/>
        <w:tblW w:w="9294"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9294"/>
      </w:tblGrid>
      <w:tr>
        <w:trPr>
          <w:trHeight w:val="375"/>
        </w:trPr>
        <w:tc>
          <w:tcPr>
            <w:shd w:val="clear" w:color="auto" w:fill="d7d7d7" w:themeFill="background1" w:themeFillShade="D8"/>
            <w:tcBorders/>
            <w:tcW w:w="9294" w:type="dxa"/>
            <w:vAlign w:val="center"/>
          </w:tcPr>
          <w:p w14:paraId="6A2F0004">
            <w:pPr>
              <w:numPr>
                <w:ilvl w:val="0"/>
                <w:numId w:val="1"/>
              </w:numPr>
              <w:pBdr/>
              <w:spacing w:line="360" w:lineRule="auto"/>
              <w:ind w:hanging="454" w:left="454"/>
              <w:jc w:val="center"/>
              <w:rPr>
                <w:rFonts w:ascii="Times New Roman" w:hAnsi="Times New Roman" w:cs="Times New Roman"/>
                <w:b/>
                <w:sz w:val="24"/>
                <w:szCs w:val="24"/>
              </w:rPr>
            </w:pPr>
            <w:r>
              <w:rPr>
                <w:rFonts w:ascii="Times New Roman" w:hAnsi="Times New Roman" w:cs="Times New Roman"/>
                <w:b/>
                <w:sz w:val="24"/>
                <w:szCs w:val="24"/>
              </w:rPr>
              <w:t xml:space="preserve">ÁREA DEMANDANTE</w:t>
            </w:r>
            <w:r>
              <w:rPr>
                <w:rFonts w:ascii="Times New Roman" w:hAnsi="Times New Roman" w:cs="Times New Roman"/>
                <w:b/>
                <w:sz w:val="24"/>
                <w:szCs w:val="24"/>
              </w:rPr>
            </w:r>
            <w:r>
              <w:rPr>
                <w:rFonts w:ascii="Times New Roman" w:hAnsi="Times New Roman" w:cs="Times New Roman"/>
                <w:b/>
                <w:sz w:val="24"/>
                <w:szCs w:val="24"/>
              </w:rPr>
            </w:r>
          </w:p>
        </w:tc>
      </w:tr>
    </w:tbl>
    <w:p w14:paraId="04C21E92">
      <w:pPr>
        <w:pBdr/>
        <w:spacing w:line="360" w:lineRule="auto"/>
        <w:ind/>
        <w:rPr>
          <w:rFonts w:ascii="Times New Roman" w:hAnsi="Times New Roman" w:cs="Times New Roman"/>
          <w:bCs/>
          <w:sz w:val="24"/>
          <w:szCs w:val="24"/>
        </w:rPr>
      </w:pPr>
      <w:r>
        <w:rPr>
          <w:rFonts w:ascii="Times New Roman" w:hAnsi="Times New Roman" w:cs="Times New Roman"/>
          <w:b/>
          <w:sz w:val="24"/>
          <w:szCs w:val="24"/>
        </w:rPr>
        <w:t xml:space="preserve">Secretaria Demandante: </w:t>
      </w:r>
      <w:r>
        <w:rPr>
          <w:rFonts w:ascii="Times New Roman" w:hAnsi="Times New Roman" w:cs="Times New Roman"/>
          <w:bCs/>
          <w:sz w:val="24"/>
          <w:szCs w:val="24"/>
        </w:rPr>
        <w:t xml:space="preserve">Secretaria de Obras e Serviços Urbanos</w:t>
      </w:r>
      <w:r>
        <w:rPr>
          <w:rFonts w:ascii="Times New Roman" w:hAnsi="Times New Roman" w:cs="Times New Roman"/>
          <w:bCs/>
          <w:sz w:val="24"/>
          <w:szCs w:val="24"/>
        </w:rPr>
      </w:r>
      <w:r>
        <w:rPr>
          <w:rFonts w:ascii="Times New Roman" w:hAnsi="Times New Roman" w:cs="Times New Roman"/>
          <w:bCs/>
          <w:sz w:val="24"/>
          <w:szCs w:val="24"/>
        </w:rPr>
      </w:r>
    </w:p>
    <w:p w14:paraId="261B7AF7">
      <w:pPr>
        <w:pBdr/>
        <w:spacing w:line="360" w:lineRule="auto"/>
        <w:ind/>
        <w:rPr>
          <w:rFonts w:ascii="Times New Roman" w:hAnsi="Times New Roman" w:cs="Times New Roman"/>
          <w:bCs/>
          <w:sz w:val="24"/>
          <w:szCs w:val="24"/>
        </w:rPr>
      </w:pPr>
      <w:r>
        <w:rPr>
          <w:rFonts w:ascii="Times New Roman" w:hAnsi="Times New Roman" w:cs="Times New Roman"/>
          <w:b/>
          <w:sz w:val="24"/>
          <w:szCs w:val="24"/>
        </w:rPr>
        <w:t xml:space="preserve">Secretário: Lindomar Ferreira Guida </w:t>
      </w:r>
      <w:r>
        <w:rPr>
          <w:rFonts w:ascii="Times New Roman" w:hAnsi="Times New Roman" w:cs="Times New Roman"/>
          <w:bCs/>
          <w:sz w:val="24"/>
          <w:szCs w:val="24"/>
        </w:rPr>
      </w:r>
      <w:r>
        <w:rPr>
          <w:rFonts w:ascii="Times New Roman" w:hAnsi="Times New Roman" w:cs="Times New Roman"/>
          <w:bCs/>
          <w:sz w:val="24"/>
          <w:szCs w:val="24"/>
        </w:rPr>
      </w:r>
    </w:p>
    <w:p w14:paraId="07492ADA">
      <w:pPr>
        <w:pBdr/>
        <w:spacing w:line="360" w:lineRule="auto"/>
        <w:ind/>
        <w:jc w:val="both"/>
        <w:rPr>
          <w:rFonts w:ascii="Times New Roman" w:hAnsi="Times New Roman" w:cs="Times New Roman"/>
          <w:bCs/>
          <w:sz w:val="24"/>
          <w:szCs w:val="24"/>
        </w:rPr>
      </w:pPr>
      <w:r>
        <w:rPr>
          <w:rFonts w:ascii="Times New Roman" w:hAnsi="Times New Roman" w:cs="Times New Roman"/>
          <w:b/>
          <w:sz w:val="24"/>
          <w:szCs w:val="24"/>
        </w:rPr>
        <w:t xml:space="preserve">Email</w:t>
      </w:r>
      <w:r>
        <w:rPr>
          <w:rFonts w:ascii="Times New Roman" w:hAnsi="Times New Roman" w:cs="Times New Roman"/>
          <w:b/>
          <w:spacing w:val="-4"/>
          <w:sz w:val="24"/>
          <w:szCs w:val="24"/>
        </w:rPr>
        <w:t xml:space="preserve"> </w:t>
      </w:r>
      <w:r>
        <w:rPr>
          <w:rFonts w:ascii="Times New Roman" w:hAnsi="Times New Roman" w:cs="Times New Roman"/>
          <w:b/>
          <w:sz w:val="24"/>
          <w:szCs w:val="24"/>
        </w:rPr>
        <w:t xml:space="preserve">(institucional):</w:t>
      </w:r>
      <w:r>
        <w:rPr>
          <w:rFonts w:ascii="Times New Roman" w:hAnsi="Times New Roman" w:cs="Times New Roman"/>
          <w:bCs/>
          <w:sz w:val="24"/>
          <w:szCs w:val="24"/>
        </w:rPr>
        <w:t xml:space="preserve"> </w:t>
      </w:r>
      <w:r>
        <w:fldChar w:fldCharType="begin"/>
      </w:r>
      <w:r>
        <w:instrText xml:space="preserve"> HYPERLINK "mailto:seligaobras@sinop.mt.gov.br" </w:instrText>
      </w:r>
      <w:r>
        <w:fldChar w:fldCharType="separate"/>
      </w:r>
      <w:r>
        <w:rPr>
          <w:rStyle w:val="1098"/>
          <w:rFonts w:ascii="Times New Roman" w:hAnsi="Times New Roman" w:cs="Times New Roman"/>
          <w:b/>
          <w:spacing w:val="-2"/>
          <w:sz w:val="24"/>
          <w:szCs w:val="24"/>
        </w:rPr>
        <w:t xml:space="preserve">seligaobras@sinop.mt.gov.br</w:t>
      </w:r>
      <w:r>
        <w:rPr>
          <w:rStyle w:val="1098"/>
          <w:rFonts w:ascii="Times New Roman" w:hAnsi="Times New Roman" w:cs="Times New Roman"/>
          <w:b/>
          <w:spacing w:val="-2"/>
          <w:sz w:val="24"/>
          <w:szCs w:val="24"/>
        </w:rPr>
        <w:fldChar w:fldCharType="end"/>
      </w:r>
      <w:r>
        <w:rPr>
          <w:rFonts w:ascii="Times New Roman" w:hAnsi="Times New Roman" w:cs="Times New Roman"/>
          <w:b/>
          <w:spacing w:val="-2"/>
          <w:sz w:val="24"/>
          <w:szCs w:val="24"/>
        </w:rPr>
        <w:t xml:space="preserve"> </w:t>
      </w:r>
      <w:r>
        <w:rPr>
          <w:rFonts w:ascii="Times New Roman" w:hAnsi="Times New Roman" w:cs="Times New Roman"/>
          <w:bCs/>
          <w:sz w:val="24"/>
          <w:szCs w:val="24"/>
        </w:rPr>
      </w:r>
      <w:r>
        <w:rPr>
          <w:rFonts w:ascii="Times New Roman" w:hAnsi="Times New Roman" w:cs="Times New Roman"/>
          <w:bCs/>
          <w:sz w:val="24"/>
          <w:szCs w:val="24"/>
        </w:rPr>
      </w:r>
    </w:p>
    <w:p w14:paraId="1CFDADDC">
      <w:pPr>
        <w:pBdr/>
        <w:spacing w:line="360" w:lineRule="auto"/>
        <w:ind/>
        <w:jc w:val="both"/>
        <w:rPr>
          <w:rFonts w:ascii="Times New Roman" w:hAnsi="Times New Roman" w:cs="Times New Roman"/>
          <w:bCs/>
          <w:sz w:val="24"/>
          <w:szCs w:val="24"/>
        </w:rPr>
      </w:pPr>
      <w:r>
        <w:rPr>
          <w:rFonts w:ascii="Times New Roman" w:hAnsi="Times New Roman" w:cs="Times New Roman"/>
          <w:b/>
          <w:sz w:val="24"/>
          <w:szCs w:val="24"/>
        </w:rPr>
        <w:t xml:space="preserve">Telefone</w:t>
      </w:r>
      <w:r>
        <w:rPr>
          <w:rFonts w:ascii="Times New Roman" w:hAnsi="Times New Roman" w:cs="Times New Roman"/>
          <w:b/>
          <w:spacing w:val="-5"/>
          <w:sz w:val="24"/>
          <w:szCs w:val="24"/>
        </w:rPr>
        <w:t xml:space="preserve"> </w:t>
      </w:r>
      <w:r>
        <w:rPr>
          <w:rFonts w:ascii="Times New Roman" w:hAnsi="Times New Roman" w:cs="Times New Roman"/>
          <w:b/>
          <w:sz w:val="24"/>
          <w:szCs w:val="24"/>
        </w:rPr>
        <w:t xml:space="preserve">(Institucional): </w:t>
      </w:r>
      <w:r>
        <w:rPr>
          <w:rFonts w:ascii="Times New Roman" w:hAnsi="Times New Roman" w:cs="Times New Roman"/>
          <w:bCs/>
          <w:spacing w:val="-2"/>
          <w:sz w:val="24"/>
          <w:szCs w:val="24"/>
        </w:rPr>
        <w:t xml:space="preserve">(</w:t>
      </w:r>
      <w:r>
        <w:rPr>
          <w:rFonts w:ascii="Times New Roman" w:hAnsi="Times New Roman" w:cs="Times New Roman"/>
          <w:bCs/>
          <w:sz w:val="24"/>
          <w:szCs w:val="24"/>
        </w:rPr>
        <w:t xml:space="preserve">66) 9.9998-5131</w:t>
      </w:r>
      <w:r>
        <w:rPr>
          <w:rFonts w:ascii="Times New Roman" w:hAnsi="Times New Roman" w:cs="Times New Roman"/>
          <w:bCs/>
          <w:sz w:val="24"/>
          <w:szCs w:val="24"/>
        </w:rPr>
      </w:r>
      <w:r>
        <w:rPr>
          <w:rFonts w:ascii="Times New Roman" w:hAnsi="Times New Roman" w:cs="Times New Roman"/>
          <w:bCs/>
          <w:sz w:val="24"/>
          <w:szCs w:val="24"/>
        </w:rPr>
      </w:r>
    </w:p>
    <w:p w14:paraId="4B03A165">
      <w:pPr>
        <w:pBdr/>
        <w:spacing w:line="360" w:lineRule="auto"/>
        <w:ind/>
        <w:jc w:val="both"/>
        <w:rPr>
          <w:rFonts w:ascii="Times New Roman" w:hAnsi="Times New Roman" w:cs="Times New Roman"/>
          <w:bCs/>
          <w:sz w:val="24"/>
          <w:szCs w:val="24"/>
        </w:rPr>
      </w:pPr>
      <w:r>
        <w:rPr>
          <w:rFonts w:ascii="Times New Roman" w:hAnsi="Times New Roman" w:cs="Times New Roman"/>
          <w:bCs/>
          <w:sz w:val="24"/>
          <w:szCs w:val="24"/>
        </w:rPr>
      </w:r>
      <w:r>
        <w:rPr>
          <w:rFonts w:ascii="Times New Roman" w:hAnsi="Times New Roman" w:cs="Times New Roman"/>
          <w:bCs/>
          <w:sz w:val="24"/>
          <w:szCs w:val="24"/>
        </w:rPr>
      </w:r>
      <w:r>
        <w:rPr>
          <w:rFonts w:ascii="Times New Roman" w:hAnsi="Times New Roman" w:cs="Times New Roman"/>
          <w:bCs/>
          <w:sz w:val="24"/>
          <w:szCs w:val="24"/>
        </w:rPr>
      </w:r>
    </w:p>
    <w:tbl>
      <w:tblPr>
        <w:tblStyle w:val="1103"/>
        <w:tblInd w:w="0" w:type="dxa"/>
        <w:tblW w:w="9339"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9339"/>
      </w:tblGrid>
      <w:tr>
        <w:trPr>
          <w:trHeight w:val="375"/>
        </w:trPr>
        <w:tc>
          <w:tcPr>
            <w:shd w:val="clear" w:color="auto" w:fill="d7d7d7" w:themeFill="background1" w:themeFillShade="D8"/>
            <w:tcBorders/>
            <w:tcW w:w="9339" w:type="dxa"/>
            <w:vAlign w:val="center"/>
          </w:tcPr>
          <w:p w14:paraId="65537CAD">
            <w:pPr>
              <w:numPr>
                <w:ilvl w:val="0"/>
                <w:numId w:val="2"/>
              </w:numPr>
              <w:pBdr/>
              <w:spacing w:line="360" w:lineRule="auto"/>
              <w:ind w:hanging="454" w:left="454"/>
              <w:jc w:val="center"/>
              <w:rPr>
                <w:rFonts w:ascii="Times New Roman" w:hAnsi="Times New Roman" w:cs="Times New Roman"/>
                <w:b/>
                <w:sz w:val="24"/>
                <w:szCs w:val="24"/>
              </w:rPr>
            </w:pPr>
            <w:r>
              <w:rPr>
                <w:rFonts w:ascii="Times New Roman" w:hAnsi="Times New Roman" w:cs="Times New Roman"/>
                <w:b/>
                <w:sz w:val="24"/>
                <w:szCs w:val="24"/>
              </w:rPr>
              <w:t xml:space="preserve">OBJETO</w:t>
            </w:r>
            <w:r>
              <w:rPr>
                <w:rFonts w:ascii="Times New Roman" w:hAnsi="Times New Roman" w:cs="Times New Roman"/>
                <w:b/>
                <w:sz w:val="24"/>
                <w:szCs w:val="24"/>
              </w:rPr>
            </w:r>
            <w:r>
              <w:rPr>
                <w:rFonts w:ascii="Times New Roman" w:hAnsi="Times New Roman" w:cs="Times New Roman"/>
                <w:b/>
                <w:sz w:val="24"/>
                <w:szCs w:val="24"/>
              </w:rPr>
            </w:r>
          </w:p>
        </w:tc>
      </w:tr>
    </w:tbl>
    <w:p w14:paraId="711DC00F">
      <w:pPr>
        <w:numPr>
          <w:ilvl w:val="0"/>
          <w:numId w:val="0"/>
        </w:numPr>
        <w:pBdr/>
        <w:shd w:val="clear" w:color="auto"/>
        <w:spacing w:line="360" w:lineRule="auto"/>
        <w:ind/>
        <w:contextualSpacing w:val="true"/>
        <w:jc w:val="both"/>
        <w:rPr>
          <w:rFonts w:ascii="Times New Roman" w:hAnsi="Times New Roman" w:eastAsia="Segoe UI" w:cs="Times New Roman"/>
          <w:color w:val="0d0d0d"/>
          <w:sz w:val="24"/>
          <w:szCs w:val="24"/>
          <w:shd w:val="clear" w:color="auto" w:fill="ffffff"/>
        </w:rPr>
      </w:pPr>
      <w:r>
        <w:rPr>
          <w:rFonts w:ascii="Times New Roman" w:hAnsi="Times New Roman" w:cs="Times New Roman"/>
          <w:b/>
          <w:sz w:val="24"/>
          <w:szCs w:val="24"/>
        </w:rPr>
        <w:t xml:space="preserve">Especificação</w:t>
      </w:r>
      <w:r>
        <w:rPr>
          <w:rFonts w:ascii="Times New Roman" w:hAnsi="Times New Roman" w:cs="Times New Roman"/>
          <w:b/>
          <w:spacing w:val="-1"/>
          <w:sz w:val="24"/>
          <w:szCs w:val="24"/>
        </w:rPr>
        <w:t xml:space="preserve"> </w:t>
      </w:r>
      <w:r>
        <w:rPr>
          <w:rFonts w:ascii="Times New Roman" w:hAnsi="Times New Roman" w:cs="Times New Roman"/>
          <w:b/>
          <w:sz w:val="24"/>
          <w:szCs w:val="24"/>
        </w:rPr>
        <w:t xml:space="preserve">do</w:t>
      </w:r>
      <w:r>
        <w:rPr>
          <w:rFonts w:ascii="Times New Roman" w:hAnsi="Times New Roman" w:cs="Times New Roman"/>
          <w:b/>
          <w:spacing w:val="-1"/>
          <w:sz w:val="24"/>
          <w:szCs w:val="24"/>
        </w:rPr>
        <w:t xml:space="preserve"> </w:t>
      </w:r>
      <w:r>
        <w:rPr>
          <w:rFonts w:ascii="Times New Roman" w:hAnsi="Times New Roman" w:cs="Times New Roman"/>
          <w:b/>
          <w:spacing w:val="-2"/>
          <w:sz w:val="24"/>
          <w:szCs w:val="24"/>
        </w:rPr>
        <w:t xml:space="preserve">objeto:</w:t>
      </w:r>
      <w:r>
        <w:rPr>
          <w:rFonts w:ascii="Times New Roman" w:hAnsi="Times New Roman" w:eastAsia="SimSun" w:cs="Times New Roman"/>
          <w:sz w:val="24"/>
          <w:szCs w:val="24"/>
        </w:rPr>
        <w:br/>
      </w:r>
      <w:r>
        <w:rPr>
          <w:rFonts w:ascii="Times New Roman" w:hAnsi="Times New Roman" w:eastAsia="Segoe UI" w:cs="Times New Roman"/>
          <w:color w:val="0d0d0d"/>
          <w:sz w:val="22"/>
          <w:szCs w:val="22"/>
          <w:shd w:val="clear" w:color="auto" w:fill="ffffff"/>
        </w:rPr>
        <w:t xml:space="preserve">"</w:t>
      </w:r>
      <w:r>
        <w:rPr>
          <w:rFonts w:hint="default" w:ascii="Times New Roman" w:hAnsi="Times New Roman" w:eastAsia="Segoe UI" w:cs="Times New Roman"/>
          <w:color w:val="0d0d0d"/>
          <w:sz w:val="22"/>
          <w:szCs w:val="22"/>
          <w:shd w:val="clear" w:color="auto" w:fill="ffffff"/>
          <w:lang w:val="pt-BR"/>
        </w:rPr>
        <w:t xml:space="preserve">Concorrência </w:t>
      </w:r>
      <w:r>
        <w:rPr>
          <w:rFonts w:ascii="Times New Roman" w:hAnsi="Times New Roman" w:eastAsia="Segoe UI" w:cs="Times New Roman"/>
          <w:color w:val="0d0d0d"/>
          <w:sz w:val="22"/>
          <w:szCs w:val="22"/>
          <w:shd w:val="clear" w:color="auto" w:fill="ffffff"/>
        </w:rPr>
        <w:t xml:space="preserve">para futura e eventual contratação de empresa especializada na execução de obras de infraestrutura urbana, acessibilidade no município de Sinop - MT.” </w:t>
      </w:r>
      <w:r>
        <w:rPr>
          <w:rFonts w:ascii="Times New Roman" w:hAnsi="Times New Roman" w:eastAsia="Segoe UI" w:cs="Times New Roman"/>
          <w:color w:val="0d0d0d"/>
          <w:sz w:val="24"/>
          <w:szCs w:val="24"/>
          <w:shd w:val="clear" w:color="auto" w:fill="ffffff"/>
        </w:rPr>
        <w:t xml:space="preserve">Conforme as condições, quantidades e exigências estabelecidas neste instrumento e no Estudo Técnico Preliminar.</w:t>
      </w:r>
      <w:r>
        <w:rPr>
          <w:rFonts w:ascii="Times New Roman" w:hAnsi="Times New Roman" w:eastAsia="Segoe UI" w:cs="Times New Roman"/>
          <w:color w:val="0d0d0d"/>
          <w:sz w:val="24"/>
          <w:szCs w:val="24"/>
          <w:shd w:val="clear" w:color="auto" w:fill="ffffff"/>
        </w:rPr>
      </w:r>
      <w:r>
        <w:rPr>
          <w:rFonts w:ascii="Times New Roman" w:hAnsi="Times New Roman" w:eastAsia="Segoe UI" w:cs="Times New Roman"/>
          <w:color w:val="0d0d0d"/>
          <w:sz w:val="24"/>
          <w:szCs w:val="24"/>
          <w:shd w:val="clear" w:color="auto" w:fill="ffffff"/>
        </w:rPr>
      </w:r>
    </w:p>
    <w:p w14:paraId="1D5E03C6">
      <w:pPr>
        <w:pBdr/>
        <w:shd w:val="clear" w:color="auto"/>
        <w:spacing w:line="360" w:lineRule="auto"/>
        <w:ind w:left="141"/>
        <w:contextualSpacing w:val="true"/>
        <w:jc w:val="both"/>
        <w:rPr>
          <w:rFonts w:hint="default" w:ascii="Times New Roman" w:hAnsi="Times New Roman" w:eastAsia="Segoe UI" w:cs="Times New Roman"/>
          <w:color w:val="0d0d0d"/>
          <w:sz w:val="24"/>
          <w:szCs w:val="24"/>
          <w:shd w:val="clear" w:color="auto" w:fill="ffffff"/>
          <w:lang w:val="pt-BR"/>
        </w:rPr>
      </w:pPr>
      <w:r>
        <w:rPr>
          <w:rFonts w:hint="default" w:ascii="Times New Roman" w:hAnsi="Times New Roman" w:eastAsia="Segoe UI" w:cs="Times New Roman"/>
          <w:color w:val="0d0d0d"/>
          <w:sz w:val="24"/>
          <w:szCs w:val="24"/>
          <w:shd w:val="clear" w:color="auto" w:fill="ffffff"/>
          <w:lang w:val="pt-BR"/>
        </w:rPr>
      </w:r>
      <w:r>
        <w:rPr>
          <w:rFonts w:hint="default" w:ascii="Times New Roman" w:hAnsi="Times New Roman" w:eastAsia="Segoe UI" w:cs="Times New Roman"/>
          <w:color w:val="0d0d0d"/>
          <w:sz w:val="24"/>
          <w:szCs w:val="24"/>
          <w:shd w:val="clear" w:color="auto" w:fill="ffffff"/>
          <w:lang w:val="pt-BR"/>
        </w:rPr>
      </w:r>
      <w:r>
        <w:rPr>
          <w:rFonts w:hint="default" w:ascii="Times New Roman" w:hAnsi="Times New Roman" w:eastAsia="Segoe UI" w:cs="Times New Roman"/>
          <w:color w:val="0d0d0d"/>
          <w:sz w:val="24"/>
          <w:szCs w:val="24"/>
          <w:shd w:val="clear" w:color="auto" w:fill="ffffff"/>
          <w:lang w:val="pt-BR"/>
        </w:rPr>
      </w:r>
    </w:p>
    <w:p w14:paraId="3AC39461">
      <w:pPr>
        <w:pBdr/>
        <w:shd w:val="clear" w:color="auto"/>
        <w:spacing w:line="360" w:lineRule="auto"/>
        <w:ind/>
        <w:rPr>
          <w:rFonts w:ascii="Times New Roman" w:hAnsi="Times New Roman" w:cs="Times New Roman"/>
          <w:b/>
          <w:sz w:val="24"/>
          <w:szCs w:val="24"/>
        </w:rPr>
      </w:pPr>
      <w:r>
        <w:rPr>
          <w:rFonts w:ascii="Times New Roman" w:hAnsi="Times New Roman" w:cs="Times New Roman"/>
          <w:b/>
          <w:sz w:val="24"/>
          <w:szCs w:val="24"/>
        </w:rPr>
        <w:t xml:space="preserve">2.2. Descrição e quantidades:</w:t>
      </w:r>
      <w:r>
        <w:rPr>
          <w:rFonts w:ascii="Times New Roman" w:hAnsi="Times New Roman" w:cs="Times New Roman"/>
          <w:b/>
          <w:sz w:val="24"/>
          <w:szCs w:val="24"/>
        </w:rPr>
      </w:r>
      <w:r>
        <w:rPr>
          <w:rFonts w:ascii="Times New Roman" w:hAnsi="Times New Roman" w:cs="Times New Roman"/>
          <w:b/>
          <w:sz w:val="24"/>
          <w:szCs w:val="24"/>
        </w:rPr>
      </w:r>
    </w:p>
    <w:tbl>
      <w:tblPr>
        <w:tblStyle w:val="1096"/>
        <w:tblInd w:w="0" w:type="dxa"/>
        <w:tblW w:w="4680" w:type="dxa"/>
        <w:tblCellMar>
          <w:left w:w="108" w:type="dxa"/>
          <w:top w:w="0" w:type="dxa"/>
          <w:right w:w="108" w:type="dxa"/>
          <w:bottom w:w="0" w:type="dxa"/>
        </w:tblCellMar>
        <w:tblBorders/>
        <w:tblLayout w:type="autofit"/>
        <w:tblLook w:val="04A0" w:firstRow="1" w:lastRow="0" w:firstColumn="1" w:lastColumn="0" w:noHBand="0" w:noVBand="1"/>
      </w:tblPr>
      <w:tblGrid>
        <w:gridCol w:w="9016"/>
      </w:tblGrid>
      <w:tr>
        <w:trPr>
          <w:trHeight w:val="276"/>
        </w:trPr>
        <w:tc>
          <w:tcPr>
            <w:shd w:val="clear" w:color="ffffff" w:fill="ffffff"/>
            <w:tcBorders>
              <w:top w:val="none" w:color="000000" w:sz="4" w:space="0"/>
              <w:left w:val="none" w:color="000000" w:sz="4" w:space="0"/>
              <w:bottom w:val="none" w:color="000000" w:sz="4" w:space="0"/>
              <w:right w:val="none" w:color="000000" w:sz="4" w:space="0"/>
            </w:tcBorders>
            <w:tcW w:w="4680" w:type="dxa"/>
          </w:tcPr>
          <w:tbl>
            <w:tblPr>
              <w:tblStyle w:val="1096"/>
              <w:tblInd w:w="0" w:type="dxa"/>
              <w:tblW w:w="9112" w:type="dxa"/>
              <w:tblCellMar>
                <w:left w:w="0" w:type="dxa"/>
                <w:top w:w="0" w:type="dxa"/>
                <w:right w:w="0" w:type="dxa"/>
                <w:bottom w:w="0" w:type="dxa"/>
              </w:tblCellMar>
              <w:tblBorders/>
              <w:tblLayout w:type="autofit"/>
              <w:tblCellSpacing w:w="15" w:type="dxa"/>
              <w:tblLook w:val="04A0" w:firstRow="1" w:lastRow="0" w:firstColumn="1" w:lastColumn="0" w:noHBand="0" w:noVBand="1"/>
            </w:tblPr>
            <w:tblGrid>
              <w:gridCol w:w="789"/>
              <w:gridCol w:w="1183"/>
              <w:gridCol w:w="1052"/>
              <w:gridCol w:w="2931"/>
              <w:gridCol w:w="607"/>
              <w:gridCol w:w="835"/>
              <w:gridCol w:w="1715"/>
            </w:tblGrid>
            <w:tr>
              <w:trPr>
                <w:tblCellSpacing w:w="15" w:type="dxa"/>
                <w:tblHeader/>
              </w:trPr>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0" w:type="auto"/>
                  <w:vAlign w:val="center"/>
                </w:tcPr>
                <w:p w14:paraId="32F82F8B">
                  <w:pPr>
                    <w:pBdr/>
                    <w:shd w:val="clear" w:color="auto"/>
                    <w:tabs>
                      <w:tab w:val="left" w:leader="none" w:pos="400"/>
                    </w:tabs>
                    <w:spacing/>
                    <w:ind/>
                    <w:rPr>
                      <w:rFonts w:hint="default" w:ascii="Times New Roman" w:hAnsi="Times New Roman" w:eastAsia="Times New Roman" w:cs="Times New Roman"/>
                      <w:b/>
                      <w:bCs/>
                      <w:sz w:val="20"/>
                      <w:szCs w:val="20"/>
                      <w:lang w:eastAsia="en-US"/>
                    </w:rPr>
                  </w:pPr>
                  <w:r/>
                  <w:bookmarkStart w:id="0" w:name="_Hlk210724331"/>
                  <w:r>
                    <w:rPr>
                      <w:rFonts w:hint="default" w:ascii="Times New Roman" w:hAnsi="Times New Roman" w:eastAsia="Times New Roman" w:cs="Times New Roman"/>
                      <w:b/>
                      <w:bCs/>
                      <w:sz w:val="20"/>
                      <w:szCs w:val="20"/>
                      <w:lang w:eastAsia="en-US"/>
                    </w:rPr>
                    <w:t xml:space="preserve">ITEM</w:t>
                  </w:r>
                  <w:r>
                    <w:rPr>
                      <w:rFonts w:hint="default" w:ascii="Times New Roman" w:hAnsi="Times New Roman" w:eastAsia="Times New Roman" w:cs="Times New Roman"/>
                      <w:b/>
                      <w:bCs/>
                      <w:sz w:val="20"/>
                      <w:szCs w:val="20"/>
                      <w:lang w:eastAsia="en-US"/>
                    </w:rPr>
                  </w:r>
                  <w:r>
                    <w:rPr>
                      <w:rFonts w:hint="default" w:ascii="Times New Roman" w:hAnsi="Times New Roman" w:eastAsia="Times New Roman" w:cs="Times New Roman"/>
                      <w:b/>
                      <w:bCs/>
                      <w:sz w:val="20"/>
                      <w:szCs w:val="20"/>
                      <w:lang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0" w:type="auto"/>
                  <w:vAlign w:val="center"/>
                </w:tcPr>
                <w:p w14:paraId="7644BDBC">
                  <w:pPr>
                    <w:pBdr/>
                    <w:shd w:val="clear" w:color="auto"/>
                    <w:spacing/>
                    <w:ind/>
                    <w:jc w:val="center"/>
                    <w:rPr>
                      <w:rFonts w:hint="default" w:ascii="Times New Roman" w:hAnsi="Times New Roman" w:eastAsia="Times New Roman" w:cs="Times New Roman"/>
                      <w:b/>
                      <w:bCs/>
                      <w:sz w:val="20"/>
                      <w:szCs w:val="20"/>
                      <w:lang w:eastAsia="en-US"/>
                    </w:rPr>
                  </w:pPr>
                  <w:r>
                    <w:rPr>
                      <w:rFonts w:hint="default" w:ascii="Times New Roman" w:hAnsi="Times New Roman" w:eastAsia="Times New Roman" w:cs="Times New Roman"/>
                      <w:b/>
                      <w:bCs/>
                      <w:sz w:val="20"/>
                      <w:szCs w:val="20"/>
                      <w:lang w:eastAsia="en-US"/>
                    </w:rPr>
                    <w:t xml:space="preserve">Código da Prefeitura</w:t>
                  </w:r>
                  <w:r>
                    <w:rPr>
                      <w:rFonts w:hint="default" w:ascii="Times New Roman" w:hAnsi="Times New Roman" w:eastAsia="Times New Roman" w:cs="Times New Roman"/>
                      <w:b/>
                      <w:bCs/>
                      <w:sz w:val="20"/>
                      <w:szCs w:val="20"/>
                      <w:lang w:eastAsia="en-US"/>
                    </w:rPr>
                  </w:r>
                  <w:r>
                    <w:rPr>
                      <w:rFonts w:hint="default" w:ascii="Times New Roman" w:hAnsi="Times New Roman" w:eastAsia="Times New Roman" w:cs="Times New Roman"/>
                      <w:b/>
                      <w:bCs/>
                      <w:sz w:val="20"/>
                      <w:szCs w:val="20"/>
                      <w:lang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0" w:type="auto"/>
                  <w:vAlign w:val="center"/>
                </w:tcPr>
                <w:p w14:paraId="462FD81F">
                  <w:pPr>
                    <w:pBdr/>
                    <w:shd w:val="clear" w:color="auto"/>
                    <w:spacing/>
                    <w:ind/>
                    <w:rPr>
                      <w:rFonts w:hint="default" w:ascii="Times New Roman" w:hAnsi="Times New Roman" w:eastAsia="Times New Roman" w:cs="Times New Roman"/>
                      <w:b/>
                      <w:bCs/>
                      <w:sz w:val="20"/>
                      <w:szCs w:val="20"/>
                      <w:lang w:eastAsia="en-US"/>
                    </w:rPr>
                  </w:pPr>
                  <w:r>
                    <w:rPr>
                      <w:rFonts w:hint="default" w:ascii="Times New Roman" w:hAnsi="Times New Roman" w:eastAsia="Times New Roman" w:cs="Times New Roman"/>
                      <w:b/>
                      <w:bCs/>
                      <w:sz w:val="20"/>
                      <w:szCs w:val="20"/>
                      <w:lang w:eastAsia="en-US"/>
                    </w:rPr>
                    <w:t xml:space="preserve">Código Tce</w:t>
                  </w:r>
                  <w:r>
                    <w:rPr>
                      <w:rFonts w:hint="default" w:ascii="Times New Roman" w:hAnsi="Times New Roman" w:eastAsia="Times New Roman" w:cs="Times New Roman"/>
                      <w:b/>
                      <w:bCs/>
                      <w:sz w:val="20"/>
                      <w:szCs w:val="20"/>
                      <w:lang w:eastAsia="en-US"/>
                    </w:rPr>
                  </w:r>
                  <w:r>
                    <w:rPr>
                      <w:rFonts w:hint="default" w:ascii="Times New Roman" w:hAnsi="Times New Roman" w:eastAsia="Times New Roman" w:cs="Times New Roman"/>
                      <w:b/>
                      <w:bCs/>
                      <w:sz w:val="20"/>
                      <w:szCs w:val="20"/>
                      <w:lang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2901" w:type="dxa"/>
                  <w:vAlign w:val="center"/>
                </w:tcPr>
                <w:p w14:paraId="2028E84A">
                  <w:pPr>
                    <w:pBdr/>
                    <w:shd w:val="clear" w:color="auto"/>
                    <w:spacing/>
                    <w:ind/>
                    <w:rPr>
                      <w:rFonts w:hint="default" w:ascii="Times New Roman" w:hAnsi="Times New Roman" w:eastAsia="Times New Roman" w:cs="Times New Roman"/>
                      <w:b/>
                      <w:bCs/>
                      <w:sz w:val="20"/>
                      <w:szCs w:val="20"/>
                      <w:lang w:eastAsia="en-US"/>
                    </w:rPr>
                  </w:pPr>
                  <w:r>
                    <w:rPr>
                      <w:rFonts w:hint="default" w:ascii="Times New Roman" w:hAnsi="Times New Roman" w:eastAsia="Times New Roman" w:cs="Times New Roman"/>
                      <w:b/>
                      <w:bCs/>
                      <w:sz w:val="20"/>
                      <w:szCs w:val="20"/>
                      <w:lang w:eastAsia="en-US"/>
                    </w:rPr>
                    <w:t xml:space="preserve">Descrição</w:t>
                  </w:r>
                  <w:r>
                    <w:rPr>
                      <w:rFonts w:hint="default" w:ascii="Times New Roman" w:hAnsi="Times New Roman" w:eastAsia="Times New Roman" w:cs="Times New Roman"/>
                      <w:b/>
                      <w:bCs/>
                      <w:sz w:val="20"/>
                      <w:szCs w:val="20"/>
                      <w:lang w:eastAsia="en-US"/>
                    </w:rPr>
                  </w:r>
                  <w:r>
                    <w:rPr>
                      <w:rFonts w:hint="default" w:ascii="Times New Roman" w:hAnsi="Times New Roman" w:eastAsia="Times New Roman" w:cs="Times New Roman"/>
                      <w:b/>
                      <w:bCs/>
                      <w:sz w:val="20"/>
                      <w:szCs w:val="20"/>
                      <w:lang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577" w:type="dxa"/>
                  <w:vAlign w:val="center"/>
                </w:tcPr>
                <w:p w14:paraId="5C6431FA">
                  <w:pPr>
                    <w:pBdr/>
                    <w:shd w:val="clear" w:color="auto"/>
                    <w:spacing/>
                    <w:ind/>
                    <w:rPr>
                      <w:rFonts w:hint="default" w:ascii="Times New Roman" w:hAnsi="Times New Roman" w:eastAsia="Times New Roman" w:cs="Times New Roman"/>
                      <w:b/>
                      <w:bCs/>
                      <w:sz w:val="20"/>
                      <w:szCs w:val="20"/>
                      <w:lang w:eastAsia="en-US"/>
                    </w:rPr>
                  </w:pPr>
                  <w:r>
                    <w:rPr>
                      <w:rFonts w:hint="default" w:ascii="Times New Roman" w:hAnsi="Times New Roman" w:eastAsia="Times New Roman" w:cs="Times New Roman"/>
                      <w:b/>
                      <w:bCs/>
                      <w:sz w:val="20"/>
                      <w:szCs w:val="20"/>
                      <w:lang w:eastAsia="en-US"/>
                    </w:rPr>
                    <w:t xml:space="preserve">Und</w:t>
                  </w:r>
                  <w:r>
                    <w:rPr>
                      <w:rFonts w:hint="default" w:ascii="Times New Roman" w:hAnsi="Times New Roman" w:eastAsia="Times New Roman" w:cs="Times New Roman"/>
                      <w:b/>
                      <w:bCs/>
                      <w:sz w:val="20"/>
                      <w:szCs w:val="20"/>
                      <w:lang w:eastAsia="en-US"/>
                    </w:rPr>
                  </w:r>
                  <w:r>
                    <w:rPr>
                      <w:rFonts w:hint="default" w:ascii="Times New Roman" w:hAnsi="Times New Roman" w:eastAsia="Times New Roman" w:cs="Times New Roman"/>
                      <w:b/>
                      <w:bCs/>
                      <w:sz w:val="20"/>
                      <w:szCs w:val="20"/>
                      <w:lang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0" w:type="auto"/>
                  <w:vAlign w:val="center"/>
                </w:tcPr>
                <w:p w14:paraId="0ADE2E86">
                  <w:pPr>
                    <w:pBdr/>
                    <w:shd w:val="clear" w:color="auto"/>
                    <w:spacing/>
                    <w:ind/>
                    <w:rPr>
                      <w:rFonts w:hint="default" w:ascii="Times New Roman" w:hAnsi="Times New Roman" w:eastAsia="Times New Roman" w:cs="Times New Roman"/>
                      <w:b/>
                      <w:bCs/>
                      <w:sz w:val="20"/>
                      <w:szCs w:val="20"/>
                      <w:lang w:eastAsia="en-US"/>
                    </w:rPr>
                  </w:pPr>
                  <w:r>
                    <w:rPr>
                      <w:rFonts w:hint="default" w:ascii="Times New Roman" w:hAnsi="Times New Roman" w:eastAsia="Times New Roman" w:cs="Times New Roman"/>
                      <w:b/>
                      <w:bCs/>
                      <w:sz w:val="20"/>
                      <w:szCs w:val="20"/>
                      <w:lang w:eastAsia="en-US"/>
                    </w:rPr>
                    <w:t xml:space="preserve">Quant.</w:t>
                  </w:r>
                  <w:r>
                    <w:rPr>
                      <w:rFonts w:hint="default" w:ascii="Times New Roman" w:hAnsi="Times New Roman" w:eastAsia="Times New Roman" w:cs="Times New Roman"/>
                      <w:b/>
                      <w:bCs/>
                      <w:sz w:val="20"/>
                      <w:szCs w:val="20"/>
                      <w:lang w:eastAsia="en-US"/>
                    </w:rPr>
                  </w:r>
                  <w:r>
                    <w:rPr>
                      <w:rFonts w:hint="default" w:ascii="Times New Roman" w:hAnsi="Times New Roman" w:eastAsia="Times New Roman" w:cs="Times New Roman"/>
                      <w:b/>
                      <w:bCs/>
                      <w:sz w:val="20"/>
                      <w:szCs w:val="20"/>
                      <w:lang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1670" w:type="dxa"/>
                  <w:vAlign w:val="center"/>
                </w:tcPr>
                <w:p w14:paraId="08AB70F9">
                  <w:pPr>
                    <w:pBdr/>
                    <w:shd w:val="clear" w:color="auto"/>
                    <w:spacing/>
                    <w:ind/>
                    <w:rPr>
                      <w:rFonts w:hint="default" w:ascii="Times New Roman" w:hAnsi="Times New Roman" w:eastAsia="Times New Roman" w:cs="Times New Roman"/>
                      <w:b/>
                      <w:bCs/>
                      <w:sz w:val="20"/>
                      <w:szCs w:val="20"/>
                      <w:lang w:eastAsia="en-US"/>
                    </w:rPr>
                  </w:pPr>
                  <w:r>
                    <w:rPr>
                      <w:rFonts w:hint="default" w:ascii="Times New Roman" w:hAnsi="Times New Roman" w:eastAsia="Times New Roman" w:cs="Times New Roman"/>
                      <w:b/>
                      <w:bCs/>
                      <w:sz w:val="20"/>
                      <w:szCs w:val="20"/>
                      <w:lang w:eastAsia="en-US"/>
                    </w:rPr>
                    <w:t xml:space="preserve">Valor (R$)</w:t>
                  </w:r>
                  <w:r>
                    <w:rPr>
                      <w:rFonts w:hint="default" w:ascii="Times New Roman" w:hAnsi="Times New Roman" w:eastAsia="Times New Roman" w:cs="Times New Roman"/>
                      <w:b/>
                      <w:bCs/>
                      <w:sz w:val="20"/>
                      <w:szCs w:val="20"/>
                      <w:lang w:eastAsia="en-US"/>
                    </w:rPr>
                  </w:r>
                  <w:r>
                    <w:rPr>
                      <w:rFonts w:hint="default" w:ascii="Times New Roman" w:hAnsi="Times New Roman" w:eastAsia="Times New Roman" w:cs="Times New Roman"/>
                      <w:b/>
                      <w:bCs/>
                      <w:sz w:val="20"/>
                      <w:szCs w:val="20"/>
                      <w:lang w:eastAsia="en-US"/>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0" w:type="auto"/>
                  <w:vAlign w:val="center"/>
                </w:tcPr>
                <w:p w14:paraId="580D5586">
                  <w:pPr>
                    <w:pBdr/>
                    <w:shd w:val="clear" w:color="auto"/>
                    <w:spacing/>
                    <w:ind/>
                    <w:jc w:val="center"/>
                    <w:rPr>
                      <w:rFonts w:hint="default" w:ascii="Times New Roman" w:hAnsi="Times New Roman" w:eastAsia="Times New Roman" w:cs="Times New Roman"/>
                      <w:b/>
                      <w:bCs/>
                      <w:sz w:val="20"/>
                      <w:szCs w:val="20"/>
                      <w:lang w:val="pt-BR" w:eastAsia="en-US"/>
                    </w:rPr>
                  </w:pPr>
                  <w:r>
                    <w:rPr>
                      <w:rFonts w:hint="default" w:ascii="Times New Roman" w:hAnsi="Times New Roman" w:eastAsia="Times New Roman" w:cs="Times New Roman"/>
                      <w:b/>
                      <w:bCs/>
                      <w:sz w:val="20"/>
                      <w:szCs w:val="20"/>
                      <w:lang w:val="pt-BR" w:eastAsia="en-US"/>
                    </w:rPr>
                    <w:t xml:space="preserve">1</w:t>
                  </w:r>
                  <w:r>
                    <w:rPr>
                      <w:rFonts w:hint="default" w:ascii="Times New Roman" w:hAnsi="Times New Roman" w:eastAsia="Times New Roman" w:cs="Times New Roman"/>
                      <w:b/>
                      <w:bCs/>
                      <w:sz w:val="20"/>
                      <w:szCs w:val="20"/>
                      <w:lang w:val="pt-BR" w:eastAsia="en-US"/>
                    </w:rPr>
                  </w:r>
                  <w:r>
                    <w:rPr>
                      <w:rFonts w:hint="default" w:ascii="Times New Roman" w:hAnsi="Times New Roman" w:eastAsia="Times New Roman" w:cs="Times New Roman"/>
                      <w:b/>
                      <w:bCs/>
                      <w:sz w:val="20"/>
                      <w:szCs w:val="20"/>
                      <w:lang w:val="pt-BR"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0" w:type="auto"/>
                  <w:vAlign w:val="center"/>
                </w:tcPr>
                <w:p w14:paraId="1296CEB3">
                  <w:pPr>
                    <w:pBdr/>
                    <w:shd w:val="clear" w:color="auto"/>
                    <w:spacing/>
                    <w:ind/>
                    <w:jc w:val="center"/>
                    <w:rPr>
                      <w:rFonts w:hint="default" w:ascii="Times New Roman" w:hAnsi="Times New Roman" w:eastAsia="Times New Roman" w:cs="Times New Roman"/>
                      <w:b/>
                      <w:bCs/>
                      <w:sz w:val="20"/>
                      <w:szCs w:val="20"/>
                      <w:lang w:eastAsia="en-US"/>
                    </w:rPr>
                  </w:pPr>
                  <w:r>
                    <w:rPr>
                      <w:rFonts w:hint="default" w:ascii="Times New Roman" w:hAnsi="Times New Roman" w:eastAsia="Times New Roman"/>
                      <w:b/>
                      <w:bCs/>
                      <w:sz w:val="20"/>
                      <w:szCs w:val="20"/>
                      <w:lang w:eastAsia="en-US"/>
                    </w:rPr>
                    <w:t xml:space="preserve">409255</w:t>
                  </w:r>
                  <w:r>
                    <w:rPr>
                      <w:rFonts w:hint="default" w:ascii="Times New Roman" w:hAnsi="Times New Roman" w:eastAsia="Times New Roman" w:cs="Times New Roman"/>
                      <w:b/>
                      <w:bCs/>
                      <w:sz w:val="20"/>
                      <w:szCs w:val="20"/>
                      <w:lang w:eastAsia="en-US"/>
                    </w:rPr>
                  </w:r>
                  <w:r>
                    <w:rPr>
                      <w:rFonts w:hint="default" w:ascii="Times New Roman" w:hAnsi="Times New Roman" w:eastAsia="Times New Roman" w:cs="Times New Roman"/>
                      <w:b/>
                      <w:bCs/>
                      <w:sz w:val="20"/>
                      <w:szCs w:val="20"/>
                      <w:lang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0" w:type="auto"/>
                  <w:vAlign w:val="center"/>
                </w:tcPr>
                <w:p w14:paraId="3E845469">
                  <w:pPr>
                    <w:pBdr/>
                    <w:shd w:val="clear" w:color="auto"/>
                    <w:spacing/>
                    <w:ind/>
                    <w:jc w:val="center"/>
                    <w:rPr>
                      <w:rFonts w:hint="default" w:ascii="Times New Roman" w:hAnsi="Times New Roman" w:eastAsia="Times New Roman" w:cs="Times New Roman"/>
                      <w:b/>
                      <w:bCs/>
                      <w:sz w:val="20"/>
                      <w:szCs w:val="20"/>
                      <w:lang w:eastAsia="en-US"/>
                    </w:rPr>
                  </w:pPr>
                  <w:r>
                    <w:rPr>
                      <w:rFonts w:hint="default" w:ascii="Times New Roman" w:hAnsi="Times New Roman" w:eastAsia="Times New Roman"/>
                      <w:b/>
                      <w:bCs/>
                      <w:sz w:val="20"/>
                      <w:szCs w:val="20"/>
                      <w:lang w:eastAsia="en-US"/>
                    </w:rPr>
                    <w:t xml:space="preserve">00029654</w:t>
                  </w:r>
                  <w:r>
                    <w:rPr>
                      <w:rFonts w:hint="default" w:ascii="Times New Roman" w:hAnsi="Times New Roman" w:eastAsia="Times New Roman" w:cs="Times New Roman"/>
                      <w:b/>
                      <w:bCs/>
                      <w:sz w:val="20"/>
                      <w:szCs w:val="20"/>
                      <w:lang w:eastAsia="en-US"/>
                    </w:rPr>
                  </w:r>
                  <w:r>
                    <w:rPr>
                      <w:rFonts w:hint="default" w:ascii="Times New Roman" w:hAnsi="Times New Roman" w:eastAsia="Times New Roman" w:cs="Times New Roman"/>
                      <w:b/>
                      <w:bCs/>
                      <w:sz w:val="20"/>
                      <w:szCs w:val="20"/>
                      <w:lang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2901" w:type="dxa"/>
                  <w:vAlign w:val="center"/>
                </w:tcPr>
                <w:p w14:paraId="2796BEF8">
                  <w:pPr>
                    <w:pBdr/>
                    <w:shd w:val="clear" w:color="auto"/>
                    <w:spacing/>
                    <w:ind/>
                    <w:jc w:val="both"/>
                    <w:rPr>
                      <w:rFonts w:hint="default" w:ascii="Times New Roman" w:hAnsi="Times New Roman" w:eastAsia="Times New Roman" w:cs="Times New Roman"/>
                      <w:b/>
                      <w:bCs/>
                      <w:sz w:val="20"/>
                      <w:szCs w:val="20"/>
                      <w:lang w:val="pt-BR" w:eastAsia="en-US"/>
                    </w:rPr>
                  </w:pPr>
                  <w:r>
                    <w:rPr>
                      <w:rFonts w:hint="default" w:ascii="Times New Roman" w:hAnsi="Times New Roman" w:cs="Times New Roman"/>
                      <w:b/>
                      <w:spacing w:val="-2"/>
                      <w:sz w:val="24"/>
                      <w:shd w:val="clear" w:color="auto"/>
                    </w:rPr>
                    <w:t xml:space="preserve">Contratação de empresa especializada para a execução de obras e serviços de engenharia voltados à ampliação, manutenção e adequação da infraestrutura urbana, mobilidade e acessibilidade no Município de Sinop – MT</w:t>
                  </w:r>
                  <w:r>
                    <w:rPr>
                      <w:rFonts w:hint="default" w:ascii="Times New Roman" w:hAnsi="Times New Roman" w:cs="Times New Roman"/>
                      <w:b/>
                      <w:spacing w:val="-2"/>
                      <w:sz w:val="24"/>
                      <w:shd w:val="clear" w:color="auto"/>
                      <w:lang w:val="pt-BR"/>
                    </w:rPr>
                    <w:t xml:space="preserve">.</w:t>
                  </w:r>
                  <w:r>
                    <w:rPr>
                      <w:rFonts w:hint="default" w:ascii="Times New Roman" w:hAnsi="Times New Roman" w:eastAsia="Times New Roman" w:cs="Times New Roman"/>
                      <w:b/>
                      <w:bCs/>
                      <w:sz w:val="20"/>
                      <w:szCs w:val="20"/>
                      <w:lang w:val="pt-BR" w:eastAsia="en-US"/>
                    </w:rPr>
                  </w:r>
                  <w:r>
                    <w:rPr>
                      <w:rFonts w:hint="default" w:ascii="Times New Roman" w:hAnsi="Times New Roman" w:eastAsia="Times New Roman" w:cs="Times New Roman"/>
                      <w:b/>
                      <w:bCs/>
                      <w:sz w:val="20"/>
                      <w:szCs w:val="20"/>
                      <w:lang w:val="pt-BR"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577" w:type="dxa"/>
                  <w:vAlign w:val="center"/>
                </w:tcPr>
                <w:p w14:paraId="5D28FC4B">
                  <w:pPr>
                    <w:pBdr/>
                    <w:shd w:val="clear" w:color="auto"/>
                    <w:spacing/>
                    <w:ind/>
                    <w:jc w:val="center"/>
                    <w:rPr>
                      <w:rFonts w:hint="default" w:ascii="Times New Roman" w:hAnsi="Times New Roman" w:eastAsia="Times New Roman" w:cs="Times New Roman"/>
                      <w:b/>
                      <w:bCs/>
                      <w:sz w:val="20"/>
                      <w:szCs w:val="20"/>
                      <w:lang w:val="pt-BR" w:eastAsia="en-US"/>
                    </w:rPr>
                  </w:pPr>
                  <w:r>
                    <w:rPr>
                      <w:rFonts w:hint="default" w:ascii="Times New Roman" w:hAnsi="Times New Roman" w:eastAsia="Times New Roman" w:cs="Times New Roman"/>
                      <w:b/>
                      <w:bCs/>
                      <w:sz w:val="20"/>
                      <w:szCs w:val="20"/>
                      <w:lang w:val="pt-BR" w:eastAsia="en-US"/>
                    </w:rPr>
                    <w:t xml:space="preserve">und</w:t>
                  </w:r>
                  <w:r>
                    <w:rPr>
                      <w:rFonts w:hint="default" w:ascii="Times New Roman" w:hAnsi="Times New Roman" w:eastAsia="Times New Roman" w:cs="Times New Roman"/>
                      <w:b/>
                      <w:bCs/>
                      <w:sz w:val="20"/>
                      <w:szCs w:val="20"/>
                      <w:lang w:val="pt-BR" w:eastAsia="en-US"/>
                    </w:rPr>
                  </w:r>
                  <w:r>
                    <w:rPr>
                      <w:rFonts w:hint="default" w:ascii="Times New Roman" w:hAnsi="Times New Roman" w:eastAsia="Times New Roman" w:cs="Times New Roman"/>
                      <w:b/>
                      <w:bCs/>
                      <w:sz w:val="20"/>
                      <w:szCs w:val="20"/>
                      <w:lang w:val="pt-BR"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0" w:type="auto"/>
                  <w:vAlign w:val="center"/>
                </w:tcPr>
                <w:p w14:paraId="0863BF09">
                  <w:pPr>
                    <w:pBdr/>
                    <w:shd w:val="clear" w:color="auto"/>
                    <w:spacing/>
                    <w:ind/>
                    <w:jc w:val="center"/>
                    <w:rPr>
                      <w:rFonts w:hint="default" w:ascii="Times New Roman" w:hAnsi="Times New Roman" w:eastAsia="Times New Roman" w:cs="Times New Roman"/>
                      <w:b/>
                      <w:bCs/>
                      <w:sz w:val="20"/>
                      <w:szCs w:val="20"/>
                      <w:lang w:val="pt-BR" w:eastAsia="en-US"/>
                    </w:rPr>
                  </w:pPr>
                  <w:r>
                    <w:rPr>
                      <w:rFonts w:hint="default" w:ascii="Times New Roman" w:hAnsi="Times New Roman" w:eastAsia="Times New Roman" w:cs="Times New Roman"/>
                      <w:b/>
                      <w:bCs/>
                      <w:sz w:val="20"/>
                      <w:szCs w:val="20"/>
                      <w:lang w:val="pt-BR" w:eastAsia="en-US"/>
                    </w:rPr>
                    <w:t xml:space="preserve">1</w:t>
                  </w:r>
                  <w:r>
                    <w:rPr>
                      <w:rFonts w:hint="default" w:ascii="Times New Roman" w:hAnsi="Times New Roman" w:eastAsia="Times New Roman" w:cs="Times New Roman"/>
                      <w:b/>
                      <w:bCs/>
                      <w:sz w:val="20"/>
                      <w:szCs w:val="20"/>
                      <w:lang w:val="pt-BR" w:eastAsia="en-US"/>
                    </w:rPr>
                  </w:r>
                  <w:r>
                    <w:rPr>
                      <w:rFonts w:hint="default" w:ascii="Times New Roman" w:hAnsi="Times New Roman" w:eastAsia="Times New Roman" w:cs="Times New Roman"/>
                      <w:b/>
                      <w:bCs/>
                      <w:sz w:val="20"/>
                      <w:szCs w:val="20"/>
                      <w:lang w:val="pt-BR"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1670" w:type="dxa"/>
                  <w:vAlign w:val="center"/>
                </w:tcPr>
                <w:p w14:paraId="75A4846C">
                  <w:pPr>
                    <w:pBdr/>
                    <w:shd w:val="clear" w:color="auto"/>
                    <w:spacing/>
                    <w:ind/>
                    <w:jc w:val="left"/>
                    <w:rPr>
                      <w:rFonts w:hint="default" w:ascii="Times New Roman" w:hAnsi="Times New Roman" w:eastAsia="Times New Roman" w:cs="Times New Roman"/>
                      <w:b/>
                      <w:bCs/>
                      <w:sz w:val="20"/>
                      <w:szCs w:val="20"/>
                      <w:lang w:eastAsia="en-US"/>
                    </w:rPr>
                  </w:pPr>
                  <w:r>
                    <w:rPr>
                      <w:rFonts w:hint="default" w:ascii="Times New Roman" w:hAnsi="Times New Roman" w:cs="Times New Roman"/>
                      <w:b/>
                      <w:bCs/>
                      <w:sz w:val="24"/>
                      <w:szCs w:val="24"/>
                      <w:lang w:val="pt-BR"/>
                    </w:rPr>
                    <w:t xml:space="preserve">R$</w:t>
                  </w:r>
                  <w:bookmarkStart w:id="2" w:name="_GoBack"/>
                  <w:r/>
                  <w:bookmarkEnd w:id="2"/>
                  <w:r>
                    <w:rPr>
                      <w:rFonts w:ascii="Times New Roman" w:hAnsi="Times New Roman" w:cs="Times New Roman"/>
                      <w:b/>
                      <w:bCs/>
                      <w:sz w:val="24"/>
                      <w:szCs w:val="24"/>
                    </w:rPr>
                    <w:t xml:space="preserve">5.991.762,00</w:t>
                  </w:r>
                  <w:r>
                    <w:rPr>
                      <w:rFonts w:hint="default" w:ascii="Times New Roman" w:hAnsi="Times New Roman" w:eastAsia="Times New Roman" w:cs="Times New Roman"/>
                      <w:b/>
                      <w:bCs/>
                      <w:sz w:val="20"/>
                      <w:szCs w:val="20"/>
                      <w:lang w:eastAsia="en-US"/>
                    </w:rPr>
                  </w:r>
                  <w:r>
                    <w:rPr>
                      <w:rFonts w:hint="default" w:ascii="Times New Roman" w:hAnsi="Times New Roman" w:eastAsia="Times New Roman" w:cs="Times New Roman"/>
                      <w:b/>
                      <w:bCs/>
                      <w:sz w:val="20"/>
                      <w:szCs w:val="20"/>
                      <w:lang w:eastAsia="en-US"/>
                    </w:rPr>
                  </w:r>
                </w:p>
              </w:tc>
            </w:tr>
          </w:tbl>
          <w:p w14:paraId="72C651EF">
            <w:pPr>
              <w:pBdr/>
              <w:shd w:val="clear" w:color="auto"/>
              <w:spacing/>
              <w:ind/>
              <w:rPr>
                <w:rFonts w:ascii="Times New Roman" w:hAnsi="Times New Roman" w:eastAsia="Times New Roman" w:cs="Times New Roman"/>
                <w:b/>
                <w:bCs/>
                <w:lang w:eastAsia="en-US"/>
              </w:rPr>
            </w:pPr>
            <w:r>
              <w:rPr>
                <w:rFonts w:ascii="Times New Roman" w:hAnsi="Times New Roman" w:eastAsia="Times New Roman" w:cs="Times New Roman"/>
                <w:b/>
                <w:bCs/>
                <w:lang w:eastAsia="en-US"/>
              </w:rPr>
            </w:r>
            <w:bookmarkEnd w:id="0"/>
            <w:r>
              <w:rPr>
                <w:rFonts w:ascii="Times New Roman" w:hAnsi="Times New Roman" w:eastAsia="Times New Roman" w:cs="Times New Roman"/>
                <w:b/>
                <w:bCs/>
                <w:lang w:eastAsia="en-US"/>
              </w:rPr>
            </w:r>
            <w:r>
              <w:rPr>
                <w:rFonts w:ascii="Times New Roman" w:hAnsi="Times New Roman" w:eastAsia="Times New Roman" w:cs="Times New Roman"/>
                <w:b/>
                <w:bCs/>
                <w:lang w:eastAsia="en-US"/>
              </w:rPr>
            </w:r>
          </w:p>
        </w:tc>
      </w:tr>
    </w:tbl>
    <w:p w14:paraId="375C61CC">
      <w:pPr>
        <w:pBdr/>
        <w:spacing w:line="360" w:lineRule="auto"/>
        <w:ind/>
        <w:rPr>
          <w:rFonts w:ascii="Times New Roman" w:hAnsi="Times New Roman" w:cs="Times New Roman"/>
          <w:b/>
          <w:sz w:val="24"/>
          <w:szCs w:val="24"/>
        </w:rPr>
      </w:pPr>
      <w:r>
        <w:rPr>
          <w:rFonts w:ascii="Times New Roman" w:hAnsi="Times New Roman" w:cs="Times New Roman"/>
          <w:b/>
          <w:sz w:val="24"/>
          <w:szCs w:val="24"/>
        </w:rPr>
      </w:r>
      <w:r>
        <w:rPr>
          <w:rFonts w:ascii="Times New Roman" w:hAnsi="Times New Roman" w:cs="Times New Roman"/>
          <w:b/>
          <w:sz w:val="24"/>
          <w:szCs w:val="24"/>
        </w:rPr>
      </w:r>
      <w:r>
        <w:rPr>
          <w:rFonts w:ascii="Times New Roman" w:hAnsi="Times New Roman" w:cs="Times New Roman"/>
          <w:b/>
          <w:sz w:val="24"/>
          <w:szCs w:val="24"/>
        </w:rPr>
      </w:r>
    </w:p>
    <w:p w14:paraId="7D1BD8DF">
      <w:pPr>
        <w:pBdr/>
        <w:spacing w:line="360" w:lineRule="auto"/>
        <w:ind/>
        <w:rPr>
          <w:rFonts w:ascii="Times New Roman" w:hAnsi="Times New Roman" w:cs="Times New Roman"/>
          <w:b/>
          <w:sz w:val="24"/>
          <w:szCs w:val="24"/>
        </w:rPr>
      </w:pPr>
      <w:r>
        <w:rPr>
          <w:rFonts w:ascii="Times New Roman" w:hAnsi="Times New Roman" w:cs="Times New Roman"/>
          <w:b/>
          <w:sz w:val="24"/>
          <w:szCs w:val="24"/>
        </w:rPr>
        <w:t xml:space="preserve">Solicitação estimativa mínima e máxima po</w:t>
      </w:r>
      <w:r>
        <w:rPr>
          <w:rFonts w:hint="default" w:ascii="Times New Roman" w:hAnsi="Times New Roman" w:cs="Times New Roman"/>
          <w:b/>
          <w:sz w:val="24"/>
          <w:szCs w:val="24"/>
          <w:lang w:val="pt-BR"/>
        </w:rPr>
        <w:t xml:space="preserve">dendo ser executada nos 12 meses</w:t>
      </w:r>
      <w:r>
        <w:rPr>
          <w:rFonts w:ascii="Times New Roman" w:hAnsi="Times New Roman" w:cs="Times New Roman"/>
          <w:b/>
          <w:sz w:val="24"/>
          <w:szCs w:val="24"/>
        </w:rPr>
        <w:t xml:space="preserve">:</w:t>
      </w:r>
      <w:r>
        <w:rPr>
          <w:rFonts w:ascii="Times New Roman" w:hAnsi="Times New Roman" w:cs="Times New Roman"/>
          <w:b/>
          <w:sz w:val="24"/>
          <w:szCs w:val="24"/>
        </w:rPr>
      </w:r>
      <w:r>
        <w:rPr>
          <w:rFonts w:ascii="Times New Roman" w:hAnsi="Times New Roman" w:cs="Times New Roman"/>
          <w:b/>
          <w:sz w:val="24"/>
          <w:szCs w:val="24"/>
        </w:rPr>
      </w:r>
    </w:p>
    <w:tbl>
      <w:tblPr>
        <w:tblStyle w:val="1096"/>
        <w:tblInd w:w="0" w:type="dxa"/>
        <w:tblW w:w="9263" w:type="dxa"/>
        <w:tblCellMar>
          <w:left w:w="108" w:type="dxa"/>
          <w:top w:w="0" w:type="dxa"/>
          <w:right w:w="108" w:type="dxa"/>
          <w:bottom w:w="0" w:type="dxa"/>
        </w:tblCellMar>
        <w:tblBorders/>
        <w:tblLayout w:type="fixed"/>
        <w:tblLook w:val="04A0" w:firstRow="1" w:lastRow="0" w:firstColumn="1" w:lastColumn="0" w:noHBand="0" w:noVBand="1"/>
      </w:tblPr>
      <w:tblGrid>
        <w:gridCol w:w="9263"/>
      </w:tblGrid>
      <w:tr>
        <w:trPr>
          <w:trHeight w:val="1073"/>
        </w:trPr>
        <w:tc>
          <w:tcPr>
            <w:shd w:val="clear" w:color="ffffff" w:fill="ffffff"/>
            <w:tcBorders>
              <w:top w:val="none" w:color="000000" w:sz="4" w:space="0"/>
              <w:left w:val="none" w:color="000000" w:sz="4" w:space="0"/>
              <w:bottom w:val="none" w:color="000000" w:sz="4" w:space="0"/>
              <w:right w:val="none" w:color="000000" w:sz="4" w:space="0"/>
            </w:tcBorders>
            <w:tcW w:w="9263" w:type="dxa"/>
          </w:tcPr>
          <w:tbl>
            <w:tblPr>
              <w:tblStyle w:val="1096"/>
              <w:tblInd w:w="0" w:type="dxa"/>
              <w:tblW w:w="9384" w:type="dxa"/>
              <w:tblCellMar>
                <w:left w:w="0" w:type="dxa"/>
                <w:top w:w="0" w:type="dxa"/>
                <w:right w:w="0" w:type="dxa"/>
                <w:bottom w:w="0" w:type="dxa"/>
              </w:tblCellMar>
              <w:tblBorders/>
              <w:tblLayout w:type="fixed"/>
              <w:tblCellSpacing w:w="15" w:type="dxa"/>
              <w:tblLook w:val="04A0" w:firstRow="1" w:lastRow="0" w:firstColumn="1" w:lastColumn="0" w:noHBand="0" w:noVBand="1"/>
            </w:tblPr>
            <w:tblGrid>
              <w:gridCol w:w="735"/>
              <w:gridCol w:w="1080"/>
              <w:gridCol w:w="930"/>
              <w:gridCol w:w="2374"/>
              <w:gridCol w:w="985"/>
              <w:gridCol w:w="1040"/>
              <w:gridCol w:w="1054"/>
              <w:gridCol w:w="1186"/>
            </w:tblGrid>
            <w:tr>
              <w:trPr>
                <w:tblCellSpacing w:w="15" w:type="dxa"/>
                <w:tblHeader/>
              </w:trPr>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690" w:type="dxa"/>
                  <w:vAlign w:val="center"/>
                </w:tcPr>
                <w:p w14:paraId="305BD5F4">
                  <w:pPr>
                    <w:pBdr/>
                    <w:spacing w:line="240" w:lineRule="auto"/>
                    <w:ind/>
                    <w:jc w:val="both"/>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b/>
                      <w:bCs/>
                      <w:color w:val="1f1f1f"/>
                      <w:sz w:val="24"/>
                      <w:szCs w:val="24"/>
                      <w:lang w:val="en-US" w:eastAsia="en-US"/>
                    </w:rPr>
                    <w:t xml:space="preserve">Item</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50" w:type="dxa"/>
                  <w:vAlign w:val="center"/>
                </w:tcPr>
                <w:p w14:paraId="4E2BBDB1">
                  <w:pPr>
                    <w:pBdr/>
                    <w:spacing w:line="240" w:lineRule="auto"/>
                    <w:ind/>
                    <w:jc w:val="both"/>
                    <w:rPr>
                      <w:rFonts w:ascii="Times New Roman" w:hAnsi="Times New Roman" w:eastAsia="Times New Roman" w:cs="Times New Roman"/>
                      <w:color w:val="1f1f1f"/>
                      <w:sz w:val="24"/>
                      <w:szCs w:val="24"/>
                      <w:lang w:eastAsia="en-US"/>
                    </w:rPr>
                  </w:pPr>
                  <w:r>
                    <w:rPr>
                      <w:rFonts w:ascii="Times New Roman" w:hAnsi="Times New Roman" w:eastAsia="Times New Roman" w:cs="Times New Roman"/>
                      <w:b/>
                      <w:bCs/>
                      <w:color w:val="1f1f1f"/>
                      <w:sz w:val="24"/>
                      <w:szCs w:val="24"/>
                      <w:lang w:val="en-US" w:eastAsia="en-US"/>
                    </w:rPr>
                    <w:t xml:space="preserve">Código</w:t>
                  </w:r>
                  <w:r>
                    <w:rPr>
                      <w:rFonts w:ascii="Times New Roman" w:hAnsi="Times New Roman" w:eastAsia="Times New Roman" w:cs="Times New Roman"/>
                      <w:b/>
                      <w:bCs/>
                      <w:color w:val="1f1f1f"/>
                      <w:sz w:val="24"/>
                      <w:szCs w:val="24"/>
                      <w:lang w:eastAsia="en-US"/>
                    </w:rPr>
                    <w:t xml:space="preserve"> Banco</w:t>
                  </w:r>
                  <w:r>
                    <w:rPr>
                      <w:rFonts w:ascii="Times New Roman" w:hAnsi="Times New Roman" w:eastAsia="Times New Roman" w:cs="Times New Roman"/>
                      <w:color w:val="1f1f1f"/>
                      <w:sz w:val="24"/>
                      <w:szCs w:val="24"/>
                      <w:lang w:eastAsia="en-US"/>
                    </w:rPr>
                  </w:r>
                  <w:r>
                    <w:rPr>
                      <w:rFonts w:ascii="Times New Roman" w:hAnsi="Times New Roman" w:eastAsia="Times New Roman" w:cs="Times New Roman"/>
                      <w:color w:val="1f1f1f"/>
                      <w:sz w:val="24"/>
                      <w:szCs w:val="24"/>
                      <w:lang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00" w:type="dxa"/>
                  <w:vAlign w:val="center"/>
                </w:tcPr>
                <w:p w14:paraId="7F191726">
                  <w:pPr>
                    <w:pBdr/>
                    <w:spacing w:line="240" w:lineRule="auto"/>
                    <w:ind/>
                    <w:jc w:val="both"/>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b/>
                      <w:bCs/>
                      <w:color w:val="1f1f1f"/>
                      <w:sz w:val="24"/>
                      <w:szCs w:val="24"/>
                      <w:lang w:val="en-US" w:eastAsia="en-US"/>
                    </w:rPr>
                    <w:t xml:space="preserve">Banco</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2344" w:type="dxa"/>
                  <w:vAlign w:val="center"/>
                </w:tcPr>
                <w:p w14:paraId="009A0392">
                  <w:pPr>
                    <w:pBdr/>
                    <w:spacing w:line="240" w:lineRule="auto"/>
                    <w:ind/>
                    <w:jc w:val="both"/>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b/>
                      <w:bCs/>
                      <w:color w:val="1f1f1f"/>
                      <w:sz w:val="24"/>
                      <w:szCs w:val="24"/>
                      <w:lang w:val="en-US" w:eastAsia="en-US"/>
                    </w:rPr>
                    <w:t xml:space="preserve">Descrição</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55" w:type="dxa"/>
                  <w:vAlign w:val="center"/>
                </w:tcPr>
                <w:p w14:paraId="2F87A7C5">
                  <w:pPr>
                    <w:pBdr/>
                    <w:spacing w:line="240" w:lineRule="auto"/>
                    <w:ind/>
                    <w:jc w:val="both"/>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b/>
                      <w:bCs/>
                      <w:color w:val="1f1f1f"/>
                      <w:sz w:val="24"/>
                      <w:szCs w:val="24"/>
                      <w:lang w:val="en-US" w:eastAsia="en-US"/>
                    </w:rPr>
                    <w:t xml:space="preserve">Und</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10" w:type="dxa"/>
                  <w:vAlign w:val="center"/>
                </w:tcPr>
                <w:p w14:paraId="023BFF19">
                  <w:pPr>
                    <w:pBdr/>
                    <w:spacing w:line="240" w:lineRule="auto"/>
                    <w:ind/>
                    <w:jc w:val="both"/>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b/>
                      <w:bCs/>
                      <w:color w:val="1f1f1f"/>
                      <w:sz w:val="24"/>
                      <w:szCs w:val="24"/>
                      <w:lang w:val="en-US" w:eastAsia="en-US"/>
                    </w:rPr>
                    <w:t xml:space="preserve">Quant.</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24" w:type="dxa"/>
                  <w:vAlign w:val="center"/>
                </w:tcPr>
                <w:p w14:paraId="2B907454">
                  <w:pPr>
                    <w:pBdr/>
                    <w:spacing w:line="240" w:lineRule="auto"/>
                    <w:ind/>
                    <w:jc w:val="both"/>
                    <w:rPr>
                      <w:rFonts w:ascii="Times New Roman" w:hAnsi="Times New Roman" w:eastAsia="Times New Roman" w:cs="Times New Roman"/>
                      <w:b/>
                      <w:bCs/>
                      <w:color w:val="1f1f1f"/>
                      <w:sz w:val="24"/>
                      <w:szCs w:val="24"/>
                      <w:lang w:val="en-US" w:eastAsia="en-US"/>
                    </w:rPr>
                  </w:pPr>
                  <w:r>
                    <w:rPr>
                      <w:rFonts w:ascii="Times New Roman" w:hAnsi="Times New Roman" w:eastAsia="Times New Roman" w:cs="Times New Roman"/>
                      <w:b/>
                      <w:bCs/>
                      <w:color w:val="1f1f1f"/>
                      <w:sz w:val="24"/>
                      <w:szCs w:val="24"/>
                      <w:lang w:val="en-US" w:eastAsia="en-US"/>
                    </w:rPr>
                    <w:t xml:space="preserve">Mínim</w:t>
                  </w:r>
                  <w:r>
                    <w:rPr>
                      <w:rFonts w:ascii="Times New Roman" w:hAnsi="Times New Roman" w:eastAsia="Times New Roman" w:cs="Times New Roman"/>
                      <w:b/>
                      <w:bCs/>
                      <w:color w:val="1f1f1f"/>
                      <w:sz w:val="24"/>
                      <w:szCs w:val="24"/>
                      <w:lang w:val="en-US" w:eastAsia="en-US"/>
                    </w:rPr>
                  </w:r>
                  <w:r>
                    <w:rPr>
                      <w:rFonts w:ascii="Times New Roman" w:hAnsi="Times New Roman" w:eastAsia="Times New Roman" w:cs="Times New Roman"/>
                      <w:b/>
                      <w:bCs/>
                      <w:color w:val="1f1f1f"/>
                      <w:sz w:val="24"/>
                      <w:szCs w:val="24"/>
                      <w:lang w:val="en-US" w:eastAsia="en-US"/>
                    </w:rPr>
                  </w:r>
                </w:p>
                <w:p w14:paraId="52B6087B">
                  <w:pPr>
                    <w:pBdr/>
                    <w:spacing w:line="240" w:lineRule="auto"/>
                    <w:ind/>
                    <w:jc w:val="both"/>
                    <w:rPr>
                      <w:rFonts w:ascii="Times New Roman" w:hAnsi="Times New Roman" w:eastAsia="Times New Roman" w:cs="Times New Roman"/>
                      <w:color w:val="1f1f1f"/>
                      <w:sz w:val="24"/>
                      <w:szCs w:val="24"/>
                      <w:lang w:val="en-US" w:eastAsia="en-US"/>
                    </w:rPr>
                  </w:pPr>
                  <w:r>
                    <w:rPr>
                      <w:rFonts w:hint="default" w:ascii="Times New Roman" w:hAnsi="Times New Roman" w:eastAsia="Times New Roman" w:cs="Times New Roman"/>
                      <w:b/>
                      <w:bCs/>
                      <w:color w:val="1f1f1f"/>
                      <w:sz w:val="24"/>
                      <w:szCs w:val="24"/>
                      <w:lang w:val="pt-BR" w:eastAsia="en-US"/>
                    </w:rPr>
                    <w:t xml:space="preserve">--</w:t>
                  </w:r>
                  <w:r>
                    <w:rPr>
                      <w:rFonts w:ascii="Times New Roman" w:hAnsi="Times New Roman" w:eastAsia="Times New Roman" w:cs="Times New Roman"/>
                      <w:b/>
                      <w:bCs/>
                      <w:color w:val="1f1f1f"/>
                      <w:sz w:val="24"/>
                      <w:szCs w:val="24"/>
                      <w:lang w:val="en-US" w:eastAsia="en-US"/>
                    </w:rPr>
                    <w:t xml:space="preserve">a</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1141" w:type="dxa"/>
                  <w:vAlign w:val="center"/>
                </w:tcPr>
                <w:p w14:paraId="2C704731">
                  <w:pPr>
                    <w:pBdr/>
                    <w:spacing w:line="240" w:lineRule="auto"/>
                    <w:ind/>
                    <w:jc w:val="both"/>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b/>
                      <w:bCs/>
                      <w:color w:val="1f1f1f"/>
                      <w:sz w:val="24"/>
                      <w:szCs w:val="24"/>
                      <w:lang w:val="en-US" w:eastAsia="en-US"/>
                    </w:rPr>
                    <w:t xml:space="preserve">máxima</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r>
            <w:tr>
              <w:trPr>
                <w:tblCellSpacing w:w="15" w:type="dxa"/>
                <w:trHeight w:val="1479"/>
              </w:trPr>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690" w:type="dxa"/>
                  <w:vAlign w:val="center"/>
                </w:tcPr>
                <w:p w14:paraId="315CBC60">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1.1</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50" w:type="dxa"/>
                  <w:vAlign w:val="center"/>
                </w:tcPr>
                <w:p w14:paraId="4DB36B0B">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102498</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00" w:type="dxa"/>
                  <w:vAlign w:val="center"/>
                </w:tcPr>
                <w:p w14:paraId="771E595D">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SINAPI</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2344" w:type="dxa"/>
                  <w:vAlign w:val="center"/>
                </w:tcPr>
                <w:p w14:paraId="625732DA">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eastAsia="en-US"/>
                    </w:rPr>
                    <w:t xml:space="preserve">PINTURA DE MEIO-FIO COM TINTA BRANCA A BASE DE CAL (CAIAÇÃO). </w:t>
                  </w:r>
                  <w:r>
                    <w:rPr>
                      <w:rFonts w:ascii="Times New Roman" w:hAnsi="Times New Roman" w:eastAsia="Times New Roman" w:cs="Times New Roman"/>
                      <w:color w:val="1f1f1f"/>
                      <w:sz w:val="20"/>
                      <w:szCs w:val="20"/>
                      <w:lang w:val="en-US" w:eastAsia="en-US"/>
                    </w:rPr>
                    <w:t xml:space="preserve">AF_05/2021</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55" w:type="dxa"/>
                  <w:vAlign w:val="center"/>
                </w:tcPr>
                <w:p w14:paraId="4646CEF4">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M</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10" w:type="dxa"/>
                  <w:vAlign w:val="center"/>
                </w:tcPr>
                <w:p w14:paraId="257E46DA">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50.000,00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24" w:type="dxa"/>
                  <w:vAlign w:val="center"/>
                </w:tcPr>
                <w:p w14:paraId="7870D55C">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5.000,00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1141" w:type="dxa"/>
                  <w:vAlign w:val="center"/>
                </w:tcPr>
                <w:p w14:paraId="1BB62528">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50.000,00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690" w:type="dxa"/>
                  <w:vAlign w:val="center"/>
                </w:tcPr>
                <w:p w14:paraId="10A5B23A">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1.2</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50" w:type="dxa"/>
                  <w:vAlign w:val="center"/>
                </w:tcPr>
                <w:p w14:paraId="3FB305B4">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2003373</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00" w:type="dxa"/>
                  <w:vAlign w:val="center"/>
                </w:tcPr>
                <w:p w14:paraId="51EEB1CA">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SICRO3</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2344" w:type="dxa"/>
                  <w:vAlign w:val="center"/>
                </w:tcPr>
                <w:p w14:paraId="4D2785B2">
                  <w:pPr>
                    <w:pBdr/>
                    <w:spacing w:line="240" w:lineRule="auto"/>
                    <w:ind/>
                    <w:rPr>
                      <w:rFonts w:ascii="Times New Roman" w:hAnsi="Times New Roman" w:eastAsia="Times New Roman" w:cs="Times New Roman"/>
                      <w:color w:val="1f1f1f"/>
                      <w:sz w:val="20"/>
                      <w:szCs w:val="20"/>
                      <w:lang w:eastAsia="en-US"/>
                    </w:rPr>
                  </w:pPr>
                  <w:r>
                    <w:rPr>
                      <w:rFonts w:ascii="Times New Roman" w:hAnsi="Times New Roman" w:eastAsia="Times New Roman" w:cs="Times New Roman"/>
                      <w:color w:val="1f1f1f"/>
                      <w:sz w:val="20"/>
                      <w:szCs w:val="20"/>
                      <w:lang w:eastAsia="en-US"/>
                    </w:rPr>
                    <w:t xml:space="preserve">MEIO-FIO DE CONCRETO - MFC 03 - AREIA E BRITA COMERCIAIS - FÔRMA DE MADEIRA.</w:t>
                  </w:r>
                  <w:r>
                    <w:rPr>
                      <w:rFonts w:ascii="Times New Roman" w:hAnsi="Times New Roman" w:eastAsia="Times New Roman" w:cs="Times New Roman"/>
                      <w:color w:val="1f1f1f"/>
                      <w:sz w:val="20"/>
                      <w:szCs w:val="20"/>
                      <w:lang w:eastAsia="en-US"/>
                    </w:rPr>
                  </w:r>
                  <w:r>
                    <w:rPr>
                      <w:rFonts w:ascii="Times New Roman" w:hAnsi="Times New Roman" w:eastAsia="Times New Roman" w:cs="Times New Roman"/>
                      <w:color w:val="1f1f1f"/>
                      <w:sz w:val="20"/>
                      <w:szCs w:val="20"/>
                      <w:lang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55" w:type="dxa"/>
                  <w:vAlign w:val="center"/>
                </w:tcPr>
                <w:p w14:paraId="0040EC6A">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m</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10" w:type="dxa"/>
                  <w:vAlign w:val="center"/>
                </w:tcPr>
                <w:p w14:paraId="55BA3D74">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5.000,00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24" w:type="dxa"/>
                  <w:vAlign w:val="center"/>
                </w:tcPr>
                <w:p w14:paraId="64D465A7">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500,00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1141" w:type="dxa"/>
                  <w:vAlign w:val="center"/>
                </w:tcPr>
                <w:p w14:paraId="434CB014">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5.000,00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690" w:type="dxa"/>
                  <w:vAlign w:val="center"/>
                </w:tcPr>
                <w:p w14:paraId="0E968957">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1.3</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50" w:type="dxa"/>
                  <w:vAlign w:val="center"/>
                </w:tcPr>
                <w:p w14:paraId="401F75F1">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94995</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00" w:type="dxa"/>
                  <w:vAlign w:val="center"/>
                </w:tcPr>
                <w:p w14:paraId="11FC8641">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SINAPI</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2344" w:type="dxa"/>
                  <w:vAlign w:val="center"/>
                </w:tcPr>
                <w:p w14:paraId="1FB72E14">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eastAsia="en-US"/>
                    </w:rPr>
                    <w:t xml:space="preserve">EXECUÇÃO DE PASSEIO (CALÇADA) OU PISO DE CONCRETO COM CONCRETO MOLDADO IN LOCO, USINADO, ACABAMENTO CONVENCIONAL, ESPESSURA 8 CM, ARMADO. </w:t>
                  </w:r>
                  <w:r>
                    <w:rPr>
                      <w:rFonts w:ascii="Times New Roman" w:hAnsi="Times New Roman" w:eastAsia="Times New Roman" w:cs="Times New Roman"/>
                      <w:color w:val="1f1f1f"/>
                      <w:sz w:val="20"/>
                      <w:szCs w:val="20"/>
                      <w:lang w:val="en-US" w:eastAsia="en-US"/>
                    </w:rPr>
                    <w:t xml:space="preserve">AF_08/2022</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55" w:type="dxa"/>
                  <w:vAlign w:val="center"/>
                </w:tcPr>
                <w:p w14:paraId="516F6D29">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m²</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10" w:type="dxa"/>
                  <w:vAlign w:val="center"/>
                </w:tcPr>
                <w:p w14:paraId="3ABBAB11">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1.500,00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24" w:type="dxa"/>
                  <w:vAlign w:val="center"/>
                </w:tcPr>
                <w:p w14:paraId="4C9E779A">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150,00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1141" w:type="dxa"/>
                  <w:vAlign w:val="center"/>
                </w:tcPr>
                <w:p w14:paraId="765F3345">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1.500,00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690" w:type="dxa"/>
                  <w:vAlign w:val="center"/>
                </w:tcPr>
                <w:p w14:paraId="3120E089">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1.4</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50" w:type="dxa"/>
                  <w:vAlign w:val="center"/>
                </w:tcPr>
                <w:p w14:paraId="5552ABA7">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94993</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00" w:type="dxa"/>
                  <w:vAlign w:val="center"/>
                </w:tcPr>
                <w:p w14:paraId="5F90153C">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SINAPI</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2344" w:type="dxa"/>
                  <w:vAlign w:val="center"/>
                </w:tcPr>
                <w:p w14:paraId="358B8A65">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eastAsia="en-US"/>
                    </w:rPr>
                    <w:t xml:space="preserve">EXECUÇÃO DE PASSEIO (CALÇADA) OU PISO DE CONCRETO COM CONCRETO MOLDADO IN LOCO, USINADO, ACABAMENTO CONVENCIONAL, ESPESSURA 6 CM, ( NÃO ARMADO). </w:t>
                  </w:r>
                  <w:r>
                    <w:rPr>
                      <w:rFonts w:ascii="Times New Roman" w:hAnsi="Times New Roman" w:eastAsia="Times New Roman" w:cs="Times New Roman"/>
                      <w:color w:val="1f1f1f"/>
                      <w:sz w:val="20"/>
                      <w:szCs w:val="20"/>
                      <w:lang w:val="en-US" w:eastAsia="en-US"/>
                    </w:rPr>
                    <w:t xml:space="preserve">AF_08/2022</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55" w:type="dxa"/>
                  <w:vAlign w:val="center"/>
                </w:tcPr>
                <w:p w14:paraId="4549183D">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m²</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10" w:type="dxa"/>
                  <w:vAlign w:val="center"/>
                </w:tcPr>
                <w:p w14:paraId="2033A3F2">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5.000,00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24" w:type="dxa"/>
                  <w:vAlign w:val="center"/>
                </w:tcPr>
                <w:p w14:paraId="78252ED6">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500,00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1141" w:type="dxa"/>
                  <w:vAlign w:val="center"/>
                </w:tcPr>
                <w:p w14:paraId="4582C339">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5.000,00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690" w:type="dxa"/>
                  <w:vAlign w:val="center"/>
                </w:tcPr>
                <w:p w14:paraId="3B5B24C5">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1.5</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50" w:type="dxa"/>
                  <w:vAlign w:val="center"/>
                </w:tcPr>
                <w:p w14:paraId="329E768E">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92397</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00" w:type="dxa"/>
                  <w:vAlign w:val="center"/>
                </w:tcPr>
                <w:p w14:paraId="0436E906">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SINAPI</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2344" w:type="dxa"/>
                  <w:vAlign w:val="center"/>
                </w:tcPr>
                <w:p w14:paraId="499650F0">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eastAsia="en-US"/>
                    </w:rPr>
                    <w:t xml:space="preserve">EXECUÇÃO DE PAVIMENTO EM PISO INTERTRAVADO, COM BLOCO RETANGULAR COR NATURAL DE 20 X 10 CM, ESPESSURA 6 CM. </w:t>
                  </w:r>
                  <w:r>
                    <w:rPr>
                      <w:rFonts w:ascii="Times New Roman" w:hAnsi="Times New Roman" w:eastAsia="Times New Roman" w:cs="Times New Roman"/>
                      <w:color w:val="1f1f1f"/>
                      <w:sz w:val="20"/>
                      <w:szCs w:val="20"/>
                      <w:lang w:val="en-US" w:eastAsia="en-US"/>
                    </w:rPr>
                    <w:t xml:space="preserve">AF_10/2022</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55" w:type="dxa"/>
                  <w:vAlign w:val="center"/>
                </w:tcPr>
                <w:p w14:paraId="26ABE526">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m²</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10" w:type="dxa"/>
                  <w:vAlign w:val="center"/>
                </w:tcPr>
                <w:p w14:paraId="2B82B41A">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11.400,00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24" w:type="dxa"/>
                  <w:vAlign w:val="center"/>
                </w:tcPr>
                <w:p w14:paraId="5044265B">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1.140,00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1141" w:type="dxa"/>
                  <w:vAlign w:val="center"/>
                </w:tcPr>
                <w:p w14:paraId="618053E3">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11.400,00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690" w:type="dxa"/>
                  <w:vAlign w:val="center"/>
                </w:tcPr>
                <w:p w14:paraId="2B76CC57">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1.6</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50" w:type="dxa"/>
                  <w:vAlign w:val="center"/>
                </w:tcPr>
                <w:p w14:paraId="0789FA6E">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102507</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00" w:type="dxa"/>
                  <w:vAlign w:val="center"/>
                </w:tcPr>
                <w:p w14:paraId="5358F2C0">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SINAPI</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2344" w:type="dxa"/>
                  <w:vAlign w:val="center"/>
                </w:tcPr>
                <w:p w14:paraId="166590B6">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eastAsia="en-US"/>
                    </w:rPr>
                    <w:t xml:space="preserve">PINTURA DE DEMARCAÇÃO DE VAGA COM TINTA EPÓXI, E = 10 CM, APLICAÇÃO MANUAL. </w:t>
                  </w:r>
                  <w:r>
                    <w:rPr>
                      <w:rFonts w:ascii="Times New Roman" w:hAnsi="Times New Roman" w:eastAsia="Times New Roman" w:cs="Times New Roman"/>
                      <w:color w:val="1f1f1f"/>
                      <w:sz w:val="20"/>
                      <w:szCs w:val="20"/>
                      <w:lang w:val="en-US" w:eastAsia="en-US"/>
                    </w:rPr>
                    <w:t xml:space="preserve">AF_05/2021</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55" w:type="dxa"/>
                  <w:vAlign w:val="center"/>
                </w:tcPr>
                <w:p w14:paraId="516D4B3E">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M</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10" w:type="dxa"/>
                  <w:vAlign w:val="center"/>
                </w:tcPr>
                <w:p w14:paraId="68EC5B0B">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10.000,00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24" w:type="dxa"/>
                  <w:vAlign w:val="center"/>
                </w:tcPr>
                <w:p w14:paraId="4E6DA6D0">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1.000,00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1141" w:type="dxa"/>
                  <w:vAlign w:val="center"/>
                </w:tcPr>
                <w:p w14:paraId="5FA55007">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10.000,00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690" w:type="dxa"/>
                  <w:vAlign w:val="center"/>
                </w:tcPr>
                <w:p w14:paraId="57AE76AA">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1.7</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50" w:type="dxa"/>
                  <w:vAlign w:val="center"/>
                </w:tcPr>
                <w:p w14:paraId="5B0B3B7C">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104658</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00" w:type="dxa"/>
                  <w:vAlign w:val="center"/>
                </w:tcPr>
                <w:p w14:paraId="58F5FB2F">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SINAPI</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2344" w:type="dxa"/>
                  <w:vAlign w:val="center"/>
                </w:tcPr>
                <w:p w14:paraId="6FB20C91">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eastAsia="en-US"/>
                    </w:rPr>
                    <w:t xml:space="preserve">PISO PODOTÁTIL DE ALERTA OU DIRECIONAL, DE CONCRETO, ASSENTADO SOBRE ARGAMASSA. </w:t>
                  </w:r>
                  <w:r>
                    <w:rPr>
                      <w:rFonts w:ascii="Times New Roman" w:hAnsi="Times New Roman" w:eastAsia="Times New Roman" w:cs="Times New Roman"/>
                      <w:color w:val="1f1f1f"/>
                      <w:sz w:val="20"/>
                      <w:szCs w:val="20"/>
                      <w:lang w:val="en-US" w:eastAsia="en-US"/>
                    </w:rPr>
                    <w:t xml:space="preserve">AF_03/2024</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55" w:type="dxa"/>
                  <w:vAlign w:val="center"/>
                </w:tcPr>
                <w:p w14:paraId="1C99165B">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m²</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10" w:type="dxa"/>
                  <w:vAlign w:val="center"/>
                </w:tcPr>
                <w:p w14:paraId="37FB6851">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500,00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24" w:type="dxa"/>
                  <w:vAlign w:val="center"/>
                </w:tcPr>
                <w:p w14:paraId="42DDBB4D">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50,00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1141" w:type="dxa"/>
                  <w:vAlign w:val="center"/>
                </w:tcPr>
                <w:p w14:paraId="4F674493">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500,00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690" w:type="dxa"/>
                  <w:vAlign w:val="center"/>
                </w:tcPr>
                <w:p w14:paraId="77058AF5">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1.8</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50" w:type="dxa"/>
                  <w:vAlign w:val="center"/>
                </w:tcPr>
                <w:p w14:paraId="2AB0D323">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103946</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00" w:type="dxa"/>
                  <w:vAlign w:val="center"/>
                </w:tcPr>
                <w:p w14:paraId="5CA0C28D">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SINAPI</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2344" w:type="dxa"/>
                  <w:vAlign w:val="center"/>
                </w:tcPr>
                <w:p w14:paraId="1E547716">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eastAsia="en-US"/>
                    </w:rPr>
                    <w:t xml:space="preserve">PLANTIO DE GRAMA ESMERALDA OU SÃO CARLOS OU CURITIBANA, EM PLACAS. </w:t>
                  </w:r>
                  <w:r>
                    <w:rPr>
                      <w:rFonts w:ascii="Times New Roman" w:hAnsi="Times New Roman" w:eastAsia="Times New Roman" w:cs="Times New Roman"/>
                      <w:color w:val="1f1f1f"/>
                      <w:sz w:val="20"/>
                      <w:szCs w:val="20"/>
                      <w:lang w:val="en-US" w:eastAsia="en-US"/>
                    </w:rPr>
                    <w:t xml:space="preserve">AF_07/2024</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55" w:type="dxa"/>
                  <w:vAlign w:val="center"/>
                </w:tcPr>
                <w:p w14:paraId="296954FF">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m²</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10" w:type="dxa"/>
                  <w:vAlign w:val="center"/>
                </w:tcPr>
                <w:p w14:paraId="48EE717C">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20.000,00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24" w:type="dxa"/>
                  <w:vAlign w:val="center"/>
                </w:tcPr>
                <w:p w14:paraId="7E847A62">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2.000,00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1141" w:type="dxa"/>
                  <w:vAlign w:val="center"/>
                </w:tcPr>
                <w:p w14:paraId="3B5807B9">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20.000,00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690" w:type="dxa"/>
                  <w:vAlign w:val="center"/>
                </w:tcPr>
                <w:p w14:paraId="4DB57AB8">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1.9</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50" w:type="dxa"/>
                  <w:vAlign w:val="center"/>
                </w:tcPr>
                <w:p w14:paraId="4631C86C">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2003801</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00" w:type="dxa"/>
                  <w:vAlign w:val="center"/>
                </w:tcPr>
                <w:p w14:paraId="7EE2C06E">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SICRO3</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2344" w:type="dxa"/>
                  <w:vAlign w:val="center"/>
                </w:tcPr>
                <w:p w14:paraId="5BFD3D10">
                  <w:pPr>
                    <w:pBdr/>
                    <w:spacing w:line="240" w:lineRule="auto"/>
                    <w:ind/>
                    <w:rPr>
                      <w:rFonts w:ascii="Times New Roman" w:hAnsi="Times New Roman" w:eastAsia="Times New Roman" w:cs="Times New Roman"/>
                      <w:color w:val="1f1f1f"/>
                      <w:sz w:val="20"/>
                      <w:szCs w:val="20"/>
                      <w:lang w:eastAsia="en-US"/>
                    </w:rPr>
                  </w:pPr>
                  <w:r>
                    <w:rPr>
                      <w:rFonts w:ascii="Times New Roman" w:hAnsi="Times New Roman" w:eastAsia="Times New Roman" w:cs="Times New Roman"/>
                      <w:color w:val="1f1f1f"/>
                      <w:sz w:val="20"/>
                      <w:szCs w:val="20"/>
                      <w:lang w:eastAsia="en-US"/>
                    </w:rPr>
                    <w:t xml:space="preserve">CANALETA MEIA CANA D = 0,40 M ASSENTE SOBRE LASTRO DE AREIA - AREIA E BRITA COMERCIAIS - FORNECIMENTO E INSTALAÇÃO</w:t>
                  </w:r>
                  <w:r>
                    <w:rPr>
                      <w:rFonts w:ascii="Times New Roman" w:hAnsi="Times New Roman" w:eastAsia="Times New Roman" w:cs="Times New Roman"/>
                      <w:color w:val="1f1f1f"/>
                      <w:sz w:val="20"/>
                      <w:szCs w:val="20"/>
                      <w:lang w:eastAsia="en-US"/>
                    </w:rPr>
                  </w:r>
                  <w:r>
                    <w:rPr>
                      <w:rFonts w:ascii="Times New Roman" w:hAnsi="Times New Roman" w:eastAsia="Times New Roman" w:cs="Times New Roman"/>
                      <w:color w:val="1f1f1f"/>
                      <w:sz w:val="20"/>
                      <w:szCs w:val="20"/>
                      <w:lang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55" w:type="dxa"/>
                  <w:vAlign w:val="center"/>
                </w:tcPr>
                <w:p w14:paraId="1D1C6775">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m</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10" w:type="dxa"/>
                  <w:vAlign w:val="center"/>
                </w:tcPr>
                <w:p w14:paraId="65B9A268">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5.000,00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24" w:type="dxa"/>
                  <w:vAlign w:val="center"/>
                </w:tcPr>
                <w:p w14:paraId="1D9864BF">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500,00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1141" w:type="dxa"/>
                  <w:vAlign w:val="center"/>
                </w:tcPr>
                <w:p w14:paraId="7A5DBB9D">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5.000,00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690" w:type="dxa"/>
                  <w:vAlign w:val="center"/>
                </w:tcPr>
                <w:p w14:paraId="2FA14D2F">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1.10</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50" w:type="dxa"/>
                  <w:vAlign w:val="center"/>
                </w:tcPr>
                <w:p w14:paraId="5A1ACE07">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94265</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00" w:type="dxa"/>
                  <w:vAlign w:val="center"/>
                </w:tcPr>
                <w:p w14:paraId="515EC719">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SINAPI</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2344" w:type="dxa"/>
                  <w:vAlign w:val="center"/>
                </w:tcPr>
                <w:p w14:paraId="3C08DAC8">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eastAsia="en-US"/>
                    </w:rPr>
                    <w:t xml:space="preserve">GUIA (MEIO-FIO) CONCRETO, MOLDADA IN LOCO EM TRECHO RETO COM EXTRUSORA, 15 CM BASE X 30 CM ALTURA. </w:t>
                  </w:r>
                  <w:r>
                    <w:rPr>
                      <w:rFonts w:ascii="Times New Roman" w:hAnsi="Times New Roman" w:eastAsia="Times New Roman" w:cs="Times New Roman"/>
                      <w:color w:val="1f1f1f"/>
                      <w:sz w:val="20"/>
                      <w:szCs w:val="20"/>
                      <w:lang w:val="en-US" w:eastAsia="en-US"/>
                    </w:rPr>
                    <w:t xml:space="preserve">AF_01/2024</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55" w:type="dxa"/>
                  <w:vAlign w:val="center"/>
                </w:tcPr>
                <w:p w14:paraId="3ABDF62F">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M</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10" w:type="dxa"/>
                  <w:vAlign w:val="center"/>
                </w:tcPr>
                <w:p w14:paraId="249A4683">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10.000,00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24" w:type="dxa"/>
                  <w:vAlign w:val="center"/>
                </w:tcPr>
                <w:p w14:paraId="4D8FD679">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1.000,00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1141" w:type="dxa"/>
                  <w:vAlign w:val="center"/>
                </w:tcPr>
                <w:p w14:paraId="2223B35B">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10.000,00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690" w:type="dxa"/>
                  <w:vAlign w:val="center"/>
                </w:tcPr>
                <w:p w14:paraId="13997774">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1.11</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50" w:type="dxa"/>
                  <w:vAlign w:val="center"/>
                </w:tcPr>
                <w:p w14:paraId="01884B27">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95876</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00" w:type="dxa"/>
                  <w:vAlign w:val="center"/>
                </w:tcPr>
                <w:p w14:paraId="64B7B882">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SINAPI</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2344" w:type="dxa"/>
                  <w:vAlign w:val="center"/>
                </w:tcPr>
                <w:p w14:paraId="772E4CE9">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eastAsia="en-US"/>
                    </w:rPr>
                    <w:t xml:space="preserve">TRANSPORTE COM CAMINHÃO BASCULANTE DE 14 M³, EM VIA URBANA PAVIMENTADA, DMT ATÉ 30 KM (UNIDADE: M3XKM). </w:t>
                  </w:r>
                  <w:r>
                    <w:rPr>
                      <w:rFonts w:ascii="Times New Roman" w:hAnsi="Times New Roman" w:eastAsia="Times New Roman" w:cs="Times New Roman"/>
                      <w:color w:val="1f1f1f"/>
                      <w:sz w:val="20"/>
                      <w:szCs w:val="20"/>
                      <w:lang w:val="en-US" w:eastAsia="en-US"/>
                    </w:rPr>
                    <w:t xml:space="preserve">AF_02/2026</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55" w:type="dxa"/>
                  <w:vAlign w:val="center"/>
                </w:tcPr>
                <w:p w14:paraId="46496B59">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M3XKM</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10" w:type="dxa"/>
                  <w:vAlign w:val="center"/>
                </w:tcPr>
                <w:p w14:paraId="09A813F8">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60.000,00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24" w:type="dxa"/>
                  <w:vAlign w:val="center"/>
                </w:tcPr>
                <w:p w14:paraId="1012D462">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6.000,00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1141" w:type="dxa"/>
                  <w:vAlign w:val="center"/>
                </w:tcPr>
                <w:p w14:paraId="3D6A6B6C">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60.000,00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690" w:type="dxa"/>
                  <w:vAlign w:val="center"/>
                </w:tcPr>
                <w:p w14:paraId="64593D3C">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1.12</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50" w:type="dxa"/>
                  <w:vAlign w:val="center"/>
                </w:tcPr>
                <w:p w14:paraId="4E8F0AC0">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100975</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00" w:type="dxa"/>
                  <w:vAlign w:val="center"/>
                </w:tcPr>
                <w:p w14:paraId="609C4D6D">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SINAPI</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2344" w:type="dxa"/>
                  <w:vAlign w:val="center"/>
                </w:tcPr>
                <w:p w14:paraId="67533B17">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eastAsia="en-US"/>
                    </w:rPr>
                    <w:t xml:space="preserve">CARGA, MANOBRA E DESCARGA DE SOLOS E MATERIAIS GRANULARES EM CAMINHÃO BASCULANTE 14 M³ - CARGA COM PÁ CARREGADEIRA (CAÇAMBA DE 1,7 A 2,8 M³ / 128 HP) E DESCARGA LIVRE (UNIDADE: M3). </w:t>
                  </w:r>
                  <w:r>
                    <w:rPr>
                      <w:rFonts w:ascii="Times New Roman" w:hAnsi="Times New Roman" w:eastAsia="Times New Roman" w:cs="Times New Roman"/>
                      <w:color w:val="1f1f1f"/>
                      <w:sz w:val="20"/>
                      <w:szCs w:val="20"/>
                      <w:lang w:val="en-US" w:eastAsia="en-US"/>
                    </w:rPr>
                    <w:t xml:space="preserve">AF_02/2026</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55" w:type="dxa"/>
                  <w:vAlign w:val="center"/>
                </w:tcPr>
                <w:p w14:paraId="7F0EE227">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m³</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10" w:type="dxa"/>
                  <w:vAlign w:val="center"/>
                </w:tcPr>
                <w:p w14:paraId="7906FB95">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20.000,00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24" w:type="dxa"/>
                  <w:vAlign w:val="center"/>
                </w:tcPr>
                <w:p w14:paraId="1BEE886E">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2.000,00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1141" w:type="dxa"/>
                  <w:vAlign w:val="center"/>
                </w:tcPr>
                <w:p w14:paraId="28F49CD5">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20.000,00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690" w:type="dxa"/>
                  <w:vAlign w:val="center"/>
                </w:tcPr>
                <w:p w14:paraId="420AEBF0">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1.13</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50" w:type="dxa"/>
                  <w:vAlign w:val="center"/>
                </w:tcPr>
                <w:p w14:paraId="380A3F63">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5877</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00" w:type="dxa"/>
                  <w:vAlign w:val="center"/>
                </w:tcPr>
                <w:p w14:paraId="7C2E93B3">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SINAPI</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2344" w:type="dxa"/>
                  <w:vAlign w:val="center"/>
                </w:tcPr>
                <w:p w14:paraId="21E538F5">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eastAsia="en-US"/>
                    </w:rPr>
                    <w:t xml:space="preserve">RETROESCAVADEIRA SOBRE RODAS COM CARREGADEIRA, TRAÇÃO 4X4, POTÊNCIA LÍQ. 72 HP, CAÇAMBA CARREG. CAP. MÍN. 0,79 M3, CAÇAMBA RETRO CAP. 0,18 M3, PESO OPERACIONAL MÍN. 7.140 KG, PROFUNDIDADE ESCAVAÇÃO MÁX. 4,50 M - CHI DIURNO. </w:t>
                  </w:r>
                  <w:r>
                    <w:rPr>
                      <w:rFonts w:ascii="Times New Roman" w:hAnsi="Times New Roman" w:eastAsia="Times New Roman" w:cs="Times New Roman"/>
                      <w:color w:val="1f1f1f"/>
                      <w:sz w:val="20"/>
                      <w:szCs w:val="20"/>
                      <w:lang w:val="en-US" w:eastAsia="en-US"/>
                    </w:rPr>
                    <w:t xml:space="preserve">AF_06/2014</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55" w:type="dxa"/>
                  <w:vAlign w:val="center"/>
                </w:tcPr>
                <w:p w14:paraId="71C6DD73">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CHI</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10" w:type="dxa"/>
                  <w:vAlign w:val="center"/>
                </w:tcPr>
                <w:p w14:paraId="752A8BCC">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2.000,00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24" w:type="dxa"/>
                  <w:vAlign w:val="center"/>
                </w:tcPr>
                <w:p w14:paraId="7C41F73C">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200,00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1141" w:type="dxa"/>
                  <w:vAlign w:val="center"/>
                </w:tcPr>
                <w:p w14:paraId="09B6A8D1">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2.000,00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690" w:type="dxa"/>
                  <w:vAlign w:val="center"/>
                </w:tcPr>
                <w:p w14:paraId="587A555C">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1.14</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50" w:type="dxa"/>
                  <w:vAlign w:val="center"/>
                </w:tcPr>
                <w:p w14:paraId="682996B1">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90781</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00" w:type="dxa"/>
                  <w:vAlign w:val="center"/>
                </w:tcPr>
                <w:p w14:paraId="1E86F033">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SINAPI</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2344" w:type="dxa"/>
                  <w:vAlign w:val="center"/>
                </w:tcPr>
                <w:p w14:paraId="39B99D95">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TOPOGRAFO COM ENCARGOS COMPLEMENTARES</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55" w:type="dxa"/>
                  <w:vAlign w:val="center"/>
                </w:tcPr>
                <w:p w14:paraId="20DF3ACB">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H</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10" w:type="dxa"/>
                  <w:vAlign w:val="center"/>
                </w:tcPr>
                <w:p w14:paraId="2EDF332C">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2.400,00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24" w:type="dxa"/>
                  <w:vAlign w:val="center"/>
                </w:tcPr>
                <w:p w14:paraId="43BAE604">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240,00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1141" w:type="dxa"/>
                  <w:vAlign w:val="center"/>
                </w:tcPr>
                <w:p w14:paraId="741708C8">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2.400,00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690" w:type="dxa"/>
                  <w:vAlign w:val="center"/>
                </w:tcPr>
                <w:p w14:paraId="57244F91">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1.15</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50" w:type="dxa"/>
                  <w:vAlign w:val="center"/>
                </w:tcPr>
                <w:p w14:paraId="1A530F2C">
                  <w:pPr>
                    <w:pBdr/>
                    <w:spacing w:line="240" w:lineRule="auto"/>
                    <w:ind/>
                    <w:jc w:val="center"/>
                    <w:rPr>
                      <w:rFonts w:ascii="Arial" w:hAnsi="Arial" w:cs="Arial"/>
                      <w:b w:val="0"/>
                      <w:bCs w:val="0"/>
                      <w:color w:val="000000"/>
                    </w:rPr>
                  </w:pPr>
                  <w:r>
                    <w:rPr>
                      <w:rFonts w:ascii="Arial" w:hAnsi="Arial" w:cs="Arial"/>
                      <w:b w:val="0"/>
                      <w:bCs w:val="0"/>
                      <w:color w:val="000000"/>
                    </w:rPr>
                    <w:t xml:space="preserve">106122 </w:t>
                  </w:r>
                  <w:r>
                    <w:rPr>
                      <w:rFonts w:ascii="Arial" w:hAnsi="Arial" w:cs="Arial"/>
                      <w:b w:val="0"/>
                      <w:bCs w:val="0"/>
                      <w:color w:val="000000"/>
                    </w:rPr>
                  </w:r>
                  <w:r>
                    <w:rPr>
                      <w:rFonts w:ascii="Arial" w:hAnsi="Arial" w:cs="Arial"/>
                      <w:b w:val="0"/>
                      <w:bCs w:val="0"/>
                      <w:color w:val="000000"/>
                    </w:rPr>
                  </w:r>
                </w:p>
                <w:p w14:paraId="270D5A40">
                  <w:pPr>
                    <w:pBdr/>
                    <w:spacing w:line="240" w:lineRule="auto"/>
                    <w:ind/>
                    <w:rPr>
                      <w:rFonts w:ascii="Times New Roman" w:hAnsi="Times New Roman" w:eastAsia="Times New Roman" w:cs="Times New Roman"/>
                      <w:b w:val="0"/>
                      <w:bCs w:val="0"/>
                      <w:color w:val="1f1f1f"/>
                      <w:sz w:val="24"/>
                      <w:szCs w:val="24"/>
                      <w:lang w:val="en-US" w:eastAsia="en-US"/>
                    </w:rPr>
                  </w:pPr>
                  <w:r>
                    <w:rPr>
                      <w:rFonts w:ascii="Times New Roman" w:hAnsi="Times New Roman" w:eastAsia="Times New Roman" w:cs="Times New Roman"/>
                      <w:b w:val="0"/>
                      <w:bCs w:val="0"/>
                      <w:color w:val="1f1f1f"/>
                      <w:sz w:val="24"/>
                      <w:szCs w:val="24"/>
                      <w:lang w:val="en-US" w:eastAsia="en-US"/>
                    </w:rPr>
                  </w:r>
                  <w:r>
                    <w:rPr>
                      <w:rFonts w:ascii="Times New Roman" w:hAnsi="Times New Roman" w:eastAsia="Times New Roman" w:cs="Times New Roman"/>
                      <w:b w:val="0"/>
                      <w:bCs w:val="0"/>
                      <w:color w:val="1f1f1f"/>
                      <w:sz w:val="24"/>
                      <w:szCs w:val="24"/>
                      <w:lang w:val="en-US" w:eastAsia="en-US"/>
                    </w:rPr>
                  </w:r>
                  <w:r>
                    <w:rPr>
                      <w:rFonts w:ascii="Times New Roman" w:hAnsi="Times New Roman" w:eastAsia="Times New Roman" w:cs="Times New Roman"/>
                      <w:b w:val="0"/>
                      <w:bCs w:val="0"/>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00" w:type="dxa"/>
                  <w:vAlign w:val="center"/>
                </w:tcPr>
                <w:p w14:paraId="464C044B">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SINAPI</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2344" w:type="dxa"/>
                  <w:vAlign w:val="center"/>
                </w:tcPr>
                <w:p w14:paraId="6D4D902E">
                  <w:pPr>
                    <w:pBdr/>
                    <w:spacing w:line="240" w:lineRule="auto"/>
                    <w:ind/>
                    <w:rPr>
                      <w:rFonts w:hint="default" w:ascii="Times New Roman" w:hAnsi="Times New Roman" w:eastAsia="Times New Roman" w:cs="Times New Roman"/>
                      <w:b w:val="0"/>
                      <w:bCs w:val="0"/>
                      <w:color w:val="1f1f1f"/>
                      <w:sz w:val="20"/>
                      <w:szCs w:val="20"/>
                      <w:lang w:val="en-US" w:eastAsia="en-US"/>
                    </w:rPr>
                  </w:pPr>
                  <w:r>
                    <w:rPr>
                      <w:rFonts w:hint="default" w:ascii="Times New Roman" w:hAnsi="Times New Roman" w:cs="Times New Roman"/>
                      <w:b w:val="0"/>
                      <w:bCs w:val="0"/>
                      <w:color w:val="000000"/>
                      <w:sz w:val="20"/>
                      <w:szCs w:val="20"/>
                    </w:rPr>
                    <w:t xml:space="preserve">REMOÇÃO DE ENTULHO CLASSE A (ALVENARIA, CONCRETO, ARGAMASSAS E CERÂMICOS) POR DUTO DE ENTULHO E ACONDICIONAMENTO FINAL EM CAÇAMBA ESTACIONÁRIA. EXCLUSO FRETE. AF_09/2025</w:t>
                  </w:r>
                  <w:r>
                    <w:rPr>
                      <w:rFonts w:hint="default" w:ascii="Times New Roman" w:hAnsi="Times New Roman" w:eastAsia="Times New Roman" w:cs="Times New Roman"/>
                      <w:b w:val="0"/>
                      <w:bCs w:val="0"/>
                      <w:color w:val="1f1f1f"/>
                      <w:sz w:val="20"/>
                      <w:szCs w:val="20"/>
                      <w:lang w:val="en-US" w:eastAsia="en-US"/>
                    </w:rPr>
                  </w:r>
                  <w:r>
                    <w:rPr>
                      <w:rFonts w:hint="default" w:ascii="Times New Roman" w:hAnsi="Times New Roman" w:eastAsia="Times New Roman" w:cs="Times New Roman"/>
                      <w:b w:val="0"/>
                      <w:bCs w:val="0"/>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55" w:type="dxa"/>
                  <w:vAlign w:val="center"/>
                </w:tcPr>
                <w:p w14:paraId="53A113DE">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M3</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10" w:type="dxa"/>
                  <w:vAlign w:val="center"/>
                </w:tcPr>
                <w:p w14:paraId="65841FDC">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500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24" w:type="dxa"/>
                  <w:vAlign w:val="center"/>
                </w:tcPr>
                <w:p w14:paraId="18C73090">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50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1141" w:type="dxa"/>
                  <w:vAlign w:val="center"/>
                </w:tcPr>
                <w:p w14:paraId="2C9EBE89">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500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690" w:type="dxa"/>
                  <w:vAlign w:val="center"/>
                </w:tcPr>
                <w:p w14:paraId="11AF376B">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50" w:type="dxa"/>
                  <w:vAlign w:val="center"/>
                </w:tcPr>
                <w:p w14:paraId="373552B4">
                  <w:pPr>
                    <w:pBdr/>
                    <w:spacing w:line="240" w:lineRule="auto"/>
                    <w:ind/>
                    <w:jc w:val="center"/>
                    <w:rPr>
                      <w:rFonts w:ascii="Arial" w:hAnsi="Arial" w:cs="Arial"/>
                      <w:b w:val="0"/>
                      <w:bCs w:val="0"/>
                      <w:color w:val="000000"/>
                    </w:rPr>
                  </w:pPr>
                  <w:r>
                    <w:rPr>
                      <w:rFonts w:ascii="Arial" w:hAnsi="Arial" w:cs="Arial"/>
                      <w:b w:val="0"/>
                      <w:bCs w:val="0"/>
                      <w:color w:val="000000"/>
                    </w:rPr>
                    <w:t xml:space="preserve">106126 </w:t>
                  </w:r>
                  <w:r>
                    <w:rPr>
                      <w:rFonts w:ascii="Arial" w:hAnsi="Arial" w:cs="Arial"/>
                      <w:b w:val="0"/>
                      <w:bCs w:val="0"/>
                      <w:color w:val="000000"/>
                    </w:rPr>
                  </w:r>
                  <w:r>
                    <w:rPr>
                      <w:rFonts w:ascii="Arial" w:hAnsi="Arial" w:cs="Arial"/>
                      <w:b w:val="0"/>
                      <w:bCs w:val="0"/>
                      <w:color w:val="000000"/>
                    </w:rPr>
                  </w:r>
                </w:p>
                <w:p w14:paraId="09EDB374">
                  <w:pPr>
                    <w:pBdr/>
                    <w:spacing w:line="240" w:lineRule="auto"/>
                    <w:ind/>
                    <w:rPr>
                      <w:rFonts w:ascii="Times New Roman" w:hAnsi="Times New Roman" w:eastAsia="Times New Roman" w:cs="Times New Roman"/>
                      <w:b w:val="0"/>
                      <w:bCs w:val="0"/>
                      <w:color w:val="1f1f1f"/>
                      <w:sz w:val="24"/>
                      <w:szCs w:val="24"/>
                      <w:lang w:val="en-US" w:eastAsia="en-US"/>
                    </w:rPr>
                  </w:pPr>
                  <w:r>
                    <w:rPr>
                      <w:rFonts w:ascii="Times New Roman" w:hAnsi="Times New Roman" w:eastAsia="Times New Roman" w:cs="Times New Roman"/>
                      <w:b w:val="0"/>
                      <w:bCs w:val="0"/>
                      <w:color w:val="1f1f1f"/>
                      <w:sz w:val="24"/>
                      <w:szCs w:val="24"/>
                      <w:lang w:val="en-US" w:eastAsia="en-US"/>
                    </w:rPr>
                  </w:r>
                  <w:r>
                    <w:rPr>
                      <w:rFonts w:ascii="Times New Roman" w:hAnsi="Times New Roman" w:eastAsia="Times New Roman" w:cs="Times New Roman"/>
                      <w:b w:val="0"/>
                      <w:bCs w:val="0"/>
                      <w:color w:val="1f1f1f"/>
                      <w:sz w:val="24"/>
                      <w:szCs w:val="24"/>
                      <w:lang w:val="en-US" w:eastAsia="en-US"/>
                    </w:rPr>
                  </w:r>
                  <w:r>
                    <w:rPr>
                      <w:rFonts w:ascii="Times New Roman" w:hAnsi="Times New Roman" w:eastAsia="Times New Roman" w:cs="Times New Roman"/>
                      <w:b w:val="0"/>
                      <w:bCs w:val="0"/>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00" w:type="dxa"/>
                  <w:vAlign w:val="center"/>
                </w:tcPr>
                <w:p w14:paraId="7F0A29BA">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SINAPI</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2344" w:type="dxa"/>
                  <w:vAlign w:val="center"/>
                </w:tcPr>
                <w:p w14:paraId="43EFB470">
                  <w:pPr>
                    <w:pBdr/>
                    <w:spacing w:line="240" w:lineRule="auto"/>
                    <w:ind/>
                    <w:rPr>
                      <w:rFonts w:hint="default" w:ascii="Times New Roman" w:hAnsi="Times New Roman" w:cs="Times New Roman"/>
                      <w:b w:val="0"/>
                      <w:bCs w:val="0"/>
                      <w:color w:val="000000"/>
                      <w:sz w:val="20"/>
                      <w:szCs w:val="20"/>
                    </w:rPr>
                  </w:pPr>
                  <w:r>
                    <w:rPr>
                      <w:rFonts w:hint="default" w:ascii="Times New Roman" w:hAnsi="Times New Roman" w:cs="Times New Roman"/>
                      <w:b w:val="0"/>
                      <w:bCs w:val="0"/>
                      <w:color w:val="000000"/>
                      <w:sz w:val="20"/>
                      <w:szCs w:val="20"/>
                    </w:rPr>
                    <w:t xml:space="preserve">REMOÇÃO DE ENTULHO CLASSE B (FRAGMENTOS DE MADEIRA) TRANSPORTADOS POR GRUA. ACONDICIONAMENTO FINAL CAÇAMBA ESTACIONÁRIA. EXCLUSO FRETE. AF_09/2025</w:t>
                  </w:r>
                  <w:r>
                    <w:rPr>
                      <w:rFonts w:hint="default" w:ascii="Times New Roman" w:hAnsi="Times New Roman" w:cs="Times New Roman"/>
                      <w:b w:val="0"/>
                      <w:bCs w:val="0"/>
                      <w:color w:val="000000"/>
                      <w:sz w:val="20"/>
                      <w:szCs w:val="20"/>
                    </w:rPr>
                  </w:r>
                  <w:r>
                    <w:rPr>
                      <w:rFonts w:hint="default" w:ascii="Times New Roman" w:hAnsi="Times New Roman" w:cs="Times New Roman"/>
                      <w:b w:val="0"/>
                      <w:bCs w:val="0"/>
                      <w:color w:val="000000"/>
                      <w:sz w:val="20"/>
                      <w:szCs w:val="20"/>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55" w:type="dxa"/>
                  <w:vAlign w:val="center"/>
                </w:tcPr>
                <w:p w14:paraId="5DEA0DDE">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M3</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10" w:type="dxa"/>
                  <w:vAlign w:val="center"/>
                </w:tcPr>
                <w:p w14:paraId="7722EE0A">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500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24" w:type="dxa"/>
                  <w:vAlign w:val="center"/>
                </w:tcPr>
                <w:p w14:paraId="1212E128">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50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1141" w:type="dxa"/>
                  <w:vAlign w:val="center"/>
                </w:tcPr>
                <w:p w14:paraId="7954882E">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500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690" w:type="dxa"/>
                  <w:vAlign w:val="center"/>
                </w:tcPr>
                <w:p w14:paraId="794F4CF9">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2.1</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50" w:type="dxa"/>
                  <w:vAlign w:val="center"/>
                </w:tcPr>
                <w:p w14:paraId="7248EE15">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SINOP 01</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00" w:type="dxa"/>
                  <w:vAlign w:val="center"/>
                </w:tcPr>
                <w:p w14:paraId="72E27EC2">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Próprio</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2344" w:type="dxa"/>
                  <w:vAlign w:val="center"/>
                </w:tcPr>
                <w:p w14:paraId="7625BE4D">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eastAsia="en-US"/>
                    </w:rPr>
                    <w:t xml:space="preserve">EXECUÇÃO DE PAVIMENTO EM PISO INTERTRAVADO, COM BLOCO RETANGULAR COR NATURAL DE 20 X 10 CM, ESPESSURA 6 CM. </w:t>
                  </w:r>
                  <w:r>
                    <w:rPr>
                      <w:rFonts w:ascii="Times New Roman" w:hAnsi="Times New Roman" w:eastAsia="Times New Roman" w:cs="Times New Roman"/>
                      <w:color w:val="1f1f1f"/>
                      <w:sz w:val="20"/>
                      <w:szCs w:val="20"/>
                      <w:lang w:val="en-US" w:eastAsia="en-US"/>
                    </w:rPr>
                    <w:t xml:space="preserve">(MÃO DE OBRA)</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55" w:type="dxa"/>
                  <w:vAlign w:val="center"/>
                </w:tcPr>
                <w:p w14:paraId="21028A7C">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m²</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10" w:type="dxa"/>
                  <w:vAlign w:val="center"/>
                </w:tcPr>
                <w:p w14:paraId="798769EC">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10.000,00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24" w:type="dxa"/>
                  <w:vAlign w:val="center"/>
                </w:tcPr>
                <w:p w14:paraId="5AF76963">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1.000,00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1141" w:type="dxa"/>
                  <w:vAlign w:val="center"/>
                </w:tcPr>
                <w:p w14:paraId="6092CF1C">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10.000,00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690" w:type="dxa"/>
                  <w:vAlign w:val="center"/>
                </w:tcPr>
                <w:p w14:paraId="1F0448EE">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2.2</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50" w:type="dxa"/>
                  <w:vAlign w:val="center"/>
                </w:tcPr>
                <w:p w14:paraId="026E844B">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SINOP 02</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00" w:type="dxa"/>
                  <w:vAlign w:val="center"/>
                </w:tcPr>
                <w:p w14:paraId="64D5DCB4">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Próprio</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2344" w:type="dxa"/>
                  <w:vAlign w:val="center"/>
                </w:tcPr>
                <w:p w14:paraId="7B80CCB7">
                  <w:pPr>
                    <w:pBdr/>
                    <w:spacing w:line="240" w:lineRule="auto"/>
                    <w:ind/>
                    <w:rPr>
                      <w:rFonts w:ascii="Times New Roman" w:hAnsi="Times New Roman" w:eastAsia="Times New Roman" w:cs="Times New Roman"/>
                      <w:color w:val="1f1f1f"/>
                      <w:sz w:val="20"/>
                      <w:szCs w:val="20"/>
                      <w:lang w:eastAsia="en-US"/>
                    </w:rPr>
                  </w:pPr>
                  <w:r>
                    <w:rPr>
                      <w:rFonts w:ascii="Times New Roman" w:hAnsi="Times New Roman" w:eastAsia="Times New Roman" w:cs="Times New Roman"/>
                      <w:color w:val="1f1f1f"/>
                      <w:sz w:val="20"/>
                      <w:szCs w:val="20"/>
                      <w:lang w:eastAsia="en-US"/>
                    </w:rPr>
                    <w:t xml:space="preserve">EXECUÇÃO DE PASSEIO (CALÇADA) OU PISO DE CONCRETO COM CONCRETO MOLDADO IN LOCO, USINADO, ACABAMENTO CONVENCIONAL, ESPESSURA 6 CM NÃO ARMADO ( MÃO DE OBRA )</w:t>
                  </w:r>
                  <w:r>
                    <w:rPr>
                      <w:rFonts w:ascii="Times New Roman" w:hAnsi="Times New Roman" w:eastAsia="Times New Roman" w:cs="Times New Roman"/>
                      <w:color w:val="1f1f1f"/>
                      <w:sz w:val="20"/>
                      <w:szCs w:val="20"/>
                      <w:lang w:eastAsia="en-US"/>
                    </w:rPr>
                  </w:r>
                  <w:r>
                    <w:rPr>
                      <w:rFonts w:ascii="Times New Roman" w:hAnsi="Times New Roman" w:eastAsia="Times New Roman" w:cs="Times New Roman"/>
                      <w:color w:val="1f1f1f"/>
                      <w:sz w:val="20"/>
                      <w:szCs w:val="20"/>
                      <w:lang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55" w:type="dxa"/>
                  <w:vAlign w:val="center"/>
                </w:tcPr>
                <w:p w14:paraId="173A8BD5">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m²</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10" w:type="dxa"/>
                  <w:vAlign w:val="center"/>
                </w:tcPr>
                <w:p w14:paraId="3C132DE4">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5.000,00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24" w:type="dxa"/>
                  <w:vAlign w:val="center"/>
                </w:tcPr>
                <w:p w14:paraId="46D4508E">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500,00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1141" w:type="dxa"/>
                  <w:vAlign w:val="center"/>
                </w:tcPr>
                <w:p w14:paraId="5A23316C">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5.000,00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690" w:type="dxa"/>
                  <w:vAlign w:val="center"/>
                </w:tcPr>
                <w:p w14:paraId="1846D475">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2.3</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50" w:type="dxa"/>
                  <w:vAlign w:val="center"/>
                </w:tcPr>
                <w:p w14:paraId="70515ABA">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SINOP 03</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00" w:type="dxa"/>
                  <w:vAlign w:val="center"/>
                </w:tcPr>
                <w:p w14:paraId="7C1283AF">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Próprio</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2344" w:type="dxa"/>
                  <w:vAlign w:val="center"/>
                </w:tcPr>
                <w:p w14:paraId="6D52C2FD">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eastAsia="en-US"/>
                    </w:rPr>
                    <w:t xml:space="preserve">PISO PODOTÁTIL DE ALERTA OU DIRECIONAL, DE CONCRETO, ASSENTADO SOBRE ARGAMASSA. </w:t>
                  </w:r>
                  <w:r>
                    <w:rPr>
                      <w:rFonts w:ascii="Times New Roman" w:hAnsi="Times New Roman" w:eastAsia="Times New Roman" w:cs="Times New Roman"/>
                      <w:color w:val="1f1f1f"/>
                      <w:sz w:val="20"/>
                      <w:szCs w:val="20"/>
                      <w:lang w:val="en-US" w:eastAsia="en-US"/>
                    </w:rPr>
                    <w:t xml:space="preserve">( MÃO DE OBRA)</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55" w:type="dxa"/>
                  <w:vAlign w:val="center"/>
                </w:tcPr>
                <w:p w14:paraId="1B0F4BD7">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m²</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10" w:type="dxa"/>
                  <w:vAlign w:val="center"/>
                </w:tcPr>
                <w:p w14:paraId="34DD282F">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1.500,00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24" w:type="dxa"/>
                  <w:vAlign w:val="center"/>
                </w:tcPr>
                <w:p w14:paraId="235B6BF1">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150,00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1141" w:type="dxa"/>
                  <w:vAlign w:val="center"/>
                </w:tcPr>
                <w:p w14:paraId="0548C05D">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1.500,00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690" w:type="dxa"/>
                  <w:vAlign w:val="center"/>
                </w:tcPr>
                <w:p w14:paraId="060B198A">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2.4</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50" w:type="dxa"/>
                  <w:vAlign w:val="center"/>
                </w:tcPr>
                <w:p w14:paraId="72DF6FF0">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SINOP 04</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00" w:type="dxa"/>
                  <w:vAlign w:val="center"/>
                </w:tcPr>
                <w:p w14:paraId="00D63BDC">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Próprio</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2344" w:type="dxa"/>
                  <w:vAlign w:val="center"/>
                </w:tcPr>
                <w:p w14:paraId="35C3092A">
                  <w:pPr>
                    <w:pBdr/>
                    <w:spacing w:line="240" w:lineRule="auto"/>
                    <w:ind/>
                    <w:rPr>
                      <w:rFonts w:ascii="Times New Roman" w:hAnsi="Times New Roman" w:eastAsia="Times New Roman" w:cs="Times New Roman"/>
                      <w:color w:val="1f1f1f"/>
                      <w:sz w:val="20"/>
                      <w:szCs w:val="20"/>
                      <w:lang w:eastAsia="en-US"/>
                    </w:rPr>
                  </w:pPr>
                  <w:r>
                    <w:rPr>
                      <w:rFonts w:ascii="Times New Roman" w:hAnsi="Times New Roman" w:eastAsia="Times New Roman" w:cs="Times New Roman"/>
                      <w:color w:val="1f1f1f"/>
                      <w:sz w:val="20"/>
                      <w:szCs w:val="20"/>
                      <w:lang w:eastAsia="en-US"/>
                    </w:rPr>
                    <w:t xml:space="preserve">CANALETA MEIA CANA D = 0,40 M ASSENTE SOBRE LASTRO DE AREIA</w:t>
                  </w:r>
                  <w:r>
                    <w:rPr>
                      <w:rFonts w:ascii="Times New Roman" w:hAnsi="Times New Roman" w:eastAsia="Times New Roman" w:cs="Times New Roman"/>
                      <w:color w:val="1f1f1f"/>
                      <w:sz w:val="20"/>
                      <w:szCs w:val="20"/>
                      <w:lang w:eastAsia="en-US"/>
                    </w:rPr>
                  </w:r>
                  <w:r>
                    <w:rPr>
                      <w:rFonts w:ascii="Times New Roman" w:hAnsi="Times New Roman" w:eastAsia="Times New Roman" w:cs="Times New Roman"/>
                      <w:color w:val="1f1f1f"/>
                      <w:sz w:val="20"/>
                      <w:szCs w:val="20"/>
                      <w:lang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55" w:type="dxa"/>
                  <w:vAlign w:val="center"/>
                </w:tcPr>
                <w:p w14:paraId="16436A7A">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M</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10" w:type="dxa"/>
                  <w:vAlign w:val="center"/>
                </w:tcPr>
                <w:p w14:paraId="33587D93">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3.000,00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24" w:type="dxa"/>
                  <w:vAlign w:val="center"/>
                </w:tcPr>
                <w:p w14:paraId="64D62D2B">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300,00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1141" w:type="dxa"/>
                  <w:vAlign w:val="center"/>
                </w:tcPr>
                <w:p w14:paraId="078FB061">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3.000,00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690" w:type="dxa"/>
                  <w:vAlign w:val="center"/>
                </w:tcPr>
                <w:p w14:paraId="51CD9023">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2.5</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50" w:type="dxa"/>
                  <w:vAlign w:val="center"/>
                </w:tcPr>
                <w:p w14:paraId="561F7225">
                  <w:pPr>
                    <w:pBdr/>
                    <w:spacing w:line="240" w:lineRule="auto"/>
                    <w:ind/>
                    <w:rPr>
                      <w:rFonts w:ascii="Times New Roman" w:hAnsi="Times New Roman" w:eastAsia="Times New Roman" w:cs="Times New Roman"/>
                      <w:color w:val="1f1f1f"/>
                      <w:sz w:val="24"/>
                      <w:szCs w:val="24"/>
                      <w:lang w:val="en-US" w:eastAsia="en-US"/>
                    </w:rPr>
                  </w:pPr>
                  <w:r>
                    <w:rPr>
                      <w:rFonts w:ascii="Times New Roman" w:hAnsi="Times New Roman" w:eastAsia="Times New Roman" w:cs="Times New Roman"/>
                      <w:color w:val="1f1f1f"/>
                      <w:sz w:val="24"/>
                      <w:szCs w:val="24"/>
                      <w:lang w:val="en-US" w:eastAsia="en-US"/>
                    </w:rPr>
                    <w:t xml:space="preserve">SINOP 06</w:t>
                  </w:r>
                  <w:r>
                    <w:rPr>
                      <w:rFonts w:ascii="Times New Roman" w:hAnsi="Times New Roman" w:eastAsia="Times New Roman" w:cs="Times New Roman"/>
                      <w:color w:val="1f1f1f"/>
                      <w:sz w:val="24"/>
                      <w:szCs w:val="24"/>
                      <w:lang w:val="en-US" w:eastAsia="en-US"/>
                    </w:rPr>
                  </w:r>
                  <w:r>
                    <w:rPr>
                      <w:rFonts w:ascii="Times New Roman" w:hAnsi="Times New Roman" w:eastAsia="Times New Roman" w:cs="Times New Roman"/>
                      <w:color w:val="1f1f1f"/>
                      <w:sz w:val="24"/>
                      <w:szCs w:val="24"/>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00" w:type="dxa"/>
                  <w:vAlign w:val="center"/>
                </w:tcPr>
                <w:p w14:paraId="0F6AD0B5">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Próprio</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2344" w:type="dxa"/>
                  <w:vAlign w:val="center"/>
                </w:tcPr>
                <w:p w14:paraId="0FD56C60">
                  <w:pPr>
                    <w:pBdr/>
                    <w:spacing w:line="240" w:lineRule="auto"/>
                    <w:ind/>
                    <w:rPr>
                      <w:rFonts w:ascii="Times New Roman" w:hAnsi="Times New Roman" w:eastAsia="Times New Roman" w:cs="Times New Roman"/>
                      <w:color w:val="1f1f1f"/>
                      <w:sz w:val="20"/>
                      <w:szCs w:val="20"/>
                      <w:lang w:eastAsia="en-US"/>
                    </w:rPr>
                  </w:pPr>
                  <w:r>
                    <w:rPr>
                      <w:rFonts w:ascii="Times New Roman" w:hAnsi="Times New Roman" w:eastAsia="Times New Roman" w:cs="Times New Roman"/>
                      <w:color w:val="1f1f1f"/>
                      <w:sz w:val="20"/>
                      <w:szCs w:val="20"/>
                      <w:lang w:eastAsia="en-US"/>
                    </w:rPr>
                    <w:t xml:space="preserve">MEIO-FIO DE CONCRETO - MFC 03 - AREIA E BRITA COMERCIAIS - FÔRMA DE MADEIRA</w:t>
                  </w:r>
                  <w:r>
                    <w:rPr>
                      <w:rFonts w:ascii="Times New Roman" w:hAnsi="Times New Roman" w:eastAsia="Times New Roman" w:cs="Times New Roman"/>
                      <w:color w:val="1f1f1f"/>
                      <w:sz w:val="20"/>
                      <w:szCs w:val="20"/>
                      <w:lang w:eastAsia="en-US"/>
                    </w:rPr>
                  </w:r>
                  <w:r>
                    <w:rPr>
                      <w:rFonts w:ascii="Times New Roman" w:hAnsi="Times New Roman" w:eastAsia="Times New Roman" w:cs="Times New Roman"/>
                      <w:color w:val="1f1f1f"/>
                      <w:sz w:val="20"/>
                      <w:szCs w:val="20"/>
                      <w:lang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955" w:type="dxa"/>
                  <w:vAlign w:val="center"/>
                </w:tcPr>
                <w:p w14:paraId="09AB5055">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M</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10" w:type="dxa"/>
                  <w:vAlign w:val="center"/>
                </w:tcPr>
                <w:p w14:paraId="0C357BDD">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3.000,00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180" w:type="dxa"/>
                    <w:bottom w:w="240" w:type="dxa"/>
                  </w:tcMar>
                  <w:tcW w:w="1024" w:type="dxa"/>
                  <w:vAlign w:val="center"/>
                </w:tcPr>
                <w:p w14:paraId="7ADD7C7D">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300,00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1141" w:type="dxa"/>
                  <w:vAlign w:val="center"/>
                </w:tcPr>
                <w:p w14:paraId="1DFDB1E3">
                  <w:pPr>
                    <w:pBdr/>
                    <w:spacing w:line="240" w:lineRule="auto"/>
                    <w:ind/>
                    <w:rPr>
                      <w:rFonts w:ascii="Times New Roman" w:hAnsi="Times New Roman" w:eastAsia="Times New Roman" w:cs="Times New Roman"/>
                      <w:color w:val="1f1f1f"/>
                      <w:sz w:val="20"/>
                      <w:szCs w:val="20"/>
                      <w:lang w:val="en-US" w:eastAsia="en-US"/>
                    </w:rPr>
                  </w:pPr>
                  <w:r>
                    <w:rPr>
                      <w:rFonts w:ascii="Times New Roman" w:hAnsi="Times New Roman" w:eastAsia="Times New Roman" w:cs="Times New Roman"/>
                      <w:color w:val="1f1f1f"/>
                      <w:sz w:val="20"/>
                      <w:szCs w:val="20"/>
                      <w:lang w:val="en-US" w:eastAsia="en-US"/>
                    </w:rPr>
                    <w:t xml:space="preserve">3.000,00</w:t>
                  </w:r>
                  <w:r>
                    <w:rPr>
                      <w:rFonts w:ascii="Times New Roman" w:hAnsi="Times New Roman" w:eastAsia="Times New Roman" w:cs="Times New Roman"/>
                      <w:color w:val="1f1f1f"/>
                      <w:sz w:val="20"/>
                      <w:szCs w:val="20"/>
                      <w:lang w:val="en-US" w:eastAsia="en-US"/>
                    </w:rPr>
                  </w:r>
                  <w:r>
                    <w:rPr>
                      <w:rFonts w:ascii="Times New Roman" w:hAnsi="Times New Roman" w:eastAsia="Times New Roman" w:cs="Times New Roman"/>
                      <w:color w:val="1f1f1f"/>
                      <w:sz w:val="20"/>
                      <w:szCs w:val="20"/>
                      <w:lang w:val="en-US" w:eastAsia="en-US"/>
                    </w:rPr>
                  </w:r>
                </w:p>
              </w:tc>
            </w:tr>
          </w:tbl>
          <w:p w14:paraId="444F58C1">
            <w:pPr>
              <w:pBdr/>
              <w:spacing w:line="360" w:lineRule="auto"/>
              <w:ind/>
              <w:rPr>
                <w:rFonts w:ascii="Times New Roman" w:hAnsi="Times New Roman" w:cs="Times New Roman"/>
                <w:b/>
                <w:bCs/>
                <w:sz w:val="24"/>
                <w:szCs w:val="24"/>
              </w:rPr>
            </w:pPr>
            <w:r>
              <w:rPr>
                <w:rFonts w:ascii="Times New Roman" w:hAnsi="Times New Roman" w:cs="Times New Roman"/>
                <w:b/>
                <w:bCs/>
                <w:sz w:val="24"/>
                <w:szCs w:val="24"/>
              </w:rPr>
            </w:r>
            <w:r>
              <w:rPr>
                <w:rFonts w:ascii="Times New Roman" w:hAnsi="Times New Roman" w:cs="Times New Roman"/>
                <w:b/>
                <w:bCs/>
                <w:sz w:val="24"/>
                <w:szCs w:val="24"/>
              </w:rPr>
            </w:r>
            <w:r>
              <w:rPr>
                <w:rFonts w:ascii="Times New Roman" w:hAnsi="Times New Roman" w:cs="Times New Roman"/>
                <w:b/>
                <w:bCs/>
                <w:sz w:val="24"/>
                <w:szCs w:val="24"/>
              </w:rPr>
            </w:r>
          </w:p>
        </w:tc>
      </w:tr>
    </w:tbl>
    <w:p w14:paraId="0C6419DB">
      <w:pPr>
        <w:pBdr/>
        <w:spacing w:line="360" w:lineRule="auto"/>
        <w:ind/>
        <w:rPr>
          <w:rFonts w:ascii="Times New Roman" w:hAnsi="Times New Roman" w:cs="Times New Roman"/>
          <w:bCs/>
          <w:sz w:val="24"/>
          <w:szCs w:val="24"/>
        </w:rPr>
      </w:pPr>
      <w:r>
        <w:rPr>
          <w:rFonts w:ascii="Times New Roman" w:hAnsi="Times New Roman" w:cs="Times New Roman"/>
          <w:bCs/>
          <w:sz w:val="24"/>
          <w:szCs w:val="24"/>
        </w:rPr>
      </w:r>
      <w:r>
        <w:rPr>
          <w:rFonts w:ascii="Times New Roman" w:hAnsi="Times New Roman" w:cs="Times New Roman"/>
          <w:bCs/>
          <w:sz w:val="24"/>
          <w:szCs w:val="24"/>
        </w:rPr>
      </w:r>
      <w:r>
        <w:rPr>
          <w:rFonts w:ascii="Times New Roman" w:hAnsi="Times New Roman" w:cs="Times New Roman"/>
          <w:bCs/>
          <w:sz w:val="24"/>
          <w:szCs w:val="24"/>
        </w:rPr>
      </w:r>
    </w:p>
    <w:tbl>
      <w:tblPr>
        <w:tblStyle w:val="1103"/>
        <w:tblInd w:w="0" w:type="dxa"/>
        <w:tblW w:w="9060"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9060"/>
      </w:tblGrid>
      <w:tr>
        <w:trPr>
          <w:trHeight w:val="375"/>
        </w:trPr>
        <w:tc>
          <w:tcPr>
            <w:shd w:val="clear" w:color="auto" w:fill="d7d7d7" w:themeFill="background1" w:themeFillShade="D8"/>
            <w:tcBorders/>
            <w:tcW w:w="9060" w:type="dxa"/>
            <w:vAlign w:val="center"/>
          </w:tcPr>
          <w:p w14:paraId="7740ACB0">
            <w:pPr>
              <w:numPr>
                <w:ilvl w:val="0"/>
                <w:numId w:val="3"/>
              </w:numPr>
              <w:pBdr/>
              <w:spacing w:line="360" w:lineRule="auto"/>
              <w:ind w:hanging="454" w:left="454"/>
              <w:jc w:val="center"/>
              <w:rPr>
                <w:rFonts w:ascii="Times New Roman" w:hAnsi="Times New Roman" w:cs="Times New Roman"/>
                <w:b/>
                <w:sz w:val="24"/>
                <w:szCs w:val="24"/>
              </w:rPr>
            </w:pPr>
            <w:r>
              <w:rPr>
                <w:rFonts w:ascii="Times New Roman" w:hAnsi="Times New Roman" w:cs="Times New Roman"/>
                <w:b/>
                <w:sz w:val="24"/>
                <w:szCs w:val="24"/>
              </w:rPr>
              <w:t xml:space="preserve">JUSTIFICATIVA/NECESSIDADE</w:t>
            </w:r>
            <w:r>
              <w:rPr>
                <w:rFonts w:ascii="Times New Roman" w:hAnsi="Times New Roman" w:cs="Times New Roman"/>
                <w:b/>
                <w:spacing w:val="-1"/>
                <w:sz w:val="24"/>
                <w:szCs w:val="24"/>
              </w:rPr>
              <w:t xml:space="preserve"> </w:t>
            </w:r>
            <w:r>
              <w:rPr>
                <w:rFonts w:ascii="Times New Roman" w:hAnsi="Times New Roman" w:cs="Times New Roman"/>
                <w:b/>
                <w:sz w:val="24"/>
                <w:szCs w:val="24"/>
              </w:rPr>
              <w:t xml:space="preserve">DA</w:t>
            </w:r>
            <w:r>
              <w:rPr>
                <w:rFonts w:ascii="Times New Roman" w:hAnsi="Times New Roman" w:cs="Times New Roman"/>
                <w:b/>
                <w:spacing w:val="-1"/>
                <w:sz w:val="24"/>
                <w:szCs w:val="24"/>
              </w:rPr>
              <w:t xml:space="preserve"> </w:t>
            </w:r>
            <w:r>
              <w:rPr>
                <w:rFonts w:ascii="Times New Roman" w:hAnsi="Times New Roman" w:cs="Times New Roman"/>
                <w:b/>
                <w:spacing w:val="-2"/>
                <w:sz w:val="24"/>
                <w:szCs w:val="24"/>
              </w:rPr>
              <w:t xml:space="preserve">CONTRATAÇÃO</w:t>
            </w:r>
            <w:r>
              <w:rPr>
                <w:rFonts w:ascii="Times New Roman" w:hAnsi="Times New Roman" w:cs="Times New Roman"/>
                <w:b/>
                <w:sz w:val="24"/>
                <w:szCs w:val="24"/>
              </w:rPr>
            </w:r>
            <w:r>
              <w:rPr>
                <w:rFonts w:ascii="Times New Roman" w:hAnsi="Times New Roman" w:cs="Times New Roman"/>
                <w:b/>
                <w:sz w:val="24"/>
                <w:szCs w:val="24"/>
              </w:rPr>
            </w:r>
          </w:p>
        </w:tc>
      </w:tr>
    </w:tbl>
    <w:p w14:paraId="057A21CB">
      <w:pPr>
        <w:pBdr/>
        <w:shd w:val="clear" w:color="auto" w:fill="ffffff" w:themeFill="background1"/>
        <w:spacing w:after="300" w:line="360" w:lineRule="auto"/>
        <w:ind/>
        <w:contextualSpacing w:val="true"/>
        <w:jc w:val="both"/>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pPr>
      <w:r>
        <w:rPr>
          <w:rFonts w:ascii="Times New Roman" w:hAnsi="Times New Roman" w:eastAsia="Times New Roman" w:cs="Times New Roman"/>
          <w:b/>
          <w:bCs/>
          <w:color w:val="0d0d0d" w:themeColor="text1" w:themeTint="F2"/>
          <w:sz w:val="24"/>
          <w:szCs w:val="24"/>
          <w14:textFill>
            <w14:solidFill>
              <w14:schemeClr w14:val="tx1">
                <w14:lumMod w14:val="95000"/>
                <w14:lumOff w14:val="5000"/>
              </w14:schemeClr>
            </w14:solidFill>
          </w14:textFill>
        </w:rPr>
        <w:t xml:space="preserve">3.1</w:t>
      </w: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t xml:space="preserve"> </w:t>
      </w:r>
      <w:r>
        <w:rPr>
          <w:rFonts w:ascii="Times New Roman" w:hAnsi="Times New Roman" w:eastAsia="Times New Roman" w:cs="Times New Roman"/>
          <w:b/>
          <w:bCs/>
          <w:color w:val="0d0d0d" w:themeColor="text1" w:themeTint="F2"/>
          <w:sz w:val="24"/>
          <w:szCs w:val="24"/>
          <w14:textFill>
            <w14:solidFill>
              <w14:schemeClr w14:val="tx1">
                <w14:lumMod w14:val="95000"/>
                <w14:lumOff w14:val="5000"/>
              </w14:schemeClr>
            </w14:solidFill>
          </w14:textFill>
        </w:rPr>
        <w:t xml:space="preserve">Justificativa:</w:t>
      </w: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r>
    </w:p>
    <w:p w14:paraId="396F2823">
      <w:pPr>
        <w:pBdr/>
        <w:shd w:val="clear" w:color="auto" w:fill="ffffff" w:themeFill="background1"/>
        <w:spacing w:before="300" w:line="360" w:lineRule="auto"/>
        <w:ind w:firstLine="707"/>
        <w:contextualSpacing w:val="true"/>
        <w:jc w:val="both"/>
        <w:rPr>
          <w:b/>
          <w:sz w:val="24"/>
          <w:szCs w:val="24"/>
        </w:rPr>
      </w:pP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t xml:space="preserve"> </w:t>
      </w:r>
      <w:r>
        <w:rPr>
          <w:rFonts w:ascii="Times New Roman" w:hAnsi="Times New Roman" w:eastAsia="Times New Roman" w:cs="Times New Roman"/>
          <w:color w:val="0d0d0d" w:themeColor="text1" w:themeTint="F2"/>
          <w:sz w:val="24"/>
          <w14:textFill>
            <w14:solidFill>
              <w14:schemeClr w14:val="tx1">
                <w14:lumMod w14:val="95000"/>
                <w14:lumOff w14:val="5000"/>
              </w14:schemeClr>
            </w14:solidFill>
          </w14:textFill>
        </w:rPr>
        <w:t xml:space="preserve">A </w:t>
      </w:r>
      <w:r>
        <w:rPr>
          <w:rFonts w:ascii="Times New Roman" w:hAnsi="Times New Roman" w:eastAsia="Times New Roman" w:cs="Times New Roman"/>
          <w:color w:val="0d0d0d" w:themeColor="text1" w:themeTint="F2"/>
          <w:sz w:val="24"/>
          <w14:textFill>
            <w14:solidFill>
              <w14:schemeClr w14:val="tx1">
                <w14:lumMod w14:val="95000"/>
                <w14:lumOff w14:val="5000"/>
              </w14:schemeClr>
            </w14:solidFill>
          </w14:textFill>
        </w:rPr>
        <w:t xml:space="preserve">presente contratação tem por finalidade a execução de serviços de engenharia voltados às adequações e obras viária, bem como às obras de urbanização, em atendimento às demandas da Secretaria Municipal de Obras e Serviços Urbanos do Município de Sinop – MT.</w:t>
      </w:r>
      <w:r>
        <w:rPr>
          <w:b/>
          <w:sz w:val="24"/>
          <w:szCs w:val="24"/>
        </w:rPr>
      </w:r>
      <w:r>
        <w:rPr>
          <w:b/>
          <w:sz w:val="24"/>
          <w:szCs w:val="24"/>
        </w:rPr>
      </w:r>
    </w:p>
    <w:p w14:paraId="786393D0">
      <w:pPr>
        <w:pBdr/>
        <w:shd w:val="clear" w:color="auto" w:fill="ffffff" w:themeFill="background1"/>
        <w:spacing w:before="300" w:line="360" w:lineRule="auto"/>
        <w:ind w:firstLine="707"/>
        <w:contextualSpacing w:val="true"/>
        <w:jc w:val="both"/>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pP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t xml:space="preserve">A execução deste objeto é indispensável para a conservação, requa</w:t>
      </w: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t xml:space="preserve">lificação e ampliação da infraestrutura urbana e rural do município, considerando o crescimento contínuo das áreas urbanizadas e a necessidade de intervenções permanentes para garantir condições adequadas de mobilidade, acessibilidade e segurança nas vias </w:t>
      </w: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t xml:space="preserve">e espaços públicos. As obras de urbanização previstas também têm papel essencial na organização do espaço urbano, contribuindo para o ordenamento territorial, valorização da infraestrutura existente e promoção de um ambiente urbano funcional e sustentável.</w:t>
      </w: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r>
    </w:p>
    <w:p w14:paraId="1F2A8F3F">
      <w:pPr>
        <w:pBdr/>
        <w:shd w:val="clear" w:color="auto" w:fill="ffffff" w:themeFill="background1"/>
        <w:spacing w:before="300" w:line="360" w:lineRule="auto"/>
        <w:ind w:firstLine="707"/>
        <w:contextualSpacing w:val="true"/>
        <w:jc w:val="both"/>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pP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t xml:space="preserve">A contratação de empresa especializada justifica-se pela complexidade técnica e operacional dos serviços a serem executados, os quais demandam mão de obra qualificada, utilização de equipamentos específicos, controle tecnológico rig</w:t>
      </w: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t xml:space="preserve">oroso e observância às normas técnicas vigentes da ABNT e demais órgãos competentes. Diante dessas exigências, torna-se inviável a execução direta com recursos próprios da Secretaria, tanto em termos de estrutura operacional quanto de capacidade produtiva.</w:t>
      </w: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r>
    </w:p>
    <w:p w14:paraId="3EC620F4">
      <w:pPr>
        <w:pBdr/>
        <w:shd w:val="clear" w:color="auto" w:fill="ffffff" w:themeFill="background1"/>
        <w:spacing w:before="300" w:line="360" w:lineRule="auto"/>
        <w:ind/>
        <w:contextualSpacing w:val="true"/>
        <w:jc w:val="both"/>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pP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t xml:space="preserve">Importa destacar que nã</w:t>
      </w: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t xml:space="preserve">o é tecnicamente possível o fracionamento do objeto contratual, uma vez que as atividades são interdependentes e devem ser executadas de forma contínua, padronizada e coordenada dentro de um mesmo canteiro de obras. A divisão do escopo entre duas ou mais e</w:t>
      </w: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t xml:space="preserve">mpresas poderia comprometer a uniformidade técnica, gerar conflitos de responsabilidade, sobreposição de tarefas e riscos de incompatibilidade entre métodos construtivos, resultando em prejuízos à qualidade, à segurança e à economicidade do empreendimento.</w:t>
      </w: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r>
    </w:p>
    <w:p w14:paraId="51EB0BE7">
      <w:pPr>
        <w:pBdr/>
        <w:shd w:val="clear" w:color="auto" w:fill="ffffff" w:themeFill="background1"/>
        <w:spacing w:before="300" w:line="360" w:lineRule="auto"/>
        <w:ind w:firstLine="707"/>
        <w:contextualSpacing w:val="true"/>
        <w:jc w:val="both"/>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pP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t xml:space="preserve">Por esse motivo, não se aplica a reserva de cota para Microempresas (ME) e Empresas de Pequeno Porte (EPP) neste certame, conforme previsto no art. 48, inciso II</w:t>
      </w: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t xml:space="preserve">I, da Lei Complementar nº 123/2006, uma vez que o objeto, pela sua natureza e indivisibilidade técnica, não comporta execução simultânea por mais de um contratado, exigindo gestão unificada, controle de qualidade integrado e responsabilidade técnica única.</w:t>
      </w: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r>
    </w:p>
    <w:p w14:paraId="41347FE6">
      <w:pPr>
        <w:pBdr/>
        <w:shd w:val="clear" w:color="auto" w:fill="ffffff" w:themeFill="background1"/>
        <w:spacing w:before="300" w:line="360" w:lineRule="auto"/>
        <w:ind w:firstLine="707"/>
        <w:contextualSpacing w:val="true"/>
        <w:jc w:val="both"/>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pP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t xml:space="preserve">A adoção do regime de contratação integral e especializada garante maior eficiência operacional, qualidade técnica dos serviços e otimização dos custos, além de reduzir riscos de retrabalho, paralisaçõe</w:t>
      </w: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t xml:space="preserve">s e inconformidades construtivas. Tal medida está em conformidade com os princípios da economicidade, eficiência, planejamento e continuidade do serviço público, conforme estabelece a Lei nº 14.133/2021 – Nova Lei de Licitações e Contratos Administrativos.</w:t>
      </w: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r>
    </w:p>
    <w:p w14:paraId="161B7260">
      <w:pPr>
        <w:pBdr/>
        <w:shd w:val="clear" w:color="auto" w:fill="ffffff" w:themeFill="background1"/>
        <w:spacing w:before="300" w:line="360" w:lineRule="auto"/>
        <w:ind w:firstLine="707"/>
        <w:contextualSpacing w:val="true"/>
        <w:jc w:val="both"/>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pP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t xml:space="preserve">Por fim, a execução do presente objeto proporcionará benefícios </w:t>
      </w: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t xml:space="preserve">diretos à população, por meio da melhoria da infraestrutura urbana, fortalecimento da urbanização planejada, valorização dos espaços públicos e promoção de condições adequadas para o desenvolvimento social, econômico e ambiental do Município de Sinop – MT.</w:t>
      </w: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r>
    </w:p>
    <w:p w14:paraId="35FF7BDB">
      <w:pPr>
        <w:pBdr/>
        <w:shd w:val="clear" w:color="auto" w:fill="ffffff" w:themeFill="background1"/>
        <w:spacing w:before="300" w:line="360" w:lineRule="auto"/>
        <w:ind w:firstLine="707"/>
        <w:contextualSpacing w:val="true"/>
        <w:jc w:val="both"/>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pP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r>
      <w:r>
        <w:rPr>
          <w:rFonts w:ascii="Times New Roman" w:hAnsi="Times New Roman" w:eastAsia="Times New Roman" w:cs="Times New Roman"/>
          <w:color w:val="0d0d0d" w:themeColor="text1" w:themeTint="F2"/>
          <w:sz w:val="24"/>
          <w:szCs w:val="24"/>
          <w14:textFill>
            <w14:solidFill>
              <w14:schemeClr w14:val="tx1">
                <w14:lumMod w14:val="95000"/>
                <w14:lumOff w14:val="5000"/>
              </w14:schemeClr>
            </w14:solidFill>
          </w14:textFill>
        </w:rPr>
      </w:r>
    </w:p>
    <w:p w14:paraId="253F5621">
      <w:pPr>
        <w:pBdr/>
        <w:shd w:val="clear" w:color="auto" w:fill="ffffff" w:themeFill="background1"/>
        <w:spacing w:before="300" w:line="360" w:lineRule="auto"/>
        <w:ind/>
        <w:contextualSpacing w:val="true"/>
        <w:jc w:val="both"/>
        <w:rPr>
          <w:rFonts w:ascii="Times New Roman" w:hAnsi="Times New Roman" w:eastAsia="SimSun" w:cs="Times New Roman"/>
          <w:b/>
          <w:bCs/>
          <w:sz w:val="24"/>
          <w:szCs w:val="24"/>
        </w:rPr>
      </w:pPr>
      <w:r>
        <w:rPr>
          <w:rFonts w:ascii="Times New Roman" w:hAnsi="Times New Roman" w:eastAsia="SimSun" w:cs="Times New Roman"/>
          <w:b/>
          <w:bCs/>
          <w:sz w:val="24"/>
          <w:szCs w:val="24"/>
        </w:rPr>
        <w:t xml:space="preserve">Matriz de Risco:</w:t>
      </w:r>
      <w:r>
        <w:rPr>
          <w:rFonts w:ascii="Times New Roman" w:hAnsi="Times New Roman" w:eastAsia="SimSun" w:cs="Times New Roman"/>
          <w:b/>
          <w:bCs/>
          <w:sz w:val="24"/>
          <w:szCs w:val="24"/>
        </w:rPr>
      </w:r>
      <w:r>
        <w:rPr>
          <w:rFonts w:ascii="Times New Roman" w:hAnsi="Times New Roman" w:eastAsia="SimSun" w:cs="Times New Roman"/>
          <w:b/>
          <w:bCs/>
          <w:sz w:val="24"/>
          <w:szCs w:val="24"/>
        </w:rPr>
      </w:r>
    </w:p>
    <w:p w14:paraId="09D7F41A">
      <w:pPr>
        <w:numPr>
          <w:ilvl w:val="0"/>
          <w:numId w:val="4"/>
        </w:numPr>
        <w:pBdr/>
        <w:tabs>
          <w:tab w:val="left" w:leader="none" w:pos="0"/>
          <w:tab w:val="clear" w:leader="none" w:pos="454"/>
        </w:tabs>
        <w:spacing w:line="360" w:lineRule="auto"/>
        <w:ind w:firstLine="0" w:left="0"/>
        <w:jc w:val="both"/>
        <w:rPr>
          <w:rFonts w:ascii="Times New Roman" w:hAnsi="Times New Roman" w:cs="Times New Roman"/>
          <w:sz w:val="24"/>
          <w:szCs w:val="24"/>
        </w:rPr>
      </w:pPr>
      <w:r>
        <w:rPr>
          <w:rFonts w:ascii="Times New Roman" w:hAnsi="Times New Roman" w:cs="Times New Roman"/>
          <w:sz w:val="24"/>
          <w:szCs w:val="24"/>
        </w:rPr>
        <w:t xml:space="preserve">A matriz de risco para está processo licitatório não foi adotada, disposto expressamente no inciso XXVII do art. 6° da </w:t>
      </w:r>
      <w:r>
        <w:rPr>
          <w:rFonts w:ascii="Times New Roman" w:hAnsi="Times New Roman" w:cs="Times New Roman"/>
          <w:b/>
          <w:bCs/>
          <w:sz w:val="24"/>
          <w:szCs w:val="24"/>
        </w:rPr>
        <w:t xml:space="preserve">Lei 14.133/2021</w:t>
      </w:r>
      <w:r>
        <w:rPr>
          <w:rFonts w:ascii="Times New Roman" w:hAnsi="Times New Roman" w:cs="Times New Roman"/>
          <w:sz w:val="24"/>
          <w:szCs w:val="24"/>
        </w:rPr>
        <w:t xml:space="preserve"> como cláusula necessária dos contratos administrativos, quando couber de acordo com o art. 92, inciso IX. Em regra, a adoção de matriz de risco é facultativa, levando em consideração que em determ</w:t>
      </w:r>
      <w:r>
        <w:rPr>
          <w:rFonts w:ascii="Times New Roman" w:hAnsi="Times New Roman" w:cs="Times New Roman"/>
          <w:sz w:val="24"/>
          <w:szCs w:val="24"/>
        </w:rPr>
        <w:t xml:space="preserve">inadas contratações, notadamente comuns e simples, não seria adequada, sendo assim obrigatória em obras, serviços e fornecimentos de grande vulto, sendo aquelas cujo seu valor estimado seja superior a R$ 200.000.000,00 (duzentos milhões de reais), vejamos:</w:t>
      </w:r>
      <w:r>
        <w:rPr>
          <w:rFonts w:ascii="Times New Roman" w:hAnsi="Times New Roman" w:cs="Times New Roman"/>
          <w:sz w:val="24"/>
          <w:szCs w:val="24"/>
        </w:rPr>
      </w:r>
      <w:r>
        <w:rPr>
          <w:rFonts w:ascii="Times New Roman" w:hAnsi="Times New Roman" w:cs="Times New Roman"/>
          <w:sz w:val="24"/>
          <w:szCs w:val="24"/>
        </w:rPr>
      </w:r>
    </w:p>
    <w:p w14:paraId="3CBC4131">
      <w:pPr>
        <w:pBdr/>
        <w:spacing w:line="360" w:lineRule="auto"/>
        <w:ind/>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14:paraId="1D1DD409">
      <w:pPr>
        <w:pBdr/>
        <w:spacing w:line="360" w:lineRule="auto"/>
        <w:ind w:left="2400"/>
        <w:jc w:val="both"/>
        <w:rPr>
          <w:rFonts w:ascii="Times New Roman" w:hAnsi="Times New Roman" w:cs="Times New Roman"/>
          <w:i/>
          <w:iCs/>
          <w:sz w:val="24"/>
          <w:szCs w:val="24"/>
        </w:rPr>
      </w:pPr>
      <w:r>
        <w:rPr>
          <w:rFonts w:ascii="Times New Roman" w:hAnsi="Times New Roman" w:cs="Times New Roman"/>
          <w:sz w:val="24"/>
          <w:szCs w:val="24"/>
        </w:rPr>
        <w:t xml:space="preserve"> </w:t>
      </w:r>
      <w:r>
        <w:rPr>
          <w:rFonts w:ascii="Times New Roman" w:hAnsi="Times New Roman" w:cs="Times New Roman"/>
          <w:b/>
          <w:bCs/>
          <w:i/>
          <w:iCs/>
          <w:sz w:val="24"/>
          <w:szCs w:val="24"/>
        </w:rPr>
        <w:t xml:space="preserve">Art. 22, § 3° Quando</w:t>
      </w:r>
      <w:r>
        <w:rPr>
          <w:rFonts w:ascii="Times New Roman" w:hAnsi="Times New Roman" w:cs="Times New Roman"/>
          <w:i/>
          <w:iCs/>
          <w:sz w:val="24"/>
          <w:szCs w:val="24"/>
        </w:rPr>
        <w:t xml:space="preserve"> a contração se referir a obras e serviços de grande vulto ou forem adotados os regimes de contratação integrada e semi-integrada, o edital obrigatoriamente contemplará matriz de alocação de riscos entre o contratante e o contratado.</w:t>
      </w:r>
      <w:r>
        <w:rPr>
          <w:rFonts w:ascii="Times New Roman" w:hAnsi="Times New Roman" w:cs="Times New Roman"/>
          <w:i/>
          <w:iCs/>
          <w:sz w:val="24"/>
          <w:szCs w:val="24"/>
        </w:rPr>
      </w:r>
      <w:r>
        <w:rPr>
          <w:rFonts w:ascii="Times New Roman" w:hAnsi="Times New Roman" w:cs="Times New Roman"/>
          <w:i/>
          <w:iCs/>
          <w:sz w:val="24"/>
          <w:szCs w:val="24"/>
        </w:rPr>
      </w:r>
    </w:p>
    <w:p w14:paraId="1C5C31F1">
      <w:pPr>
        <w:pBdr/>
        <w:spacing w:line="360" w:lineRule="auto"/>
        <w:ind w:left="2400"/>
        <w:jc w:val="both"/>
        <w:rPr>
          <w:rFonts w:ascii="Times New Roman" w:hAnsi="Times New Roman" w:cs="Times New Roman"/>
          <w:i/>
          <w:iCs/>
          <w:sz w:val="24"/>
          <w:szCs w:val="24"/>
        </w:rPr>
      </w:pPr>
      <w:r>
        <w:rPr>
          <w:rFonts w:ascii="Times New Roman" w:hAnsi="Times New Roman" w:cs="Times New Roman"/>
          <w:i/>
          <w:iCs/>
          <w:sz w:val="24"/>
          <w:szCs w:val="24"/>
        </w:rPr>
      </w:r>
      <w:r>
        <w:rPr>
          <w:rFonts w:ascii="Times New Roman" w:hAnsi="Times New Roman" w:cs="Times New Roman"/>
          <w:i/>
          <w:iCs/>
          <w:sz w:val="24"/>
          <w:szCs w:val="24"/>
        </w:rPr>
      </w:r>
      <w:r>
        <w:rPr>
          <w:rFonts w:ascii="Times New Roman" w:hAnsi="Times New Roman" w:cs="Times New Roman"/>
          <w:i/>
          <w:iCs/>
          <w:sz w:val="24"/>
          <w:szCs w:val="24"/>
        </w:rPr>
      </w:r>
    </w:p>
    <w:p w14:paraId="7CCFD369">
      <w:pPr>
        <w:pBdr/>
        <w:spacing w:line="360" w:lineRule="auto"/>
        <w:ind w:left="2400"/>
        <w:jc w:val="both"/>
        <w:rPr>
          <w:rFonts w:ascii="Times New Roman" w:hAnsi="Times New Roman" w:eastAsia="SimSun" w:cs="Times New Roman"/>
          <w:i/>
          <w:iCs/>
          <w:color w:val="000000"/>
          <w:sz w:val="24"/>
          <w:szCs w:val="24"/>
        </w:rPr>
      </w:pPr>
      <w:r>
        <w:rPr>
          <w:rFonts w:ascii="Times New Roman" w:hAnsi="Times New Roman" w:eastAsia="SimSun" w:cs="Times New Roman"/>
          <w:b/>
          <w:bCs/>
          <w:i/>
          <w:iCs/>
          <w:color w:val="000000"/>
          <w:sz w:val="24"/>
          <w:szCs w:val="24"/>
        </w:rPr>
        <w:t xml:space="preserve">Art. 6°, Inciso XXII</w:t>
      </w:r>
      <w:r>
        <w:rPr>
          <w:rFonts w:ascii="Times New Roman" w:hAnsi="Times New Roman" w:eastAsia="SimSun" w:cs="Times New Roman"/>
          <w:i/>
          <w:iCs/>
          <w:color w:val="000000"/>
          <w:sz w:val="24"/>
          <w:szCs w:val="24"/>
        </w:rPr>
        <w:t xml:space="preserve"> - obras, serviços e fornecimentos de grande vulto: aqueles cujo valor estimado supera R$ 200.000.000,00 (duzentos milhões de reais);</w:t>
      </w:r>
      <w:r>
        <w:rPr>
          <w:rFonts w:ascii="Times New Roman" w:hAnsi="Times New Roman" w:eastAsia="SimSun" w:cs="Times New Roman"/>
          <w:i/>
          <w:iCs/>
          <w:color w:val="000000"/>
          <w:sz w:val="24"/>
          <w:szCs w:val="24"/>
        </w:rPr>
      </w:r>
      <w:r>
        <w:rPr>
          <w:rFonts w:ascii="Times New Roman" w:hAnsi="Times New Roman" w:eastAsia="SimSun" w:cs="Times New Roman"/>
          <w:i/>
          <w:iCs/>
          <w:color w:val="000000"/>
          <w:sz w:val="24"/>
          <w:szCs w:val="24"/>
        </w:rPr>
      </w:r>
    </w:p>
    <w:p w14:paraId="520CC12E">
      <w:pPr>
        <w:pBdr/>
        <w:spacing w:line="360" w:lineRule="auto"/>
        <w:ind w:left="2400"/>
        <w:jc w:val="both"/>
        <w:rPr>
          <w:rFonts w:ascii="Times New Roman" w:hAnsi="Times New Roman" w:eastAsia="SimSun" w:cs="Times New Roman"/>
          <w:i/>
          <w:iCs/>
          <w:color w:val="000000"/>
          <w:sz w:val="24"/>
          <w:szCs w:val="24"/>
        </w:rPr>
      </w:pPr>
      <w:r>
        <w:rPr>
          <w:rFonts w:ascii="Times New Roman" w:hAnsi="Times New Roman" w:eastAsia="SimSun" w:cs="Times New Roman"/>
          <w:i/>
          <w:iCs/>
          <w:color w:val="000000"/>
          <w:sz w:val="24"/>
          <w:szCs w:val="24"/>
        </w:rPr>
      </w:r>
      <w:r>
        <w:rPr>
          <w:rFonts w:ascii="Times New Roman" w:hAnsi="Times New Roman" w:eastAsia="SimSun" w:cs="Times New Roman"/>
          <w:i/>
          <w:iCs/>
          <w:color w:val="000000"/>
          <w:sz w:val="24"/>
          <w:szCs w:val="24"/>
        </w:rPr>
      </w:r>
      <w:r>
        <w:rPr>
          <w:rFonts w:ascii="Times New Roman" w:hAnsi="Times New Roman" w:eastAsia="SimSun" w:cs="Times New Roman"/>
          <w:i/>
          <w:iCs/>
          <w:color w:val="000000"/>
          <w:sz w:val="24"/>
          <w:szCs w:val="24"/>
        </w:rPr>
      </w:r>
    </w:p>
    <w:p w14:paraId="43C81222">
      <w:pPr>
        <w:numPr>
          <w:ilvl w:val="0"/>
          <w:numId w:val="5"/>
        </w:numPr>
        <w:pBdr/>
        <w:spacing w:line="360" w:lineRule="auto"/>
        <w:ind w:hanging="454" w:left="454"/>
        <w:jc w:val="both"/>
        <w:rPr>
          <w:rFonts w:ascii="Times New Roman" w:hAnsi="Times New Roman" w:eastAsia="SimSun" w:cs="Times New Roman"/>
          <w:i/>
          <w:iCs/>
          <w:color w:val="000000"/>
          <w:sz w:val="24"/>
          <w:szCs w:val="24"/>
        </w:rPr>
      </w:pPr>
      <w:r>
        <w:rPr>
          <w:rFonts w:hint="default" w:ascii="Times New Roman" w:hAnsi="Times New Roman" w:eastAsia="SimSun" w:cs="Times New Roman"/>
          <w:i/>
          <w:iCs/>
          <w:color w:val="000000"/>
          <w:sz w:val="24"/>
          <w:szCs w:val="24"/>
          <w:lang w:val="pt-BR"/>
        </w:rPr>
        <w:t xml:space="preserve">Mapa de gerenciamento dos riscos consta anexo a este Termo de referência.</w:t>
      </w:r>
      <w:r>
        <w:rPr>
          <w:rFonts w:ascii="Times New Roman" w:hAnsi="Times New Roman" w:eastAsia="SimSun" w:cs="Times New Roman"/>
          <w:i/>
          <w:iCs/>
          <w:color w:val="000000"/>
          <w:sz w:val="24"/>
          <w:szCs w:val="24"/>
        </w:rPr>
      </w:r>
      <w:r>
        <w:rPr>
          <w:rFonts w:ascii="Times New Roman" w:hAnsi="Times New Roman" w:eastAsia="SimSun" w:cs="Times New Roman"/>
          <w:i/>
          <w:iCs/>
          <w:color w:val="000000"/>
          <w:sz w:val="24"/>
          <w:szCs w:val="24"/>
        </w:rPr>
      </w:r>
    </w:p>
    <w:tbl>
      <w:tblPr>
        <w:tblStyle w:val="1103"/>
        <w:tblInd w:w="0" w:type="dxa"/>
        <w:tblW w:w="9209"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9209"/>
      </w:tblGrid>
      <w:tr>
        <w:trPr>
          <w:trHeight w:val="375"/>
        </w:trPr>
        <w:tc>
          <w:tcPr>
            <w:shd w:val="clear" w:color="auto" w:fill="d7d7d7" w:themeFill="background1" w:themeFillShade="D8"/>
            <w:tcBorders/>
            <w:tcW w:w="9209" w:type="dxa"/>
            <w:vAlign w:val="center"/>
          </w:tcPr>
          <w:p w14:paraId="3907E61D">
            <w:pPr>
              <w:numPr>
                <w:ilvl w:val="0"/>
                <w:numId w:val="6"/>
              </w:numPr>
              <w:pBdr/>
              <w:spacing w:line="360" w:lineRule="auto"/>
              <w:ind w:hanging="454" w:left="454"/>
              <w:jc w:val="center"/>
              <w:rPr>
                <w:rFonts w:ascii="Times New Roman" w:hAnsi="Times New Roman" w:cs="Times New Roman"/>
                <w:b/>
                <w:sz w:val="24"/>
                <w:szCs w:val="24"/>
              </w:rPr>
            </w:pPr>
            <w:r>
              <w:rPr>
                <w:rFonts w:ascii="Times New Roman" w:hAnsi="Times New Roman" w:cs="Times New Roman"/>
                <w:b/>
                <w:sz w:val="24"/>
                <w:szCs w:val="24"/>
              </w:rPr>
              <w:t xml:space="preserve">DESCRIÇÃO</w:t>
            </w:r>
            <w:r>
              <w:rPr>
                <w:rFonts w:ascii="Times New Roman" w:hAnsi="Times New Roman" w:cs="Times New Roman"/>
                <w:b/>
                <w:spacing w:val="-1"/>
                <w:sz w:val="24"/>
                <w:szCs w:val="24"/>
              </w:rPr>
              <w:t xml:space="preserve"> </w:t>
            </w:r>
            <w:r>
              <w:rPr>
                <w:rFonts w:ascii="Times New Roman" w:hAnsi="Times New Roman" w:cs="Times New Roman"/>
                <w:b/>
                <w:sz w:val="24"/>
                <w:szCs w:val="24"/>
              </w:rPr>
              <w:t xml:space="preserve">DA</w:t>
            </w:r>
            <w:r>
              <w:rPr>
                <w:rFonts w:ascii="Times New Roman" w:hAnsi="Times New Roman" w:cs="Times New Roman"/>
                <w:b/>
                <w:spacing w:val="-1"/>
                <w:sz w:val="24"/>
                <w:szCs w:val="24"/>
              </w:rPr>
              <w:t xml:space="preserve"> </w:t>
            </w:r>
            <w:r>
              <w:rPr>
                <w:rFonts w:ascii="Times New Roman" w:hAnsi="Times New Roman" w:cs="Times New Roman"/>
                <w:b/>
                <w:sz w:val="24"/>
                <w:szCs w:val="24"/>
              </w:rPr>
              <w:t xml:space="preserve">SOLUÇÃO</w:t>
            </w:r>
            <w:r>
              <w:rPr>
                <w:rFonts w:ascii="Times New Roman" w:hAnsi="Times New Roman" w:cs="Times New Roman"/>
                <w:b/>
                <w:spacing w:val="-1"/>
                <w:sz w:val="24"/>
                <w:szCs w:val="24"/>
              </w:rPr>
              <w:t xml:space="preserve"> </w:t>
            </w:r>
            <w:r>
              <w:rPr>
                <w:rFonts w:ascii="Times New Roman" w:hAnsi="Times New Roman" w:cs="Times New Roman"/>
                <w:b/>
                <w:sz w:val="24"/>
                <w:szCs w:val="24"/>
              </w:rPr>
              <w:t xml:space="preserve">(QUANDO</w:t>
            </w:r>
            <w:r>
              <w:rPr>
                <w:rFonts w:ascii="Times New Roman" w:hAnsi="Times New Roman" w:cs="Times New Roman"/>
                <w:b/>
                <w:spacing w:val="2"/>
                <w:sz w:val="24"/>
                <w:szCs w:val="24"/>
              </w:rPr>
              <w:t xml:space="preserve"> </w:t>
            </w:r>
            <w:r>
              <w:rPr>
                <w:rFonts w:ascii="Times New Roman" w:hAnsi="Times New Roman" w:cs="Times New Roman"/>
                <w:b/>
                <w:spacing w:val="-2"/>
                <w:sz w:val="24"/>
                <w:szCs w:val="24"/>
              </w:rPr>
              <w:t xml:space="preserve">APLICÁVEL)</w:t>
            </w:r>
            <w:r>
              <w:rPr>
                <w:rFonts w:ascii="Times New Roman" w:hAnsi="Times New Roman" w:cs="Times New Roman"/>
                <w:b/>
                <w:sz w:val="24"/>
                <w:szCs w:val="24"/>
              </w:rPr>
            </w:r>
            <w:r>
              <w:rPr>
                <w:rFonts w:ascii="Times New Roman" w:hAnsi="Times New Roman" w:cs="Times New Roman"/>
                <w:b/>
                <w:sz w:val="24"/>
                <w:szCs w:val="24"/>
              </w:rPr>
            </w:r>
          </w:p>
        </w:tc>
      </w:tr>
    </w:tbl>
    <w:p w14:paraId="3421108A">
      <w:pPr>
        <w:pBdr/>
        <w:spacing w:line="360" w:lineRule="auto"/>
        <w:ind w:firstLine="70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 presente contratação tem como objetivo assegurar que o </w:t>
      </w:r>
      <w:r>
        <w:rPr>
          <w:rFonts w:ascii="Times New Roman" w:hAnsi="Times New Roman" w:cs="Times New Roman"/>
          <w:b/>
          <w:bCs/>
          <w:color w:val="000000"/>
          <w:sz w:val="24"/>
          <w:szCs w:val="24"/>
        </w:rPr>
        <w:t xml:space="preserve">Poder Público Municipal</w:t>
      </w:r>
      <w:r>
        <w:rPr>
          <w:rFonts w:ascii="Times New Roman" w:hAnsi="Times New Roman" w:cs="Times New Roman"/>
          <w:color w:val="000000"/>
          <w:sz w:val="24"/>
          <w:szCs w:val="24"/>
        </w:rPr>
        <w:t xml:space="preserve"> cumpra suas atribuições constitucionais de oferecer </w:t>
      </w:r>
      <w:r>
        <w:rPr>
          <w:rFonts w:ascii="Times New Roman" w:hAnsi="Times New Roman" w:cs="Times New Roman"/>
          <w:b/>
          <w:bCs/>
          <w:color w:val="000000"/>
          <w:sz w:val="24"/>
          <w:szCs w:val="24"/>
        </w:rPr>
        <w:t xml:space="preserve">infraestrutura urbana e viária adequada</w:t>
      </w:r>
      <w:r>
        <w:rPr>
          <w:rFonts w:ascii="Times New Roman" w:hAnsi="Times New Roman" w:cs="Times New Roman"/>
          <w:color w:val="000000"/>
          <w:sz w:val="24"/>
          <w:szCs w:val="24"/>
        </w:rPr>
        <w:t xml:space="preserve">, garantindo </w:t>
      </w:r>
      <w:r>
        <w:rPr>
          <w:rFonts w:ascii="Times New Roman" w:hAnsi="Times New Roman" w:cs="Times New Roman"/>
          <w:b/>
          <w:bCs/>
          <w:color w:val="000000"/>
          <w:sz w:val="24"/>
          <w:szCs w:val="24"/>
        </w:rPr>
        <w:t xml:space="preserve">serviços públicos de qualidade e eficiência</w:t>
      </w:r>
      <w:r>
        <w:rPr>
          <w:rFonts w:ascii="Times New Roman" w:hAnsi="Times New Roman" w:cs="Times New Roman"/>
          <w:color w:val="000000"/>
          <w:sz w:val="24"/>
          <w:szCs w:val="24"/>
        </w:rPr>
        <w:t xml:space="preserve"> à população. A execução de </w:t>
      </w:r>
      <w:r>
        <w:rPr>
          <w:rFonts w:ascii="Times New Roman" w:hAnsi="Times New Roman" w:cs="Times New Roman"/>
          <w:b/>
          <w:bCs/>
          <w:color w:val="000000"/>
          <w:sz w:val="24"/>
          <w:szCs w:val="24"/>
        </w:rPr>
        <w:t xml:space="preserve">serviços de engenharia voltados às adequações e obras viária, bem como às obras de urbanização</w:t>
      </w:r>
      <w:r>
        <w:rPr>
          <w:rFonts w:ascii="Times New Roman" w:hAnsi="Times New Roman" w:cs="Times New Roman"/>
          <w:color w:val="000000"/>
          <w:sz w:val="24"/>
          <w:szCs w:val="24"/>
        </w:rPr>
        <w:t xml:space="preserve">, constitui medida essencial para atender às demandas crescentes de mobilidade, segurança e ordenamento do espaço público no Município de Sinop – MT.</w:t>
      </w:r>
      <w:r>
        <w:rPr>
          <w:rFonts w:ascii="Times New Roman" w:hAnsi="Times New Roman" w:cs="Times New Roman"/>
          <w:color w:val="000000"/>
          <w:sz w:val="24"/>
          <w:szCs w:val="24"/>
        </w:rPr>
      </w:r>
      <w:r>
        <w:rPr>
          <w:rFonts w:ascii="Times New Roman" w:hAnsi="Times New Roman" w:cs="Times New Roman"/>
          <w:color w:val="000000"/>
          <w:sz w:val="24"/>
          <w:szCs w:val="24"/>
        </w:rPr>
      </w:r>
    </w:p>
    <w:p w14:paraId="73844AEE">
      <w:pPr>
        <w:pBdr/>
        <w:spacing w:line="360" w:lineRule="auto"/>
        <w:ind w:firstLine="707"/>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A reestruturação e melhoria contínua serviços de engenharia voltados à manutenção e adequação das vias públicas</w:t>
      </w:r>
      <w:r>
        <w:rPr>
          <w:rFonts w:ascii="Times New Roman" w:hAnsi="Times New Roman" w:cs="Times New Roman"/>
          <w:color w:val="000000"/>
          <w:sz w:val="24"/>
          <w:szCs w:val="24"/>
        </w:rPr>
        <w:t xml:space="preserve"> representam investimentos diretos no </w:t>
      </w:r>
      <w:r>
        <w:rPr>
          <w:rFonts w:ascii="Times New Roman" w:hAnsi="Times New Roman" w:cs="Times New Roman"/>
          <w:b/>
          <w:bCs/>
          <w:color w:val="000000"/>
          <w:sz w:val="24"/>
          <w:szCs w:val="24"/>
        </w:rPr>
        <w:t xml:space="preserve">bem-estar e na segurança dos cidadãos</w:t>
      </w:r>
      <w:r>
        <w:rPr>
          <w:rFonts w:ascii="Times New Roman" w:hAnsi="Times New Roman" w:cs="Times New Roman"/>
          <w:color w:val="000000"/>
          <w:sz w:val="24"/>
          <w:szCs w:val="24"/>
        </w:rPr>
        <w:t xml:space="preserve">, assegurando condições adequadas de deslocamento, acessibilidade e escoamento inte</w:t>
      </w:r>
      <w:r>
        <w:rPr>
          <w:rFonts w:ascii="Times New Roman" w:hAnsi="Times New Roman" w:cs="Times New Roman"/>
          <w:color w:val="000000"/>
          <w:sz w:val="24"/>
          <w:szCs w:val="24"/>
        </w:rPr>
        <w:t xml:space="preserve">rno do tráfego urbano e rural. Vias em boas condições estruturais reduzem custos de operação de veículos, diminuem o índice de acidentes e facilitam o acesso a serviços públicos essenciais, como transporte escolar, saúde, coleta de resíduos e defesa civil.</w:t>
      </w:r>
      <w:r>
        <w:rPr>
          <w:rFonts w:ascii="Times New Roman" w:hAnsi="Times New Roman" w:cs="Times New Roman"/>
          <w:color w:val="000000"/>
          <w:sz w:val="24"/>
          <w:szCs w:val="24"/>
        </w:rPr>
      </w:r>
      <w:r>
        <w:rPr>
          <w:rFonts w:ascii="Times New Roman" w:hAnsi="Times New Roman" w:cs="Times New Roman"/>
          <w:color w:val="000000"/>
          <w:sz w:val="24"/>
          <w:szCs w:val="24"/>
        </w:rPr>
      </w:r>
    </w:p>
    <w:p w14:paraId="353B93A2">
      <w:pPr>
        <w:pBdr/>
        <w:spacing w:line="360" w:lineRule="auto"/>
        <w:ind w:firstLine="70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 </w:t>
      </w:r>
      <w:r>
        <w:rPr>
          <w:rFonts w:ascii="Times New Roman" w:hAnsi="Times New Roman" w:cs="Times New Roman"/>
          <w:b/>
          <w:bCs/>
          <w:color w:val="000000"/>
          <w:sz w:val="24"/>
          <w:szCs w:val="24"/>
        </w:rPr>
        <w:t xml:space="preserve">infraestrutura viária e urbana de qualidade</w:t>
      </w:r>
      <w:r>
        <w:rPr>
          <w:rFonts w:ascii="Times New Roman" w:hAnsi="Times New Roman" w:cs="Times New Roman"/>
          <w:color w:val="000000"/>
          <w:sz w:val="24"/>
          <w:szCs w:val="24"/>
        </w:rPr>
        <w:t xml:space="preserve"> também desempenha papel estratégico no </w:t>
      </w:r>
      <w:r>
        <w:rPr>
          <w:rFonts w:ascii="Times New Roman" w:hAnsi="Times New Roman" w:cs="Times New Roman"/>
          <w:b/>
          <w:bCs/>
          <w:color w:val="000000"/>
          <w:sz w:val="24"/>
          <w:szCs w:val="24"/>
        </w:rPr>
        <w:t xml:space="preserve">desenvolvimento econômico e sustentável</w:t>
      </w:r>
      <w:r>
        <w:rPr>
          <w:rFonts w:ascii="Times New Roman" w:hAnsi="Times New Roman" w:cs="Times New Roman"/>
          <w:color w:val="000000"/>
          <w:sz w:val="24"/>
          <w:szCs w:val="24"/>
        </w:rPr>
        <w:t xml:space="preserve"> do município, promovendo maior </w:t>
      </w:r>
      <w:r>
        <w:rPr>
          <w:rFonts w:ascii="Times New Roman" w:hAnsi="Times New Roman" w:cs="Times New Roman"/>
          <w:b/>
          <w:bCs/>
          <w:color w:val="000000"/>
          <w:sz w:val="24"/>
          <w:szCs w:val="24"/>
        </w:rPr>
        <w:t xml:space="preserve">atratividade para novos investimentos, valorização imobiliária e fortalecimento do comércio local</w:t>
      </w:r>
      <w:r>
        <w:rPr>
          <w:rFonts w:ascii="Times New Roman" w:hAnsi="Times New Roman" w:cs="Times New Roman"/>
          <w:color w:val="000000"/>
          <w:sz w:val="24"/>
          <w:szCs w:val="24"/>
        </w:rPr>
        <w:t xml:space="preserve">. Ao garantir vias adequadas e obras de urbanização bem executadas, o Poder Público reforça seu compromisso com o </w:t>
      </w:r>
      <w:r>
        <w:rPr>
          <w:rFonts w:ascii="Times New Roman" w:hAnsi="Times New Roman" w:cs="Times New Roman"/>
          <w:b/>
          <w:bCs/>
          <w:color w:val="000000"/>
          <w:sz w:val="24"/>
          <w:szCs w:val="24"/>
        </w:rPr>
        <w:t xml:space="preserve">planejamento urbano eficiente, a mobilidade segura e a melhoria da qualidade de vida da população</w:t>
      </w:r>
      <w:r>
        <w:rPr>
          <w:rFonts w:ascii="Times New Roman" w:hAnsi="Times New Roman" w:cs="Times New Roman"/>
          <w:color w:val="000000"/>
          <w:sz w:val="24"/>
          <w:szCs w:val="24"/>
        </w:rPr>
        <w:t xml:space="preserve">.</w:t>
      </w:r>
      <w:r>
        <w:rPr>
          <w:rFonts w:ascii="Times New Roman" w:hAnsi="Times New Roman" w:cs="Times New Roman"/>
          <w:color w:val="000000"/>
          <w:sz w:val="24"/>
          <w:szCs w:val="24"/>
        </w:rPr>
      </w:r>
      <w:r>
        <w:rPr>
          <w:rFonts w:ascii="Times New Roman" w:hAnsi="Times New Roman" w:cs="Times New Roman"/>
          <w:color w:val="000000"/>
          <w:sz w:val="24"/>
          <w:szCs w:val="24"/>
        </w:rPr>
      </w:r>
    </w:p>
    <w:p w14:paraId="499B7B67">
      <w:pPr>
        <w:pBdr/>
        <w:spacing w:line="360" w:lineRule="auto"/>
        <w:ind/>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Dessa forma, investir em </w:t>
      </w:r>
      <w:r>
        <w:rPr>
          <w:rFonts w:ascii="Times New Roman" w:hAnsi="Times New Roman" w:cs="Times New Roman"/>
          <w:b/>
          <w:bCs/>
          <w:color w:val="000000"/>
          <w:sz w:val="24"/>
          <w:szCs w:val="24"/>
        </w:rPr>
        <w:t xml:space="preserve">serviços de engenharia voltados à  adequação e obras viária</w:t>
      </w:r>
      <w:r>
        <w:rPr>
          <w:rFonts w:ascii="Times New Roman" w:hAnsi="Times New Roman" w:cs="Times New Roman"/>
          <w:color w:val="000000"/>
          <w:sz w:val="24"/>
          <w:szCs w:val="24"/>
        </w:rPr>
        <w:t xml:space="preserve"> não se limita ao cumprimento de obrigações administrativas, mas configura uma </w:t>
      </w:r>
      <w:r>
        <w:rPr>
          <w:rFonts w:ascii="Times New Roman" w:hAnsi="Times New Roman" w:cs="Times New Roman"/>
          <w:b/>
          <w:bCs/>
          <w:color w:val="000000"/>
          <w:sz w:val="24"/>
          <w:szCs w:val="24"/>
        </w:rPr>
        <w:t xml:space="preserve">ação estruturante e preventiva</w:t>
      </w:r>
      <w:r>
        <w:rPr>
          <w:rFonts w:ascii="Times New Roman" w:hAnsi="Times New Roman" w:cs="Times New Roman"/>
          <w:color w:val="000000"/>
          <w:sz w:val="24"/>
          <w:szCs w:val="24"/>
        </w:rPr>
        <w:t xml:space="preserve">, que evita a degradação prematura das vias e reduz custos futuros com reparos emergenciais. Trata-se de uma iniciativa que promove o </w:t>
      </w:r>
      <w:r>
        <w:rPr>
          <w:rFonts w:ascii="Times New Roman" w:hAnsi="Times New Roman" w:cs="Times New Roman"/>
          <w:b/>
          <w:bCs/>
          <w:color w:val="000000"/>
          <w:sz w:val="24"/>
          <w:szCs w:val="24"/>
        </w:rPr>
        <w:t xml:space="preserve">desenvolvimento socioeconômico equilibrado</w:t>
      </w:r>
      <w:r>
        <w:rPr>
          <w:rFonts w:ascii="Times New Roman" w:hAnsi="Times New Roman" w:cs="Times New Roman"/>
          <w:color w:val="000000"/>
          <w:sz w:val="24"/>
          <w:szCs w:val="24"/>
        </w:rPr>
        <w:t xml:space="preserve">, fortalece a </w:t>
      </w:r>
      <w:r>
        <w:rPr>
          <w:rFonts w:ascii="Times New Roman" w:hAnsi="Times New Roman" w:cs="Times New Roman"/>
          <w:b/>
          <w:bCs/>
          <w:color w:val="000000"/>
          <w:sz w:val="24"/>
          <w:szCs w:val="24"/>
        </w:rPr>
        <w:t xml:space="preserve">infraestrutura pública municipal</w:t>
      </w:r>
      <w:r>
        <w:rPr>
          <w:rFonts w:ascii="Times New Roman" w:hAnsi="Times New Roman" w:cs="Times New Roman"/>
          <w:color w:val="000000"/>
          <w:sz w:val="24"/>
          <w:szCs w:val="24"/>
        </w:rPr>
        <w:t xml:space="preserve"> e contribui para a </w:t>
      </w:r>
      <w:r>
        <w:rPr>
          <w:rFonts w:ascii="Times New Roman" w:hAnsi="Times New Roman" w:cs="Times New Roman"/>
          <w:b/>
          <w:bCs/>
          <w:color w:val="000000"/>
          <w:sz w:val="24"/>
          <w:szCs w:val="24"/>
        </w:rPr>
        <w:t xml:space="preserve">sustentabilidade urbana e ambiental</w:t>
      </w:r>
      <w:r>
        <w:rPr>
          <w:rFonts w:ascii="Times New Roman" w:hAnsi="Times New Roman" w:cs="Times New Roman"/>
          <w:color w:val="000000"/>
          <w:sz w:val="24"/>
          <w:szCs w:val="24"/>
        </w:rPr>
        <w:t xml:space="preserve"> de Sinop – MT.</w:t>
      </w:r>
      <w:r>
        <w:rPr>
          <w:rFonts w:ascii="Times New Roman" w:hAnsi="Times New Roman" w:cs="Times New Roman"/>
          <w:color w:val="000000"/>
          <w:sz w:val="24"/>
          <w:szCs w:val="24"/>
        </w:rPr>
      </w:r>
      <w:r>
        <w:rPr>
          <w:rFonts w:ascii="Times New Roman" w:hAnsi="Times New Roman" w:cs="Times New Roman"/>
          <w:color w:val="000000"/>
          <w:sz w:val="24"/>
          <w:szCs w:val="24"/>
        </w:rPr>
      </w:r>
    </w:p>
    <w:p w14:paraId="6CD9F82E">
      <w:pPr>
        <w:pBdr/>
        <w:spacing w:line="360" w:lineRule="auto"/>
        <w:ind/>
        <w:jc w:val="both"/>
        <w:rPr>
          <w:rFonts w:ascii="Times New Roman" w:hAnsi="Times New Roman" w:cs="Times New Roman"/>
          <w:color w:val="000000"/>
          <w:sz w:val="24"/>
          <w:szCs w:val="24"/>
          <w:highlight w:val="green"/>
        </w:rPr>
      </w:pPr>
      <w:r>
        <w:rPr>
          <w:rFonts w:ascii="Times New Roman" w:hAnsi="Times New Roman" w:cs="Times New Roman"/>
          <w:color w:val="000000"/>
          <w:sz w:val="24"/>
          <w:szCs w:val="24"/>
          <w:highlight w:val="green"/>
        </w:rPr>
      </w:r>
      <w:r>
        <w:rPr>
          <w:rFonts w:ascii="Times New Roman" w:hAnsi="Times New Roman" w:cs="Times New Roman"/>
          <w:color w:val="000000"/>
          <w:sz w:val="24"/>
          <w:szCs w:val="24"/>
          <w:highlight w:val="green"/>
        </w:rPr>
      </w:r>
      <w:r>
        <w:rPr>
          <w:rFonts w:ascii="Times New Roman" w:hAnsi="Times New Roman" w:cs="Times New Roman"/>
          <w:color w:val="000000"/>
          <w:sz w:val="24"/>
          <w:szCs w:val="24"/>
          <w:highlight w:val="green"/>
        </w:rPr>
      </w:r>
    </w:p>
    <w:tbl>
      <w:tblPr>
        <w:tblStyle w:val="1103"/>
        <w:tblInd w:w="0" w:type="dxa"/>
        <w:tblW w:w="9338"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9338"/>
      </w:tblGrid>
      <w:tr>
        <w:trPr>
          <w:trHeight w:val="375"/>
        </w:trPr>
        <w:tc>
          <w:tcPr>
            <w:shd w:val="clear" w:color="auto" w:fill="d7d7d7" w:themeFill="background1" w:themeFillShade="D8"/>
            <w:tcBorders/>
            <w:tcW w:w="9338" w:type="dxa"/>
            <w:vAlign w:val="center"/>
          </w:tcPr>
          <w:p w14:paraId="0112EDC8">
            <w:pPr>
              <w:numPr>
                <w:ilvl w:val="0"/>
                <w:numId w:val="7"/>
              </w:numPr>
              <w:pBdr/>
              <w:spacing w:line="360" w:lineRule="auto"/>
              <w:ind w:hanging="454" w:left="454"/>
              <w:jc w:val="center"/>
              <w:rPr>
                <w:rFonts w:ascii="Times New Roman" w:hAnsi="Times New Roman" w:cs="Times New Roman"/>
                <w:b/>
                <w:sz w:val="24"/>
                <w:szCs w:val="24"/>
              </w:rPr>
            </w:pPr>
            <w:r>
              <w:rPr>
                <w:rFonts w:ascii="Times New Roman" w:hAnsi="Times New Roman" w:cs="Times New Roman"/>
                <w:b/>
                <w:sz w:val="24"/>
                <w:szCs w:val="24"/>
              </w:rPr>
              <w:t xml:space="preserve">REQUISITOS</w:t>
            </w:r>
            <w:r>
              <w:rPr>
                <w:rFonts w:ascii="Times New Roman" w:hAnsi="Times New Roman" w:cs="Times New Roman"/>
                <w:b/>
                <w:spacing w:val="1"/>
                <w:sz w:val="24"/>
                <w:szCs w:val="24"/>
              </w:rPr>
              <w:t xml:space="preserve"> </w:t>
            </w:r>
            <w:r>
              <w:rPr>
                <w:rFonts w:ascii="Times New Roman" w:hAnsi="Times New Roman" w:cs="Times New Roman"/>
                <w:b/>
                <w:sz w:val="24"/>
                <w:szCs w:val="24"/>
              </w:rPr>
              <w:t xml:space="preserve">DO</w:t>
            </w:r>
            <w:r>
              <w:rPr>
                <w:rFonts w:ascii="Times New Roman" w:hAnsi="Times New Roman" w:cs="Times New Roman"/>
                <w:b/>
                <w:spacing w:val="-3"/>
                <w:sz w:val="24"/>
                <w:szCs w:val="24"/>
              </w:rPr>
              <w:t xml:space="preserve"> </w:t>
            </w:r>
            <w:r>
              <w:rPr>
                <w:rFonts w:ascii="Times New Roman" w:hAnsi="Times New Roman" w:cs="Times New Roman"/>
                <w:b/>
                <w:sz w:val="24"/>
                <w:szCs w:val="24"/>
              </w:rPr>
              <w:t xml:space="preserve">OBJETO DA </w:t>
            </w:r>
            <w:r>
              <w:rPr>
                <w:rFonts w:ascii="Times New Roman" w:hAnsi="Times New Roman" w:cs="Times New Roman"/>
                <w:b/>
                <w:spacing w:val="-2"/>
                <w:sz w:val="24"/>
                <w:szCs w:val="24"/>
              </w:rPr>
              <w:t xml:space="preserve">CONTRATAÇÃO</w:t>
            </w:r>
            <w:r>
              <w:rPr>
                <w:rFonts w:ascii="Times New Roman" w:hAnsi="Times New Roman" w:cs="Times New Roman"/>
                <w:b/>
                <w:sz w:val="24"/>
                <w:szCs w:val="24"/>
              </w:rPr>
            </w:r>
            <w:r>
              <w:rPr>
                <w:rFonts w:ascii="Times New Roman" w:hAnsi="Times New Roman" w:cs="Times New Roman"/>
                <w:b/>
                <w:sz w:val="24"/>
                <w:szCs w:val="24"/>
              </w:rPr>
            </w:r>
          </w:p>
        </w:tc>
      </w:tr>
    </w:tbl>
    <w:p w14:paraId="6DA908A1">
      <w:pPr>
        <w:pStyle w:val="1104"/>
        <w:pBdr/>
        <w:spacing w:before="1" w:line="360" w:lineRule="auto"/>
        <w:ind/>
        <w:jc w:val="both"/>
        <w:rPr>
          <w:b w:val="0"/>
          <w:bCs/>
          <w:sz w:val="24"/>
          <w:szCs w:val="24"/>
          <w:lang w:val="pt-BR"/>
        </w:rPr>
      </w:pPr>
      <w:r>
        <w:rPr>
          <w:b/>
          <w:sz w:val="24"/>
          <w:szCs w:val="24"/>
          <w:lang w:val="pt-BR"/>
        </w:rPr>
        <w:t xml:space="preserve">5.1 Natureza</w:t>
      </w:r>
      <w:r>
        <w:rPr>
          <w:b/>
          <w:spacing w:val="-2"/>
          <w:sz w:val="24"/>
          <w:szCs w:val="24"/>
          <w:lang w:val="pt-BR"/>
        </w:rPr>
        <w:t xml:space="preserve"> </w:t>
      </w:r>
      <w:r>
        <w:rPr>
          <w:b/>
          <w:sz w:val="24"/>
          <w:szCs w:val="24"/>
          <w:lang w:val="pt-BR"/>
        </w:rPr>
        <w:t xml:space="preserve">do</w:t>
      </w:r>
      <w:r>
        <w:rPr>
          <w:b/>
          <w:spacing w:val="-1"/>
          <w:sz w:val="24"/>
          <w:szCs w:val="24"/>
          <w:lang w:val="pt-BR"/>
        </w:rPr>
        <w:t xml:space="preserve"> </w:t>
      </w:r>
      <w:r>
        <w:rPr>
          <w:b/>
          <w:spacing w:val="-2"/>
          <w:sz w:val="24"/>
          <w:szCs w:val="24"/>
          <w:lang w:val="pt-BR"/>
        </w:rPr>
        <w:t xml:space="preserve">Objeto: </w:t>
      </w:r>
      <w:r>
        <w:rPr>
          <w:rFonts w:hint="default"/>
          <w:b w:val="0"/>
          <w:bCs/>
          <w:spacing w:val="-2"/>
          <w:sz w:val="24"/>
          <w:szCs w:val="24"/>
          <w:lang w:val="pt-BR"/>
        </w:rPr>
        <w:t xml:space="preserve">O</w:t>
      </w:r>
      <w:r>
        <w:rPr>
          <w:b w:val="0"/>
          <w:bCs/>
          <w:sz w:val="24"/>
          <w:szCs w:val="24"/>
          <w:lang w:val="pt-BR"/>
        </w:rPr>
        <w:t xml:space="preserve"> objeto desta contratação possui a natureza de obra pública de engenharia, nos ter</w:t>
      </w:r>
      <w:r>
        <w:rPr>
          <w:b w:val="0"/>
          <w:bCs/>
          <w:sz w:val="24"/>
          <w:szCs w:val="24"/>
          <w:lang w:val="pt-BR"/>
        </w:rPr>
        <w:t xml:space="preserve">mos do inciso XII do art. 6º da Lei Federal nº 14.133/2021, caracterizando-se por intervenções que envolvem a alteração substancial do espaço urbano, com a aplicação de técnicas e padrões construtivos consolidados na literatura técnica e usuais no mercado.</w:t>
      </w:r>
      <w:r>
        <w:rPr>
          <w:b w:val="0"/>
          <w:bCs/>
          <w:sz w:val="24"/>
          <w:szCs w:val="24"/>
          <w:lang w:val="pt-BR"/>
        </w:rPr>
      </w:r>
      <w:r>
        <w:rPr>
          <w:b w:val="0"/>
          <w:bCs/>
          <w:sz w:val="24"/>
          <w:szCs w:val="24"/>
          <w:lang w:val="pt-BR"/>
        </w:rPr>
      </w:r>
    </w:p>
    <w:p w14:paraId="73D065B2">
      <w:pPr>
        <w:pStyle w:val="1104"/>
        <w:pBdr/>
        <w:spacing w:line="360" w:lineRule="auto"/>
        <w:ind/>
        <w:jc w:val="both"/>
        <w:rPr>
          <w:b w:val="0"/>
          <w:bCs/>
          <w:sz w:val="24"/>
          <w:szCs w:val="24"/>
          <w:lang w:val="pt-BR"/>
        </w:rPr>
      </w:pPr>
      <w:r>
        <w:rPr>
          <w:b w:val="0"/>
          <w:bCs/>
          <w:sz w:val="24"/>
          <w:szCs w:val="24"/>
          <w:lang w:val="pt-BR"/>
        </w:rPr>
        <w:t xml:space="preserve">Ademais, as ações pretendidas revelam-se objetivamente padronizáveis em termos de desempenho e</w:t>
      </w:r>
      <w:r>
        <w:rPr>
          <w:b w:val="0"/>
          <w:bCs/>
          <w:sz w:val="24"/>
          <w:szCs w:val="24"/>
          <w:lang w:val="pt-BR"/>
        </w:rPr>
        <w:t xml:space="preserve"> qualidade por meio de especificações usuais de mercado, o que viabiliza a adoção do Sistema de Registro de Preços (SRP) para atendimento das demandas futuras e eventuais da Administração Pública Municipal, conforme as diretrizes regulamentares aplicáveis.</w:t>
      </w:r>
      <w:r>
        <w:rPr>
          <w:b w:val="0"/>
          <w:bCs/>
          <w:sz w:val="24"/>
          <w:szCs w:val="24"/>
          <w:lang w:val="pt-BR"/>
        </w:rPr>
      </w:r>
      <w:r>
        <w:rPr>
          <w:b w:val="0"/>
          <w:bCs/>
          <w:sz w:val="24"/>
          <w:szCs w:val="24"/>
          <w:lang w:val="pt-BR"/>
        </w:rPr>
      </w:r>
    </w:p>
    <w:p w14:paraId="72EDD94A">
      <w:pPr>
        <w:pStyle w:val="1104"/>
        <w:pBdr/>
        <w:spacing w:line="360" w:lineRule="auto"/>
        <w:ind/>
        <w:jc w:val="both"/>
        <w:rPr>
          <w:b w:val="0"/>
          <w:bCs/>
          <w:sz w:val="24"/>
          <w:szCs w:val="24"/>
          <w:lang w:val="pt-BR"/>
        </w:rPr>
      </w:pPr>
      <w:r>
        <w:rPr>
          <w:b w:val="0"/>
          <w:bCs/>
          <w:sz w:val="24"/>
          <w:szCs w:val="24"/>
          <w:lang w:val="pt-BR"/>
        </w:rPr>
        <w:t xml:space="preserve"> Regime de Execução e Critério de Medição A execução contratual dar-se-á sob o regime de Empreitada por Preço Unitário, em estrita observância ao dispost</w:t>
      </w:r>
      <w:r>
        <w:rPr>
          <w:b w:val="0"/>
          <w:bCs/>
          <w:sz w:val="24"/>
          <w:szCs w:val="24"/>
          <w:lang w:val="pt-BR"/>
        </w:rPr>
        <w:t xml:space="preserve">o na alínea "a" do inciso II do art. 46 da Lei nº 14.133/2021, regime este tecnicamente adequado para serviços de infraestrutura urbana onde os quantitativos e volumes exatos de intervenção podem demandar ajustes em face das condições de campo encontradas.</w:t>
      </w:r>
      <w:r>
        <w:rPr>
          <w:b w:val="0"/>
          <w:bCs/>
          <w:sz w:val="24"/>
          <w:szCs w:val="24"/>
          <w:lang w:val="pt-BR"/>
        </w:rPr>
      </w:r>
      <w:r>
        <w:rPr>
          <w:b w:val="0"/>
          <w:bCs/>
          <w:sz w:val="24"/>
          <w:szCs w:val="24"/>
          <w:lang w:val="pt-BR"/>
        </w:rPr>
      </w:r>
    </w:p>
    <w:p w14:paraId="2D14F763">
      <w:pPr>
        <w:pStyle w:val="1104"/>
        <w:pBdr/>
        <w:spacing w:line="360" w:lineRule="auto"/>
        <w:ind/>
        <w:jc w:val="both"/>
        <w:rPr>
          <w:b w:val="0"/>
          <w:bCs/>
          <w:sz w:val="24"/>
          <w:szCs w:val="24"/>
          <w:lang w:val="pt-BR"/>
        </w:rPr>
      </w:pPr>
      <w:r>
        <w:rPr>
          <w:b w:val="0"/>
          <w:bCs/>
          <w:sz w:val="24"/>
          <w:szCs w:val="24"/>
          <w:lang w:val="pt-BR"/>
        </w:rPr>
        <w:t xml:space="preserve">As medições dos serviços efetivamente executados serão processadas com periodicidade estritamente mensal, baseand</w:t>
      </w:r>
      <w:r>
        <w:rPr>
          <w:b w:val="0"/>
          <w:bCs/>
          <w:sz w:val="24"/>
          <w:szCs w:val="24"/>
          <w:lang w:val="pt-BR"/>
        </w:rPr>
        <w:t xml:space="preserve">o-se no cronograma físico-financeiro aprovado e nos boletins de medição atestados pela fiscalização do Município, mediante a aferição das quantidades reais de serviços executados e em conformidade com as especificações constantes deste Termo de Referência.</w:t>
      </w:r>
      <w:r>
        <w:rPr>
          <w:b w:val="0"/>
          <w:bCs/>
          <w:sz w:val="24"/>
          <w:szCs w:val="24"/>
          <w:lang w:val="pt-BR"/>
        </w:rPr>
      </w:r>
      <w:r>
        <w:rPr>
          <w:b w:val="0"/>
          <w:bCs/>
          <w:sz w:val="24"/>
          <w:szCs w:val="24"/>
          <w:lang w:val="pt-BR"/>
        </w:rPr>
      </w:r>
    </w:p>
    <w:p w14:paraId="4C80E54F">
      <w:pPr>
        <w:pStyle w:val="1104"/>
        <w:pBdr/>
        <w:spacing w:line="360" w:lineRule="auto"/>
        <w:ind/>
        <w:jc w:val="both"/>
        <w:rPr>
          <w:b/>
          <w:bCs w:val="0"/>
          <w:sz w:val="24"/>
          <w:szCs w:val="24"/>
          <w:lang w:val="pt-BR"/>
        </w:rPr>
      </w:pPr>
      <w:r>
        <w:rPr>
          <w:b/>
          <w:bCs w:val="0"/>
          <w:sz w:val="24"/>
          <w:szCs w:val="24"/>
          <w:lang w:val="pt-BR"/>
        </w:rPr>
        <w:t xml:space="preserve">DA JUSTIFICATIVA DA ADOÇÃO DO SISTEMA DE REGISTRO DE PREÇOS (SRP)</w:t>
      </w:r>
      <w:r>
        <w:rPr>
          <w:b/>
          <w:bCs w:val="0"/>
          <w:sz w:val="24"/>
          <w:szCs w:val="24"/>
          <w:lang w:val="pt-BR"/>
        </w:rPr>
      </w:r>
      <w:r>
        <w:rPr>
          <w:b/>
          <w:bCs w:val="0"/>
          <w:sz w:val="24"/>
          <w:szCs w:val="24"/>
          <w:lang w:val="pt-BR"/>
        </w:rPr>
      </w:r>
    </w:p>
    <w:p w14:paraId="1E01E281">
      <w:pPr>
        <w:pStyle w:val="1104"/>
        <w:pBdr/>
        <w:spacing w:line="360" w:lineRule="auto"/>
        <w:ind/>
        <w:jc w:val="both"/>
        <w:rPr>
          <w:rFonts w:hint="default"/>
          <w:b w:val="0"/>
          <w:bCs/>
          <w:sz w:val="24"/>
          <w:szCs w:val="24"/>
          <w:lang w:val="pt-BR"/>
        </w:rPr>
      </w:pPr>
      <w:r>
        <w:rPr>
          <w:rFonts w:hint="default"/>
          <w:b w:val="0"/>
          <w:bCs/>
          <w:sz w:val="24"/>
          <w:szCs w:val="24"/>
          <w:lang w:val="pt-BR"/>
        </w:rPr>
        <w:t xml:space="preserve">A presente contratação será realizada sob </w:t>
      </w:r>
      <w:r>
        <w:rPr>
          <w:rFonts w:hint="default"/>
          <w:b w:val="0"/>
          <w:bCs/>
          <w:sz w:val="24"/>
          <w:szCs w:val="24"/>
          <w:lang w:val="pt-BR"/>
        </w:rPr>
        <w:t xml:space="preserve">o Sistema de Registro de Preços (SRP), com fulcro no Art. 82, § 1º, incisos I, II e III da Lei Federal nº 14.133/2021, combinado com as diretrizes do Capítulo III do Decreto Municipal nº 359/2023, pelas razões técnicas e administrativas expostas a seguir: </w:t>
      </w:r>
      <w:r>
        <w:rPr>
          <w:rFonts w:hint="default"/>
          <w:b w:val="0"/>
          <w:bCs/>
          <w:sz w:val="24"/>
          <w:szCs w:val="24"/>
          <w:lang w:val="pt-BR"/>
        </w:rPr>
      </w:r>
      <w:r>
        <w:rPr>
          <w:rFonts w:hint="default"/>
          <w:b w:val="0"/>
          <w:bCs/>
          <w:sz w:val="24"/>
          <w:szCs w:val="24"/>
          <w:lang w:val="pt-BR"/>
        </w:rPr>
      </w:r>
    </w:p>
    <w:p w14:paraId="73D49431">
      <w:pPr>
        <w:pStyle w:val="1104"/>
        <w:pBdr/>
        <w:spacing w:line="360" w:lineRule="auto"/>
        <w:ind/>
        <w:jc w:val="both"/>
        <w:rPr>
          <w:rFonts w:hint="default"/>
          <w:b w:val="0"/>
          <w:bCs/>
          <w:sz w:val="24"/>
          <w:szCs w:val="24"/>
          <w:lang w:val="pt-BR"/>
        </w:rPr>
      </w:pPr>
      <w:r>
        <w:rPr>
          <w:rFonts w:hint="default"/>
          <w:b w:val="0"/>
          <w:bCs/>
          <w:sz w:val="24"/>
          <w:szCs w:val="24"/>
          <w:lang w:val="pt-BR"/>
        </w:rPr>
      </w:r>
      <w:r>
        <w:rPr>
          <w:rFonts w:hint="default"/>
          <w:b w:val="0"/>
          <w:bCs/>
          <w:sz w:val="24"/>
          <w:szCs w:val="24"/>
          <w:lang w:val="pt-BR"/>
        </w:rPr>
      </w:r>
      <w:r>
        <w:rPr>
          <w:rFonts w:hint="default"/>
          <w:b w:val="0"/>
          <w:bCs/>
          <w:sz w:val="24"/>
          <w:szCs w:val="24"/>
          <w:lang w:val="pt-BR"/>
        </w:rPr>
      </w:r>
    </w:p>
    <w:p w14:paraId="6C632338">
      <w:pPr>
        <w:pStyle w:val="1104"/>
        <w:pBdr/>
        <w:spacing w:line="360" w:lineRule="auto"/>
        <w:ind/>
        <w:jc w:val="both"/>
        <w:rPr>
          <w:rFonts w:hint="default"/>
          <w:b w:val="0"/>
          <w:bCs/>
          <w:sz w:val="24"/>
          <w:szCs w:val="24"/>
          <w:lang w:val="pt-BR"/>
        </w:rPr>
      </w:pPr>
      <w:r>
        <w:rPr>
          <w:rFonts w:hint="default"/>
          <w:b w:val="0"/>
          <w:bCs/>
          <w:sz w:val="24"/>
          <w:szCs w:val="24"/>
          <w:lang w:val="pt-BR"/>
        </w:rPr>
        <w:t xml:space="preserve">Necessidade de Contratações Frequentes (Art. 82, § 1º, Inciso I, da Lei nº 14.133/2021): O objeto licitado compreende serviços comuns de engenharia destinados à manutenção, adequação e obras corretivas e preventivas na infraestrutu</w:t>
      </w:r>
      <w:r>
        <w:rPr>
          <w:rFonts w:hint="default"/>
          <w:b w:val="0"/>
          <w:bCs/>
          <w:sz w:val="24"/>
          <w:szCs w:val="24"/>
          <w:lang w:val="pt-BR"/>
        </w:rPr>
        <w:t xml:space="preserve">ra urbana e acessibilidade do Município de Sinop-MT. Tais demandas possuem natureza contínua e sistêmica, decorrentes do crescimento demográfico e da expansão constante da malha viária urbana, exigindo intervenções rotineiras e canais céleres de execução. </w:t>
      </w:r>
      <w:r>
        <w:rPr>
          <w:rFonts w:hint="default"/>
          <w:b w:val="0"/>
          <w:bCs/>
          <w:sz w:val="24"/>
          <w:szCs w:val="24"/>
          <w:lang w:val="pt-BR"/>
        </w:rPr>
      </w:r>
      <w:r>
        <w:rPr>
          <w:rFonts w:hint="default"/>
          <w:b w:val="0"/>
          <w:bCs/>
          <w:sz w:val="24"/>
          <w:szCs w:val="24"/>
          <w:lang w:val="pt-BR"/>
        </w:rPr>
      </w:r>
    </w:p>
    <w:p w14:paraId="7B75C22F">
      <w:pPr>
        <w:pStyle w:val="1104"/>
        <w:pBdr/>
        <w:spacing w:line="360" w:lineRule="auto"/>
        <w:ind/>
        <w:jc w:val="both"/>
        <w:rPr>
          <w:rFonts w:hint="default"/>
          <w:b w:val="0"/>
          <w:bCs/>
          <w:sz w:val="24"/>
          <w:szCs w:val="24"/>
          <w:lang w:val="pt-BR"/>
        </w:rPr>
      </w:pPr>
      <w:r>
        <w:rPr>
          <w:rFonts w:hint="default"/>
          <w:b w:val="0"/>
          <w:bCs/>
          <w:sz w:val="24"/>
          <w:szCs w:val="24"/>
          <w:lang w:val="pt-BR"/>
        </w:rPr>
      </w:r>
      <w:r>
        <w:rPr>
          <w:rFonts w:hint="default"/>
          <w:b w:val="0"/>
          <w:bCs/>
          <w:sz w:val="24"/>
          <w:szCs w:val="24"/>
          <w:lang w:val="pt-BR"/>
        </w:rPr>
      </w:r>
      <w:r>
        <w:rPr>
          <w:rFonts w:hint="default"/>
          <w:b w:val="0"/>
          <w:bCs/>
          <w:sz w:val="24"/>
          <w:szCs w:val="24"/>
          <w:lang w:val="pt-BR"/>
        </w:rPr>
      </w:r>
    </w:p>
    <w:p w14:paraId="08DE5E3C">
      <w:pPr>
        <w:pStyle w:val="1104"/>
        <w:pBdr/>
        <w:spacing w:line="360" w:lineRule="auto"/>
        <w:ind/>
        <w:jc w:val="both"/>
        <w:rPr>
          <w:rFonts w:hint="default"/>
          <w:b w:val="0"/>
          <w:bCs/>
          <w:sz w:val="24"/>
          <w:szCs w:val="24"/>
          <w:lang w:val="pt-BR"/>
        </w:rPr>
      </w:pPr>
      <w:r>
        <w:rPr>
          <w:rFonts w:hint="default"/>
          <w:b w:val="0"/>
          <w:bCs/>
          <w:sz w:val="24"/>
          <w:szCs w:val="24"/>
          <w:lang w:val="pt-BR"/>
        </w:rPr>
        <w:t xml:space="preserve">Conveniência de Atendime</w:t>
      </w:r>
      <w:r>
        <w:rPr>
          <w:rFonts w:hint="default"/>
          <w:b w:val="0"/>
          <w:bCs/>
          <w:sz w:val="24"/>
          <w:szCs w:val="24"/>
          <w:lang w:val="pt-BR"/>
        </w:rPr>
        <w:t xml:space="preserve">nto a mais de uma secretaria quando necessário (Art. 82, § 1º, Inciso II, da Lei nº 14.133/2021): A modelagem foi planejada de forma consolidada para atender, de maneira integrada e simultânea, à Secretaria Municipal de Obras e Serviços Urbanos. Essa centr</w:t>
      </w:r>
      <w:r>
        <w:rPr>
          <w:rFonts w:hint="default"/>
          <w:b w:val="0"/>
          <w:bCs/>
          <w:sz w:val="24"/>
          <w:szCs w:val="24"/>
          <w:lang w:val="pt-BR"/>
        </w:rPr>
        <w:t xml:space="preserve">alização otimiza a logística compartilhada da futura contratada, assegura a padronização e a identidade técnica e estética das vias, e gera economia de escala ao agrupar quantitativos expressivos, reduzindo os custos operacionais da Administração Pública. </w:t>
      </w:r>
      <w:r>
        <w:rPr>
          <w:rFonts w:hint="default"/>
          <w:b w:val="0"/>
          <w:bCs/>
          <w:sz w:val="24"/>
          <w:szCs w:val="24"/>
          <w:lang w:val="pt-BR"/>
        </w:rPr>
      </w:r>
      <w:r>
        <w:rPr>
          <w:rFonts w:hint="default"/>
          <w:b w:val="0"/>
          <w:bCs/>
          <w:sz w:val="24"/>
          <w:szCs w:val="24"/>
          <w:lang w:val="pt-BR"/>
        </w:rPr>
      </w:r>
    </w:p>
    <w:p w14:paraId="7981CC32">
      <w:pPr>
        <w:pStyle w:val="1104"/>
        <w:pBdr/>
        <w:spacing w:line="360" w:lineRule="auto"/>
        <w:ind/>
        <w:jc w:val="both"/>
        <w:rPr>
          <w:rFonts w:hint="default"/>
          <w:b w:val="0"/>
          <w:bCs/>
          <w:sz w:val="24"/>
          <w:szCs w:val="24"/>
          <w:lang w:val="pt-BR"/>
        </w:rPr>
      </w:pPr>
      <w:r>
        <w:rPr>
          <w:rFonts w:hint="default"/>
          <w:b w:val="0"/>
          <w:bCs/>
          <w:sz w:val="24"/>
          <w:szCs w:val="24"/>
          <w:lang w:val="pt-BR"/>
        </w:rPr>
      </w:r>
      <w:r>
        <w:rPr>
          <w:rFonts w:hint="default"/>
          <w:b w:val="0"/>
          <w:bCs/>
          <w:sz w:val="24"/>
          <w:szCs w:val="24"/>
          <w:lang w:val="pt-BR"/>
        </w:rPr>
      </w:r>
      <w:r>
        <w:rPr>
          <w:rFonts w:hint="default"/>
          <w:b w:val="0"/>
          <w:bCs/>
          <w:sz w:val="24"/>
          <w:szCs w:val="24"/>
          <w:lang w:val="pt-BR"/>
        </w:rPr>
      </w:r>
    </w:p>
    <w:p w14:paraId="077D0777">
      <w:pPr>
        <w:pStyle w:val="1104"/>
        <w:pBdr/>
        <w:spacing w:line="360" w:lineRule="auto"/>
        <w:ind/>
        <w:jc w:val="both"/>
        <w:rPr>
          <w:rFonts w:hint="default"/>
          <w:b w:val="0"/>
          <w:bCs/>
          <w:sz w:val="24"/>
          <w:szCs w:val="24"/>
          <w:lang w:val="pt-BR"/>
        </w:rPr>
      </w:pPr>
      <w:r>
        <w:rPr>
          <w:rFonts w:hint="default"/>
          <w:b w:val="0"/>
          <w:bCs/>
          <w:sz w:val="24"/>
          <w:szCs w:val="24"/>
          <w:lang w:val="pt-BR"/>
        </w:rPr>
        <w:t xml:space="preserve">Impossibilidade de Definição Prévia do Quantitativo Exato a ser Demandado (Art. 82, § 1º, Inciso III, da Lei nº 14.133/2021): Devido à pulverização e à sazonalidade das necessidades nas vias</w:t>
      </w:r>
      <w:r>
        <w:rPr>
          <w:rFonts w:hint="default"/>
          <w:b w:val="0"/>
          <w:bCs/>
          <w:sz w:val="24"/>
          <w:szCs w:val="24"/>
          <w:lang w:val="pt-BR"/>
        </w:rPr>
        <w:t xml:space="preserve"> e logradouros de Sinop, resta tecnicamente inviável fixar um cronograma estático e definitivo de execução para a totalidade do objeto. Os serviços (tais como reparos em calçadas, meios-fios moldados in loco por extrusora e pavimentação intertravada) surge</w:t>
      </w:r>
      <w:r>
        <w:rPr>
          <w:rFonts w:hint="default"/>
          <w:b w:val="0"/>
          <w:bCs/>
          <w:sz w:val="24"/>
          <w:szCs w:val="24"/>
          <w:lang w:val="pt-BR"/>
        </w:rPr>
        <w:t xml:space="preserve">m de forma dispersa e imprevisível geograficamente ao longo do exercício, justificando a flexibilidade que o SRP oferece de demandar e faturar estritamente por meio de Ordens de Serviço (OS), conforme a necessidade fática e a disponibilidade orçamentária. </w:t>
      </w:r>
      <w:r>
        <w:rPr>
          <w:rFonts w:hint="default"/>
          <w:b w:val="0"/>
          <w:bCs/>
          <w:sz w:val="24"/>
          <w:szCs w:val="24"/>
          <w:lang w:val="pt-BR"/>
        </w:rPr>
      </w:r>
      <w:r>
        <w:rPr>
          <w:rFonts w:hint="default"/>
          <w:b w:val="0"/>
          <w:bCs/>
          <w:sz w:val="24"/>
          <w:szCs w:val="24"/>
          <w:lang w:val="pt-BR"/>
        </w:rPr>
      </w:r>
    </w:p>
    <w:p w14:paraId="4C5F228E">
      <w:pPr>
        <w:pStyle w:val="1104"/>
        <w:pBdr/>
        <w:spacing w:line="360" w:lineRule="auto"/>
        <w:ind/>
        <w:jc w:val="both"/>
        <w:rPr>
          <w:rFonts w:hint="default"/>
          <w:b w:val="0"/>
          <w:bCs/>
          <w:sz w:val="24"/>
          <w:szCs w:val="24"/>
          <w:lang w:val="pt-BR"/>
        </w:rPr>
      </w:pPr>
      <w:r>
        <w:rPr>
          <w:rFonts w:hint="default"/>
          <w:b w:val="0"/>
          <w:bCs/>
          <w:sz w:val="24"/>
          <w:szCs w:val="24"/>
          <w:lang w:val="pt-BR"/>
        </w:rPr>
      </w:r>
      <w:r>
        <w:rPr>
          <w:rFonts w:hint="default"/>
          <w:b w:val="0"/>
          <w:bCs/>
          <w:sz w:val="24"/>
          <w:szCs w:val="24"/>
          <w:lang w:val="pt-BR"/>
        </w:rPr>
      </w:r>
      <w:r>
        <w:rPr>
          <w:rFonts w:hint="default"/>
          <w:b w:val="0"/>
          <w:bCs/>
          <w:sz w:val="24"/>
          <w:szCs w:val="24"/>
          <w:lang w:val="pt-BR"/>
        </w:rPr>
      </w:r>
    </w:p>
    <w:p w14:paraId="01B25198">
      <w:pPr>
        <w:pStyle w:val="1104"/>
        <w:pBdr/>
        <w:spacing w:line="360" w:lineRule="auto"/>
        <w:ind/>
        <w:jc w:val="both"/>
        <w:rPr>
          <w:rFonts w:hint="default"/>
          <w:b w:val="0"/>
          <w:bCs/>
          <w:sz w:val="24"/>
          <w:szCs w:val="24"/>
          <w:lang w:val="pt-BR"/>
        </w:rPr>
      </w:pPr>
      <w:r>
        <w:rPr>
          <w:rFonts w:hint="default"/>
          <w:b w:val="0"/>
          <w:bCs/>
          <w:sz w:val="24"/>
          <w:szCs w:val="24"/>
          <w:lang w:val="pt-BR"/>
        </w:rPr>
        <w:t xml:space="preserve"> Da Eficiênc</w:t>
      </w:r>
      <w:r>
        <w:rPr>
          <w:rFonts w:hint="default"/>
          <w:b w:val="0"/>
          <w:bCs/>
          <w:sz w:val="24"/>
          <w:szCs w:val="24"/>
          <w:lang w:val="pt-BR"/>
        </w:rPr>
        <w:t xml:space="preserve">ia Administrativa e Celeridade: A instituição da Ata de Registro de Preços funcionará como um instrumento de pronto atendimento, mitigando os riscos de passivos jurídicos decorrentes de calçadas irregulares ou vias sem acessibilidade (em descumprimento à L</w:t>
      </w:r>
      <w:r>
        <w:rPr>
          <w:rFonts w:hint="default"/>
          <w:b w:val="0"/>
          <w:bCs/>
          <w:sz w:val="24"/>
          <w:szCs w:val="24"/>
          <w:lang w:val="pt-BR"/>
        </w:rPr>
        <w:t xml:space="preserve">ei Federal nº 13.146/2015 e à ABNT NBR 9050:2020). Desse modo, o SRP evita a abertura de múltiplos e onerosos processos licitatórios para o mesmo objeto, garantindo eficiência na gestão do contrato e agilidade na resposta imediata às demandas da população.</w:t>
      </w:r>
      <w:r>
        <w:rPr>
          <w:rFonts w:hint="default"/>
          <w:b w:val="0"/>
          <w:bCs/>
          <w:sz w:val="24"/>
          <w:szCs w:val="24"/>
          <w:lang w:val="pt-BR"/>
        </w:rPr>
      </w:r>
      <w:r>
        <w:rPr>
          <w:rFonts w:hint="default"/>
          <w:b w:val="0"/>
          <w:bCs/>
          <w:sz w:val="24"/>
          <w:szCs w:val="24"/>
          <w:lang w:val="pt-BR"/>
        </w:rPr>
      </w:r>
    </w:p>
    <w:p w14:paraId="5C63DAF1">
      <w:pPr>
        <w:pStyle w:val="1104"/>
        <w:pBdr/>
        <w:spacing w:line="360" w:lineRule="auto"/>
        <w:ind/>
        <w:jc w:val="both"/>
        <w:rPr>
          <w:b/>
          <w:sz w:val="24"/>
          <w:szCs w:val="24"/>
          <w:lang w:val="pt-BR"/>
        </w:rPr>
      </w:pPr>
      <w:r>
        <w:rPr>
          <w:b/>
          <w:sz w:val="24"/>
          <w:szCs w:val="24"/>
          <w:lang w:val="pt-BR"/>
        </w:rPr>
      </w:r>
      <w:r>
        <w:rPr>
          <w:b/>
          <w:sz w:val="24"/>
          <w:szCs w:val="24"/>
          <w:lang w:val="pt-BR"/>
        </w:rPr>
      </w:r>
      <w:r>
        <w:rPr>
          <w:b/>
          <w:sz w:val="24"/>
          <w:szCs w:val="24"/>
          <w:lang w:val="pt-BR"/>
        </w:rPr>
      </w:r>
    </w:p>
    <w:p w14:paraId="6CBD4740">
      <w:pPr>
        <w:pStyle w:val="1104"/>
        <w:pBdr/>
        <w:spacing w:line="360" w:lineRule="auto"/>
        <w:ind/>
        <w:jc w:val="both"/>
        <w:rPr>
          <w:b/>
          <w:spacing w:val="-2"/>
          <w:sz w:val="24"/>
          <w:szCs w:val="24"/>
          <w:lang w:val="pt-BR"/>
        </w:rPr>
      </w:pPr>
      <w:r>
        <w:rPr>
          <w:b/>
          <w:sz w:val="24"/>
          <w:szCs w:val="24"/>
          <w:lang w:val="pt-BR"/>
        </w:rPr>
        <w:t xml:space="preserve">5.2 Garantia </w:t>
      </w:r>
      <w:r>
        <w:rPr>
          <w:b/>
          <w:spacing w:val="-2"/>
          <w:sz w:val="24"/>
          <w:szCs w:val="24"/>
          <w:lang w:val="pt-BR"/>
        </w:rPr>
        <w:t xml:space="preserve">Contratual: </w:t>
      </w:r>
      <w:r>
        <w:rPr>
          <w:b/>
          <w:spacing w:val="-2"/>
          <w:sz w:val="24"/>
          <w:szCs w:val="24"/>
          <w:lang w:val="pt-BR"/>
        </w:rPr>
      </w:r>
      <w:r>
        <w:rPr>
          <w:b/>
          <w:spacing w:val="-2"/>
          <w:sz w:val="24"/>
          <w:szCs w:val="24"/>
          <w:lang w:val="pt-BR"/>
        </w:rPr>
      </w:r>
    </w:p>
    <w:p w14:paraId="34634DC6">
      <w:pPr>
        <w:numPr>
          <w:ilvl w:val="0"/>
          <w:numId w:val="8"/>
        </w:numPr>
        <w:pBdr/>
        <w:tabs>
          <w:tab w:val="clear" w:leader="none" w:pos="425"/>
        </w:tabs>
        <w:spacing w:line="360" w:lineRule="auto"/>
        <w:ind w:firstLine="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Fundamentação Legal Dada a natu</w:t>
      </w:r>
      <w:r>
        <w:rPr>
          <w:rFonts w:ascii="Times New Roman" w:hAnsi="Times New Roman" w:eastAsia="SimSun" w:cs="Times New Roman"/>
          <w:sz w:val="24"/>
          <w:szCs w:val="24"/>
          <w:lang w:bidi="ar"/>
        </w:rPr>
        <w:t xml:space="preserve">reza de serviços de engenharia e adequações viárias, que envolvem responsabilidade técnica e riscos de execução, a Administração Municipal de Sinop opta pela exigência de garantia de execução contratual, com fulcro no Art. 96 da Lei Federal nº 14.133/2021:</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60AB7194">
      <w:pPr>
        <w:pBdr/>
        <w:spacing w:line="360" w:lineRule="auto"/>
        <w:ind w:firstLine="0" w:left="3400"/>
        <w:jc w:val="both"/>
        <w:rPr>
          <w:rFonts w:ascii="Times New Roman" w:hAnsi="Times New Roman" w:eastAsia="SimSun" w:cs="Times New Roman"/>
          <w:i/>
          <w:iCs/>
          <w:sz w:val="24"/>
          <w:szCs w:val="24"/>
          <w:lang w:bidi="ar"/>
        </w:rPr>
      </w:pPr>
      <w:r>
        <w:rPr>
          <w:rFonts w:hint="eastAsia" w:ascii="Times New Roman" w:hAnsi="Times New Roman" w:eastAsia="SimSun" w:cs="Times New Roman"/>
          <w:i/>
          <w:iCs/>
          <w:sz w:val="24"/>
          <w:szCs w:val="24"/>
          <w:lang w:bidi="ar"/>
        </w:rPr>
        <w:t xml:space="preserve">"Art. 96. A critério da autoridade competente, em cada caso, poderá ser exigida prestação de garantia nas contratações de obras, serviços e fornecimentos."</w:t>
      </w:r>
      <w:r>
        <w:rPr>
          <w:rFonts w:ascii="Times New Roman" w:hAnsi="Times New Roman" w:eastAsia="SimSun" w:cs="Times New Roman"/>
          <w:i/>
          <w:iCs/>
          <w:sz w:val="24"/>
          <w:szCs w:val="24"/>
          <w:lang w:bidi="ar"/>
        </w:rPr>
      </w:r>
      <w:r>
        <w:rPr>
          <w:rFonts w:ascii="Times New Roman" w:hAnsi="Times New Roman" w:eastAsia="SimSun" w:cs="Times New Roman"/>
          <w:i/>
          <w:iCs/>
          <w:sz w:val="24"/>
          <w:szCs w:val="24"/>
          <w:lang w:bidi="ar"/>
        </w:rPr>
      </w:r>
    </w:p>
    <w:p w14:paraId="2C313400">
      <w:pPr>
        <w:pBdr/>
        <w:spacing w:line="360" w:lineRule="auto"/>
        <w:ind/>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76A4B9CA">
      <w:pPr>
        <w:pBdr/>
        <w:spacing w:line="360" w:lineRule="auto"/>
        <w:ind/>
        <w:jc w:val="both"/>
        <w:rPr>
          <w:rFonts w:ascii="Times New Roman" w:hAnsi="Times New Roman" w:eastAsia="SimSun" w:cs="Times New Roman"/>
          <w:sz w:val="24"/>
          <w:szCs w:val="24"/>
          <w:lang w:bidi="ar"/>
        </w:rPr>
      </w:pPr>
      <w:r>
        <w:rPr>
          <w:rFonts w:ascii="Times New Roman" w:hAnsi="Times New Roman" w:eastAsia="SimSun" w:cs="Times New Roman"/>
          <w:b/>
          <w:bCs/>
          <w:sz w:val="24"/>
          <w:szCs w:val="24"/>
          <w:lang w:bidi="ar"/>
        </w:rPr>
        <w:t xml:space="preserve"> Justificativa da Exigência</w:t>
      </w:r>
      <w:r>
        <w:rPr>
          <w:rFonts w:hint="default" w:ascii="Times New Roman" w:hAnsi="Times New Roman" w:eastAsia="SimSun" w:cs="Times New Roman"/>
          <w:b/>
          <w:bCs/>
          <w:sz w:val="24"/>
          <w:szCs w:val="24"/>
          <w:lang w:val="pt-BR" w:bidi="ar"/>
        </w:rPr>
        <w:t xml:space="preserve">:</w:t>
      </w:r>
      <w:r>
        <w:rPr>
          <w:rFonts w:ascii="Times New Roman" w:hAnsi="Times New Roman" w:eastAsia="SimSun" w:cs="Times New Roman"/>
          <w:sz w:val="24"/>
          <w:szCs w:val="24"/>
          <w:lang w:bidi="ar"/>
        </w:rPr>
        <w:t xml:space="preserve"> A complexidade dos serviços (que incluem topografia, concreto armado e pavimentação intertravada) e o rigor das normas de acessibilidade (NBR 9050) justificam a manutenção de uma garantia para:</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1AD09B02">
      <w:pPr>
        <w:numPr>
          <w:ilvl w:val="0"/>
          <w:numId w:val="9"/>
        </w:numPr>
        <w:pBdr/>
        <w:tabs>
          <w:tab w:val="clear" w:leader="none" w:pos="425"/>
        </w:tabs>
        <w:spacing w:line="360" w:lineRule="auto"/>
        <w:ind w:firstLine="396"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Assegurar a reparação de vícios ocultos ou defeitos de execução detectados após a entrega de trechos das obras;</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37E88DAA">
      <w:pPr>
        <w:numPr>
          <w:ilvl w:val="0"/>
          <w:numId w:val="9"/>
        </w:numPr>
        <w:pBdr/>
        <w:tabs>
          <w:tab w:val="clear" w:leader="none" w:pos="425"/>
        </w:tabs>
        <w:spacing w:line="360" w:lineRule="auto"/>
        <w:ind w:firstLine="396"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Garantir o pagamento de multas aplicadas em decorrência de atrasos injustificados nas Ordens de Serviço;</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11648641">
      <w:pPr>
        <w:numPr>
          <w:ilvl w:val="0"/>
          <w:numId w:val="9"/>
        </w:numPr>
        <w:pBdr/>
        <w:tabs>
          <w:tab w:val="clear" w:leader="none" w:pos="425"/>
        </w:tabs>
        <w:spacing w:line="360" w:lineRule="auto"/>
        <w:ind w:firstLine="396"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Mitigar o risco de abandono de contrato por parte da detentora da Ata de Registro de Preços.</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2DA75E4D">
      <w:pPr>
        <w:numPr>
          <w:ilvl w:val="0"/>
          <w:numId w:val="9"/>
        </w:numPr>
        <w:pBdr/>
        <w:tabs>
          <w:tab w:val="clear" w:leader="none" w:pos="425"/>
        </w:tabs>
        <w:spacing w:line="360" w:lineRule="auto"/>
        <w:ind w:firstLine="396"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Percentual e Modalidades Conforme o Art. 98 da Lei 14.133/2021, o percentual de </w:t>
      </w:r>
      <w:r>
        <w:rPr>
          <w:rFonts w:ascii="Times New Roman" w:hAnsi="Times New Roman" w:eastAsia="SimSun" w:cs="Times New Roman"/>
          <w:b/>
          <w:bCs/>
          <w:sz w:val="24"/>
          <w:szCs w:val="24"/>
          <w:lang w:bidi="ar"/>
        </w:rPr>
        <w:t xml:space="preserve">garantia será de 5% (cinco por cento)</w:t>
      </w:r>
      <w:r>
        <w:rPr>
          <w:rFonts w:ascii="Times New Roman" w:hAnsi="Times New Roman" w:eastAsia="SimSun" w:cs="Times New Roman"/>
          <w:sz w:val="24"/>
          <w:szCs w:val="24"/>
          <w:lang w:bidi="ar"/>
        </w:rPr>
        <w:t xml:space="preserve"> do valor de cada nota de empenho ou contrato derivado da Ata, podendo o contratante optar por:</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08D97C1A">
      <w:pPr>
        <w:pBdr/>
        <w:spacing w:line="360" w:lineRule="auto"/>
        <w:ind/>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1A7AB9E7">
      <w:pPr>
        <w:pBdr/>
        <w:spacing w:line="360" w:lineRule="auto"/>
        <w:ind w:firstLine="60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Caução em dinheiro ou títulos da dívida pública;</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713A9F31">
      <w:pPr>
        <w:pBdr/>
        <w:spacing w:line="360" w:lineRule="auto"/>
        <w:ind w:firstLine="60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Seguro-garantia;</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70FA178E">
      <w:pPr>
        <w:pBdr/>
        <w:spacing w:line="360" w:lineRule="auto"/>
        <w:ind w:firstLine="60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Fiança bancária.</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45668D0F">
      <w:pPr>
        <w:pBdr/>
        <w:spacing w:line="360" w:lineRule="auto"/>
        <w:ind/>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09CDEB83">
      <w:pPr>
        <w:numPr>
          <w:ilvl w:val="0"/>
          <w:numId w:val="10"/>
        </w:numPr>
        <w:pBdr/>
        <w:spacing w:line="360" w:lineRule="auto"/>
        <w:ind w:hanging="425" w:left="425"/>
        <w:jc w:val="both"/>
        <w:rPr>
          <w:rFonts w:ascii="Times New Roman" w:hAnsi="Times New Roman" w:eastAsia="SimSun" w:cs="Times New Roman"/>
          <w:sz w:val="24"/>
          <w:szCs w:val="24"/>
          <w:lang w:bidi="ar"/>
        </w:rPr>
      </w:pPr>
      <w:r>
        <w:rPr>
          <w:rFonts w:ascii="Times New Roman" w:hAnsi="Times New Roman" w:eastAsia="SimSun" w:cs="Times New Roman"/>
          <w:b/>
          <w:bCs/>
          <w:sz w:val="24"/>
          <w:szCs w:val="24"/>
          <w:lang w:bidi="ar"/>
        </w:rPr>
        <w:t xml:space="preserve">Prazo de Vigência e Liberaçã</w:t>
      </w:r>
      <w:r>
        <w:rPr>
          <w:rFonts w:hint="default" w:ascii="Times New Roman" w:hAnsi="Times New Roman" w:eastAsia="SimSun" w:cs="Times New Roman"/>
          <w:b/>
          <w:bCs/>
          <w:sz w:val="24"/>
          <w:szCs w:val="24"/>
          <w:lang w:val="pt-BR" w:bidi="ar"/>
        </w:rPr>
        <w:t xml:space="preserve">o: </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6B4EDB5B">
      <w:pPr>
        <w:numPr>
          <w:ilvl w:val="0"/>
          <w:numId w:val="11"/>
        </w:numPr>
        <w:pBdr/>
        <w:tabs>
          <w:tab w:val="left" w:leader="none" w:pos="0"/>
          <w:tab w:val="clear" w:leader="none" w:pos="425"/>
        </w:tabs>
        <w:spacing w:line="360" w:lineRule="auto"/>
        <w:ind w:firstLine="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A garantia deverá cobrir todo o período de execução e o prazo de responsabilidade técnica por defeitos (período de garantia da obra).</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6C952A16">
      <w:pPr>
        <w:numPr>
          <w:ilvl w:val="0"/>
          <w:numId w:val="11"/>
        </w:numPr>
        <w:pBdr/>
        <w:tabs>
          <w:tab w:val="left" w:leader="none" w:pos="0"/>
          <w:tab w:val="clear" w:leader="none" w:pos="425"/>
        </w:tabs>
        <w:spacing w:line="360" w:lineRule="auto"/>
        <w:ind w:firstLine="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A libe</w:t>
      </w:r>
      <w:r>
        <w:rPr>
          <w:rFonts w:ascii="Times New Roman" w:hAnsi="Times New Roman" w:eastAsia="SimSun" w:cs="Times New Roman"/>
          <w:sz w:val="24"/>
          <w:szCs w:val="24"/>
          <w:lang w:bidi="ar"/>
        </w:rPr>
        <w:t xml:space="preserve">ração ou restituição da garantia ocorrerá somente após o Recebimento Definitivo do objeto pela fiscalização das Secretarias de Obras ou Trânsito, e uma vez verificado o cumprimento de todas as obrigações contratuais, conforme o Art. 102 da Lei 14.133/2021.</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6DA69DE7">
      <w:pPr>
        <w:numPr>
          <w:ilvl w:val="0"/>
          <w:numId w:val="11"/>
        </w:numPr>
        <w:pBdr/>
        <w:tabs>
          <w:tab w:val="left" w:leader="none" w:pos="0"/>
          <w:tab w:val="clear" w:leader="none" w:pos="425"/>
        </w:tabs>
        <w:spacing w:line="360" w:lineRule="auto"/>
        <w:ind w:firstLine="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Atualização </w:t>
      </w:r>
      <w:r>
        <w:rPr>
          <w:rFonts w:hint="default" w:ascii="Times New Roman" w:hAnsi="Times New Roman" w:eastAsia="SimSun" w:cs="Times New Roman"/>
          <w:sz w:val="24"/>
          <w:szCs w:val="24"/>
          <w:lang w:val="pt-BR" w:bidi="ar"/>
        </w:rPr>
        <w:t xml:space="preserve">e</w:t>
      </w:r>
      <w:r>
        <w:rPr>
          <w:rFonts w:ascii="Times New Roman" w:hAnsi="Times New Roman" w:eastAsia="SimSun" w:cs="Times New Roman"/>
          <w:sz w:val="24"/>
          <w:szCs w:val="24"/>
          <w:lang w:bidi="ar"/>
        </w:rPr>
        <w:t xml:space="preserve">m caso de aditivos que elevem o valor contratual, a contratada deverá proceder à atualização do valor da garantia na mesma proporção, sob pena de suspensão dos pagamentos.</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249CB63F">
      <w:pPr>
        <w:numPr>
          <w:ilvl w:val="0"/>
          <w:numId w:val="11"/>
        </w:numPr>
        <w:pBdr/>
        <w:tabs>
          <w:tab w:val="left" w:leader="none" w:pos="0"/>
          <w:tab w:val="clear" w:leader="none" w:pos="425"/>
        </w:tabs>
        <w:spacing w:line="360" w:lineRule="auto"/>
        <w:ind w:firstLine="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Prazo de garantia para os serviços executados e materiais utilizados de, no mínimo, 60 (sessenta) meses, contados do término da execução contratual.</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1337D6E7">
      <w:pPr>
        <w:numPr>
          <w:ilvl w:val="0"/>
          <w:numId w:val="11"/>
        </w:numPr>
        <w:pBdr/>
        <w:tabs>
          <w:tab w:val="left" w:leader="none" w:pos="0"/>
          <w:tab w:val="clear" w:leader="none" w:pos="425"/>
        </w:tabs>
        <w:spacing w:line="360" w:lineRule="auto"/>
        <w:ind w:firstLine="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A CONTRATADA deverá efetivar a prestação da garantia e formalizar a entrega do comprovante respectivo, exclusivamente por meio de registro no Serviço de Protocolo Administrativo da P</w:t>
      </w:r>
      <w:r>
        <w:rPr>
          <w:rFonts w:ascii="Times New Roman" w:hAnsi="Times New Roman" w:eastAsia="SimSun" w:cs="Times New Roman"/>
          <w:sz w:val="24"/>
          <w:szCs w:val="24"/>
          <w:lang w:bidi="ar"/>
        </w:rPr>
        <w:t xml:space="preserve">refeitura Municipal de Sinop endereçado ao Gestor do contrato, no prazo máximo de 10 (dez) dias úteis contados do início da vigência contratual, podendo esse prazo ser prorrogado por igual período, mediante justificativa a ser apreciada pela Administração.</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2602399F">
      <w:pPr>
        <w:numPr>
          <w:ilvl w:val="0"/>
          <w:numId w:val="11"/>
        </w:numPr>
        <w:pBdr/>
        <w:tabs>
          <w:tab w:val="left" w:leader="none" w:pos="0"/>
          <w:tab w:val="clear" w:leader="none" w:pos="425"/>
        </w:tabs>
        <w:spacing w:line="360" w:lineRule="auto"/>
        <w:ind w:firstLine="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 Quando a CONTRATADA optar pela modalidade prevista no inciso II do caput, o prazo para apresentação da garantia será de 1 (um) mês, contado da data da homologação da licitação.</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44EFB3F5">
      <w:pPr>
        <w:numPr>
          <w:ilvl w:val="0"/>
          <w:numId w:val="11"/>
        </w:numPr>
        <w:pBdr/>
        <w:tabs>
          <w:tab w:val="left" w:leader="none" w:pos="0"/>
          <w:tab w:val="clear" w:leader="none" w:pos="425"/>
        </w:tabs>
        <w:spacing w:line="360" w:lineRule="auto"/>
        <w:ind w:firstLine="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O seguro-garantia e suas condições gerais deverão atender a CIRCULAR SUSEP n.661, de 11 de abril de 2022 e seus anexos;</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51EDF705">
      <w:pPr>
        <w:numPr>
          <w:ilvl w:val="0"/>
          <w:numId w:val="11"/>
        </w:numPr>
        <w:pBdr/>
        <w:tabs>
          <w:tab w:val="left" w:leader="none" w:pos="0"/>
          <w:tab w:val="clear" w:leader="none" w:pos="425"/>
        </w:tabs>
        <w:spacing w:line="360" w:lineRule="auto"/>
        <w:ind w:firstLine="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A apólice terá sua validade confirmada pelo segurado por meio da consulta ao site </w:t>
      </w:r>
      <w:r>
        <w:fldChar w:fldCharType="begin"/>
      </w:r>
      <w:r>
        <w:instrText xml:space="preserve"> HYPERLINK "https://www2.susep.gov.br/safe/menumercado/regapolices/pesquisa.asp" </w:instrText>
      </w:r>
      <w:r>
        <w:fldChar w:fldCharType="separate"/>
      </w:r>
      <w:r>
        <w:rPr>
          <w:rFonts w:ascii="Times New Roman" w:hAnsi="Times New Roman" w:eastAsia="SimSun" w:cs="Times New Roman"/>
          <w:sz w:val="24"/>
          <w:szCs w:val="24"/>
          <w:lang w:bidi="ar"/>
        </w:rPr>
        <w:t xml:space="preserve">https://www2.susep.gov.br/safe/menumercado/regapolices/pesquisa.asp</w:t>
      </w:r>
      <w:r>
        <w:rPr>
          <w:rFonts w:ascii="Times New Roman" w:hAnsi="Times New Roman" w:eastAsia="SimSun" w:cs="Times New Roman"/>
          <w:sz w:val="24"/>
          <w:szCs w:val="24"/>
          <w:lang w:bidi="ar"/>
        </w:rPr>
        <w:fldChar w:fldCharType="end"/>
      </w:r>
      <w:r>
        <w:rPr>
          <w:rFonts w:ascii="Times New Roman" w:hAnsi="Times New Roman" w:eastAsia="SimSun" w:cs="Times New Roman"/>
          <w:sz w:val="24"/>
          <w:szCs w:val="24"/>
          <w:lang w:bidi="ar"/>
        </w:rPr>
        <w:t xml:space="preserve">.</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6D357897">
      <w:pPr>
        <w:numPr>
          <w:ilvl w:val="0"/>
          <w:numId w:val="11"/>
        </w:numPr>
        <w:pBdr/>
        <w:tabs>
          <w:tab w:val="left" w:leader="none" w:pos="0"/>
          <w:tab w:val="clear" w:leader="none" w:pos="425"/>
        </w:tabs>
        <w:spacing w:line="360" w:lineRule="auto"/>
        <w:ind w:firstLine="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 O seguro-garantia continuará em vigor mesmo se o contratado não tiver pago o prêmio nas datas convencionadas;</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5047FEF4">
      <w:pPr>
        <w:numPr>
          <w:ilvl w:val="0"/>
          <w:numId w:val="11"/>
        </w:numPr>
        <w:pBdr/>
        <w:tabs>
          <w:tab w:val="left" w:leader="none" w:pos="0"/>
          <w:tab w:val="clear" w:leader="none" w:pos="425"/>
        </w:tabs>
        <w:spacing w:line="360" w:lineRule="auto"/>
        <w:ind w:firstLine="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A garantia em dinheiro (caução) será efetuada, mediante depósito em conta específica da CONTRATANTE, com correção monetária a crédito da CONTRATADA;</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19D06FAA">
      <w:pPr>
        <w:numPr>
          <w:ilvl w:val="0"/>
          <w:numId w:val="11"/>
        </w:numPr>
        <w:pBdr/>
        <w:tabs>
          <w:tab w:val="left" w:leader="none" w:pos="0"/>
          <w:tab w:val="clear" w:leader="none" w:pos="425"/>
        </w:tabs>
        <w:spacing w:line="360" w:lineRule="auto"/>
        <w:ind w:firstLine="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A inobservância do prazo fixado para apresentação da garantia acarretará a aplicação de multa de 0,5% (cinco décimos por cento) do valor do contrato por dia de atraso, observado o máximo de 2% (dois por cento);</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3F7668A4">
      <w:pPr>
        <w:numPr>
          <w:ilvl w:val="0"/>
          <w:numId w:val="11"/>
        </w:numPr>
        <w:pBdr/>
        <w:tabs>
          <w:tab w:val="left" w:leader="none" w:pos="0"/>
          <w:tab w:val="clear" w:leader="none" w:pos="425"/>
        </w:tabs>
        <w:spacing w:line="360" w:lineRule="auto"/>
        <w:ind w:firstLine="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 O atraso superior a 20 (vinte) dias autoriza a CONTRATANTE a promover a extinção do contrato por descumprimento ou cumprimento irregular de suas cláusulas, conforme dispõe o inciso I do art.137 da Lei n.14.133/2021;</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41C12B8C">
      <w:pPr>
        <w:numPr>
          <w:ilvl w:val="0"/>
          <w:numId w:val="11"/>
        </w:numPr>
        <w:pBdr/>
        <w:tabs>
          <w:tab w:val="left" w:leader="none" w:pos="0"/>
          <w:tab w:val="clear" w:leader="none" w:pos="425"/>
        </w:tabs>
        <w:spacing w:line="360" w:lineRule="auto"/>
        <w:ind w:firstLine="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 Caso a opção seja por utilizar título da dívida pública como garantia, este deverá conter valor de mercado correspondente ao valor garantido e ser reconhecido pela Prefeitura Municipal, constando entre aqueles previstos em legislação especifica. Além d</w:t>
      </w:r>
      <w:r>
        <w:rPr>
          <w:rFonts w:ascii="Times New Roman" w:hAnsi="Times New Roman" w:eastAsia="SimSun" w:cs="Times New Roman"/>
          <w:sz w:val="24"/>
          <w:szCs w:val="24"/>
          <w:lang w:bidi="ar"/>
        </w:rPr>
        <w:t xml:space="preserve">isso, deverá estar devidamente escriturado em sistema centralizado de liquidação e custódia, nos termos do art.61 da Lei complementar n.101 de 04 de maio de 2000, podendo a CONTRATANTE recusar o título ofertado, caso verifique a ausência desses requisitos;</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42F865A7">
      <w:pPr>
        <w:numPr>
          <w:ilvl w:val="0"/>
          <w:numId w:val="11"/>
        </w:numPr>
        <w:pBdr/>
        <w:tabs>
          <w:tab w:val="left" w:leader="none" w:pos="0"/>
          <w:tab w:val="clear" w:leader="none" w:pos="425"/>
        </w:tabs>
        <w:spacing w:line="360" w:lineRule="auto"/>
        <w:ind w:firstLine="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No caso de garantia na modalidade de carta fiança, deverá constar da mesma expressa renúncia pelo fiador, aos benefícios do art.827 do Código Civil de 2002;</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4C7A29AE">
      <w:pPr>
        <w:numPr>
          <w:ilvl w:val="0"/>
          <w:numId w:val="11"/>
        </w:numPr>
        <w:pBdr/>
        <w:tabs>
          <w:tab w:val="left" w:leader="none" w:pos="0"/>
          <w:tab w:val="clear" w:leader="none" w:pos="425"/>
        </w:tabs>
        <w:spacing w:line="360" w:lineRule="auto"/>
        <w:ind w:firstLine="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 Se o valor da garantia for utilizado total ou parcialmente em pagamento de qualquer obrigação, a CONTRATADA obriga-se a fazer a respectiva reposição no prazo máximo de 10 (dez) dias úteis, contados da data em que for notificada;</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20AE8921">
      <w:pPr>
        <w:numPr>
          <w:ilvl w:val="0"/>
          <w:numId w:val="11"/>
        </w:numPr>
        <w:pBdr/>
        <w:tabs>
          <w:tab w:val="left" w:leader="none" w:pos="0"/>
          <w:tab w:val="clear" w:leader="none" w:pos="425"/>
        </w:tabs>
        <w:spacing w:line="360" w:lineRule="auto"/>
        <w:ind w:firstLine="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 A garantia prestada pelo contratado será liberada ou restituída após a fiel execução do contrato ou após a sua extinção por culpa exclusiva da Administração e, quando em dinheiro, atualizada monetariamente;</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6FBFC731">
      <w:pPr>
        <w:numPr>
          <w:ilvl w:val="0"/>
          <w:numId w:val="11"/>
        </w:numPr>
        <w:pBdr/>
        <w:tabs>
          <w:tab w:val="left" w:leader="none" w:pos="0"/>
          <w:tab w:val="clear" w:leader="none" w:pos="425"/>
        </w:tabs>
        <w:spacing w:line="360" w:lineRule="auto"/>
        <w:ind w:firstLine="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A garantia será recalculada, nas mesmas condições e proporções, sempre que ocorrer modificação no valor deste contrato.</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5B50EB36">
      <w:pPr>
        <w:numPr>
          <w:ilvl w:val="0"/>
          <w:numId w:val="11"/>
        </w:numPr>
        <w:pBdr/>
        <w:tabs>
          <w:tab w:val="left" w:leader="none" w:pos="0"/>
          <w:tab w:val="clear" w:leader="none" w:pos="425"/>
        </w:tabs>
        <w:spacing w:line="360" w:lineRule="auto"/>
        <w:ind w:firstLine="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 A garantia será liberada após a execução plena do contrato no prazo de até 5 (cinco) dias úteis, de acordo com a legislação em vigor.</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248F1083">
      <w:pPr>
        <w:numPr>
          <w:ilvl w:val="0"/>
          <w:numId w:val="11"/>
        </w:numPr>
        <w:pBdr/>
        <w:tabs>
          <w:tab w:val="left" w:leader="none" w:pos="0"/>
          <w:tab w:val="clear" w:leader="none" w:pos="425"/>
        </w:tabs>
        <w:spacing w:line="360" w:lineRule="auto"/>
        <w:ind w:firstLine="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 A garantia a que se refere terá vigência durante todo o prazo de execução do contrato.</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0E8C5A96">
      <w:pPr>
        <w:numPr>
          <w:ilvl w:val="0"/>
          <w:numId w:val="11"/>
        </w:numPr>
        <w:pBdr/>
        <w:tabs>
          <w:tab w:val="left" w:leader="none" w:pos="0"/>
          <w:tab w:val="clear" w:leader="none" w:pos="425"/>
        </w:tabs>
        <w:spacing w:line="360" w:lineRule="auto"/>
        <w:ind w:firstLine="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 O valor da garantia não poderá ser decrescente em função da execução gradual do contrato, nem poderá a garantia estar condicionada a elementos externos à relação entre a CONTRATANTE e a CONTRATADA.</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65FE9564">
      <w:pPr>
        <w:numPr>
          <w:ilvl w:val="0"/>
          <w:numId w:val="11"/>
        </w:numPr>
        <w:pBdr/>
        <w:tabs>
          <w:tab w:val="left" w:leader="none" w:pos="0"/>
          <w:tab w:val="clear" w:leader="none" w:pos="425"/>
        </w:tabs>
        <w:spacing w:line="360" w:lineRule="auto"/>
        <w:ind w:firstLine="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A garantia, inclusive na modalidade seguro-garantia, deverá assegurar ressarcimento, indenização e pagamento de, no mínimo:</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3CB8711C">
      <w:pPr>
        <w:numPr>
          <w:ilvl w:val="0"/>
          <w:numId w:val="12"/>
        </w:numPr>
        <w:pBdr/>
        <w:tabs>
          <w:tab w:val="left" w:leader="none" w:pos="0"/>
          <w:tab w:val="clear" w:leader="none" w:pos="425"/>
        </w:tabs>
        <w:spacing w:line="360" w:lineRule="auto"/>
        <w:ind w:firstLine="595" w:left="5"/>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Prejuízos advindos do não cumprimento do contrato;</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11B06435">
      <w:pPr>
        <w:numPr>
          <w:ilvl w:val="0"/>
          <w:numId w:val="12"/>
        </w:numPr>
        <w:pBdr/>
        <w:tabs>
          <w:tab w:val="left" w:leader="none" w:pos="0"/>
          <w:tab w:val="clear" w:leader="none" w:pos="425"/>
        </w:tabs>
        <w:spacing w:line="360" w:lineRule="auto"/>
        <w:ind w:firstLine="595" w:left="5"/>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Multas aplicadas pela CONTRATANTE à CONTRATADA;</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77C3FD38">
      <w:pPr>
        <w:numPr>
          <w:ilvl w:val="0"/>
          <w:numId w:val="12"/>
        </w:numPr>
        <w:pBdr/>
        <w:tabs>
          <w:tab w:val="left" w:leader="none" w:pos="0"/>
          <w:tab w:val="clear" w:leader="none" w:pos="425"/>
        </w:tabs>
        <w:spacing w:line="360" w:lineRule="auto"/>
        <w:ind w:firstLine="595" w:left="5"/>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Prejuízos diretos causados a CONTRATANTE decorrentes de culpa ou dolo da CONTRATADA durante a execução do contrato</w:t>
      </w:r>
      <w:r>
        <w:rPr>
          <w:rFonts w:hint="default" w:ascii="Times New Roman" w:hAnsi="Times New Roman" w:eastAsia="SimSun" w:cs="Times New Roman"/>
          <w:sz w:val="24"/>
          <w:szCs w:val="24"/>
          <w:lang w:val="pt-BR" w:bidi="ar"/>
        </w:rPr>
        <w:t xml:space="preserve">;</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19298C84">
      <w:pPr>
        <w:numPr>
          <w:ilvl w:val="0"/>
          <w:numId w:val="12"/>
        </w:numPr>
        <w:pBdr/>
        <w:tabs>
          <w:tab w:val="left" w:leader="none" w:pos="0"/>
          <w:tab w:val="clear" w:leader="none" w:pos="425"/>
        </w:tabs>
        <w:spacing w:line="360" w:lineRule="auto"/>
        <w:ind w:firstLine="595" w:left="5"/>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Multas contratuais contemplando Cobertura Adicional de Ações Trabalhistas e Previdenciárias do CONTRATADO (TOMADOR) em relação à obra</w:t>
      </w:r>
      <w:r>
        <w:rPr>
          <w:rFonts w:hint="default" w:ascii="Times New Roman" w:hAnsi="Times New Roman" w:eastAsia="SimSun" w:cs="Times New Roman"/>
          <w:sz w:val="24"/>
          <w:szCs w:val="24"/>
          <w:lang w:val="pt-BR" w:bidi="ar"/>
        </w:rPr>
        <w:t xml:space="preserve">;</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56417F8D">
      <w:pPr>
        <w:numPr>
          <w:ilvl w:val="0"/>
          <w:numId w:val="13"/>
        </w:numPr>
        <w:pBdr/>
        <w:tabs>
          <w:tab w:val="clear" w:leader="none" w:pos="425"/>
        </w:tabs>
        <w:spacing w:line="360" w:lineRule="auto"/>
        <w:ind w:firstLine="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Havendo alteração contratual, a CONTRATADA deverá comunicar o fato e encaminhar à seguradora o respectivo documento qu</w:t>
      </w:r>
      <w:r>
        <w:rPr>
          <w:rFonts w:ascii="Times New Roman" w:hAnsi="Times New Roman" w:eastAsia="SimSun" w:cs="Times New Roman"/>
          <w:sz w:val="24"/>
          <w:szCs w:val="24"/>
          <w:lang w:bidi="ar"/>
        </w:rPr>
        <w:t xml:space="preserve">e formalize a alteração para fins de emissão do respectivo endosso, devendo a CONTRATADA apresentar a CONTRATANTE, no prazo máximo do 10 (dez) dias úteis a contar da formalização da alteração contratual, a comprovação da referida comunicação e a anuência d</w:t>
      </w:r>
      <w:r>
        <w:rPr>
          <w:rFonts w:ascii="Times New Roman" w:hAnsi="Times New Roman" w:eastAsia="SimSun" w:cs="Times New Roman"/>
          <w:sz w:val="24"/>
          <w:szCs w:val="24"/>
          <w:lang w:bidi="ar"/>
        </w:rPr>
        <w:t xml:space="preserve">a seguradora, sob pena de multa diária de 0,1% (um décimo por cento) sobre o valor total remanescente deste contrato até o limite de 20 (vinte) dias, após o qual será aplicada, cumulativamente, multa de 1% (um por cento) sobre o valor total da contratação.</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4689FE5F">
      <w:pPr>
        <w:numPr>
          <w:ilvl w:val="0"/>
          <w:numId w:val="13"/>
        </w:numPr>
        <w:pBdr/>
        <w:tabs>
          <w:tab w:val="clear" w:leader="none" w:pos="425"/>
        </w:tabs>
        <w:spacing w:line="360" w:lineRule="auto"/>
        <w:ind w:firstLine="0" w:left="0"/>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t xml:space="preserve">Quando</w:t>
      </w:r>
      <w:r>
        <w:rPr>
          <w:rFonts w:ascii="Times New Roman" w:hAnsi="Times New Roman" w:eastAsia="SimSun" w:cs="Times New Roman"/>
          <w:sz w:val="24"/>
          <w:szCs w:val="24"/>
          <w:lang w:bidi="ar"/>
        </w:rPr>
        <w:t xml:space="preserve"> da abertura de processos para eventual aplicação de penalidade, para fins de configuração de “expectativa de sinistro”, a CONTRATANTE deverá comunicar o fato à seguradora e/ou fiadora tão logo ocorra a instauração do processo administrativo sancionatório.</w:t>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44D8CE13">
      <w:pPr>
        <w:numPr>
          <w:ilvl w:val="0"/>
          <w:numId w:val="13"/>
        </w:numPr>
        <w:pBdr/>
        <w:tabs>
          <w:tab w:val="clear" w:leader="none" w:pos="425"/>
        </w:tabs>
        <w:spacing w:line="360" w:lineRule="auto"/>
        <w:ind w:firstLine="0" w:left="0"/>
        <w:jc w:val="both"/>
        <w:rPr>
          <w:rFonts w:hint="default" w:ascii="Times New Roman" w:hAnsi="Times New Roman" w:eastAsia="SimSun" w:cs="Times New Roman"/>
          <w:b/>
          <w:bCs/>
          <w:sz w:val="24"/>
          <w:szCs w:val="24"/>
          <w:lang w:val="pt-BR" w:bidi="ar"/>
        </w:rPr>
      </w:pPr>
      <w:r>
        <w:rPr>
          <w:rFonts w:ascii="Times New Roman" w:hAnsi="Times New Roman" w:eastAsia="SimSun" w:cs="Times New Roman"/>
          <w:sz w:val="24"/>
          <w:szCs w:val="24"/>
          <w:lang w:bidi="ar"/>
        </w:rPr>
        <w:t xml:space="preserve">O garantidor não é parte interessada para figurar em processo administrativo instaurado pela CONTRATANTE com o objetivo de apurar prejuízos e/ou aplicar sanções à CONTRATADA</w:t>
      </w:r>
      <w:r>
        <w:rPr>
          <w:rFonts w:hint="default" w:ascii="Times New Roman" w:hAnsi="Times New Roman" w:eastAsia="SimSun" w:cs="Times New Roman"/>
          <w:b/>
          <w:bCs/>
          <w:sz w:val="24"/>
          <w:szCs w:val="24"/>
          <w:lang w:val="pt-BR" w:bidi="ar"/>
        </w:rPr>
      </w:r>
      <w:r>
        <w:rPr>
          <w:rFonts w:hint="default" w:ascii="Times New Roman" w:hAnsi="Times New Roman" w:eastAsia="SimSun" w:cs="Times New Roman"/>
          <w:b/>
          <w:bCs/>
          <w:sz w:val="24"/>
          <w:szCs w:val="24"/>
          <w:lang w:val="pt-BR" w:bidi="ar"/>
        </w:rPr>
      </w:r>
    </w:p>
    <w:p w14:paraId="3DC4D3B0">
      <w:pPr>
        <w:numPr>
          <w:ilvl w:val="0"/>
          <w:numId w:val="0"/>
        </w:numPr>
        <w:pBdr/>
        <w:spacing w:line="360" w:lineRule="auto"/>
        <w:ind/>
        <w:jc w:val="both"/>
        <w:rPr>
          <w:rFonts w:hint="default" w:ascii="Times New Roman" w:hAnsi="Times New Roman" w:eastAsia="SimSun" w:cs="Times New Roman"/>
          <w:b/>
          <w:bCs/>
          <w:sz w:val="24"/>
          <w:szCs w:val="24"/>
        </w:rPr>
      </w:pPr>
      <w:r>
        <w:rPr>
          <w:rFonts w:hint="default" w:ascii="Times New Roman" w:hAnsi="Times New Roman" w:eastAsia="SimSun" w:cs="Times New Roman"/>
          <w:b/>
          <w:bCs/>
          <w:sz w:val="24"/>
          <w:szCs w:val="24"/>
          <w:lang w:val="pt-BR" w:bidi="ar"/>
        </w:rPr>
        <w:t xml:space="preserve">Garantia da Proposta:</w:t>
      </w:r>
      <w:r>
        <w:rPr>
          <w:rFonts w:hint="default" w:ascii="Times New Roman" w:hAnsi="Times New Roman" w:eastAsia="SimSun" w:cs="Times New Roman"/>
          <w:b/>
          <w:bCs/>
          <w:sz w:val="24"/>
          <w:szCs w:val="24"/>
          <w:lang w:val="pt-BR" w:bidi="ar"/>
        </w:rPr>
      </w:r>
      <w:r>
        <w:rPr>
          <w:rFonts w:hint="default" w:ascii="Times New Roman" w:hAnsi="Times New Roman" w:eastAsia="SimSun" w:cs="Times New Roman"/>
          <w:b/>
          <w:bCs/>
          <w:sz w:val="24"/>
          <w:szCs w:val="24"/>
        </w:rPr>
      </w:r>
    </w:p>
    <w:p w14:paraId="7BCAB07F">
      <w:pPr>
        <w:numPr>
          <w:ilvl w:val="0"/>
          <w:numId w:val="13"/>
        </w:numPr>
        <w:pBdr/>
        <w:tabs>
          <w:tab w:val="clear" w:leader="none" w:pos="425"/>
        </w:tabs>
        <w:spacing w:line="360" w:lineRule="auto"/>
        <w:ind w:firstLine="0" w:left="0"/>
        <w:jc w:val="both"/>
        <w:rPr>
          <w:rFonts w:hint="default" w:ascii="Times New Roman" w:hAnsi="Times New Roman" w:eastAsia="SimSun" w:cs="Times New Roman"/>
          <w:b/>
          <w:bCs/>
          <w:sz w:val="24"/>
          <w:szCs w:val="24"/>
        </w:rPr>
      </w:pPr>
      <w:r>
        <w:rPr>
          <w:rFonts w:hint="default" w:ascii="Times New Roman" w:hAnsi="Times New Roman" w:eastAsia="SimSun" w:cs="Times New Roman"/>
          <w:b/>
          <w:bCs/>
          <w:sz w:val="24"/>
          <w:szCs w:val="24"/>
          <w:lang w:val="pt-BR" w:bidi="ar"/>
        </w:rPr>
        <w:t xml:space="preserve"> </w:t>
      </w:r>
      <w:r>
        <w:rPr>
          <w:rFonts w:hint="default" w:ascii="Times New Roman" w:hAnsi="Times New Roman" w:eastAsia="SimSun" w:cs="Times New Roman"/>
          <w:b/>
          <w:bCs/>
          <w:sz w:val="24"/>
          <w:szCs w:val="24"/>
          <w:lang w:val="pt-BR" w:bidi="ar"/>
        </w:rPr>
        <w:t xml:space="preserve">No momento da apresentação da proposta, conforme o art. 58 da Lei nº </w:t>
      </w:r>
      <w:r>
        <w:rPr>
          <w:rFonts w:hint="default" w:ascii="Times New Roman" w:hAnsi="Times New Roman" w:eastAsia="SimSun" w:cs="Times New Roman"/>
          <w:b/>
          <w:bCs/>
          <w:sz w:val="24"/>
          <w:szCs w:val="24"/>
          <w:lang w:val="pt-BR" w:bidi="ar"/>
        </w:rPr>
        <w:t xml:space="preserve">14.133/2021, os interessados deverão apresentar comprovante de recolhimento no valor de 1% (um por cento) do valor estimado da presente contratação, a título de garantia da proposta, que poderá ser prestada nas modalidades do art. 96 da Lei nº 14.133/2021.</w:t>
      </w:r>
      <w:r>
        <w:rPr>
          <w:rFonts w:hint="default" w:ascii="Times New Roman" w:hAnsi="Times New Roman" w:eastAsia="SimSun" w:cs="Times New Roman"/>
          <w:b/>
          <w:bCs/>
          <w:sz w:val="24"/>
          <w:szCs w:val="24"/>
          <w:lang w:val="pt-BR" w:bidi="ar"/>
        </w:rPr>
      </w:r>
      <w:r>
        <w:rPr>
          <w:rFonts w:hint="default" w:ascii="Times New Roman" w:hAnsi="Times New Roman" w:eastAsia="SimSun" w:cs="Times New Roman"/>
          <w:b/>
          <w:bCs/>
          <w:sz w:val="24"/>
          <w:szCs w:val="24"/>
        </w:rPr>
      </w:r>
    </w:p>
    <w:p w14:paraId="1F53F712">
      <w:pPr>
        <w:numPr>
          <w:ilvl w:val="0"/>
          <w:numId w:val="13"/>
        </w:numPr>
        <w:pBdr/>
        <w:tabs>
          <w:tab w:val="clear" w:leader="none" w:pos="425"/>
        </w:tabs>
        <w:spacing w:line="360" w:lineRule="auto"/>
        <w:ind w:firstLine="0" w:left="0"/>
        <w:jc w:val="both"/>
        <w:rPr>
          <w:rFonts w:hint="default" w:ascii="Times New Roman" w:hAnsi="Times New Roman" w:eastAsia="SimSun" w:cs="Times New Roman"/>
          <w:b w:val="0"/>
          <w:bCs w:val="0"/>
          <w:sz w:val="24"/>
          <w:szCs w:val="24"/>
          <w:lang w:val="pt-BR" w:bidi="ar"/>
        </w:rPr>
      </w:pPr>
      <w:r>
        <w:rPr>
          <w:rFonts w:hint="default" w:ascii="Times New Roman" w:hAnsi="Times New Roman" w:eastAsia="SimSun" w:cs="Times New Roman"/>
          <w:b w:val="0"/>
          <w:bCs w:val="0"/>
          <w:sz w:val="24"/>
          <w:szCs w:val="24"/>
          <w:lang w:val="pt-BR" w:bidi="ar"/>
        </w:rPr>
        <w:t xml:space="preserve">O licitante que apresentar garantia de proposta com valor in</w:t>
      </w:r>
      <w:r>
        <w:rPr>
          <w:rFonts w:hint="default" w:ascii="Times New Roman" w:hAnsi="Times New Roman" w:eastAsia="SimSun" w:cs="Times New Roman"/>
          <w:b w:val="0"/>
          <w:bCs w:val="0"/>
          <w:sz w:val="24"/>
          <w:szCs w:val="24"/>
          <w:lang w:val="pt-BR" w:bidi="ar"/>
        </w:rPr>
        <w:t xml:space="preserve">ferior ao exigido no edital será desclassificado, sem prejuízo das sanções cabíveis. O valor recolhido será devolvido aos licitantes no prazo de 10 (dez) dias úteis, contados da assinatura do contrato ou da data em que for declarada fracassada a licitação.</w:t>
      </w:r>
      <w:r>
        <w:rPr>
          <w:rFonts w:hint="default" w:ascii="Times New Roman" w:hAnsi="Times New Roman" w:eastAsia="SimSun" w:cs="Times New Roman"/>
          <w:b w:val="0"/>
          <w:bCs w:val="0"/>
          <w:sz w:val="24"/>
          <w:szCs w:val="24"/>
          <w:lang w:val="pt-BR" w:bidi="ar"/>
        </w:rPr>
      </w:r>
      <w:r>
        <w:rPr>
          <w:rFonts w:hint="default" w:ascii="Times New Roman" w:hAnsi="Times New Roman" w:eastAsia="SimSun" w:cs="Times New Roman"/>
          <w:b w:val="0"/>
          <w:bCs w:val="0"/>
          <w:sz w:val="24"/>
          <w:szCs w:val="24"/>
          <w:lang w:val="pt-BR" w:bidi="ar"/>
        </w:rPr>
      </w:r>
    </w:p>
    <w:p w14:paraId="3966E67E">
      <w:pPr>
        <w:numPr>
          <w:ilvl w:val="0"/>
          <w:numId w:val="13"/>
        </w:numPr>
        <w:pBdr/>
        <w:tabs>
          <w:tab w:val="clear" w:leader="none" w:pos="425"/>
        </w:tabs>
        <w:spacing w:line="360" w:lineRule="auto"/>
        <w:ind w:firstLine="0" w:left="0"/>
        <w:jc w:val="both"/>
        <w:rPr>
          <w:rFonts w:hint="default" w:ascii="Times New Roman" w:hAnsi="Times New Roman" w:eastAsia="SimSun" w:cs="Times New Roman"/>
          <w:b w:val="0"/>
          <w:bCs w:val="0"/>
          <w:sz w:val="24"/>
          <w:szCs w:val="24"/>
          <w:lang w:val="pt-BR" w:bidi="ar"/>
        </w:rPr>
      </w:pPr>
      <w:r>
        <w:rPr>
          <w:rFonts w:hint="default" w:ascii="Times New Roman" w:hAnsi="Times New Roman" w:eastAsia="SimSun" w:cs="Times New Roman"/>
          <w:b w:val="0"/>
          <w:bCs w:val="0"/>
          <w:sz w:val="24"/>
          <w:szCs w:val="24"/>
          <w:lang w:val="pt-BR" w:bidi="ar"/>
        </w:rPr>
        <w:t xml:space="preserve">No momento da apresentação da proposta, conforme o art. 58 da Lei nº </w:t>
      </w:r>
      <w:r>
        <w:rPr>
          <w:rFonts w:hint="default" w:ascii="Times New Roman" w:hAnsi="Times New Roman" w:eastAsia="SimSun" w:cs="Times New Roman"/>
          <w:b w:val="0"/>
          <w:bCs w:val="0"/>
          <w:sz w:val="24"/>
          <w:szCs w:val="24"/>
          <w:lang w:val="pt-BR" w:bidi="ar"/>
        </w:rPr>
        <w:t xml:space="preserve">14.133/2021, os interessados deverão apresentar comprovante de recolhimento no valor de 1% (um por cento) do valor estimado da presente contratação, a título de garantia da proposta, que poderá ser prestada nas modalidades do art. 96 da Lei nº 14.133/2021.</w:t>
      </w:r>
      <w:r>
        <w:rPr>
          <w:rFonts w:hint="default" w:ascii="Times New Roman" w:hAnsi="Times New Roman" w:eastAsia="SimSun" w:cs="Times New Roman"/>
          <w:b w:val="0"/>
          <w:bCs w:val="0"/>
          <w:sz w:val="24"/>
          <w:szCs w:val="24"/>
          <w:lang w:val="pt-BR" w:bidi="ar"/>
        </w:rPr>
      </w:r>
      <w:r>
        <w:rPr>
          <w:rFonts w:hint="default" w:ascii="Times New Roman" w:hAnsi="Times New Roman" w:eastAsia="SimSun" w:cs="Times New Roman"/>
          <w:b w:val="0"/>
          <w:bCs w:val="0"/>
          <w:sz w:val="24"/>
          <w:szCs w:val="24"/>
          <w:lang w:val="pt-BR" w:bidi="ar"/>
        </w:rPr>
      </w:r>
    </w:p>
    <w:p w14:paraId="296F0FD8">
      <w:pPr>
        <w:numPr>
          <w:ilvl w:val="0"/>
          <w:numId w:val="13"/>
        </w:numPr>
        <w:pBdr/>
        <w:tabs>
          <w:tab w:val="clear" w:leader="none" w:pos="425"/>
        </w:tabs>
        <w:spacing w:line="360" w:lineRule="auto"/>
        <w:ind w:firstLine="0" w:left="0"/>
        <w:jc w:val="both"/>
        <w:rPr>
          <w:rFonts w:hint="default" w:ascii="Times New Roman" w:hAnsi="Times New Roman" w:eastAsia="SimSun" w:cs="Times New Roman"/>
          <w:b w:val="0"/>
          <w:bCs w:val="0"/>
          <w:sz w:val="24"/>
          <w:szCs w:val="24"/>
          <w:lang w:val="pt-BR" w:bidi="ar"/>
        </w:rPr>
      </w:pPr>
      <w:r>
        <w:rPr>
          <w:rFonts w:hint="default" w:ascii="Times New Roman" w:hAnsi="Times New Roman" w:eastAsia="SimSun" w:cs="Times New Roman"/>
          <w:b w:val="0"/>
          <w:bCs w:val="0"/>
          <w:sz w:val="24"/>
          <w:szCs w:val="24"/>
          <w:lang w:val="pt-BR" w:bidi="ar"/>
        </w:rPr>
        <w:t xml:space="preserve">O licitante que apresentar garantia de proposta com valor in</w:t>
      </w:r>
      <w:r>
        <w:rPr>
          <w:rFonts w:hint="default" w:ascii="Times New Roman" w:hAnsi="Times New Roman" w:eastAsia="SimSun" w:cs="Times New Roman"/>
          <w:b w:val="0"/>
          <w:bCs w:val="0"/>
          <w:sz w:val="24"/>
          <w:szCs w:val="24"/>
          <w:lang w:val="pt-BR" w:bidi="ar"/>
        </w:rPr>
        <w:t xml:space="preserve">ferior ao exigido no edital será desclassificado, sem prejuízo das sanções cabíveis. O valor recolhido será devolvido aos licitantes no prazo de 10 (dez) dias úteis, contados da assinatura do contrato ou da data em que for declarada fracassada a licitação.</w:t>
      </w:r>
      <w:r>
        <w:rPr>
          <w:rFonts w:hint="default" w:ascii="Times New Roman" w:hAnsi="Times New Roman" w:eastAsia="SimSun" w:cs="Times New Roman"/>
          <w:b w:val="0"/>
          <w:bCs w:val="0"/>
          <w:sz w:val="24"/>
          <w:szCs w:val="24"/>
          <w:lang w:val="pt-BR" w:bidi="ar"/>
        </w:rPr>
      </w:r>
      <w:r>
        <w:rPr>
          <w:rFonts w:hint="default" w:ascii="Times New Roman" w:hAnsi="Times New Roman" w:eastAsia="SimSun" w:cs="Times New Roman"/>
          <w:b w:val="0"/>
          <w:bCs w:val="0"/>
          <w:sz w:val="24"/>
          <w:szCs w:val="24"/>
          <w:lang w:val="pt-BR" w:bidi="ar"/>
        </w:rPr>
      </w:r>
    </w:p>
    <w:p w14:paraId="77C1FE95">
      <w:pPr>
        <w:numPr>
          <w:ilvl w:val="0"/>
          <w:numId w:val="13"/>
        </w:numPr>
        <w:pBdr/>
        <w:tabs>
          <w:tab w:val="clear" w:leader="none" w:pos="425"/>
        </w:tabs>
        <w:spacing w:line="360" w:lineRule="auto"/>
        <w:ind w:firstLine="0" w:left="0"/>
        <w:jc w:val="both"/>
        <w:rPr>
          <w:rFonts w:hint="default" w:ascii="Times New Roman" w:hAnsi="Times New Roman" w:eastAsia="SimSun" w:cs="Times New Roman"/>
          <w:b/>
          <w:bCs/>
          <w:sz w:val="24"/>
          <w:szCs w:val="24"/>
          <w:lang w:val="pt-BR" w:bidi="ar"/>
        </w:rPr>
      </w:pPr>
      <w:r>
        <w:rPr>
          <w:rFonts w:hint="default" w:ascii="Times New Roman" w:hAnsi="Times New Roman" w:eastAsia="SimSun" w:cs="Times New Roman"/>
          <w:b w:val="0"/>
          <w:bCs w:val="0"/>
          <w:sz w:val="24"/>
          <w:szCs w:val="24"/>
          <w:lang w:val="pt-BR" w:bidi="ar"/>
        </w:rPr>
        <w:t xml:space="preserve"> Com fulcro no art. 58 da Lei Federal nº 14.133/2021, e considerando a faculdade conferida à Administração Pública para resguardar a seriedade das propostas apresentadas, restará exigida dos licita</w:t>
      </w:r>
      <w:r>
        <w:rPr>
          <w:rFonts w:hint="default" w:ascii="Times New Roman" w:hAnsi="Times New Roman" w:eastAsia="SimSun" w:cs="Times New Roman"/>
          <w:b w:val="0"/>
          <w:bCs w:val="0"/>
          <w:sz w:val="24"/>
          <w:szCs w:val="24"/>
          <w:lang w:val="pt-BR" w:bidi="ar"/>
        </w:rPr>
        <w:t xml:space="preserve">ntes, no momento da apresentação da proposta, a comprovação de recolhimento de 1% (um por cento) do valor estimado da contratação a título de garantia de proposta, a qual poderá ser prestada em qualquer das modalidades previstas no art. 96 da referida Lei.</w:t>
      </w:r>
      <w:r>
        <w:rPr>
          <w:rFonts w:hint="default" w:ascii="Times New Roman" w:hAnsi="Times New Roman" w:eastAsia="SimSun" w:cs="Times New Roman"/>
          <w:b/>
          <w:bCs/>
          <w:sz w:val="24"/>
          <w:szCs w:val="24"/>
          <w:lang w:val="pt-BR" w:bidi="ar"/>
        </w:rPr>
      </w:r>
      <w:r>
        <w:rPr>
          <w:rFonts w:hint="default" w:ascii="Times New Roman" w:hAnsi="Times New Roman" w:eastAsia="SimSun" w:cs="Times New Roman"/>
          <w:b/>
          <w:bCs/>
          <w:sz w:val="24"/>
          <w:szCs w:val="24"/>
          <w:lang w:val="pt-BR" w:bidi="ar"/>
        </w:rPr>
      </w:r>
    </w:p>
    <w:p w14:paraId="46219D99">
      <w:pPr>
        <w:pBdr/>
        <w:spacing w:line="360" w:lineRule="auto"/>
        <w:ind/>
        <w:jc w:val="both"/>
        <w:rPr>
          <w:rFonts w:ascii="Times New Roman" w:hAnsi="Times New Roman" w:eastAsia="SimSun" w:cs="Times New Roman"/>
          <w:sz w:val="24"/>
          <w:szCs w:val="24"/>
          <w:lang w:bidi="ar"/>
        </w:rPr>
      </w:pP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r>
        <w:rPr>
          <w:rFonts w:ascii="Times New Roman" w:hAnsi="Times New Roman" w:eastAsia="SimSun" w:cs="Times New Roman"/>
          <w:sz w:val="24"/>
          <w:szCs w:val="24"/>
          <w:lang w:bidi="ar"/>
        </w:rPr>
      </w:r>
    </w:p>
    <w:p w14:paraId="12A7CA6E">
      <w:pPr>
        <w:pBdr/>
        <w:spacing w:line="360" w:lineRule="auto"/>
        <w:ind/>
        <w:jc w:val="both"/>
        <w:rPr>
          <w:rFonts w:ascii="Times New Roman" w:hAnsi="Times New Roman" w:cs="Times New Roman"/>
          <w:b/>
          <w:spacing w:val="-2"/>
          <w:sz w:val="24"/>
          <w:szCs w:val="24"/>
        </w:rPr>
      </w:pPr>
      <w:r>
        <w:rPr>
          <w:rFonts w:ascii="Times New Roman" w:hAnsi="Times New Roman" w:cs="Times New Roman"/>
          <w:b/>
          <w:sz w:val="24"/>
          <w:szCs w:val="24"/>
        </w:rPr>
        <w:t xml:space="preserve">5.3 Duração</w:t>
      </w:r>
      <w:r>
        <w:rPr>
          <w:rFonts w:ascii="Times New Roman" w:hAnsi="Times New Roman" w:cs="Times New Roman"/>
          <w:b/>
          <w:spacing w:val="-1"/>
          <w:sz w:val="24"/>
          <w:szCs w:val="24"/>
        </w:rPr>
        <w:t xml:space="preserve"> </w:t>
      </w:r>
      <w:r>
        <w:rPr>
          <w:rFonts w:ascii="Times New Roman" w:hAnsi="Times New Roman" w:cs="Times New Roman"/>
          <w:b/>
          <w:sz w:val="24"/>
          <w:szCs w:val="24"/>
        </w:rPr>
        <w:t xml:space="preserve">do </w:t>
      </w:r>
      <w:r>
        <w:rPr>
          <w:rFonts w:ascii="Times New Roman" w:hAnsi="Times New Roman" w:cs="Times New Roman"/>
          <w:b/>
          <w:spacing w:val="-2"/>
          <w:sz w:val="24"/>
          <w:szCs w:val="24"/>
        </w:rPr>
        <w:t xml:space="preserve">Contrato: </w:t>
      </w:r>
      <w:r>
        <w:rPr>
          <w:rFonts w:ascii="Times New Roman" w:hAnsi="Times New Roman" w:cs="Times New Roman"/>
          <w:b/>
          <w:spacing w:val="-2"/>
          <w:sz w:val="24"/>
          <w:szCs w:val="24"/>
        </w:rPr>
      </w:r>
      <w:r>
        <w:rPr>
          <w:rFonts w:ascii="Times New Roman" w:hAnsi="Times New Roman" w:cs="Times New Roman"/>
          <w:b/>
          <w:spacing w:val="-2"/>
          <w:sz w:val="24"/>
          <w:szCs w:val="24"/>
        </w:rPr>
      </w:r>
    </w:p>
    <w:p w14:paraId="4A0D9B41">
      <w:pPr>
        <w:pStyle w:val="1104"/>
        <w:pBdr/>
        <w:spacing w:line="360" w:lineRule="auto"/>
        <w:ind/>
        <w:jc w:val="both"/>
        <w:rPr>
          <w:spacing w:val="-1"/>
          <w:sz w:val="24"/>
          <w:szCs w:val="24"/>
          <w:lang w:val="pt-BR"/>
        </w:rPr>
      </w:pPr>
      <w:r>
        <w:rPr>
          <w:spacing w:val="-1"/>
          <w:sz w:val="24"/>
          <w:szCs w:val="24"/>
          <w:lang w:val="pt-BR"/>
        </w:rPr>
        <w:t xml:space="preserve">A presente Ata de Registro de Preços terá vigência de 1 (um) ano, contado a partir da data de sua assinatura, com eficácia após a devida publicação no Portal Nacional de Contratações Públicas (PNCP), nos termos do Art. 84 da Lei nº 14.133/2021.</w:t>
      </w:r>
      <w:r>
        <w:rPr>
          <w:spacing w:val="-1"/>
          <w:sz w:val="24"/>
          <w:szCs w:val="24"/>
          <w:lang w:val="pt-BR"/>
        </w:rPr>
      </w:r>
      <w:r>
        <w:rPr>
          <w:spacing w:val="-1"/>
          <w:sz w:val="24"/>
          <w:szCs w:val="24"/>
          <w:lang w:val="pt-BR"/>
        </w:rPr>
      </w:r>
    </w:p>
    <w:p w14:paraId="0709D66C">
      <w:pPr>
        <w:pStyle w:val="1104"/>
        <w:pBdr/>
        <w:spacing w:line="360" w:lineRule="auto"/>
        <w:ind/>
        <w:jc w:val="both"/>
        <w:rPr>
          <w:spacing w:val="-1"/>
          <w:sz w:val="24"/>
          <w:szCs w:val="24"/>
          <w:lang w:val="pt-BR"/>
        </w:rPr>
      </w:pPr>
      <w:r>
        <w:rPr>
          <w:spacing w:val="-1"/>
          <w:sz w:val="24"/>
          <w:szCs w:val="24"/>
          <w:lang w:val="pt-BR"/>
        </w:rPr>
        <w:t xml:space="preserve"> O prazo de vigência da Ata poderá ser prorrogado por igual período, por uma única vez, mediante termo aditivo, desde que preenchidos cumulativamente os seguintes requisitos:</w:t>
      </w:r>
      <w:r>
        <w:rPr>
          <w:spacing w:val="-1"/>
          <w:sz w:val="24"/>
          <w:szCs w:val="24"/>
          <w:lang w:val="pt-BR"/>
        </w:rPr>
      </w:r>
      <w:r>
        <w:rPr>
          <w:spacing w:val="-1"/>
          <w:sz w:val="24"/>
          <w:szCs w:val="24"/>
          <w:lang w:val="pt-BR"/>
        </w:rPr>
      </w:r>
    </w:p>
    <w:p w14:paraId="1F739D7E">
      <w:pPr>
        <w:pStyle w:val="1104"/>
        <w:pBdr/>
        <w:spacing w:line="360" w:lineRule="auto"/>
        <w:ind/>
        <w:jc w:val="both"/>
        <w:rPr>
          <w:spacing w:val="-1"/>
          <w:sz w:val="24"/>
          <w:szCs w:val="24"/>
          <w:lang w:val="pt-BR"/>
        </w:rPr>
      </w:pPr>
      <w:r>
        <w:rPr>
          <w:spacing w:val="-1"/>
          <w:sz w:val="24"/>
          <w:szCs w:val="24"/>
          <w:lang w:val="pt-BR"/>
        </w:rPr>
      </w:r>
      <w:r>
        <w:rPr>
          <w:spacing w:val="-1"/>
          <w:sz w:val="24"/>
          <w:szCs w:val="24"/>
          <w:lang w:val="pt-BR"/>
        </w:rPr>
      </w:r>
      <w:r>
        <w:rPr>
          <w:spacing w:val="-1"/>
          <w:sz w:val="24"/>
          <w:szCs w:val="24"/>
          <w:lang w:val="pt-BR"/>
        </w:rPr>
      </w:r>
    </w:p>
    <w:p w14:paraId="316D9D5A">
      <w:pPr>
        <w:pStyle w:val="1104"/>
        <w:pBdr/>
        <w:spacing w:line="360" w:lineRule="auto"/>
        <w:ind w:firstLine="707"/>
        <w:jc w:val="both"/>
        <w:rPr>
          <w:spacing w:val="-1"/>
          <w:sz w:val="24"/>
          <w:szCs w:val="24"/>
          <w:lang w:val="pt-BR"/>
        </w:rPr>
      </w:pPr>
      <w:r>
        <w:rPr>
          <w:spacing w:val="-1"/>
          <w:sz w:val="24"/>
          <w:szCs w:val="24"/>
          <w:lang w:val="pt-BR"/>
        </w:rPr>
        <w:t xml:space="preserve">I. Haja manifestação formal de interesse do órgão gerenciador e aceitação expressa do fornecedor;</w:t>
      </w:r>
      <w:r>
        <w:rPr>
          <w:spacing w:val="-1"/>
          <w:sz w:val="24"/>
          <w:szCs w:val="24"/>
          <w:lang w:val="pt-BR"/>
        </w:rPr>
      </w:r>
      <w:r>
        <w:rPr>
          <w:spacing w:val="-1"/>
          <w:sz w:val="24"/>
          <w:szCs w:val="24"/>
          <w:lang w:val="pt-BR"/>
        </w:rPr>
      </w:r>
    </w:p>
    <w:p w14:paraId="553A5079">
      <w:pPr>
        <w:pStyle w:val="1104"/>
        <w:pBdr/>
        <w:spacing w:line="360" w:lineRule="auto"/>
        <w:ind w:firstLine="707"/>
        <w:jc w:val="both"/>
        <w:rPr>
          <w:spacing w:val="-1"/>
          <w:sz w:val="24"/>
          <w:szCs w:val="24"/>
          <w:lang w:val="pt-BR"/>
        </w:rPr>
      </w:pPr>
      <w:r>
        <w:rPr>
          <w:spacing w:val="-1"/>
          <w:sz w:val="24"/>
          <w:szCs w:val="24"/>
          <w:lang w:val="pt-BR"/>
        </w:rPr>
        <w:t xml:space="preserve">II. Fique comprovado que os preços registrados permanecem vantajosos para a Administração Pública, conforme pesquisa de mercado atualizada;</w:t>
      </w:r>
      <w:r>
        <w:rPr>
          <w:spacing w:val="-1"/>
          <w:sz w:val="24"/>
          <w:szCs w:val="24"/>
          <w:lang w:val="pt-BR"/>
        </w:rPr>
      </w:r>
      <w:r>
        <w:rPr>
          <w:spacing w:val="-1"/>
          <w:sz w:val="24"/>
          <w:szCs w:val="24"/>
          <w:lang w:val="pt-BR"/>
        </w:rPr>
      </w:r>
    </w:p>
    <w:p w14:paraId="392E1670">
      <w:pPr>
        <w:pStyle w:val="1104"/>
        <w:pBdr/>
        <w:spacing w:line="360" w:lineRule="auto"/>
        <w:ind w:firstLine="707"/>
        <w:jc w:val="both"/>
        <w:rPr>
          <w:spacing w:val="-1"/>
          <w:sz w:val="24"/>
          <w:szCs w:val="24"/>
          <w:lang w:val="pt-BR"/>
        </w:rPr>
      </w:pPr>
      <w:r>
        <w:rPr>
          <w:spacing w:val="-1"/>
          <w:sz w:val="24"/>
          <w:szCs w:val="24"/>
          <w:lang w:val="pt-BR"/>
        </w:rPr>
        <w:t xml:space="preserve">III. A proposta do fornecedor continue a preencher os requisitos de habilitação técnica e jurídica exigidos no edital originário.</w:t>
      </w:r>
      <w:r>
        <w:rPr>
          <w:spacing w:val="-1"/>
          <w:sz w:val="24"/>
          <w:szCs w:val="24"/>
          <w:lang w:val="pt-BR"/>
        </w:rPr>
      </w:r>
      <w:r>
        <w:rPr>
          <w:spacing w:val="-1"/>
          <w:sz w:val="24"/>
          <w:szCs w:val="24"/>
          <w:lang w:val="pt-BR"/>
        </w:rPr>
      </w:r>
    </w:p>
    <w:p w14:paraId="381F906B">
      <w:pPr>
        <w:pStyle w:val="1104"/>
        <w:pBdr/>
        <w:spacing w:line="360" w:lineRule="auto"/>
        <w:ind/>
        <w:jc w:val="both"/>
        <w:rPr>
          <w:b/>
          <w:bCs/>
          <w:spacing w:val="-1"/>
          <w:sz w:val="24"/>
          <w:szCs w:val="24"/>
          <w:lang w:val="pt-BR"/>
        </w:rPr>
      </w:pPr>
      <w:r>
        <w:rPr>
          <w:b/>
          <w:bCs/>
          <w:spacing w:val="-1"/>
          <w:sz w:val="24"/>
          <w:szCs w:val="24"/>
          <w:lang w:val="pt-BR"/>
        </w:rPr>
      </w:r>
      <w:r>
        <w:rPr>
          <w:b/>
          <w:bCs/>
          <w:spacing w:val="-1"/>
          <w:sz w:val="24"/>
          <w:szCs w:val="24"/>
          <w:lang w:val="pt-BR"/>
        </w:rPr>
      </w:r>
      <w:r>
        <w:rPr>
          <w:b/>
          <w:bCs/>
          <w:spacing w:val="-1"/>
          <w:sz w:val="24"/>
          <w:szCs w:val="24"/>
          <w:lang w:val="pt-BR"/>
        </w:rPr>
      </w:r>
    </w:p>
    <w:p w14:paraId="2DF42885">
      <w:pPr>
        <w:pStyle w:val="1104"/>
        <w:pBdr/>
        <w:spacing w:line="360" w:lineRule="auto"/>
        <w:ind/>
        <w:jc w:val="both"/>
        <w:rPr>
          <w:spacing w:val="-1"/>
          <w:sz w:val="24"/>
          <w:szCs w:val="24"/>
          <w:lang w:val="pt-BR"/>
        </w:rPr>
      </w:pPr>
      <w:r>
        <w:rPr>
          <w:spacing w:val="-1"/>
          <w:sz w:val="24"/>
          <w:szCs w:val="24"/>
          <w:lang w:val="pt-BR"/>
        </w:rPr>
        <w:t xml:space="preserve">A prorrogação de que trata esta cláusula deverá ocorrer antes do término da vigência da Ata, sendo vedada a prorrogação de atas já expiradas.</w:t>
      </w:r>
      <w:r>
        <w:rPr>
          <w:spacing w:val="-1"/>
          <w:sz w:val="24"/>
          <w:szCs w:val="24"/>
          <w:lang w:val="pt-BR"/>
        </w:rPr>
      </w:r>
      <w:r>
        <w:rPr>
          <w:spacing w:val="-1"/>
          <w:sz w:val="24"/>
          <w:szCs w:val="24"/>
          <w:lang w:val="pt-BR"/>
        </w:rPr>
      </w:r>
    </w:p>
    <w:p w14:paraId="0AC35362">
      <w:pPr>
        <w:pStyle w:val="1104"/>
        <w:pBdr/>
        <w:spacing w:line="360" w:lineRule="auto"/>
        <w:ind/>
        <w:jc w:val="both"/>
        <w:rPr>
          <w:spacing w:val="-1"/>
          <w:sz w:val="24"/>
          <w:szCs w:val="24"/>
          <w:lang w:val="pt-BR"/>
        </w:rPr>
      </w:pPr>
      <w:r>
        <w:rPr>
          <w:spacing w:val="-1"/>
          <w:sz w:val="24"/>
          <w:szCs w:val="24"/>
          <w:lang w:val="pt-BR"/>
        </w:rPr>
      </w:r>
      <w:r>
        <w:rPr>
          <w:spacing w:val="-1"/>
          <w:sz w:val="24"/>
          <w:szCs w:val="24"/>
          <w:lang w:val="pt-BR"/>
        </w:rPr>
      </w:r>
      <w:r>
        <w:rPr>
          <w:spacing w:val="-1"/>
          <w:sz w:val="24"/>
          <w:szCs w:val="24"/>
          <w:lang w:val="pt-BR"/>
        </w:rPr>
      </w:r>
    </w:p>
    <w:p w14:paraId="02627AA5">
      <w:pPr>
        <w:pStyle w:val="1104"/>
        <w:pBdr/>
        <w:spacing w:line="360" w:lineRule="auto"/>
        <w:ind/>
        <w:jc w:val="both"/>
        <w:rPr>
          <w:b/>
          <w:spacing w:val="-4"/>
          <w:sz w:val="24"/>
          <w:szCs w:val="24"/>
          <w:lang w:val="pt-BR"/>
        </w:rPr>
      </w:pPr>
      <w:r>
        <w:rPr>
          <w:b/>
          <w:bCs/>
          <w:spacing w:val="-1"/>
          <w:sz w:val="24"/>
          <w:szCs w:val="24"/>
          <w:lang w:val="pt-BR"/>
        </w:rPr>
        <w:t xml:space="preserve">5.4 Cota </w:t>
      </w:r>
      <w:r>
        <w:rPr>
          <w:b/>
          <w:bCs/>
          <w:sz w:val="24"/>
          <w:szCs w:val="24"/>
          <w:lang w:val="pt-BR"/>
        </w:rPr>
        <w:t xml:space="preserve">exclusiva</w:t>
      </w:r>
      <w:r>
        <w:rPr>
          <w:b/>
          <w:bCs/>
          <w:spacing w:val="-1"/>
          <w:sz w:val="24"/>
          <w:szCs w:val="24"/>
          <w:lang w:val="pt-BR"/>
        </w:rPr>
        <w:t xml:space="preserve"> </w:t>
      </w:r>
      <w:r>
        <w:rPr>
          <w:b/>
          <w:bCs/>
          <w:sz w:val="24"/>
          <w:szCs w:val="24"/>
          <w:lang w:val="pt-BR"/>
        </w:rPr>
        <w:t xml:space="preserve">/Parcelamento</w:t>
      </w:r>
      <w:r>
        <w:rPr>
          <w:b/>
          <w:bCs/>
          <w:spacing w:val="-1"/>
          <w:sz w:val="24"/>
          <w:szCs w:val="24"/>
          <w:lang w:val="pt-BR"/>
        </w:rPr>
        <w:t xml:space="preserve"> </w:t>
      </w:r>
      <w:r>
        <w:rPr>
          <w:b/>
          <w:bCs/>
          <w:sz w:val="24"/>
          <w:szCs w:val="24"/>
          <w:lang w:val="pt-BR"/>
        </w:rPr>
        <w:t xml:space="preserve">para</w:t>
      </w:r>
      <w:r>
        <w:rPr>
          <w:b/>
          <w:bCs/>
          <w:spacing w:val="-2"/>
          <w:sz w:val="24"/>
          <w:szCs w:val="24"/>
          <w:lang w:val="pt-BR"/>
        </w:rPr>
        <w:t xml:space="preserve"> </w:t>
      </w:r>
      <w:r>
        <w:rPr>
          <w:b/>
          <w:bCs/>
          <w:sz w:val="24"/>
          <w:szCs w:val="24"/>
          <w:lang w:val="pt-BR"/>
        </w:rPr>
        <w:t xml:space="preserve">ME</w:t>
      </w:r>
      <w:r>
        <w:rPr>
          <w:b/>
          <w:bCs/>
          <w:spacing w:val="-1"/>
          <w:sz w:val="24"/>
          <w:szCs w:val="24"/>
          <w:lang w:val="pt-BR"/>
        </w:rPr>
        <w:t xml:space="preserve"> </w:t>
      </w:r>
      <w:r>
        <w:rPr>
          <w:b/>
          <w:bCs/>
          <w:sz w:val="24"/>
          <w:szCs w:val="24"/>
          <w:lang w:val="pt-BR"/>
        </w:rPr>
        <w:t xml:space="preserve">e</w:t>
      </w:r>
      <w:r>
        <w:rPr>
          <w:b/>
          <w:bCs/>
          <w:spacing w:val="-1"/>
          <w:sz w:val="24"/>
          <w:szCs w:val="24"/>
          <w:lang w:val="pt-BR"/>
        </w:rPr>
        <w:t xml:space="preserve"> </w:t>
      </w:r>
      <w:r>
        <w:rPr>
          <w:b/>
          <w:bCs/>
          <w:spacing w:val="-4"/>
          <w:sz w:val="24"/>
          <w:szCs w:val="24"/>
          <w:lang w:val="pt-BR"/>
        </w:rPr>
        <w:t xml:space="preserve">EPP:</w:t>
      </w:r>
      <w:r>
        <w:rPr>
          <w:b/>
          <w:spacing w:val="-4"/>
          <w:sz w:val="24"/>
          <w:szCs w:val="24"/>
          <w:lang w:val="pt-BR"/>
        </w:rPr>
      </w:r>
      <w:r>
        <w:rPr>
          <w:b/>
          <w:spacing w:val="-4"/>
          <w:sz w:val="24"/>
          <w:szCs w:val="24"/>
          <w:lang w:val="pt-BR"/>
        </w:rPr>
      </w:r>
    </w:p>
    <w:p w14:paraId="1707CD95">
      <w:pPr>
        <w:pStyle w:val="1104"/>
        <w:pBdr/>
        <w:spacing w:line="360" w:lineRule="auto"/>
        <w:ind/>
        <w:jc w:val="both"/>
        <w:rPr>
          <w:sz w:val="24"/>
          <w:szCs w:val="24"/>
          <w:lang w:val="pt-BR"/>
        </w:rPr>
      </w:pPr>
      <w:r>
        <w:rPr>
          <w:sz w:val="24"/>
          <w:szCs w:val="24"/>
          <w:lang w:val="pt-BR"/>
        </w:rPr>
        <w:t xml:space="preserve">A contratação de empresa especializada justifica-se pela complexidade técnica e operacional dos serviços a serem executados, os quais demandam mão de obra qualificada, utilização de equipamentos específicos, controle tecnológico rig</w:t>
      </w:r>
      <w:r>
        <w:rPr>
          <w:sz w:val="24"/>
          <w:szCs w:val="24"/>
          <w:lang w:val="pt-BR"/>
        </w:rPr>
        <w:t xml:space="preserve">oroso e observância às normas técnicas vigentes da ABNT e demais órgãos competentes. Diante dessas exigências, torna-se inviável a execução direta com recursos próprios da Secretaria, tanto em termos de estrutura operacional quanto de capacidade produtiva.</w:t>
      </w:r>
      <w:r>
        <w:rPr>
          <w:sz w:val="24"/>
          <w:szCs w:val="24"/>
          <w:lang w:val="pt-BR"/>
        </w:rPr>
      </w:r>
      <w:r>
        <w:rPr>
          <w:sz w:val="24"/>
          <w:szCs w:val="24"/>
          <w:lang w:val="pt-BR"/>
        </w:rPr>
      </w:r>
    </w:p>
    <w:p w14:paraId="2166851B">
      <w:pPr>
        <w:pStyle w:val="1104"/>
        <w:pBdr/>
        <w:spacing w:line="360" w:lineRule="auto"/>
        <w:ind/>
        <w:jc w:val="both"/>
        <w:rPr>
          <w:sz w:val="24"/>
          <w:szCs w:val="24"/>
          <w:lang w:val="pt-BR"/>
        </w:rPr>
      </w:pPr>
      <w:r>
        <w:rPr>
          <w:sz w:val="24"/>
          <w:szCs w:val="24"/>
          <w:lang w:val="pt-BR"/>
        </w:rPr>
        <w:t xml:space="preserve">Importa destacar que nã</w:t>
      </w:r>
      <w:r>
        <w:rPr>
          <w:sz w:val="24"/>
          <w:szCs w:val="24"/>
          <w:lang w:val="pt-BR"/>
        </w:rPr>
        <w:t xml:space="preserve">o é tecnicamente possível o fracionamento do objeto contratual, uma vez que as atividades são interdependentes e devem ser executadas de forma contínua, padronizada e coordenada dentro de um mesmo canteiro de obras. A divisão do escopo entre duas ou mais e</w:t>
      </w:r>
      <w:r>
        <w:rPr>
          <w:sz w:val="24"/>
          <w:szCs w:val="24"/>
          <w:lang w:val="pt-BR"/>
        </w:rPr>
        <w:t xml:space="preserve">mpresas poderia comprometer a uniformidade técnica, gerar conflitos de responsabilidade, sobreposição de tarefas e riscos de incompatibilidade entre métodos construtivos, resultando em prejuízos à qualidade, à segurança e à economicidade do empreendimento.</w:t>
      </w:r>
      <w:r>
        <w:rPr>
          <w:sz w:val="24"/>
          <w:szCs w:val="24"/>
          <w:lang w:val="pt-BR"/>
        </w:rPr>
      </w:r>
      <w:r>
        <w:rPr>
          <w:sz w:val="24"/>
          <w:szCs w:val="24"/>
          <w:lang w:val="pt-BR"/>
        </w:rPr>
      </w:r>
    </w:p>
    <w:p w14:paraId="750D1B39">
      <w:pPr>
        <w:pStyle w:val="1104"/>
        <w:pBdr/>
        <w:spacing w:line="360" w:lineRule="auto"/>
        <w:ind w:firstLine="707"/>
        <w:jc w:val="both"/>
        <w:rPr>
          <w:sz w:val="24"/>
          <w:szCs w:val="24"/>
          <w:lang w:val="pt-BR"/>
        </w:rPr>
      </w:pPr>
      <w:r>
        <w:rPr>
          <w:sz w:val="24"/>
          <w:szCs w:val="24"/>
          <w:lang w:val="pt-BR"/>
        </w:rPr>
        <w:t xml:space="preserve">Por esse motivo, não se aplica a reserva de cota para Microempresas (ME) e Empresas de Pequeno Porte (EPP) neste certame, conforme previsto no art. 48, inciso II</w:t>
      </w:r>
      <w:r>
        <w:rPr>
          <w:sz w:val="24"/>
          <w:szCs w:val="24"/>
          <w:lang w:val="pt-BR"/>
        </w:rPr>
        <w:t xml:space="preserve">I, da Lei Complementar nº 123/2006, uma vez que o objeto, pela sua natureza e indivisibilidade técnica, não comporta execução simultânea por mais de um contratado, exigindo gestão unificada, controle de qualidade integrado e responsabilidade técnica única.</w:t>
      </w:r>
      <w:r>
        <w:rPr>
          <w:sz w:val="24"/>
          <w:szCs w:val="24"/>
          <w:lang w:val="pt-BR"/>
        </w:rPr>
      </w:r>
      <w:r>
        <w:rPr>
          <w:sz w:val="24"/>
          <w:szCs w:val="24"/>
          <w:lang w:val="pt-BR"/>
        </w:rPr>
      </w:r>
    </w:p>
    <w:p w14:paraId="12DA3F50">
      <w:pPr>
        <w:pStyle w:val="1104"/>
        <w:pBdr/>
        <w:spacing w:line="360" w:lineRule="auto"/>
        <w:ind w:firstLine="707"/>
        <w:jc w:val="both"/>
        <w:rPr>
          <w:sz w:val="24"/>
          <w:szCs w:val="24"/>
          <w:lang w:val="pt-BR"/>
        </w:rPr>
      </w:pPr>
      <w:r>
        <w:rPr>
          <w:sz w:val="24"/>
          <w:szCs w:val="24"/>
          <w:lang w:val="pt-BR"/>
        </w:rPr>
        <w:t xml:space="preserve">A adoção do regime de contratação integral e especializada garante maior eficiência operacional, qualidade técnica dos serviços e otimização dos custos, além de reduzir riscos de retrabalho, paralisaçõe</w:t>
      </w:r>
      <w:r>
        <w:rPr>
          <w:sz w:val="24"/>
          <w:szCs w:val="24"/>
          <w:lang w:val="pt-BR"/>
        </w:rPr>
        <w:t xml:space="preserve">s e inconformidades construtivas. Tal medida está em conformidade com os princípios da economicidade, eficiência, planejamento e continuidade do serviço público, conforme estabelece a Lei nº 14.133/2021 – Nova Lei de Licitações e Contratos Administrativos.</w:t>
      </w:r>
      <w:r>
        <w:rPr>
          <w:sz w:val="24"/>
          <w:szCs w:val="24"/>
          <w:lang w:val="pt-BR"/>
        </w:rPr>
      </w:r>
      <w:r>
        <w:rPr>
          <w:sz w:val="24"/>
          <w:szCs w:val="24"/>
          <w:lang w:val="pt-BR"/>
        </w:rPr>
      </w:r>
    </w:p>
    <w:p w14:paraId="0DD852A2">
      <w:pPr>
        <w:pStyle w:val="1104"/>
        <w:pBdr/>
        <w:spacing w:line="360" w:lineRule="auto"/>
        <w:ind/>
        <w:jc w:val="both"/>
        <w:rPr>
          <w:b/>
          <w:bCs/>
          <w:sz w:val="24"/>
          <w:szCs w:val="24"/>
          <w:lang w:val="pt-BR"/>
        </w:rPr>
      </w:pPr>
      <w:r>
        <w:rPr>
          <w:b/>
          <w:bCs/>
          <w:sz w:val="24"/>
          <w:szCs w:val="24"/>
          <w:lang w:val="pt-BR"/>
        </w:rPr>
      </w:r>
      <w:r>
        <w:rPr>
          <w:b/>
          <w:bCs/>
          <w:sz w:val="24"/>
          <w:szCs w:val="24"/>
          <w:lang w:val="pt-BR"/>
        </w:rPr>
      </w:r>
      <w:r>
        <w:rPr>
          <w:b/>
          <w:bCs/>
          <w:sz w:val="24"/>
          <w:szCs w:val="24"/>
          <w:lang w:val="pt-BR"/>
        </w:rPr>
      </w:r>
    </w:p>
    <w:p w14:paraId="3EE6CD2B">
      <w:pPr>
        <w:pStyle w:val="1104"/>
        <w:pBdr/>
        <w:spacing w:line="360" w:lineRule="auto"/>
        <w:ind/>
        <w:jc w:val="both"/>
        <w:rPr>
          <w:b/>
          <w:bCs/>
          <w:sz w:val="24"/>
          <w:szCs w:val="24"/>
          <w:lang w:val="pt-BR"/>
        </w:rPr>
      </w:pPr>
      <w:r>
        <w:rPr>
          <w:b/>
          <w:bCs/>
          <w:sz w:val="24"/>
          <w:szCs w:val="24"/>
          <w:lang w:val="pt-BR"/>
        </w:rPr>
        <w:t xml:space="preserve">5.5 Contratação</w:t>
      </w:r>
      <w:r>
        <w:rPr>
          <w:b/>
          <w:bCs/>
          <w:spacing w:val="-1"/>
          <w:sz w:val="24"/>
          <w:szCs w:val="24"/>
          <w:lang w:val="pt-BR"/>
        </w:rPr>
        <w:t xml:space="preserve"> </w:t>
      </w:r>
      <w:r>
        <w:rPr>
          <w:b/>
          <w:bCs/>
          <w:sz w:val="24"/>
          <w:szCs w:val="24"/>
          <w:lang w:val="pt-BR"/>
        </w:rPr>
        <w:t xml:space="preserve">Anterior</w:t>
      </w:r>
      <w:r>
        <w:rPr>
          <w:b/>
          <w:bCs/>
          <w:spacing w:val="-2"/>
          <w:sz w:val="24"/>
          <w:szCs w:val="24"/>
          <w:lang w:val="pt-BR"/>
        </w:rPr>
        <w:t xml:space="preserve"> </w:t>
      </w:r>
      <w:r>
        <w:rPr>
          <w:b/>
          <w:bCs/>
          <w:sz w:val="24"/>
          <w:szCs w:val="24"/>
          <w:lang w:val="pt-BR"/>
        </w:rPr>
        <w:t xml:space="preserve">para</w:t>
      </w:r>
      <w:r>
        <w:rPr>
          <w:b/>
          <w:bCs/>
          <w:spacing w:val="-1"/>
          <w:sz w:val="24"/>
          <w:szCs w:val="24"/>
          <w:lang w:val="pt-BR"/>
        </w:rPr>
        <w:t xml:space="preserve"> </w:t>
      </w:r>
      <w:r>
        <w:rPr>
          <w:b/>
          <w:bCs/>
          <w:sz w:val="24"/>
          <w:szCs w:val="24"/>
          <w:lang w:val="pt-BR"/>
        </w:rPr>
        <w:t xml:space="preserve">o</w:t>
      </w:r>
      <w:r>
        <w:rPr>
          <w:b/>
          <w:bCs/>
          <w:spacing w:val="-1"/>
          <w:sz w:val="24"/>
          <w:szCs w:val="24"/>
          <w:lang w:val="pt-BR"/>
        </w:rPr>
        <w:t xml:space="preserve"> </w:t>
      </w:r>
      <w:r>
        <w:rPr>
          <w:b/>
          <w:bCs/>
          <w:sz w:val="24"/>
          <w:szCs w:val="24"/>
          <w:lang w:val="pt-BR"/>
        </w:rPr>
        <w:t xml:space="preserve">objeto</w:t>
      </w:r>
      <w:r>
        <w:rPr>
          <w:b/>
          <w:bCs/>
          <w:spacing w:val="-1"/>
          <w:sz w:val="24"/>
          <w:szCs w:val="24"/>
          <w:lang w:val="pt-BR"/>
        </w:rPr>
        <w:t xml:space="preserve"> </w:t>
      </w:r>
      <w:r>
        <w:rPr>
          <w:b/>
          <w:bCs/>
          <w:sz w:val="24"/>
          <w:szCs w:val="24"/>
          <w:lang w:val="pt-BR"/>
        </w:rPr>
        <w:t xml:space="preserve">da </w:t>
      </w:r>
      <w:r>
        <w:rPr>
          <w:b/>
          <w:bCs/>
          <w:spacing w:val="-2"/>
          <w:sz w:val="24"/>
          <w:szCs w:val="24"/>
          <w:lang w:val="pt-BR"/>
        </w:rPr>
        <w:t xml:space="preserve">demanda:</w:t>
      </w:r>
      <w:r>
        <w:rPr>
          <w:b/>
          <w:bCs/>
          <w:sz w:val="24"/>
          <w:szCs w:val="24"/>
          <w:lang w:val="pt-BR"/>
        </w:rPr>
      </w:r>
      <w:r>
        <w:rPr>
          <w:b/>
          <w:bCs/>
          <w:sz w:val="24"/>
          <w:szCs w:val="24"/>
          <w:lang w:val="pt-BR"/>
        </w:rPr>
      </w:r>
    </w:p>
    <w:p w14:paraId="3759CCEE">
      <w:pPr>
        <w:pBdr/>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 x )</w:t>
      </w:r>
      <w:r>
        <w:rPr>
          <w:rFonts w:ascii="Times New Roman" w:hAnsi="Times New Roman" w:cs="Times New Roman"/>
          <w:spacing w:val="-8"/>
          <w:sz w:val="24"/>
          <w:szCs w:val="24"/>
        </w:rPr>
        <w:t xml:space="preserve"> </w:t>
      </w:r>
      <w:r>
        <w:rPr>
          <w:rFonts w:ascii="Times New Roman" w:hAnsi="Times New Roman" w:cs="Times New Roman"/>
          <w:sz w:val="24"/>
          <w:szCs w:val="24"/>
        </w:rPr>
        <w:t xml:space="preserve">Houve</w:t>
      </w:r>
      <w:r>
        <w:rPr>
          <w:rFonts w:ascii="Times New Roman" w:hAnsi="Times New Roman" w:cs="Times New Roman"/>
          <w:spacing w:val="-7"/>
          <w:sz w:val="24"/>
          <w:szCs w:val="24"/>
        </w:rPr>
        <w:t xml:space="preserve"> </w:t>
      </w:r>
      <w:r>
        <w:rPr>
          <w:rFonts w:ascii="Times New Roman" w:hAnsi="Times New Roman" w:cs="Times New Roman"/>
          <w:sz w:val="24"/>
          <w:szCs w:val="24"/>
        </w:rPr>
        <w:t xml:space="preserve">contratação</w:t>
      </w:r>
      <w:r>
        <w:rPr>
          <w:rFonts w:ascii="Times New Roman" w:hAnsi="Times New Roman" w:cs="Times New Roman"/>
          <w:spacing w:val="-7"/>
          <w:sz w:val="24"/>
          <w:szCs w:val="24"/>
        </w:rPr>
        <w:t xml:space="preserve"> </w:t>
      </w:r>
      <w:r>
        <w:rPr>
          <w:rFonts w:ascii="Times New Roman" w:hAnsi="Times New Roman" w:cs="Times New Roman"/>
          <w:sz w:val="24"/>
          <w:szCs w:val="24"/>
        </w:rPr>
        <w:t xml:space="preserve">anterior. </w:t>
      </w:r>
      <w:r>
        <w:rPr>
          <w:rFonts w:ascii="Times New Roman" w:hAnsi="Times New Roman" w:cs="Times New Roman"/>
          <w:sz w:val="24"/>
          <w:szCs w:val="24"/>
        </w:rPr>
      </w:r>
      <w:r>
        <w:rPr>
          <w:rFonts w:ascii="Times New Roman" w:hAnsi="Times New Roman" w:cs="Times New Roman"/>
          <w:sz w:val="24"/>
          <w:szCs w:val="24"/>
        </w:rPr>
      </w:r>
    </w:p>
    <w:p w14:paraId="0B1785EE">
      <w:pPr>
        <w:widowControl w:val="false"/>
        <w:pBdr/>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Justificar novo pedido: Impossibilidade de renovação conforme vencimento das Atas de Registro de Preços Nº 129/2023 do P.P 053/2023 - “Regi</w:t>
      </w:r>
      <w:r>
        <w:rPr>
          <w:rFonts w:ascii="Times New Roman" w:hAnsi="Times New Roman" w:cs="Times New Roman"/>
          <w:sz w:val="24"/>
          <w:szCs w:val="24"/>
        </w:rPr>
        <w:t xml:space="preserve">stro de Preços para futura e eventual contratação de empresa especializada na execução e manutenção de infraestrutura urbana, acessibilidade no município de Sinop - MT,  a contratação pretendida encontra- se alinhada com o PCA (Plano de Contratação Anual).</w:t>
      </w:r>
      <w:r>
        <w:rPr>
          <w:rFonts w:ascii="Times New Roman" w:hAnsi="Times New Roman" w:cs="Times New Roman"/>
          <w:sz w:val="24"/>
          <w:szCs w:val="24"/>
        </w:rPr>
      </w:r>
      <w:r>
        <w:rPr>
          <w:rFonts w:ascii="Times New Roman" w:hAnsi="Times New Roman" w:cs="Times New Roman"/>
          <w:sz w:val="24"/>
          <w:szCs w:val="24"/>
        </w:rPr>
      </w:r>
    </w:p>
    <w:p w14:paraId="2079A92B">
      <w:pPr>
        <w:widowControl w:val="false"/>
        <w:pBdr/>
        <w:spacing w:line="360" w:lineRule="auto"/>
        <w:ind/>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14:paraId="765BA8D0">
      <w:pPr>
        <w:widowControl w:val="false"/>
        <w:pBdr/>
        <w:spacing w:line="360" w:lineRule="auto"/>
        <w:ind/>
        <w:jc w:val="both"/>
        <w:rPr>
          <w:rFonts w:ascii="Times New Roman" w:hAnsi="Times New Roman" w:cs="Times New Roman"/>
          <w:spacing w:val="-2"/>
          <w:sz w:val="24"/>
          <w:szCs w:val="24"/>
        </w:rPr>
      </w:pPr>
      <w:r>
        <w:rPr>
          <w:rFonts w:ascii="Times New Roman" w:hAnsi="Times New Roman" w:cs="Times New Roman"/>
          <w:sz w:val="24"/>
          <w:szCs w:val="24"/>
        </w:rPr>
        <w:t xml:space="preserve">(</w:t>
      </w:r>
      <w:r>
        <w:rPr>
          <w:rFonts w:ascii="Times New Roman" w:hAnsi="Times New Roman" w:cs="Times New Roman"/>
          <w:spacing w:val="29"/>
          <w:sz w:val="24"/>
          <w:szCs w:val="24"/>
        </w:rPr>
        <w:t xml:space="preserve">  </w:t>
      </w:r>
      <w:r>
        <w:rPr>
          <w:rFonts w:ascii="Times New Roman" w:hAnsi="Times New Roman" w:cs="Times New Roman"/>
          <w:sz w:val="24"/>
          <w:szCs w:val="24"/>
        </w:rPr>
        <w:t xml:space="preserve">)</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Não houve</w:t>
      </w:r>
      <w:r>
        <w:rPr>
          <w:rFonts w:ascii="Times New Roman" w:hAnsi="Times New Roman" w:cs="Times New Roman"/>
          <w:spacing w:val="-1"/>
          <w:sz w:val="24"/>
          <w:szCs w:val="24"/>
        </w:rPr>
        <w:t xml:space="preserve"> </w:t>
      </w:r>
      <w:r>
        <w:rPr>
          <w:rFonts w:ascii="Times New Roman" w:hAnsi="Times New Roman" w:cs="Times New Roman"/>
          <w:sz w:val="24"/>
          <w:szCs w:val="24"/>
        </w:rPr>
        <w:t xml:space="preserve">contratação </w:t>
      </w:r>
      <w:r>
        <w:rPr>
          <w:rFonts w:ascii="Times New Roman" w:hAnsi="Times New Roman" w:cs="Times New Roman"/>
          <w:spacing w:val="-2"/>
          <w:sz w:val="24"/>
          <w:szCs w:val="24"/>
        </w:rPr>
        <w:t xml:space="preserve">anterior.</w:t>
      </w:r>
      <w:r>
        <w:rPr>
          <w:rFonts w:ascii="Times New Roman" w:hAnsi="Times New Roman" w:cs="Times New Roman"/>
          <w:spacing w:val="-2"/>
          <w:sz w:val="24"/>
          <w:szCs w:val="24"/>
        </w:rPr>
      </w:r>
      <w:r>
        <w:rPr>
          <w:rFonts w:ascii="Times New Roman" w:hAnsi="Times New Roman" w:cs="Times New Roman"/>
          <w:spacing w:val="-2"/>
          <w:sz w:val="24"/>
          <w:szCs w:val="24"/>
        </w:rPr>
      </w:r>
    </w:p>
    <w:p w14:paraId="35683DBB">
      <w:pPr>
        <w:pStyle w:val="1104"/>
        <w:pBdr/>
        <w:spacing w:line="360" w:lineRule="auto"/>
        <w:ind/>
        <w:jc w:val="both"/>
        <w:rPr>
          <w:b/>
          <w:bCs/>
          <w:sz w:val="24"/>
          <w:szCs w:val="24"/>
          <w:lang w:val="pt-BR"/>
        </w:rPr>
      </w:pPr>
      <w:r>
        <w:rPr>
          <w:b/>
          <w:bCs/>
          <w:sz w:val="24"/>
          <w:szCs w:val="24"/>
          <w:lang w:val="pt-BR"/>
        </w:rPr>
        <w:t xml:space="preserve">5.6</w:t>
      </w:r>
      <w:r>
        <w:rPr>
          <w:b/>
          <w:bCs/>
          <w:spacing w:val="-2"/>
          <w:sz w:val="24"/>
          <w:szCs w:val="24"/>
          <w:lang w:val="pt-BR"/>
        </w:rPr>
        <w:t xml:space="preserve"> </w:t>
      </w:r>
      <w:r>
        <w:rPr>
          <w:b/>
          <w:bCs/>
          <w:sz w:val="24"/>
          <w:szCs w:val="24"/>
          <w:lang w:val="pt-BR"/>
        </w:rPr>
        <w:t xml:space="preserve">Legislação</w:t>
      </w:r>
      <w:r>
        <w:rPr>
          <w:b/>
          <w:bCs/>
          <w:spacing w:val="-1"/>
          <w:sz w:val="24"/>
          <w:szCs w:val="24"/>
          <w:lang w:val="pt-BR"/>
        </w:rPr>
        <w:t xml:space="preserve"> </w:t>
      </w:r>
      <w:r>
        <w:rPr>
          <w:b/>
          <w:bCs/>
          <w:sz w:val="24"/>
          <w:szCs w:val="24"/>
          <w:lang w:val="pt-BR"/>
        </w:rPr>
        <w:t xml:space="preserve">Específica</w:t>
      </w:r>
      <w:r>
        <w:rPr>
          <w:b/>
          <w:bCs/>
          <w:spacing w:val="-1"/>
          <w:sz w:val="24"/>
          <w:szCs w:val="24"/>
          <w:lang w:val="pt-BR"/>
        </w:rPr>
        <w:t xml:space="preserve"> </w:t>
      </w:r>
      <w:r>
        <w:rPr>
          <w:b/>
          <w:bCs/>
          <w:sz w:val="24"/>
          <w:szCs w:val="24"/>
          <w:lang w:val="pt-BR"/>
        </w:rPr>
        <w:t xml:space="preserve">sobre</w:t>
      </w:r>
      <w:r>
        <w:rPr>
          <w:b/>
          <w:bCs/>
          <w:spacing w:val="-2"/>
          <w:sz w:val="24"/>
          <w:szCs w:val="24"/>
          <w:lang w:val="pt-BR"/>
        </w:rPr>
        <w:t xml:space="preserve"> </w:t>
      </w:r>
      <w:r>
        <w:rPr>
          <w:b/>
          <w:bCs/>
          <w:sz w:val="24"/>
          <w:szCs w:val="24"/>
          <w:lang w:val="pt-BR"/>
        </w:rPr>
        <w:t xml:space="preserve">o</w:t>
      </w:r>
      <w:r>
        <w:rPr>
          <w:b/>
          <w:bCs/>
          <w:spacing w:val="-1"/>
          <w:sz w:val="24"/>
          <w:szCs w:val="24"/>
          <w:lang w:val="pt-BR"/>
        </w:rPr>
        <w:t xml:space="preserve"> </w:t>
      </w:r>
      <w:r>
        <w:rPr>
          <w:b/>
          <w:bCs/>
          <w:sz w:val="24"/>
          <w:szCs w:val="24"/>
          <w:lang w:val="pt-BR"/>
        </w:rPr>
        <w:t xml:space="preserve">objeto</w:t>
      </w:r>
      <w:r>
        <w:rPr>
          <w:b/>
          <w:bCs/>
          <w:spacing w:val="-1"/>
          <w:sz w:val="24"/>
          <w:szCs w:val="24"/>
          <w:lang w:val="pt-BR"/>
        </w:rPr>
        <w:t xml:space="preserve"> </w:t>
      </w:r>
      <w:r>
        <w:rPr>
          <w:b/>
          <w:bCs/>
          <w:sz w:val="24"/>
          <w:szCs w:val="24"/>
          <w:lang w:val="pt-BR"/>
        </w:rPr>
        <w:t xml:space="preserve">de</w:t>
      </w:r>
      <w:r>
        <w:rPr>
          <w:b/>
          <w:bCs/>
          <w:spacing w:val="-1"/>
          <w:sz w:val="24"/>
          <w:szCs w:val="24"/>
          <w:lang w:val="pt-BR"/>
        </w:rPr>
        <w:t xml:space="preserve"> </w:t>
      </w:r>
      <w:r>
        <w:rPr>
          <w:b/>
          <w:bCs/>
          <w:spacing w:val="-2"/>
          <w:sz w:val="24"/>
          <w:szCs w:val="24"/>
          <w:lang w:val="pt-BR"/>
        </w:rPr>
        <w:t xml:space="preserve">contratação:</w:t>
      </w:r>
      <w:r>
        <w:rPr>
          <w:b/>
          <w:bCs/>
          <w:sz w:val="24"/>
          <w:szCs w:val="24"/>
          <w:lang w:val="pt-BR"/>
        </w:rPr>
      </w:r>
      <w:r>
        <w:rPr>
          <w:b/>
          <w:bCs/>
          <w:sz w:val="24"/>
          <w:szCs w:val="24"/>
          <w:lang w:val="pt-BR"/>
        </w:rPr>
      </w:r>
    </w:p>
    <w:p w14:paraId="7B1506AC">
      <w:pPr>
        <w:pStyle w:val="1104"/>
        <w:pBdr/>
        <w:spacing w:line="360" w:lineRule="auto"/>
        <w:ind/>
        <w:jc w:val="both"/>
        <w:rPr>
          <w:sz w:val="24"/>
          <w:szCs w:val="24"/>
          <w:lang w:val="pt-BR"/>
        </w:rPr>
      </w:pPr>
      <w:r>
        <w:rPr>
          <w:sz w:val="24"/>
          <w:szCs w:val="24"/>
          <w:lang w:val="pt-BR"/>
        </w:rPr>
        <w:t xml:space="preserve">(</w:t>
      </w:r>
      <w:r>
        <w:rPr>
          <w:spacing w:val="30"/>
          <w:sz w:val="24"/>
          <w:szCs w:val="24"/>
          <w:lang w:val="pt-BR"/>
        </w:rPr>
        <w:t xml:space="preserve">  </w:t>
      </w:r>
      <w:r>
        <w:rPr>
          <w:sz w:val="24"/>
          <w:szCs w:val="24"/>
          <w:lang w:val="pt-BR"/>
        </w:rPr>
        <w:t xml:space="preserve">)</w:t>
      </w:r>
      <w:r>
        <w:rPr>
          <w:spacing w:val="-2"/>
          <w:sz w:val="24"/>
          <w:szCs w:val="24"/>
          <w:lang w:val="pt-BR"/>
        </w:rPr>
        <w:t xml:space="preserve"> </w:t>
      </w:r>
      <w:r>
        <w:rPr>
          <w:spacing w:val="-5"/>
          <w:sz w:val="24"/>
          <w:szCs w:val="24"/>
          <w:lang w:val="pt-BR"/>
        </w:rPr>
        <w:t xml:space="preserve">Não</w:t>
      </w:r>
      <w:r>
        <w:rPr>
          <w:sz w:val="24"/>
          <w:szCs w:val="24"/>
          <w:lang w:val="pt-BR"/>
        </w:rPr>
      </w:r>
      <w:r>
        <w:rPr>
          <w:sz w:val="24"/>
          <w:szCs w:val="24"/>
          <w:lang w:val="pt-BR"/>
        </w:rPr>
      </w:r>
    </w:p>
    <w:p w14:paraId="70ADE938">
      <w:pPr>
        <w:pStyle w:val="1104"/>
        <w:pBdr/>
        <w:spacing w:line="360" w:lineRule="auto"/>
        <w:ind/>
        <w:jc w:val="both"/>
        <w:rPr>
          <w:sz w:val="24"/>
          <w:szCs w:val="24"/>
          <w:lang w:val="pt-BR"/>
        </w:rPr>
      </w:pPr>
      <w:r>
        <w:rPr>
          <w:sz w:val="24"/>
          <w:szCs w:val="24"/>
          <w:lang w:val="pt-BR"/>
        </w:rPr>
        <w:t xml:space="preserve">(X</w:t>
      </w:r>
      <w:r>
        <w:rPr>
          <w:spacing w:val="30"/>
          <w:sz w:val="24"/>
          <w:szCs w:val="24"/>
          <w:lang w:val="pt-BR"/>
        </w:rPr>
        <w:t xml:space="preserve">)</w:t>
      </w:r>
      <w:r>
        <w:rPr>
          <w:spacing w:val="-2"/>
          <w:sz w:val="24"/>
          <w:szCs w:val="24"/>
          <w:lang w:val="pt-BR"/>
        </w:rPr>
        <w:t xml:space="preserve"> </w:t>
      </w:r>
      <w:r>
        <w:rPr>
          <w:spacing w:val="-5"/>
          <w:sz w:val="24"/>
          <w:szCs w:val="24"/>
          <w:lang w:val="pt-BR"/>
        </w:rPr>
        <w:t xml:space="preserve">Sim</w:t>
      </w:r>
      <w:r>
        <w:rPr>
          <w:sz w:val="24"/>
          <w:szCs w:val="24"/>
          <w:lang w:val="pt-BR"/>
        </w:rPr>
      </w:r>
      <w:r>
        <w:rPr>
          <w:sz w:val="24"/>
          <w:szCs w:val="24"/>
          <w:lang w:val="pt-BR"/>
        </w:rPr>
      </w:r>
    </w:p>
    <w:p w14:paraId="5AD9098B">
      <w:pPr>
        <w:widowControl w:val="false"/>
        <w:pBdr/>
        <w:spacing w:line="360" w:lineRule="auto"/>
        <w:ind/>
        <w:jc w:val="both"/>
        <w:rPr>
          <w:rFonts w:ascii="Times New Roman" w:hAnsi="Times New Roman" w:cs="Times New Roman"/>
          <w:spacing w:val="-2"/>
          <w:sz w:val="24"/>
        </w:rPr>
      </w:pPr>
      <w:r>
        <w:rPr>
          <w:rFonts w:ascii="Times New Roman" w:hAnsi="Times New Roman" w:cs="Times New Roman"/>
          <w:sz w:val="24"/>
          <w:szCs w:val="24"/>
        </w:rPr>
        <w:t xml:space="preserve">Legislação</w:t>
      </w:r>
      <w:r>
        <w:rPr>
          <w:rFonts w:ascii="Times New Roman" w:hAnsi="Times New Roman" w:cs="Times New Roman"/>
          <w:spacing w:val="-3"/>
          <w:sz w:val="24"/>
          <w:szCs w:val="24"/>
        </w:rPr>
        <w:t xml:space="preserve"> </w:t>
      </w:r>
      <w:r>
        <w:rPr>
          <w:rFonts w:ascii="Times New Roman" w:hAnsi="Times New Roman" w:cs="Times New Roman"/>
          <w:spacing w:val="-2"/>
          <w:sz w:val="24"/>
          <w:szCs w:val="24"/>
        </w:rPr>
        <w:t xml:space="preserve">aplicável: </w:t>
      </w:r>
      <w:r>
        <w:rPr>
          <w:rFonts w:ascii="Times New Roman" w:hAnsi="Times New Roman" w:cs="Times New Roman"/>
          <w:spacing w:val="-2"/>
          <w:sz w:val="24"/>
        </w:rPr>
        <w:t xml:space="preserve">A contratação desse tipo de serviço deve observar principalmente a </w:t>
      </w:r>
      <w:r>
        <w:rPr>
          <w:rFonts w:ascii="Times New Roman" w:hAnsi="Times New Roman" w:cs="Times New Roman"/>
          <w:b/>
          <w:bCs/>
          <w:spacing w:val="-2"/>
          <w:sz w:val="24"/>
        </w:rPr>
        <w:t xml:space="preserve">Lei nº 14.133/2021</w:t>
      </w:r>
      <w:r>
        <w:rPr>
          <w:rFonts w:ascii="Times New Roman" w:hAnsi="Times New Roman" w:cs="Times New Roman"/>
          <w:spacing w:val="-2"/>
          <w:sz w:val="24"/>
        </w:rPr>
        <w:t xml:space="preserve">, que é a </w:t>
      </w:r>
      <w:r>
        <w:rPr>
          <w:rFonts w:ascii="Times New Roman" w:hAnsi="Times New Roman" w:cs="Times New Roman"/>
          <w:b/>
          <w:bCs/>
          <w:spacing w:val="-2"/>
          <w:sz w:val="24"/>
        </w:rPr>
        <w:t xml:space="preserve">Nova Lei de Licitações e Contratos Administrativos</w:t>
      </w:r>
      <w:r>
        <w:rPr>
          <w:rFonts w:ascii="Times New Roman" w:hAnsi="Times New Roman" w:cs="Times New Roman"/>
          <w:spacing w:val="-2"/>
          <w:sz w:val="24"/>
        </w:rPr>
        <w:t xml:space="preserve">. Essa norma estabelece todas as regras para planejamento, licitação, contratação, execução e fiscalização de obras e serviços de engenharia no setor público. Exige que o processo seja precedido de </w:t>
      </w:r>
      <w:r>
        <w:rPr>
          <w:rFonts w:ascii="Times New Roman" w:hAnsi="Times New Roman" w:cs="Times New Roman"/>
          <w:b/>
          <w:bCs/>
          <w:spacing w:val="-2"/>
          <w:sz w:val="24"/>
        </w:rPr>
        <w:t xml:space="preserve">projeto básico, orçamento detalhado, pesquisa de preços e acompanhamento por profissional habilitado</w:t>
      </w:r>
      <w:r>
        <w:rPr>
          <w:rFonts w:ascii="Times New Roman" w:hAnsi="Times New Roman" w:cs="Times New Roman"/>
          <w:spacing w:val="-2"/>
          <w:sz w:val="24"/>
        </w:rPr>
        <w:t xml:space="preserve">, garantindo transparência e eficiência na aplicação dos recursos públicos.</w:t>
      </w:r>
      <w:r>
        <w:rPr>
          <w:rFonts w:ascii="Times New Roman" w:hAnsi="Times New Roman" w:cs="Times New Roman"/>
          <w:spacing w:val="-2"/>
          <w:sz w:val="24"/>
        </w:rPr>
      </w:r>
      <w:r>
        <w:rPr>
          <w:rFonts w:ascii="Times New Roman" w:hAnsi="Times New Roman" w:cs="Times New Roman"/>
          <w:spacing w:val="-2"/>
          <w:sz w:val="24"/>
        </w:rPr>
      </w:r>
    </w:p>
    <w:p w14:paraId="5350119B">
      <w:pPr>
        <w:widowControl w:val="false"/>
        <w:pBdr/>
        <w:spacing w:line="360" w:lineRule="auto"/>
        <w:ind w:firstLine="707"/>
        <w:jc w:val="both"/>
        <w:rPr>
          <w:rFonts w:ascii="Times New Roman" w:hAnsi="Times New Roman" w:cs="Times New Roman"/>
          <w:spacing w:val="-2"/>
          <w:sz w:val="24"/>
          <w:szCs w:val="24"/>
        </w:rPr>
      </w:pPr>
      <w:r>
        <w:rPr>
          <w:rFonts w:ascii="Times New Roman" w:hAnsi="Times New Roman" w:cs="Times New Roman"/>
          <w:spacing w:val="-2"/>
          <w:sz w:val="24"/>
          <w:szCs w:val="24"/>
        </w:rPr>
        <w:t xml:space="preserve">Complementarmente, a </w:t>
      </w:r>
      <w:r>
        <w:rPr>
          <w:rFonts w:ascii="Times New Roman" w:hAnsi="Times New Roman" w:cs="Times New Roman"/>
          <w:b/>
          <w:bCs/>
          <w:spacing w:val="-2"/>
          <w:sz w:val="24"/>
          <w:szCs w:val="24"/>
        </w:rPr>
        <w:t xml:space="preserve">Lei nº 5.194/1966</w:t>
      </w:r>
      <w:r>
        <w:rPr>
          <w:rFonts w:ascii="Times New Roman" w:hAnsi="Times New Roman" w:cs="Times New Roman"/>
          <w:spacing w:val="-2"/>
          <w:sz w:val="24"/>
          <w:szCs w:val="24"/>
        </w:rPr>
        <w:t xml:space="preserve"> regula o </w:t>
      </w:r>
      <w:r>
        <w:rPr>
          <w:rFonts w:ascii="Times New Roman" w:hAnsi="Times New Roman" w:cs="Times New Roman"/>
          <w:b/>
          <w:bCs/>
          <w:spacing w:val="-2"/>
          <w:sz w:val="24"/>
          <w:szCs w:val="24"/>
        </w:rPr>
        <w:t xml:space="preserve">exercício profissional da engenharia</w:t>
      </w:r>
      <w:r>
        <w:rPr>
          <w:rFonts w:ascii="Times New Roman" w:hAnsi="Times New Roman" w:cs="Times New Roman"/>
          <w:spacing w:val="-2"/>
          <w:sz w:val="24"/>
          <w:szCs w:val="24"/>
        </w:rPr>
        <w:t xml:space="preserve">, determinando que toda obra ou serviço técnico seja executado e acompanhado por engenheiro ou empresa devidamente registrada no </w:t>
      </w:r>
      <w:r>
        <w:rPr>
          <w:rFonts w:ascii="Times New Roman" w:hAnsi="Times New Roman" w:cs="Times New Roman"/>
          <w:b/>
          <w:bCs/>
          <w:spacing w:val="-2"/>
          <w:sz w:val="24"/>
          <w:szCs w:val="24"/>
        </w:rPr>
        <w:t xml:space="preserve">CREA</w:t>
      </w:r>
      <w:r>
        <w:rPr>
          <w:rFonts w:ascii="Times New Roman" w:hAnsi="Times New Roman" w:cs="Times New Roman"/>
          <w:spacing w:val="-2"/>
          <w:sz w:val="24"/>
          <w:szCs w:val="24"/>
        </w:rPr>
        <w:t xml:space="preserve">, com emissão da </w:t>
      </w:r>
      <w:r>
        <w:rPr>
          <w:rFonts w:ascii="Times New Roman" w:hAnsi="Times New Roman" w:cs="Times New Roman"/>
          <w:b/>
          <w:bCs/>
          <w:spacing w:val="-2"/>
          <w:sz w:val="24"/>
          <w:szCs w:val="24"/>
        </w:rPr>
        <w:t xml:space="preserve">ART (Anotação de Responsabilidade Técnica)</w:t>
      </w:r>
      <w:r>
        <w:rPr>
          <w:rFonts w:ascii="Times New Roman" w:hAnsi="Times New Roman" w:cs="Times New Roman"/>
          <w:spacing w:val="-2"/>
          <w:sz w:val="24"/>
          <w:szCs w:val="24"/>
        </w:rPr>
        <w:t xml:space="preserve">, conforme a </w:t>
      </w:r>
      <w:r>
        <w:rPr>
          <w:rFonts w:ascii="Times New Roman" w:hAnsi="Times New Roman" w:cs="Times New Roman"/>
          <w:b/>
          <w:bCs/>
          <w:spacing w:val="-2"/>
          <w:sz w:val="24"/>
          <w:szCs w:val="24"/>
        </w:rPr>
        <w:t xml:space="preserve">Resolução CONFEA nº 1.025/2009</w:t>
      </w:r>
      <w:r>
        <w:rPr>
          <w:rFonts w:ascii="Times New Roman" w:hAnsi="Times New Roman" w:cs="Times New Roman"/>
          <w:spacing w:val="-2"/>
          <w:sz w:val="24"/>
          <w:szCs w:val="24"/>
        </w:rPr>
        <w:t xml:space="preserve">.</w:t>
      </w:r>
      <w:r>
        <w:rPr>
          <w:rFonts w:ascii="Times New Roman" w:hAnsi="Times New Roman" w:cs="Times New Roman"/>
          <w:spacing w:val="-2"/>
          <w:sz w:val="24"/>
          <w:szCs w:val="24"/>
        </w:rPr>
      </w:r>
      <w:r>
        <w:rPr>
          <w:rFonts w:ascii="Times New Roman" w:hAnsi="Times New Roman" w:cs="Times New Roman"/>
          <w:spacing w:val="-2"/>
          <w:sz w:val="24"/>
          <w:szCs w:val="24"/>
        </w:rPr>
      </w:r>
    </w:p>
    <w:p w14:paraId="41C047AB">
      <w:pPr>
        <w:widowControl w:val="false"/>
        <w:pBdr/>
        <w:spacing w:line="360" w:lineRule="auto"/>
        <w:ind w:firstLine="707"/>
        <w:jc w:val="both"/>
        <w:rPr>
          <w:rFonts w:ascii="Times New Roman" w:hAnsi="Times New Roman" w:cs="Times New Roman"/>
          <w:spacing w:val="-2"/>
          <w:sz w:val="24"/>
          <w:szCs w:val="24"/>
        </w:rPr>
      </w:pPr>
      <w:r>
        <w:rPr>
          <w:rFonts w:ascii="Times New Roman" w:hAnsi="Times New Roman" w:cs="Times New Roman"/>
          <w:spacing w:val="-2"/>
          <w:sz w:val="24"/>
          <w:szCs w:val="24"/>
        </w:rPr>
        <w:t xml:space="preserve">A </w:t>
      </w:r>
      <w:r>
        <w:rPr>
          <w:rFonts w:ascii="Times New Roman" w:hAnsi="Times New Roman" w:cs="Times New Roman"/>
          <w:b/>
          <w:bCs/>
          <w:spacing w:val="-2"/>
          <w:sz w:val="24"/>
          <w:szCs w:val="24"/>
        </w:rPr>
        <w:t xml:space="preserve">Lei nº 9.503/1997 (Código de Trânsito Brasileiro)</w:t>
      </w:r>
      <w:r>
        <w:rPr>
          <w:rFonts w:ascii="Times New Roman" w:hAnsi="Times New Roman" w:cs="Times New Roman"/>
          <w:spacing w:val="-2"/>
          <w:sz w:val="24"/>
          <w:szCs w:val="24"/>
        </w:rPr>
        <w:t xml:space="preserve"> também é relevante, pois as obras viárias devem atender aos critérios de </w:t>
      </w:r>
      <w:r>
        <w:rPr>
          <w:rFonts w:ascii="Times New Roman" w:hAnsi="Times New Roman" w:cs="Times New Roman"/>
          <w:b/>
          <w:bCs/>
          <w:spacing w:val="-2"/>
          <w:sz w:val="24"/>
          <w:szCs w:val="24"/>
        </w:rPr>
        <w:t xml:space="preserve">segurança e sinalização adequadas</w:t>
      </w:r>
      <w:r>
        <w:rPr>
          <w:rFonts w:ascii="Times New Roman" w:hAnsi="Times New Roman" w:cs="Times New Roman"/>
          <w:spacing w:val="-2"/>
          <w:sz w:val="24"/>
          <w:szCs w:val="24"/>
        </w:rPr>
        <w:t xml:space="preserve">, conforme exigem os órgãos executivos de trânsito e engenharia.</w:t>
      </w:r>
      <w:r>
        <w:rPr>
          <w:rFonts w:ascii="Times New Roman" w:hAnsi="Times New Roman" w:cs="Times New Roman"/>
          <w:spacing w:val="-2"/>
          <w:sz w:val="24"/>
          <w:szCs w:val="24"/>
        </w:rPr>
      </w:r>
      <w:r>
        <w:rPr>
          <w:rFonts w:ascii="Times New Roman" w:hAnsi="Times New Roman" w:cs="Times New Roman"/>
          <w:spacing w:val="-2"/>
          <w:sz w:val="24"/>
          <w:szCs w:val="24"/>
        </w:rPr>
      </w:r>
    </w:p>
    <w:p w14:paraId="088A353B">
      <w:pPr>
        <w:widowControl w:val="false"/>
        <w:pBdr/>
        <w:spacing w:line="360" w:lineRule="auto"/>
        <w:ind w:firstLine="707"/>
        <w:jc w:val="both"/>
        <w:rPr>
          <w:rFonts w:ascii="Times New Roman" w:hAnsi="Times New Roman" w:cs="Times New Roman"/>
          <w:spacing w:val="-2"/>
          <w:sz w:val="24"/>
          <w:szCs w:val="24"/>
        </w:rPr>
      </w:pPr>
      <w:r>
        <w:rPr>
          <w:rFonts w:ascii="Times New Roman" w:hAnsi="Times New Roman" w:cs="Times New Roman"/>
          <w:spacing w:val="-2"/>
          <w:sz w:val="24"/>
          <w:szCs w:val="24"/>
        </w:rPr>
        <w:t xml:space="preserve">Do ponto de vista técnico, aplicam-se as </w:t>
      </w:r>
      <w:r>
        <w:rPr>
          <w:rFonts w:ascii="Times New Roman" w:hAnsi="Times New Roman" w:cs="Times New Roman"/>
          <w:b/>
          <w:bCs/>
          <w:spacing w:val="-2"/>
          <w:sz w:val="24"/>
          <w:szCs w:val="24"/>
        </w:rPr>
        <w:t xml:space="preserve">Normas da ABNT</w:t>
      </w:r>
      <w:r>
        <w:rPr>
          <w:rFonts w:ascii="Times New Roman" w:hAnsi="Times New Roman" w:cs="Times New Roman"/>
          <w:spacing w:val="-2"/>
          <w:sz w:val="24"/>
          <w:szCs w:val="24"/>
        </w:rPr>
        <w:t xml:space="preserve">, como a </w:t>
      </w:r>
      <w:r>
        <w:rPr>
          <w:rFonts w:ascii="Times New Roman" w:hAnsi="Times New Roman" w:cs="Times New Roman"/>
          <w:b/>
          <w:bCs/>
          <w:spacing w:val="-2"/>
          <w:sz w:val="24"/>
          <w:szCs w:val="24"/>
        </w:rPr>
        <w:t xml:space="preserve">NBR 9050</w:t>
      </w:r>
      <w:r>
        <w:rPr>
          <w:rFonts w:ascii="Times New Roman" w:hAnsi="Times New Roman" w:cs="Times New Roman"/>
          <w:spacing w:val="-2"/>
          <w:sz w:val="24"/>
          <w:szCs w:val="24"/>
        </w:rPr>
        <w:t xml:space="preserve"> (acessibilidade) e normas específicas </w:t>
      </w:r>
      <w:r>
        <w:rPr>
          <w:rFonts w:ascii="Times New Roman" w:hAnsi="Times New Roman" w:cs="Times New Roman"/>
          <w:b/>
          <w:bCs/>
          <w:spacing w:val="-2"/>
          <w:sz w:val="24"/>
          <w:szCs w:val="24"/>
        </w:rPr>
        <w:t xml:space="preserve">e drenagem urbana</w:t>
      </w:r>
      <w:r>
        <w:rPr>
          <w:rFonts w:ascii="Times New Roman" w:hAnsi="Times New Roman" w:cs="Times New Roman"/>
          <w:spacing w:val="-2"/>
          <w:sz w:val="24"/>
          <w:szCs w:val="24"/>
        </w:rPr>
        <w:t xml:space="preserve">, que asseguram qualidade, durabilidade e acessibilidade nas intervenções urbanas.</w:t>
      </w:r>
      <w:r>
        <w:rPr>
          <w:rFonts w:ascii="Times New Roman" w:hAnsi="Times New Roman" w:cs="Times New Roman"/>
          <w:spacing w:val="-2"/>
          <w:sz w:val="24"/>
          <w:szCs w:val="24"/>
        </w:rPr>
      </w:r>
      <w:r>
        <w:rPr>
          <w:rFonts w:ascii="Times New Roman" w:hAnsi="Times New Roman" w:cs="Times New Roman"/>
          <w:spacing w:val="-2"/>
          <w:sz w:val="24"/>
          <w:szCs w:val="24"/>
        </w:rPr>
      </w:r>
    </w:p>
    <w:p w14:paraId="3928BE33">
      <w:pPr>
        <w:widowControl w:val="false"/>
        <w:pBdr/>
        <w:spacing w:line="360" w:lineRule="auto"/>
        <w:ind w:firstLine="707"/>
        <w:jc w:val="both"/>
        <w:rPr>
          <w:rFonts w:ascii="Times New Roman" w:hAnsi="Times New Roman" w:cs="Times New Roman"/>
          <w:spacing w:val="-2"/>
          <w:sz w:val="24"/>
          <w:szCs w:val="24"/>
        </w:rPr>
      </w:pPr>
      <w:r>
        <w:rPr>
          <w:rFonts w:ascii="Times New Roman" w:hAnsi="Times New Roman" w:cs="Times New Roman"/>
          <w:spacing w:val="-2"/>
          <w:sz w:val="24"/>
          <w:szCs w:val="24"/>
        </w:rPr>
        <w:t xml:space="preserve">Por fim, obras de urbanização devem estar em conformidade com o </w:t>
      </w:r>
      <w:r>
        <w:rPr>
          <w:rFonts w:ascii="Times New Roman" w:hAnsi="Times New Roman" w:cs="Times New Roman"/>
          <w:b/>
          <w:bCs/>
          <w:spacing w:val="-2"/>
          <w:sz w:val="24"/>
          <w:szCs w:val="24"/>
        </w:rPr>
        <w:t xml:space="preserve">Estatuto da Cidade (Lei nº 10.257/2001)</w:t>
      </w:r>
      <w:r>
        <w:rPr>
          <w:rFonts w:ascii="Times New Roman" w:hAnsi="Times New Roman" w:cs="Times New Roman"/>
          <w:spacing w:val="-2"/>
          <w:sz w:val="24"/>
          <w:szCs w:val="24"/>
        </w:rPr>
        <w:t xml:space="preserve">, que orienta o desenvolvimento urbano sustentável e o cumprimento do </w:t>
      </w:r>
      <w:r>
        <w:rPr>
          <w:rFonts w:ascii="Times New Roman" w:hAnsi="Times New Roman" w:cs="Times New Roman"/>
          <w:b/>
          <w:bCs/>
          <w:spacing w:val="-2"/>
          <w:sz w:val="24"/>
          <w:szCs w:val="24"/>
        </w:rPr>
        <w:t xml:space="preserve">plano diretor municipal</w:t>
      </w:r>
      <w:r>
        <w:rPr>
          <w:rFonts w:ascii="Times New Roman" w:hAnsi="Times New Roman" w:cs="Times New Roman"/>
          <w:spacing w:val="-2"/>
          <w:sz w:val="24"/>
          <w:szCs w:val="24"/>
        </w:rPr>
        <w:t xml:space="preserve">, além da </w:t>
      </w:r>
      <w:r>
        <w:rPr>
          <w:rFonts w:ascii="Times New Roman" w:hAnsi="Times New Roman" w:cs="Times New Roman"/>
          <w:b/>
          <w:bCs/>
          <w:spacing w:val="-2"/>
          <w:sz w:val="24"/>
          <w:szCs w:val="24"/>
        </w:rPr>
        <w:t xml:space="preserve">Lei nº 6.938/1981 (Política Nacional do Meio Ambiente)</w:t>
      </w:r>
      <w:r>
        <w:rPr>
          <w:rFonts w:ascii="Times New Roman" w:hAnsi="Times New Roman" w:cs="Times New Roman"/>
          <w:spacing w:val="-2"/>
          <w:sz w:val="24"/>
          <w:szCs w:val="24"/>
        </w:rPr>
        <w:t xml:space="preserve">, quando houver necessidade de licenciamento ambiental.</w:t>
      </w:r>
      <w:r>
        <w:rPr>
          <w:rFonts w:ascii="Times New Roman" w:hAnsi="Times New Roman" w:cs="Times New Roman"/>
          <w:spacing w:val="-2"/>
          <w:sz w:val="24"/>
          <w:szCs w:val="24"/>
        </w:rPr>
      </w:r>
      <w:r>
        <w:rPr>
          <w:rFonts w:ascii="Times New Roman" w:hAnsi="Times New Roman" w:cs="Times New Roman"/>
          <w:spacing w:val="-2"/>
          <w:sz w:val="24"/>
          <w:szCs w:val="24"/>
        </w:rPr>
      </w:r>
    </w:p>
    <w:p w14:paraId="6B1572FB">
      <w:pPr>
        <w:widowControl w:val="false"/>
        <w:pBdr/>
        <w:spacing w:line="360" w:lineRule="auto"/>
        <w:ind/>
        <w:jc w:val="both"/>
        <w:rPr>
          <w:rFonts w:ascii="Times New Roman" w:hAnsi="Times New Roman" w:cs="Times New Roman"/>
          <w:spacing w:val="-2"/>
          <w:sz w:val="24"/>
          <w:szCs w:val="24"/>
        </w:rPr>
      </w:pPr>
      <w:r>
        <w:rPr>
          <w:rFonts w:ascii="Times New Roman" w:hAnsi="Times New Roman" w:cs="Times New Roman"/>
          <w:spacing w:val="-2"/>
          <w:sz w:val="24"/>
          <w:szCs w:val="24"/>
        </w:rPr>
      </w:r>
      <w:r>
        <w:rPr>
          <w:rFonts w:ascii="Times New Roman" w:hAnsi="Times New Roman" w:cs="Times New Roman"/>
          <w:spacing w:val="-2"/>
          <w:sz w:val="24"/>
          <w:szCs w:val="24"/>
        </w:rPr>
      </w:r>
      <w:r>
        <w:rPr>
          <w:rFonts w:ascii="Times New Roman" w:hAnsi="Times New Roman" w:cs="Times New Roman"/>
          <w:spacing w:val="-2"/>
          <w:sz w:val="24"/>
          <w:szCs w:val="24"/>
        </w:rPr>
      </w:r>
    </w:p>
    <w:p w14:paraId="30E8F9D3">
      <w:pPr>
        <w:pStyle w:val="1104"/>
        <w:pBdr/>
        <w:spacing w:line="360" w:lineRule="auto"/>
        <w:ind/>
        <w:jc w:val="both"/>
        <w:rPr>
          <w:b/>
          <w:bCs/>
          <w:sz w:val="24"/>
          <w:szCs w:val="24"/>
          <w:lang w:val="pt-BR"/>
        </w:rPr>
      </w:pPr>
      <w:r>
        <w:rPr>
          <w:b/>
          <w:bCs/>
          <w:sz w:val="24"/>
          <w:szCs w:val="24"/>
          <w:lang w:val="pt-BR"/>
        </w:rPr>
        <w:t xml:space="preserve">5.7</w:t>
      </w:r>
      <w:r>
        <w:rPr>
          <w:b/>
          <w:bCs/>
          <w:spacing w:val="-1"/>
          <w:sz w:val="24"/>
          <w:szCs w:val="24"/>
          <w:lang w:val="pt-BR"/>
        </w:rPr>
        <w:t xml:space="preserve"> </w:t>
      </w:r>
      <w:r>
        <w:rPr>
          <w:b/>
          <w:bCs/>
          <w:sz w:val="24"/>
          <w:szCs w:val="24"/>
          <w:lang w:val="pt-BR"/>
        </w:rPr>
        <w:t xml:space="preserve">Necessidade</w:t>
      </w:r>
      <w:r>
        <w:rPr>
          <w:b/>
          <w:bCs/>
          <w:spacing w:val="-2"/>
          <w:sz w:val="24"/>
          <w:szCs w:val="24"/>
          <w:lang w:val="pt-BR"/>
        </w:rPr>
        <w:t xml:space="preserve"> </w:t>
      </w:r>
      <w:r>
        <w:rPr>
          <w:b/>
          <w:bCs/>
          <w:sz w:val="24"/>
          <w:szCs w:val="24"/>
          <w:lang w:val="pt-BR"/>
        </w:rPr>
        <w:t xml:space="preserve">de</w:t>
      </w:r>
      <w:r>
        <w:rPr>
          <w:b/>
          <w:bCs/>
          <w:spacing w:val="-1"/>
          <w:sz w:val="24"/>
          <w:szCs w:val="24"/>
          <w:lang w:val="pt-BR"/>
        </w:rPr>
        <w:t xml:space="preserve"> </w:t>
      </w:r>
      <w:r>
        <w:rPr>
          <w:b/>
          <w:bCs/>
          <w:sz w:val="24"/>
          <w:szCs w:val="24"/>
          <w:lang w:val="pt-BR"/>
        </w:rPr>
        <w:t xml:space="preserve">Consolidação</w:t>
      </w:r>
      <w:r>
        <w:rPr>
          <w:b/>
          <w:bCs/>
          <w:spacing w:val="-1"/>
          <w:sz w:val="24"/>
          <w:szCs w:val="24"/>
          <w:lang w:val="pt-BR"/>
        </w:rPr>
        <w:t xml:space="preserve"> </w:t>
      </w:r>
      <w:r>
        <w:rPr>
          <w:b/>
          <w:bCs/>
          <w:sz w:val="24"/>
          <w:szCs w:val="24"/>
          <w:lang w:val="pt-BR"/>
        </w:rPr>
        <w:t xml:space="preserve">para toda</w:t>
      </w:r>
      <w:r>
        <w:rPr>
          <w:b/>
          <w:bCs/>
          <w:spacing w:val="-1"/>
          <w:sz w:val="24"/>
          <w:szCs w:val="24"/>
          <w:lang w:val="pt-BR"/>
        </w:rPr>
        <w:t xml:space="preserve"> </w:t>
      </w:r>
      <w:r>
        <w:rPr>
          <w:b/>
          <w:bCs/>
          <w:sz w:val="24"/>
          <w:szCs w:val="24"/>
          <w:lang w:val="pt-BR"/>
        </w:rPr>
        <w:t xml:space="preserve">a </w:t>
      </w:r>
      <w:r>
        <w:rPr>
          <w:b/>
          <w:bCs/>
          <w:spacing w:val="-2"/>
          <w:sz w:val="24"/>
          <w:szCs w:val="24"/>
          <w:lang w:val="pt-BR"/>
        </w:rPr>
        <w:t xml:space="preserve">estrutura:</w:t>
      </w:r>
      <w:r>
        <w:rPr>
          <w:b/>
          <w:bCs/>
          <w:sz w:val="24"/>
          <w:szCs w:val="24"/>
          <w:lang w:val="pt-BR"/>
        </w:rPr>
      </w:r>
      <w:r>
        <w:rPr>
          <w:b/>
          <w:bCs/>
          <w:sz w:val="24"/>
          <w:szCs w:val="24"/>
          <w:lang w:val="pt-BR"/>
        </w:rPr>
      </w:r>
    </w:p>
    <w:p w14:paraId="74C4EA31">
      <w:pPr>
        <w:pStyle w:val="1104"/>
        <w:pBdr/>
        <w:tabs>
          <w:tab w:val="left" w:leader="none" w:pos="427"/>
        </w:tabs>
        <w:spacing w:line="360" w:lineRule="auto"/>
        <w:ind/>
        <w:jc w:val="both"/>
        <w:rPr>
          <w:sz w:val="24"/>
          <w:szCs w:val="24"/>
          <w:lang w:val="pt-BR"/>
        </w:rPr>
      </w:pPr>
      <w:r>
        <w:rPr>
          <w:spacing w:val="-10"/>
          <w:sz w:val="24"/>
          <w:szCs w:val="24"/>
          <w:lang w:val="pt-BR"/>
        </w:rPr>
        <w:t xml:space="preserve">(  </w:t>
      </w:r>
      <w:r>
        <w:rPr>
          <w:sz w:val="24"/>
          <w:szCs w:val="24"/>
          <w:lang w:val="pt-BR"/>
        </w:rPr>
        <w:t xml:space="preserve">)</w:t>
      </w:r>
      <w:r>
        <w:rPr>
          <w:spacing w:val="-3"/>
          <w:sz w:val="24"/>
          <w:szCs w:val="24"/>
          <w:lang w:val="pt-BR"/>
        </w:rPr>
        <w:t xml:space="preserve"> </w:t>
      </w:r>
      <w:r>
        <w:rPr>
          <w:sz w:val="24"/>
          <w:szCs w:val="24"/>
          <w:lang w:val="pt-BR"/>
        </w:rPr>
        <w:t xml:space="preserve">Aquisição</w:t>
      </w:r>
      <w:r>
        <w:rPr>
          <w:spacing w:val="2"/>
          <w:sz w:val="24"/>
          <w:szCs w:val="24"/>
          <w:lang w:val="pt-BR"/>
        </w:rPr>
        <w:t xml:space="preserve"> </w:t>
      </w:r>
      <w:r>
        <w:rPr>
          <w:sz w:val="24"/>
          <w:szCs w:val="24"/>
          <w:lang w:val="pt-BR"/>
        </w:rPr>
        <w:t xml:space="preserve">consolidada</w:t>
      </w:r>
      <w:r>
        <w:rPr>
          <w:spacing w:val="-3"/>
          <w:sz w:val="24"/>
          <w:szCs w:val="24"/>
          <w:lang w:val="pt-BR"/>
        </w:rPr>
        <w:t xml:space="preserve"> </w:t>
      </w:r>
      <w:r>
        <w:rPr>
          <w:sz w:val="24"/>
          <w:szCs w:val="24"/>
          <w:lang w:val="pt-BR"/>
        </w:rPr>
        <w:t xml:space="preserve">para</w:t>
      </w:r>
      <w:r>
        <w:rPr>
          <w:spacing w:val="-2"/>
          <w:sz w:val="24"/>
          <w:szCs w:val="24"/>
          <w:lang w:val="pt-BR"/>
        </w:rPr>
        <w:t xml:space="preserve"> </w:t>
      </w:r>
      <w:r>
        <w:rPr>
          <w:sz w:val="24"/>
          <w:szCs w:val="24"/>
          <w:lang w:val="pt-BR"/>
        </w:rPr>
        <w:t xml:space="preserve">toda</w:t>
      </w:r>
      <w:r>
        <w:rPr>
          <w:spacing w:val="-1"/>
          <w:sz w:val="24"/>
          <w:szCs w:val="24"/>
          <w:lang w:val="pt-BR"/>
        </w:rPr>
        <w:t xml:space="preserve"> </w:t>
      </w:r>
      <w:r>
        <w:rPr>
          <w:spacing w:val="-2"/>
          <w:sz w:val="24"/>
          <w:szCs w:val="24"/>
          <w:lang w:val="pt-BR"/>
        </w:rPr>
        <w:t xml:space="preserve">estrutura</w:t>
      </w:r>
      <w:r>
        <w:rPr>
          <w:sz w:val="24"/>
          <w:szCs w:val="24"/>
          <w:lang w:val="pt-BR"/>
        </w:rPr>
      </w:r>
      <w:r>
        <w:rPr>
          <w:sz w:val="24"/>
          <w:szCs w:val="24"/>
          <w:lang w:val="pt-BR"/>
        </w:rPr>
      </w:r>
    </w:p>
    <w:p w14:paraId="41595223">
      <w:pPr>
        <w:widowControl w:val="false"/>
        <w:pBdr/>
        <w:spacing w:line="360" w:lineRule="auto"/>
        <w:ind/>
        <w:jc w:val="both"/>
        <w:rPr>
          <w:rFonts w:ascii="Times New Roman" w:hAnsi="Times New Roman" w:cs="Times New Roman"/>
          <w:spacing w:val="-2"/>
          <w:sz w:val="24"/>
          <w:szCs w:val="24"/>
        </w:rPr>
      </w:pPr>
      <w:r>
        <w:rPr>
          <w:rFonts w:ascii="Times New Roman" w:hAnsi="Times New Roman" w:cs="Times New Roman"/>
          <w:spacing w:val="-10"/>
          <w:sz w:val="24"/>
          <w:szCs w:val="24"/>
        </w:rPr>
        <w:t xml:space="preserve">(x)</w:t>
      </w:r>
      <w:r>
        <w:rPr>
          <w:rFonts w:ascii="Times New Roman" w:hAnsi="Times New Roman" w:cs="Times New Roman"/>
          <w:spacing w:val="-5"/>
          <w:sz w:val="24"/>
          <w:szCs w:val="24"/>
        </w:rPr>
        <w:t xml:space="preserve"> </w:t>
      </w:r>
      <w:r>
        <w:rPr>
          <w:rFonts w:ascii="Times New Roman" w:hAnsi="Times New Roman" w:cs="Times New Roman"/>
          <w:sz w:val="24"/>
          <w:szCs w:val="24"/>
        </w:rPr>
        <w:t xml:space="preserve">Aquisição</w:t>
      </w:r>
      <w:r>
        <w:rPr>
          <w:rFonts w:ascii="Times New Roman" w:hAnsi="Times New Roman" w:cs="Times New Roman"/>
          <w:spacing w:val="1"/>
          <w:sz w:val="24"/>
          <w:szCs w:val="24"/>
        </w:rPr>
        <w:t xml:space="preserve"> </w:t>
      </w:r>
      <w:r>
        <w:rPr>
          <w:rFonts w:ascii="Times New Roman" w:hAnsi="Times New Roman" w:cs="Times New Roman"/>
          <w:sz w:val="24"/>
          <w:szCs w:val="24"/>
        </w:rPr>
        <w:t xml:space="preserve">exclusiva da</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unidade</w:t>
      </w:r>
      <w:r>
        <w:rPr>
          <w:rFonts w:ascii="Times New Roman" w:hAnsi="Times New Roman" w:cs="Times New Roman"/>
          <w:spacing w:val="-3"/>
          <w:sz w:val="24"/>
          <w:szCs w:val="24"/>
        </w:rPr>
        <w:t xml:space="preserve"> </w:t>
      </w:r>
      <w:r>
        <w:rPr>
          <w:rFonts w:ascii="Times New Roman" w:hAnsi="Times New Roman" w:cs="Times New Roman"/>
          <w:sz w:val="24"/>
          <w:szCs w:val="24"/>
        </w:rPr>
        <w:t xml:space="preserve">administrativa</w:t>
      </w:r>
      <w:r>
        <w:rPr>
          <w:rFonts w:ascii="Times New Roman" w:hAnsi="Times New Roman" w:cs="Times New Roman"/>
          <w:spacing w:val="-1"/>
          <w:sz w:val="24"/>
          <w:szCs w:val="24"/>
        </w:rPr>
        <w:t xml:space="preserve"> </w:t>
      </w:r>
      <w:r>
        <w:rPr>
          <w:rFonts w:ascii="Times New Roman" w:hAnsi="Times New Roman" w:cs="Times New Roman"/>
          <w:spacing w:val="-2"/>
          <w:sz w:val="24"/>
          <w:szCs w:val="24"/>
        </w:rPr>
        <w:t xml:space="preserve">demandante</w:t>
      </w:r>
      <w:r>
        <w:rPr>
          <w:rFonts w:ascii="Times New Roman" w:hAnsi="Times New Roman" w:cs="Times New Roman"/>
          <w:spacing w:val="-2"/>
          <w:sz w:val="24"/>
          <w:szCs w:val="24"/>
        </w:rPr>
      </w:r>
      <w:r>
        <w:rPr>
          <w:rFonts w:ascii="Times New Roman" w:hAnsi="Times New Roman" w:cs="Times New Roman"/>
          <w:spacing w:val="-2"/>
          <w:sz w:val="24"/>
          <w:szCs w:val="24"/>
        </w:rPr>
      </w:r>
    </w:p>
    <w:p w14:paraId="72544BD8">
      <w:pPr>
        <w:widowControl w:val="false"/>
        <w:pBdr/>
        <w:spacing w:line="360" w:lineRule="auto"/>
        <w:ind/>
        <w:jc w:val="both"/>
        <w:rPr>
          <w:rFonts w:ascii="Times New Roman" w:hAnsi="Times New Roman" w:cs="Times New Roman"/>
          <w:spacing w:val="-2"/>
          <w:sz w:val="24"/>
          <w:szCs w:val="24"/>
        </w:rPr>
      </w:pPr>
      <w:r>
        <w:rPr>
          <w:rFonts w:ascii="Times New Roman" w:hAnsi="Times New Roman" w:cs="Times New Roman"/>
          <w:spacing w:val="-2"/>
          <w:sz w:val="24"/>
          <w:szCs w:val="24"/>
        </w:rPr>
      </w:r>
      <w:r>
        <w:rPr>
          <w:rFonts w:ascii="Times New Roman" w:hAnsi="Times New Roman" w:cs="Times New Roman"/>
          <w:spacing w:val="-2"/>
          <w:sz w:val="24"/>
          <w:szCs w:val="24"/>
        </w:rPr>
      </w:r>
      <w:r>
        <w:rPr>
          <w:rFonts w:ascii="Times New Roman" w:hAnsi="Times New Roman" w:cs="Times New Roman"/>
          <w:spacing w:val="-2"/>
          <w:sz w:val="24"/>
          <w:szCs w:val="24"/>
        </w:rPr>
      </w:r>
    </w:p>
    <w:p w14:paraId="6AED0A1C">
      <w:pPr>
        <w:pStyle w:val="1105"/>
        <w:widowControl w:val="false"/>
        <w:numPr>
          <w:ilvl w:val="1"/>
          <w:numId w:val="14"/>
        </w:numPr>
        <w:pBdr/>
        <w:spacing w:line="360" w:lineRule="auto"/>
        <w:ind/>
        <w:jc w:val="both"/>
        <w:rPr>
          <w:b/>
          <w:bCs/>
          <w:spacing w:val="-2"/>
          <w:sz w:val="24"/>
          <w:szCs w:val="24"/>
          <w:lang w:val="pt-BR"/>
        </w:rPr>
      </w:pPr>
      <w:r>
        <w:rPr>
          <w:b/>
          <w:bCs/>
          <w:spacing w:val="-2"/>
          <w:sz w:val="24"/>
          <w:szCs w:val="24"/>
          <w:lang w:val="pt-BR"/>
        </w:rPr>
        <w:t xml:space="preserve">Sustentabilidade:</w:t>
      </w:r>
      <w:r>
        <w:rPr>
          <w:b/>
          <w:bCs/>
          <w:spacing w:val="-2"/>
          <w:sz w:val="24"/>
          <w:szCs w:val="24"/>
          <w:lang w:val="pt-BR"/>
        </w:rPr>
      </w:r>
      <w:r>
        <w:rPr>
          <w:b/>
          <w:bCs/>
          <w:spacing w:val="-2"/>
          <w:sz w:val="24"/>
          <w:szCs w:val="24"/>
          <w:lang w:val="pt-BR"/>
        </w:rPr>
      </w:r>
    </w:p>
    <w:p w14:paraId="67307A72">
      <w:pPr>
        <w:pStyle w:val="1105"/>
        <w:widowControl w:val="false"/>
        <w:numPr>
          <w:ilvl w:val="0"/>
          <w:numId w:val="0"/>
        </w:numPr>
        <w:pBdr/>
        <w:tabs>
          <w:tab w:val="left" w:leader="none" w:pos="0"/>
        </w:tabs>
        <w:spacing w:line="360" w:lineRule="auto"/>
        <w:ind/>
        <w:jc w:val="both"/>
        <w:rPr>
          <w:spacing w:val="-2"/>
          <w:sz w:val="24"/>
          <w:szCs w:val="24"/>
          <w:lang w:val="pt-BR" w:eastAsia="zh-CN"/>
        </w:rPr>
      </w:pPr>
      <w:r>
        <w:rPr>
          <w:spacing w:val="-2"/>
          <w:sz w:val="24"/>
          <w:szCs w:val="24"/>
          <w:lang w:val="pt-BR" w:eastAsia="zh-CN"/>
        </w:rPr>
        <w:t xml:space="preserve">A presente contratação pauta-se no Princípio do Desenvolvimento Nacional Sustentável, observando critérios que transcendem a execução técnica e visam a preservação ambiental e a responsabilidade social, conforme os seguintes fundamentos:</w:t>
      </w:r>
      <w:r>
        <w:rPr>
          <w:spacing w:val="-2"/>
          <w:sz w:val="24"/>
          <w:szCs w:val="24"/>
          <w:lang w:val="pt-BR" w:eastAsia="zh-CN"/>
        </w:rPr>
      </w:r>
      <w:r>
        <w:rPr>
          <w:spacing w:val="-2"/>
          <w:sz w:val="24"/>
          <w:szCs w:val="24"/>
          <w:lang w:val="pt-BR" w:eastAsia="zh-CN"/>
        </w:rPr>
      </w:r>
    </w:p>
    <w:p w14:paraId="7A92AB7B">
      <w:pPr>
        <w:pStyle w:val="1105"/>
        <w:widowControl w:val="false"/>
        <w:numPr>
          <w:ilvl w:val="0"/>
          <w:numId w:val="15"/>
        </w:numPr>
        <w:pBdr/>
        <w:tabs>
          <w:tab w:val="left" w:leader="none" w:pos="0"/>
        </w:tabs>
        <w:spacing w:line="360" w:lineRule="auto"/>
        <w:ind w:hanging="425" w:left="425"/>
        <w:jc w:val="both"/>
        <w:rPr>
          <w:b/>
          <w:bCs/>
          <w:spacing w:val="-2"/>
          <w:sz w:val="24"/>
          <w:szCs w:val="24"/>
          <w:lang w:val="pt-BR" w:eastAsia="zh-CN"/>
        </w:rPr>
      </w:pPr>
      <w:r>
        <w:rPr>
          <w:b/>
          <w:bCs/>
          <w:spacing w:val="-2"/>
          <w:sz w:val="24"/>
          <w:szCs w:val="24"/>
          <w:lang w:val="pt-BR" w:eastAsia="zh-CN"/>
        </w:rPr>
        <w:t xml:space="preserve">Gestão de Resíduos Sólidos da Construção Civil (RCC)</w:t>
      </w:r>
      <w:r>
        <w:rPr>
          <w:b/>
          <w:bCs/>
          <w:spacing w:val="-2"/>
          <w:sz w:val="24"/>
          <w:szCs w:val="24"/>
          <w:lang w:val="pt-BR" w:eastAsia="zh-CN"/>
        </w:rPr>
      </w:r>
      <w:r>
        <w:rPr>
          <w:b/>
          <w:bCs/>
          <w:spacing w:val="-2"/>
          <w:sz w:val="24"/>
          <w:szCs w:val="24"/>
          <w:lang w:val="pt-BR" w:eastAsia="zh-CN"/>
        </w:rPr>
      </w:r>
    </w:p>
    <w:p w14:paraId="254847A1">
      <w:pPr>
        <w:pStyle w:val="1105"/>
        <w:widowControl w:val="false"/>
        <w:pBdr/>
        <w:spacing w:line="360" w:lineRule="auto"/>
        <w:ind w:firstLine="0" w:left="0"/>
        <w:jc w:val="both"/>
        <w:rPr>
          <w:spacing w:val="-2"/>
          <w:sz w:val="24"/>
          <w:szCs w:val="24"/>
          <w:lang w:val="pt-BR" w:eastAsia="zh-CN"/>
        </w:rPr>
      </w:pPr>
      <w:r>
        <w:rPr>
          <w:b/>
          <w:bCs/>
          <w:spacing w:val="-2"/>
          <w:sz w:val="24"/>
          <w:szCs w:val="24"/>
          <w:lang w:val="pt-BR" w:eastAsia="zh-CN"/>
        </w:rPr>
        <w:t xml:space="preserve">Fundamentação:</w:t>
      </w:r>
      <w:r>
        <w:rPr>
          <w:spacing w:val="-2"/>
          <w:sz w:val="24"/>
          <w:szCs w:val="24"/>
          <w:lang w:val="pt-BR" w:eastAsia="zh-CN"/>
        </w:rPr>
        <w:t xml:space="preserve"> Em observância à Resolução CONAMA nº 307/2002 e ao Art. 100 do Decreto Municipal nº 359/2023, a contratada será integralmente responsável pelo Plano de Gerenciamento de Resíduos.</w:t>
      </w:r>
      <w:r>
        <w:rPr>
          <w:spacing w:val="-2"/>
          <w:sz w:val="24"/>
          <w:szCs w:val="24"/>
          <w:lang w:val="pt-BR" w:eastAsia="zh-CN"/>
        </w:rPr>
      </w:r>
      <w:r>
        <w:rPr>
          <w:spacing w:val="-2"/>
          <w:sz w:val="24"/>
          <w:szCs w:val="24"/>
          <w:lang w:val="pt-BR" w:eastAsia="zh-CN"/>
        </w:rPr>
      </w:r>
    </w:p>
    <w:p w14:paraId="1E8857C1">
      <w:pPr>
        <w:pStyle w:val="1105"/>
        <w:widowControl w:val="false"/>
        <w:pBdr/>
        <w:spacing w:line="360" w:lineRule="auto"/>
        <w:ind w:firstLine="0" w:left="0"/>
        <w:jc w:val="both"/>
        <w:rPr>
          <w:spacing w:val="-2"/>
          <w:sz w:val="24"/>
          <w:szCs w:val="24"/>
          <w:lang w:val="pt-BR" w:eastAsia="zh-CN"/>
        </w:rPr>
      </w:pPr>
      <w:r>
        <w:rPr>
          <w:b/>
          <w:bCs/>
          <w:spacing w:val="-2"/>
          <w:sz w:val="24"/>
          <w:szCs w:val="24"/>
          <w:lang w:val="pt-BR" w:eastAsia="zh-CN"/>
        </w:rPr>
        <w:t xml:space="preserve">Obrigação:</w:t>
      </w:r>
      <w:r>
        <w:rPr>
          <w:spacing w:val="-2"/>
          <w:sz w:val="24"/>
          <w:szCs w:val="24"/>
          <w:lang w:val="pt-BR" w:eastAsia="zh-CN"/>
        </w:rPr>
        <w:t xml:space="preserve"> Toda a remoção de camada vegetal, entulhos de demolição de calçadas e</w:t>
      </w:r>
      <w:r>
        <w:rPr>
          <w:spacing w:val="-2"/>
          <w:sz w:val="24"/>
          <w:szCs w:val="24"/>
          <w:lang w:val="pt-BR" w:eastAsia="zh-CN"/>
        </w:rPr>
        <w:t xml:space="preserve"> restos de pavimentação deverá ser destinada a aterros de inertes devidamente licenciados pelo órgão ambiental competente, sendo obrigatória a apresentação das Guias de Transporte de Resíduos (GTR) ou comprovantes de descarte para a liberação das medições.</w:t>
      </w:r>
      <w:r>
        <w:rPr>
          <w:spacing w:val="-2"/>
          <w:sz w:val="24"/>
          <w:szCs w:val="24"/>
          <w:lang w:val="pt-BR" w:eastAsia="zh-CN"/>
        </w:rPr>
      </w:r>
      <w:r>
        <w:rPr>
          <w:spacing w:val="-2"/>
          <w:sz w:val="24"/>
          <w:szCs w:val="24"/>
          <w:lang w:val="pt-BR" w:eastAsia="zh-CN"/>
        </w:rPr>
      </w:r>
    </w:p>
    <w:p w14:paraId="43C2B388">
      <w:pPr>
        <w:pStyle w:val="1105"/>
        <w:widowControl w:val="false"/>
        <w:numPr>
          <w:ilvl w:val="0"/>
          <w:numId w:val="16"/>
        </w:numPr>
        <w:pBdr/>
        <w:spacing w:line="360" w:lineRule="auto"/>
        <w:ind w:hanging="425" w:left="425"/>
        <w:jc w:val="both"/>
        <w:rPr>
          <w:b/>
          <w:bCs/>
          <w:spacing w:val="-2"/>
          <w:sz w:val="24"/>
          <w:szCs w:val="24"/>
          <w:lang w:val="pt-BR" w:eastAsia="zh-CN"/>
        </w:rPr>
      </w:pPr>
      <w:r>
        <w:rPr>
          <w:b/>
          <w:bCs/>
          <w:spacing w:val="-2"/>
          <w:sz w:val="24"/>
          <w:szCs w:val="24"/>
          <w:lang w:val="pt-BR" w:eastAsia="zh-CN"/>
        </w:rPr>
        <w:t xml:space="preserve">Critérios de Sustentabilidade nos Materiais e Execução</w:t>
      </w:r>
      <w:r>
        <w:rPr>
          <w:b/>
          <w:bCs/>
          <w:spacing w:val="-2"/>
          <w:sz w:val="24"/>
          <w:szCs w:val="24"/>
          <w:lang w:val="pt-BR" w:eastAsia="zh-CN"/>
        </w:rPr>
      </w:r>
      <w:r>
        <w:rPr>
          <w:b/>
          <w:bCs/>
          <w:spacing w:val="-2"/>
          <w:sz w:val="24"/>
          <w:szCs w:val="24"/>
          <w:lang w:val="pt-BR" w:eastAsia="zh-CN"/>
        </w:rPr>
      </w:r>
    </w:p>
    <w:p w14:paraId="5E912840">
      <w:pPr>
        <w:pStyle w:val="1105"/>
        <w:widowControl w:val="false"/>
        <w:pBdr/>
        <w:spacing w:line="360" w:lineRule="auto"/>
        <w:ind w:firstLine="0" w:left="0"/>
        <w:jc w:val="both"/>
        <w:rPr>
          <w:spacing w:val="-2"/>
          <w:sz w:val="24"/>
          <w:szCs w:val="24"/>
          <w:lang w:val="pt-BR" w:eastAsia="zh-CN"/>
        </w:rPr>
      </w:pPr>
      <w:r>
        <w:rPr>
          <w:b/>
          <w:bCs/>
          <w:spacing w:val="-2"/>
          <w:sz w:val="24"/>
          <w:szCs w:val="24"/>
          <w:lang w:val="pt-BR" w:eastAsia="zh-CN"/>
        </w:rPr>
        <w:t xml:space="preserve">Eficiência de Recursos:</w:t>
      </w:r>
      <w:r>
        <w:rPr>
          <w:spacing w:val="-2"/>
          <w:sz w:val="24"/>
          <w:szCs w:val="24"/>
          <w:lang w:val="pt-BR" w:eastAsia="zh-CN"/>
        </w:rPr>
        <w:t xml:space="preserve"> A escolha de Pisos Intertravados (Itens 1.5 e 2.1) justifica-se tecnicamente por serem soluções que permitem maior permeabilidade do solo em comparação ao asfalto convencional, auxiliando na drenagem urbana e mitigando ilhas de calor.</w:t>
      </w:r>
      <w:r>
        <w:rPr>
          <w:spacing w:val="-2"/>
          <w:sz w:val="24"/>
          <w:szCs w:val="24"/>
          <w:lang w:val="pt-BR" w:eastAsia="zh-CN"/>
        </w:rPr>
      </w:r>
      <w:r>
        <w:rPr>
          <w:spacing w:val="-2"/>
          <w:sz w:val="24"/>
          <w:szCs w:val="24"/>
          <w:lang w:val="pt-BR" w:eastAsia="zh-CN"/>
        </w:rPr>
      </w:r>
    </w:p>
    <w:p w14:paraId="669D78AD">
      <w:pPr>
        <w:pStyle w:val="1105"/>
        <w:widowControl w:val="false"/>
        <w:pBdr/>
        <w:spacing w:line="360" w:lineRule="auto"/>
        <w:ind w:firstLine="0" w:left="0"/>
        <w:jc w:val="both"/>
        <w:rPr>
          <w:spacing w:val="-2"/>
          <w:sz w:val="24"/>
          <w:szCs w:val="24"/>
          <w:lang w:val="pt-BR" w:eastAsia="zh-CN"/>
        </w:rPr>
      </w:pPr>
      <w:r>
        <w:rPr>
          <w:b/>
          <w:bCs/>
          <w:spacing w:val="-2"/>
          <w:sz w:val="24"/>
          <w:szCs w:val="24"/>
          <w:lang w:val="pt-BR" w:eastAsia="zh-CN"/>
        </w:rPr>
        <w:t xml:space="preserve">Baixa Toxicidade:</w:t>
      </w:r>
      <w:r>
        <w:rPr>
          <w:spacing w:val="-2"/>
          <w:sz w:val="24"/>
          <w:szCs w:val="24"/>
          <w:lang w:val="pt-BR" w:eastAsia="zh-CN"/>
        </w:rPr>
        <w:t xml:space="preserve"> Para o</w:t>
      </w:r>
      <w:r>
        <w:rPr>
          <w:spacing w:val="-2"/>
          <w:sz w:val="24"/>
          <w:szCs w:val="24"/>
          <w:lang w:val="pt-BR" w:eastAsia="zh-CN"/>
        </w:rPr>
        <w:t xml:space="preserve">s itens de pintura (1.1 e 1.6), deverá ser priorizada a utilização de tintas com baixos teores de Compostos Orgânicos Voláteis (VOC), reduzindo o impacto à saúde dos operários e ao meio ambiente, conforme recomendações do Guia de Contratações Sustentáveis.</w:t>
      </w:r>
      <w:r>
        <w:rPr>
          <w:spacing w:val="-2"/>
          <w:sz w:val="24"/>
          <w:szCs w:val="24"/>
          <w:lang w:val="pt-BR" w:eastAsia="zh-CN"/>
        </w:rPr>
      </w:r>
      <w:r>
        <w:rPr>
          <w:spacing w:val="-2"/>
          <w:sz w:val="24"/>
          <w:szCs w:val="24"/>
          <w:lang w:val="pt-BR" w:eastAsia="zh-CN"/>
        </w:rPr>
      </w:r>
    </w:p>
    <w:p w14:paraId="28326F3F">
      <w:pPr>
        <w:pStyle w:val="1105"/>
        <w:widowControl w:val="false"/>
        <w:pBdr/>
        <w:spacing w:line="360" w:lineRule="auto"/>
        <w:ind w:firstLine="0" w:left="720"/>
        <w:jc w:val="both"/>
        <w:rPr>
          <w:spacing w:val="-2"/>
          <w:sz w:val="24"/>
          <w:szCs w:val="24"/>
          <w:lang w:val="pt-BR"/>
        </w:rPr>
      </w:pPr>
      <w:r>
        <w:rPr>
          <w:spacing w:val="-2"/>
          <w:sz w:val="24"/>
          <w:szCs w:val="24"/>
          <w:lang w:val="pt-BR"/>
        </w:rPr>
      </w:r>
      <w:r>
        <w:rPr>
          <w:spacing w:val="-2"/>
          <w:sz w:val="24"/>
          <w:szCs w:val="24"/>
          <w:lang w:val="pt-BR"/>
        </w:rPr>
      </w:r>
      <w:r>
        <w:rPr>
          <w:spacing w:val="-2"/>
          <w:sz w:val="24"/>
          <w:szCs w:val="24"/>
          <w:lang w:val="pt-BR"/>
        </w:rPr>
      </w:r>
    </w:p>
    <w:p w14:paraId="1C13C66B">
      <w:pPr>
        <w:pStyle w:val="1105"/>
        <w:widowControl w:val="false"/>
        <w:numPr>
          <w:ilvl w:val="1"/>
          <w:numId w:val="14"/>
        </w:numPr>
        <w:pBdr/>
        <w:spacing w:line="360" w:lineRule="auto"/>
        <w:ind/>
        <w:jc w:val="both"/>
        <w:rPr>
          <w:b/>
          <w:bCs/>
          <w:spacing w:val="-2"/>
          <w:sz w:val="24"/>
          <w:szCs w:val="24"/>
          <w:lang w:val="pt-BR"/>
        </w:rPr>
      </w:pPr>
      <w:r>
        <w:rPr>
          <w:b/>
          <w:bCs/>
          <w:spacing w:val="-2"/>
          <w:sz w:val="24"/>
          <w:szCs w:val="24"/>
          <w:lang w:val="pt-BR"/>
        </w:rPr>
        <w:t xml:space="preserve">Demonstrativo de contratações similares ou que guardam relação com o objeto:</w:t>
      </w:r>
      <w:r>
        <w:rPr>
          <w:b/>
          <w:bCs/>
          <w:spacing w:val="-2"/>
          <w:sz w:val="24"/>
          <w:szCs w:val="24"/>
          <w:lang w:val="pt-BR"/>
        </w:rPr>
      </w:r>
      <w:r>
        <w:rPr>
          <w:b/>
          <w:bCs/>
          <w:spacing w:val="-2"/>
          <w:sz w:val="24"/>
          <w:szCs w:val="24"/>
          <w:lang w:val="pt-BR"/>
        </w:rPr>
      </w:r>
    </w:p>
    <w:p w14:paraId="3DAFAE18">
      <w:pPr>
        <w:pStyle w:val="1105"/>
        <w:widowControl w:val="false"/>
        <w:pBdr/>
        <w:spacing w:line="360" w:lineRule="auto"/>
        <w:ind w:firstLine="0" w:left="0"/>
        <w:jc w:val="both"/>
        <w:rPr>
          <w:spacing w:val="-2"/>
          <w:sz w:val="24"/>
          <w:szCs w:val="24"/>
          <w:lang w:val="pt-BR"/>
        </w:rPr>
      </w:pPr>
      <w:r>
        <w:rPr>
          <w:b/>
          <w:bCs/>
          <w:spacing w:val="-2"/>
          <w:sz w:val="24"/>
          <w:szCs w:val="24"/>
          <w:lang w:val="pt-BR"/>
        </w:rPr>
        <w:t xml:space="preserve">5.</w:t>
      </w:r>
      <w:r>
        <w:rPr>
          <w:rFonts w:hint="default"/>
          <w:b/>
          <w:bCs/>
          <w:spacing w:val="-2"/>
          <w:sz w:val="24"/>
          <w:szCs w:val="24"/>
          <w:lang w:val="pt-BR"/>
        </w:rPr>
        <w:t xml:space="preserve">9</w:t>
      </w:r>
      <w:r>
        <w:rPr>
          <w:b/>
          <w:bCs/>
          <w:spacing w:val="-2"/>
          <w:sz w:val="24"/>
          <w:szCs w:val="24"/>
          <w:lang w:val="pt-BR"/>
        </w:rPr>
        <w:t xml:space="preserve">.1 </w:t>
      </w:r>
      <w:r>
        <w:rPr>
          <w:spacing w:val="-2"/>
          <w:sz w:val="24"/>
          <w:szCs w:val="24"/>
          <w:lang w:val="pt-BR"/>
        </w:rPr>
        <w:t xml:space="preserve">Não há contratação correlata ou que guardem re</w:t>
      </w:r>
      <w:r>
        <w:rPr>
          <w:spacing w:val="-2"/>
          <w:sz w:val="24"/>
          <w:szCs w:val="24"/>
          <w:lang w:val="pt-BR"/>
        </w:rPr>
        <w:t xml:space="preserve">lação com o objeto no exercício em execução, porém o município já conduziu outras licitações no exercício de 2023 a aquisição deste mesmo material, conforme exemplificado pelas Atas de Registro de Preços Nº 129/2023 Pregão Eletrônico 053/2023 referente à “</w:t>
      </w:r>
      <w:r>
        <w:rPr>
          <w:b/>
          <w:bCs/>
          <w:spacing w:val="-2"/>
          <w:sz w:val="24"/>
          <w:szCs w:val="24"/>
          <w:lang w:val="pt-BR"/>
        </w:rPr>
        <w:t xml:space="preserve">Registro de Preços para futura e eventual contratação de empresa especializada na execução e manutenção de infraestrutura urbana, acessibilidade no município de Sinop - MT.</w:t>
      </w:r>
      <w:r>
        <w:rPr>
          <w:spacing w:val="-2"/>
          <w:sz w:val="24"/>
          <w:szCs w:val="24"/>
          <w:lang w:val="pt-BR"/>
        </w:rPr>
      </w:r>
      <w:r>
        <w:rPr>
          <w:spacing w:val="-2"/>
          <w:sz w:val="24"/>
          <w:szCs w:val="24"/>
          <w:lang w:val="pt-BR"/>
        </w:rPr>
      </w:r>
    </w:p>
    <w:p w14:paraId="17B6A38A">
      <w:pPr>
        <w:pStyle w:val="1105"/>
        <w:widowControl w:val="false"/>
        <w:pBdr/>
        <w:spacing w:line="360" w:lineRule="auto"/>
        <w:ind w:firstLine="0"/>
        <w:jc w:val="both"/>
        <w:rPr>
          <w:b/>
          <w:sz w:val="24"/>
          <w:szCs w:val="24"/>
        </w:rPr>
      </w:pPr>
      <w:r>
        <w:rPr>
          <w:spacing w:val="-2"/>
          <w:sz w:val="24"/>
          <w:szCs w:val="24"/>
          <w:lang w:val="pt-BR"/>
        </w:rPr>
        <w:t xml:space="preserve">sem registrar quaisquer problemas relacionados à forma, execução ou entrega do objeto.</w:t>
      </w:r>
      <w:r>
        <w:rPr>
          <w:b/>
          <w:sz w:val="24"/>
          <w:szCs w:val="24"/>
        </w:rPr>
      </w:r>
      <w:r>
        <w:rPr>
          <w:b/>
          <w:sz w:val="24"/>
          <w:szCs w:val="24"/>
        </w:rPr>
      </w:r>
    </w:p>
    <w:p w14:paraId="54ACB049">
      <w:pPr>
        <w:widowControl w:val="false"/>
        <w:pBdr/>
        <w:spacing w:line="360" w:lineRule="auto"/>
        <w:ind/>
        <w:jc w:val="both"/>
        <w:rPr>
          <w:spacing w:val="-2"/>
          <w:sz w:val="24"/>
          <w:szCs w:val="24"/>
        </w:rPr>
      </w:pPr>
      <w:r>
        <w:rPr>
          <w:spacing w:val="-2"/>
          <w:sz w:val="24"/>
          <w:szCs w:val="24"/>
        </w:rPr>
      </w:r>
      <w:r>
        <w:rPr>
          <w:spacing w:val="-2"/>
          <w:sz w:val="24"/>
          <w:szCs w:val="24"/>
        </w:rPr>
      </w:r>
      <w:r>
        <w:rPr>
          <w:spacing w:val="-2"/>
          <w:sz w:val="24"/>
          <w:szCs w:val="24"/>
        </w:rPr>
      </w:r>
    </w:p>
    <w:p w14:paraId="7FF3C179">
      <w:pPr>
        <w:pStyle w:val="1104"/>
        <w:pBdr/>
        <w:spacing w:line="360" w:lineRule="auto"/>
        <w:ind/>
        <w:jc w:val="both"/>
        <w:rPr>
          <w:b/>
          <w:bCs/>
          <w:sz w:val="24"/>
          <w:szCs w:val="24"/>
          <w:lang w:val="pt-BR"/>
        </w:rPr>
      </w:pPr>
      <w:r>
        <w:rPr>
          <w:b/>
          <w:bCs/>
          <w:sz w:val="24"/>
          <w:szCs w:val="24"/>
          <w:lang w:val="pt-BR"/>
        </w:rPr>
        <w:t xml:space="preserve">5.1</w:t>
      </w:r>
      <w:r>
        <w:rPr>
          <w:rFonts w:hint="default"/>
          <w:b/>
          <w:bCs/>
          <w:sz w:val="24"/>
          <w:szCs w:val="24"/>
          <w:lang w:val="pt-BR"/>
        </w:rPr>
        <w:t xml:space="preserve">0</w:t>
      </w:r>
      <w:r>
        <w:rPr>
          <w:b/>
          <w:bCs/>
          <w:spacing w:val="-4"/>
          <w:sz w:val="24"/>
          <w:szCs w:val="24"/>
          <w:lang w:val="pt-BR"/>
        </w:rPr>
        <w:t xml:space="preserve"> </w:t>
      </w:r>
      <w:r>
        <w:rPr>
          <w:b/>
          <w:bCs/>
          <w:sz w:val="24"/>
          <w:szCs w:val="24"/>
          <w:lang w:val="pt-BR"/>
        </w:rPr>
        <w:t xml:space="preserve">Viabilidade</w:t>
      </w:r>
      <w:r>
        <w:rPr>
          <w:b/>
          <w:bCs/>
          <w:spacing w:val="-2"/>
          <w:sz w:val="24"/>
          <w:szCs w:val="24"/>
          <w:lang w:val="pt-BR"/>
        </w:rPr>
        <w:t xml:space="preserve"> </w:t>
      </w:r>
      <w:r>
        <w:rPr>
          <w:b/>
          <w:bCs/>
          <w:sz w:val="24"/>
          <w:szCs w:val="24"/>
          <w:lang w:val="pt-BR"/>
        </w:rPr>
        <w:t xml:space="preserve">da</w:t>
      </w:r>
      <w:r>
        <w:rPr>
          <w:b/>
          <w:bCs/>
          <w:spacing w:val="-2"/>
          <w:sz w:val="24"/>
          <w:szCs w:val="24"/>
          <w:lang w:val="pt-BR"/>
        </w:rPr>
        <w:t xml:space="preserve"> </w:t>
      </w:r>
      <w:r>
        <w:rPr>
          <w:b/>
          <w:bCs/>
          <w:sz w:val="24"/>
          <w:szCs w:val="24"/>
          <w:lang w:val="pt-BR"/>
        </w:rPr>
        <w:t xml:space="preserve">adoção</w:t>
      </w:r>
      <w:r>
        <w:rPr>
          <w:b/>
          <w:bCs/>
          <w:spacing w:val="-1"/>
          <w:sz w:val="24"/>
          <w:szCs w:val="24"/>
          <w:lang w:val="pt-BR"/>
        </w:rPr>
        <w:t xml:space="preserve"> </w:t>
      </w:r>
      <w:r>
        <w:rPr>
          <w:b/>
          <w:bCs/>
          <w:sz w:val="24"/>
          <w:szCs w:val="24"/>
          <w:lang w:val="pt-BR"/>
        </w:rPr>
        <w:t xml:space="preserve">da</w:t>
      </w:r>
      <w:r>
        <w:rPr>
          <w:b/>
          <w:bCs/>
          <w:spacing w:val="-2"/>
          <w:sz w:val="24"/>
          <w:szCs w:val="24"/>
          <w:lang w:val="pt-BR"/>
        </w:rPr>
        <w:t xml:space="preserve"> </w:t>
      </w:r>
      <w:r>
        <w:rPr>
          <w:b/>
          <w:bCs/>
          <w:sz w:val="24"/>
          <w:szCs w:val="24"/>
          <w:lang w:val="pt-BR"/>
        </w:rPr>
        <w:t xml:space="preserve">modalidade</w:t>
      </w:r>
      <w:r>
        <w:rPr>
          <w:b/>
          <w:bCs/>
          <w:spacing w:val="-2"/>
          <w:sz w:val="24"/>
          <w:szCs w:val="24"/>
          <w:lang w:val="pt-BR"/>
        </w:rPr>
        <w:t xml:space="preserve"> </w:t>
      </w:r>
      <w:r>
        <w:rPr>
          <w:b/>
          <w:bCs/>
          <w:sz w:val="24"/>
          <w:szCs w:val="24"/>
          <w:lang w:val="pt-BR"/>
        </w:rPr>
        <w:t xml:space="preserve">na</w:t>
      </w:r>
      <w:r>
        <w:rPr>
          <w:b/>
          <w:bCs/>
          <w:spacing w:val="-2"/>
          <w:sz w:val="24"/>
          <w:szCs w:val="24"/>
          <w:lang w:val="pt-BR"/>
        </w:rPr>
        <w:t xml:space="preserve"> </w:t>
      </w:r>
      <w:r>
        <w:rPr>
          <w:b/>
          <w:bCs/>
          <w:sz w:val="24"/>
          <w:szCs w:val="24"/>
          <w:lang w:val="pt-BR"/>
        </w:rPr>
        <w:t xml:space="preserve">forma</w:t>
      </w:r>
      <w:r>
        <w:rPr>
          <w:b/>
          <w:bCs/>
          <w:spacing w:val="-1"/>
          <w:sz w:val="24"/>
          <w:szCs w:val="24"/>
          <w:lang w:val="pt-BR"/>
        </w:rPr>
        <w:t xml:space="preserve"> </w:t>
      </w:r>
      <w:r>
        <w:rPr>
          <w:b/>
          <w:bCs/>
          <w:spacing w:val="-2"/>
          <w:sz w:val="24"/>
          <w:szCs w:val="24"/>
          <w:lang w:val="pt-BR"/>
        </w:rPr>
        <w:t xml:space="preserve">eletrônica:</w:t>
      </w:r>
      <w:r>
        <w:rPr>
          <w:b/>
          <w:bCs/>
          <w:sz w:val="24"/>
          <w:szCs w:val="24"/>
          <w:lang w:val="pt-BR"/>
        </w:rPr>
      </w:r>
      <w:r>
        <w:rPr>
          <w:b/>
          <w:bCs/>
          <w:sz w:val="24"/>
          <w:szCs w:val="24"/>
          <w:lang w:val="pt-BR"/>
        </w:rPr>
      </w:r>
    </w:p>
    <w:p w14:paraId="455240CF">
      <w:pPr>
        <w:widowControl w:val="false"/>
        <w:pBdr/>
        <w:spacing w:line="360" w:lineRule="auto"/>
        <w:ind/>
        <w:jc w:val="both"/>
        <w:rPr>
          <w:rFonts w:ascii="Times New Roman" w:hAnsi="Times New Roman" w:cs="Times New Roman"/>
          <w:spacing w:val="-2"/>
          <w:sz w:val="24"/>
          <w:szCs w:val="24"/>
        </w:rPr>
      </w:pPr>
      <w:r>
        <w:rPr>
          <w:rFonts w:ascii="Times New Roman" w:hAnsi="Times New Roman" w:cs="Times New Roman"/>
          <w:spacing w:val="-2"/>
          <w:sz w:val="24"/>
          <w:szCs w:val="24"/>
        </w:rPr>
        <w:t xml:space="preserve">(X ) Sim</w:t>
      </w:r>
      <w:r>
        <w:rPr>
          <w:rFonts w:ascii="Times New Roman" w:hAnsi="Times New Roman" w:cs="Times New Roman"/>
          <w:spacing w:val="-2"/>
          <w:sz w:val="24"/>
          <w:szCs w:val="24"/>
        </w:rPr>
      </w:r>
      <w:r>
        <w:rPr>
          <w:rFonts w:ascii="Times New Roman" w:hAnsi="Times New Roman" w:cs="Times New Roman"/>
          <w:spacing w:val="-2"/>
          <w:sz w:val="24"/>
          <w:szCs w:val="24"/>
        </w:rPr>
      </w:r>
    </w:p>
    <w:p w14:paraId="7F8D16CB">
      <w:pPr>
        <w:widowControl w:val="false"/>
        <w:pBdr/>
        <w:spacing w:line="360" w:lineRule="auto"/>
        <w:ind/>
        <w:jc w:val="both"/>
        <w:rPr>
          <w:rFonts w:ascii="Times New Roman" w:hAnsi="Times New Roman" w:cs="Times New Roman"/>
          <w:spacing w:val="-2"/>
          <w:sz w:val="24"/>
          <w:szCs w:val="24"/>
        </w:rPr>
      </w:pPr>
      <w:r>
        <w:rPr>
          <w:rFonts w:ascii="Times New Roman" w:hAnsi="Times New Roman" w:cs="Times New Roman"/>
          <w:spacing w:val="-2"/>
          <w:sz w:val="24"/>
          <w:szCs w:val="24"/>
        </w:rPr>
        <w:t xml:space="preserve">(   ) Não</w:t>
      </w:r>
      <w:r>
        <w:rPr>
          <w:rFonts w:ascii="Times New Roman" w:hAnsi="Times New Roman" w:cs="Times New Roman"/>
          <w:spacing w:val="-2"/>
          <w:sz w:val="24"/>
          <w:szCs w:val="24"/>
        </w:rPr>
      </w:r>
      <w:r>
        <w:rPr>
          <w:rFonts w:ascii="Times New Roman" w:hAnsi="Times New Roman" w:cs="Times New Roman"/>
          <w:spacing w:val="-2"/>
          <w:sz w:val="24"/>
          <w:szCs w:val="24"/>
        </w:rPr>
      </w:r>
    </w:p>
    <w:p w14:paraId="62B06287">
      <w:pPr>
        <w:pBdr/>
        <w:spacing w:line="360" w:lineRule="auto"/>
        <w:ind/>
        <w:jc w:val="both"/>
        <w:rPr>
          <w:rFonts w:ascii="Times New Roman" w:hAnsi="Times New Roman" w:cs="Times New Roman"/>
          <w:sz w:val="24"/>
          <w:szCs w:val="24"/>
        </w:rPr>
      </w:pPr>
      <w:r>
        <w:rPr>
          <w:rFonts w:ascii="Times New Roman" w:hAnsi="Times New Roman" w:cs="Times New Roman"/>
          <w:spacing w:val="-2"/>
          <w:sz w:val="24"/>
          <w:szCs w:val="24"/>
        </w:rPr>
        <w:t xml:space="preserve">Justificar: </w:t>
      </w:r>
      <w:r>
        <w:rPr>
          <w:rFonts w:ascii="Times New Roman" w:hAnsi="Times New Roman" w:cs="Times New Roman"/>
          <w:sz w:val="24"/>
          <w:szCs w:val="24"/>
        </w:rPr>
        <w:t xml:space="preserve">Considerando, que a nova Lei de Licitações e Contratos Administrativos (Lei n° 14.133/2021) determina objetivamente e com clareza que as modalidade das licitações devem transcorrer de forma eletrônica de preferência, contudo, quando o processo não for</w:t>
      </w:r>
      <w:r>
        <w:rPr>
          <w:rFonts w:ascii="Times New Roman" w:hAnsi="Times New Roman" w:cs="Times New Roman"/>
          <w:sz w:val="24"/>
          <w:szCs w:val="24"/>
        </w:rPr>
        <w:t xml:space="preserve"> possível nesta modalidade a lei admite que seja aplicado a modalidade do pregão presencial, com motivação devida, onde deve-se a sessão pública ser registrada em ata e gravada em áudio e vídeo, conforme descreve a lei no seu artigo 17 em seu parágrafo 2°.</w:t>
      </w:r>
      <w:r>
        <w:rPr>
          <w:rFonts w:ascii="Times New Roman" w:hAnsi="Times New Roman" w:cs="Times New Roman"/>
          <w:sz w:val="24"/>
          <w:szCs w:val="24"/>
        </w:rPr>
      </w:r>
      <w:r>
        <w:rPr>
          <w:rFonts w:ascii="Times New Roman" w:hAnsi="Times New Roman" w:cs="Times New Roman"/>
          <w:sz w:val="24"/>
          <w:szCs w:val="24"/>
        </w:rPr>
      </w:r>
    </w:p>
    <w:p w14:paraId="23C0CDC1">
      <w:pPr>
        <w:pBdr/>
        <w:spacing w:line="360" w:lineRule="auto"/>
        <w:ind/>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bl>
      <w:tblPr>
        <w:tblStyle w:val="1103"/>
        <w:tblInd w:w="0" w:type="dxa"/>
        <w:tblW w:w="9209"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9209"/>
      </w:tblGrid>
      <w:tr>
        <w:trPr>
          <w:trHeight w:val="375"/>
        </w:trPr>
        <w:tc>
          <w:tcPr>
            <w:shd w:val="clear" w:color="auto" w:fill="d7d7d7" w:themeFill="background1" w:themeFillShade="D8"/>
            <w:tcBorders/>
            <w:tcW w:w="9209" w:type="dxa"/>
            <w:vAlign w:val="center"/>
          </w:tcPr>
          <w:p w14:paraId="36A2307E">
            <w:pPr>
              <w:numPr>
                <w:ilvl w:val="0"/>
                <w:numId w:val="17"/>
              </w:numPr>
              <w:pBdr/>
              <w:spacing w:line="360" w:lineRule="auto"/>
              <w:ind w:hanging="454" w:left="454"/>
              <w:rPr>
                <w:rFonts w:ascii="Times New Roman" w:hAnsi="Times New Roman" w:cs="Times New Roman"/>
                <w:b/>
                <w:sz w:val="24"/>
                <w:szCs w:val="24"/>
              </w:rPr>
            </w:pPr>
            <w:r>
              <w:rPr>
                <w:rFonts w:ascii="Times New Roman" w:hAnsi="Times New Roman" w:cs="Times New Roman"/>
                <w:b/>
                <w:sz w:val="24"/>
                <w:szCs w:val="24"/>
              </w:rPr>
              <w:t xml:space="preserve">EXECUÇÃO DO</w:t>
            </w:r>
            <w:r>
              <w:rPr>
                <w:rFonts w:ascii="Times New Roman" w:hAnsi="Times New Roman" w:cs="Times New Roman"/>
                <w:b/>
                <w:spacing w:val="-1"/>
                <w:sz w:val="24"/>
                <w:szCs w:val="24"/>
              </w:rPr>
              <w:t xml:space="preserve"> </w:t>
            </w:r>
            <w:r>
              <w:rPr>
                <w:rFonts w:ascii="Times New Roman" w:hAnsi="Times New Roman" w:cs="Times New Roman"/>
                <w:b/>
                <w:sz w:val="24"/>
                <w:szCs w:val="24"/>
              </w:rPr>
              <w:t xml:space="preserve">OBJETO DO </w:t>
            </w:r>
            <w:r>
              <w:rPr>
                <w:rFonts w:ascii="Times New Roman" w:hAnsi="Times New Roman" w:cs="Times New Roman"/>
                <w:b/>
                <w:spacing w:val="-2"/>
                <w:sz w:val="24"/>
                <w:szCs w:val="24"/>
              </w:rPr>
              <w:t xml:space="preserve">CONTRATO</w:t>
            </w:r>
            <w:r>
              <w:rPr>
                <w:rFonts w:ascii="Times New Roman" w:hAnsi="Times New Roman" w:cs="Times New Roman"/>
                <w:b/>
                <w:sz w:val="24"/>
                <w:szCs w:val="24"/>
              </w:rPr>
            </w:r>
            <w:r>
              <w:rPr>
                <w:rFonts w:ascii="Times New Roman" w:hAnsi="Times New Roman" w:cs="Times New Roman"/>
                <w:b/>
                <w:sz w:val="24"/>
                <w:szCs w:val="24"/>
              </w:rPr>
            </w:r>
          </w:p>
        </w:tc>
      </w:tr>
    </w:tbl>
    <w:p w14:paraId="1CA8498E">
      <w:pPr>
        <w:numPr>
          <w:ilvl w:val="0"/>
          <w:numId w:val="18"/>
        </w:numPr>
        <w:pBdr/>
        <w:tabs>
          <w:tab w:val="left" w:leader="none" w:pos="0"/>
        </w:tabs>
        <w:spacing w:line="360" w:lineRule="auto"/>
        <w:ind w:hanging="454" w:left="454"/>
        <w:contextualSpacing w:val="true"/>
        <w:jc w:val="both"/>
        <w:rPr>
          <w:rFonts w:ascii="Times New Roman" w:hAnsi="Times New Roman" w:cs="Times New Roman"/>
          <w:b/>
          <w:bCs/>
          <w:sz w:val="24"/>
          <w:szCs w:val="24"/>
        </w:rPr>
      </w:pPr>
      <w:r>
        <w:rPr>
          <w:rFonts w:ascii="Times New Roman" w:hAnsi="Times New Roman" w:cs="Times New Roman"/>
          <w:b/>
          <w:bCs/>
          <w:sz w:val="24"/>
          <w:szCs w:val="24"/>
        </w:rPr>
        <w:t xml:space="preserve">OBRIGAÇÕES DAS PARTES:</w:t>
      </w:r>
      <w:r>
        <w:rPr>
          <w:rFonts w:ascii="Times New Roman" w:hAnsi="Times New Roman" w:cs="Times New Roman"/>
          <w:b/>
          <w:bCs/>
          <w:sz w:val="24"/>
          <w:szCs w:val="24"/>
        </w:rPr>
      </w:r>
      <w:r>
        <w:rPr>
          <w:rFonts w:ascii="Times New Roman" w:hAnsi="Times New Roman" w:cs="Times New Roman"/>
          <w:b/>
          <w:bCs/>
          <w:sz w:val="24"/>
          <w:szCs w:val="24"/>
        </w:rPr>
      </w:r>
    </w:p>
    <w:p w14:paraId="7F1A9F3A">
      <w:pPr>
        <w:pBdr/>
        <w:tabs>
          <w:tab w:val="left" w:leader="none" w:pos="0"/>
        </w:tabs>
        <w:spacing w:line="360" w:lineRule="auto"/>
        <w:ind/>
        <w:contextualSpacing w:val="true"/>
        <w:jc w:val="both"/>
        <w:rPr>
          <w:rFonts w:ascii="Times New Roman" w:hAnsi="Times New Roman" w:cs="Times New Roman"/>
          <w:b/>
          <w:sz w:val="24"/>
          <w:szCs w:val="24"/>
        </w:rPr>
      </w:pPr>
      <w:r>
        <w:rPr>
          <w:rFonts w:ascii="Times New Roman" w:hAnsi="Times New Roman" w:cs="Times New Roman"/>
          <w:b/>
          <w:bCs/>
          <w:sz w:val="24"/>
          <w:szCs w:val="24"/>
        </w:rPr>
        <w:t xml:space="preserve">6.1.1. </w:t>
      </w:r>
      <w:r>
        <w:rPr>
          <w:rFonts w:ascii="Times New Roman" w:hAnsi="Times New Roman" w:cs="Times New Roman"/>
          <w:b/>
          <w:sz w:val="24"/>
          <w:szCs w:val="24"/>
        </w:rPr>
        <w:t xml:space="preserve">OBRIGAÇÕES DA CONTRATADA:</w:t>
      </w:r>
      <w:r>
        <w:rPr>
          <w:rFonts w:ascii="Times New Roman" w:hAnsi="Times New Roman" w:cs="Times New Roman"/>
          <w:b/>
          <w:sz w:val="24"/>
          <w:szCs w:val="24"/>
        </w:rPr>
      </w:r>
      <w:r>
        <w:rPr>
          <w:rFonts w:ascii="Times New Roman" w:hAnsi="Times New Roman" w:cs="Times New Roman"/>
          <w:b/>
          <w:sz w:val="24"/>
          <w:szCs w:val="24"/>
        </w:rPr>
      </w:r>
    </w:p>
    <w:p w14:paraId="3B5B81AF">
      <w:pPr>
        <w:pBdr/>
        <w:spacing w:line="360" w:lineRule="auto"/>
        <w:ind/>
        <w:contextualSpacing w:val="true"/>
        <w:jc w:val="both"/>
        <w:rPr>
          <w:rFonts w:ascii="Times New Roman" w:hAnsi="Times New Roman" w:cs="Times New Roman"/>
          <w:sz w:val="24"/>
          <w:szCs w:val="24"/>
        </w:rPr>
      </w:pPr>
      <w:r>
        <w:rPr>
          <w:rFonts w:ascii="Times New Roman" w:hAnsi="Times New Roman" w:cs="Times New Roman"/>
          <w:b/>
          <w:bCs/>
          <w:sz w:val="24"/>
          <w:szCs w:val="24"/>
        </w:rPr>
        <w:t xml:space="preserve">6.1.1.1.</w:t>
      </w:r>
      <w:r>
        <w:rPr>
          <w:rFonts w:ascii="Times New Roman" w:hAnsi="Times New Roman" w:cs="Times New Roman"/>
          <w:sz w:val="24"/>
          <w:szCs w:val="24"/>
        </w:rPr>
        <w:t xml:space="preserve"> Fornecer o objeto nas especificações e com a qualidade exigida;</w:t>
      </w:r>
      <w:r>
        <w:rPr>
          <w:rFonts w:ascii="Times New Roman" w:hAnsi="Times New Roman" w:cs="Times New Roman"/>
          <w:sz w:val="24"/>
          <w:szCs w:val="24"/>
        </w:rPr>
      </w:r>
      <w:r>
        <w:rPr>
          <w:rFonts w:ascii="Times New Roman" w:hAnsi="Times New Roman" w:cs="Times New Roman"/>
          <w:sz w:val="24"/>
          <w:szCs w:val="24"/>
        </w:rPr>
      </w:r>
    </w:p>
    <w:p w14:paraId="408AFC1A">
      <w:pPr>
        <w:pBdr/>
        <w:spacing w:line="360" w:lineRule="auto"/>
        <w:ind/>
        <w:contextualSpacing w:val="true"/>
        <w:jc w:val="both"/>
        <w:rPr>
          <w:rFonts w:ascii="Times New Roman" w:hAnsi="Times New Roman" w:cs="Times New Roman"/>
          <w:sz w:val="24"/>
          <w:szCs w:val="24"/>
        </w:rPr>
      </w:pPr>
      <w:r>
        <w:rPr>
          <w:rFonts w:ascii="Times New Roman" w:hAnsi="Times New Roman" w:cs="Times New Roman"/>
          <w:b/>
          <w:bCs/>
          <w:sz w:val="24"/>
          <w:szCs w:val="24"/>
        </w:rPr>
        <w:t xml:space="preserve">6.1.1.2.</w:t>
      </w:r>
      <w:r>
        <w:rPr>
          <w:rFonts w:ascii="Times New Roman" w:hAnsi="Times New Roman" w:cs="Times New Roman"/>
          <w:sz w:val="24"/>
          <w:szCs w:val="24"/>
        </w:rPr>
        <w:t xml:space="preserve"> Manter, durante toda a execução do contrato, em compatibilidade com obrigações por ela assumida, todas as condições de habilitação e qualificação exigidas na licitação;</w:t>
      </w:r>
      <w:r>
        <w:rPr>
          <w:rFonts w:ascii="Times New Roman" w:hAnsi="Times New Roman" w:cs="Times New Roman"/>
          <w:sz w:val="24"/>
          <w:szCs w:val="24"/>
        </w:rPr>
      </w:r>
      <w:r>
        <w:rPr>
          <w:rFonts w:ascii="Times New Roman" w:hAnsi="Times New Roman" w:cs="Times New Roman"/>
          <w:sz w:val="24"/>
          <w:szCs w:val="24"/>
        </w:rPr>
      </w:r>
    </w:p>
    <w:p w14:paraId="2EF65002">
      <w:pPr>
        <w:pBdr/>
        <w:spacing w:line="360" w:lineRule="auto"/>
        <w:ind/>
        <w:contextualSpacing w:val="true"/>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6.1.1.3.</w:t>
      </w:r>
      <w:r>
        <w:rPr>
          <w:rFonts w:ascii="Times New Roman" w:hAnsi="Times New Roman" w:cs="Times New Roman"/>
          <w:sz w:val="24"/>
          <w:szCs w:val="24"/>
        </w:rPr>
        <w:t xml:space="preserve">  Atender a solicitações do Contratante para cancelamento dos materiais, independentemente de motivação e sem quaisquer ônus adicionais;</w:t>
      </w:r>
      <w:r>
        <w:rPr>
          <w:rFonts w:ascii="Times New Roman" w:hAnsi="Times New Roman" w:cs="Times New Roman"/>
          <w:sz w:val="24"/>
          <w:szCs w:val="24"/>
        </w:rPr>
      </w:r>
      <w:r>
        <w:rPr>
          <w:rFonts w:ascii="Times New Roman" w:hAnsi="Times New Roman" w:cs="Times New Roman"/>
          <w:sz w:val="24"/>
          <w:szCs w:val="24"/>
        </w:rPr>
      </w:r>
    </w:p>
    <w:p w14:paraId="3A68190B">
      <w:pPr>
        <w:pBdr/>
        <w:spacing w:line="360" w:lineRule="auto"/>
        <w:ind/>
        <w:contextualSpacing w:val="true"/>
        <w:jc w:val="both"/>
        <w:rPr>
          <w:rFonts w:ascii="Times New Roman" w:hAnsi="Times New Roman" w:cs="Times New Roman"/>
          <w:sz w:val="24"/>
          <w:szCs w:val="24"/>
        </w:rPr>
      </w:pPr>
      <w:r>
        <w:rPr>
          <w:rFonts w:ascii="Times New Roman" w:hAnsi="Times New Roman" w:cs="Times New Roman"/>
          <w:b/>
          <w:bCs/>
          <w:sz w:val="24"/>
          <w:szCs w:val="24"/>
        </w:rPr>
        <w:t xml:space="preserve">6.1.1.4.</w:t>
      </w:r>
      <w:r>
        <w:rPr>
          <w:rFonts w:ascii="Times New Roman" w:hAnsi="Times New Roman" w:cs="Times New Roman"/>
          <w:sz w:val="24"/>
          <w:szCs w:val="24"/>
        </w:rPr>
        <w:t xml:space="preserve"> Especificar na fatura a descrição detalhada do material valor unitário e total.</w:t>
      </w:r>
      <w:r>
        <w:rPr>
          <w:rFonts w:ascii="Times New Roman" w:hAnsi="Times New Roman" w:cs="Times New Roman"/>
          <w:sz w:val="24"/>
          <w:szCs w:val="24"/>
        </w:rPr>
      </w:r>
      <w:r>
        <w:rPr>
          <w:rFonts w:ascii="Times New Roman" w:hAnsi="Times New Roman" w:cs="Times New Roman"/>
          <w:sz w:val="24"/>
          <w:szCs w:val="24"/>
        </w:rPr>
      </w:r>
    </w:p>
    <w:p w14:paraId="46959D4D">
      <w:pPr>
        <w:pBdr/>
        <w:spacing w:line="360" w:lineRule="auto"/>
        <w:ind/>
        <w:contextualSpacing w:val="true"/>
        <w:jc w:val="both"/>
        <w:rPr>
          <w:rFonts w:ascii="Times New Roman" w:hAnsi="Times New Roman" w:cs="Times New Roman"/>
          <w:sz w:val="24"/>
          <w:szCs w:val="24"/>
        </w:rPr>
      </w:pPr>
      <w:r>
        <w:rPr>
          <w:rFonts w:ascii="Times New Roman" w:hAnsi="Times New Roman" w:cs="Times New Roman"/>
          <w:b/>
          <w:bCs/>
          <w:sz w:val="24"/>
          <w:szCs w:val="24"/>
        </w:rPr>
        <w:t xml:space="preserve">6.1.1.5.</w:t>
      </w:r>
      <w:r>
        <w:rPr>
          <w:rFonts w:ascii="Times New Roman" w:hAnsi="Times New Roman" w:cs="Times New Roman"/>
          <w:sz w:val="24"/>
          <w:szCs w:val="24"/>
        </w:rPr>
        <w:t xml:space="preserve"> Providenciar imediata correção das deficiências apontadas pela Contratante quanto à perfeita execução do contrato;</w:t>
      </w:r>
      <w:r>
        <w:rPr>
          <w:rFonts w:ascii="Times New Roman" w:hAnsi="Times New Roman" w:cs="Times New Roman"/>
          <w:sz w:val="24"/>
          <w:szCs w:val="24"/>
        </w:rPr>
      </w:r>
      <w:r>
        <w:rPr>
          <w:rFonts w:ascii="Times New Roman" w:hAnsi="Times New Roman" w:cs="Times New Roman"/>
          <w:sz w:val="24"/>
          <w:szCs w:val="24"/>
        </w:rPr>
      </w:r>
    </w:p>
    <w:p w14:paraId="74C078CC">
      <w:pPr>
        <w:pBdr/>
        <w:spacing w:line="360" w:lineRule="auto"/>
        <w:ind/>
        <w:contextualSpacing w:val="true"/>
        <w:jc w:val="both"/>
        <w:rPr>
          <w:rFonts w:ascii="Times New Roman" w:hAnsi="Times New Roman" w:cs="Times New Roman"/>
          <w:sz w:val="24"/>
          <w:szCs w:val="24"/>
        </w:rPr>
      </w:pPr>
      <w:r>
        <w:rPr>
          <w:rFonts w:ascii="Times New Roman" w:hAnsi="Times New Roman" w:cs="Times New Roman"/>
          <w:b/>
          <w:bCs/>
          <w:sz w:val="24"/>
          <w:szCs w:val="24"/>
        </w:rPr>
        <w:t xml:space="preserve">6.1.1.6.</w:t>
      </w:r>
      <w:r>
        <w:rPr>
          <w:rFonts w:ascii="Times New Roman" w:hAnsi="Times New Roman" w:cs="Times New Roman"/>
          <w:sz w:val="24"/>
          <w:szCs w:val="24"/>
        </w:rPr>
        <w:t xml:space="preserve"> Responder pelos danos causados diretamente à Administração ou ainda a terceiros, durante a execução do contrato, não excluindo ou reduzindo essa responsabilidade à fiscalização ou acompanhamento pelo CONTRATANTE;</w:t>
      </w:r>
      <w:r>
        <w:rPr>
          <w:rFonts w:ascii="Times New Roman" w:hAnsi="Times New Roman" w:cs="Times New Roman"/>
          <w:sz w:val="24"/>
          <w:szCs w:val="24"/>
        </w:rPr>
      </w:r>
      <w:r>
        <w:rPr>
          <w:rFonts w:ascii="Times New Roman" w:hAnsi="Times New Roman" w:cs="Times New Roman"/>
          <w:sz w:val="24"/>
          <w:szCs w:val="24"/>
        </w:rPr>
      </w:r>
    </w:p>
    <w:p w14:paraId="16E7248C">
      <w:pPr>
        <w:pBdr/>
        <w:spacing w:line="360" w:lineRule="auto"/>
        <w:ind/>
        <w:contextualSpacing w:val="true"/>
        <w:jc w:val="both"/>
        <w:rPr>
          <w:rFonts w:ascii="Times New Roman" w:hAnsi="Times New Roman" w:cs="Times New Roman"/>
          <w:sz w:val="24"/>
          <w:szCs w:val="24"/>
          <w:highlight w:val="yellow"/>
        </w:rPr>
      </w:pPr>
      <w:r>
        <w:rPr>
          <w:rFonts w:ascii="Times New Roman" w:hAnsi="Times New Roman" w:cs="Times New Roman"/>
          <w:b/>
          <w:bCs/>
          <w:sz w:val="24"/>
          <w:szCs w:val="24"/>
        </w:rPr>
        <w:t xml:space="preserve">6.1.1.7. </w:t>
      </w:r>
      <w:r>
        <w:rPr>
          <w:rFonts w:ascii="Times New Roman" w:hAnsi="Times New Roman" w:cs="Times New Roman"/>
          <w:sz w:val="24"/>
          <w:szCs w:val="24"/>
        </w:rPr>
        <w:t xml:space="preserve">Efetuar a entrega dos materiais em perfeitas condições de acordo com a referência do ETP, no prazo e local indicados pela Secretaria Municipa</w:t>
      </w:r>
      <w:r>
        <w:rPr>
          <w:rFonts w:ascii="Times New Roman" w:hAnsi="Times New Roman" w:cs="Times New Roman"/>
          <w:sz w:val="24"/>
          <w:szCs w:val="24"/>
        </w:rPr>
        <w:t xml:space="preserve">l, cabendo a contratada o seu descarregamento e alocação do produto no local indicado pelo servidor que for receber o produto, em estrita observância das especificações constantes no termo de referência e da proposta, acompanhado da respectiva nota fiscal;</w:t>
      </w:r>
      <w:r>
        <w:rPr>
          <w:rFonts w:ascii="Times New Roman" w:hAnsi="Times New Roman" w:cs="Times New Roman"/>
          <w:sz w:val="24"/>
          <w:szCs w:val="24"/>
          <w:highlight w:val="yellow"/>
        </w:rPr>
      </w:r>
      <w:r>
        <w:rPr>
          <w:rFonts w:ascii="Times New Roman" w:hAnsi="Times New Roman" w:cs="Times New Roman"/>
          <w:sz w:val="24"/>
          <w:szCs w:val="24"/>
          <w:highlight w:val="yellow"/>
        </w:rPr>
      </w:r>
    </w:p>
    <w:p w14:paraId="3C71BAD8">
      <w:pPr>
        <w:pStyle w:val="1105"/>
        <w:widowControl w:val="false"/>
        <w:pBdr/>
        <w:spacing w:line="360" w:lineRule="auto"/>
        <w:ind w:firstLine="0" w:left="0"/>
        <w:contextualSpacing w:val="true"/>
        <w:jc w:val="both"/>
        <w:rPr>
          <w:sz w:val="24"/>
          <w:szCs w:val="24"/>
          <w:lang w:val="pt-BR"/>
        </w:rPr>
      </w:pPr>
      <w:r>
        <w:rPr>
          <w:b/>
          <w:bCs/>
          <w:sz w:val="24"/>
          <w:szCs w:val="24"/>
          <w:lang w:val="pt-BR"/>
        </w:rPr>
        <w:t xml:space="preserve">6.1.1.8.</w:t>
      </w:r>
      <w:r>
        <w:rPr>
          <w:sz w:val="24"/>
          <w:szCs w:val="24"/>
          <w:lang w:val="pt-BR"/>
        </w:rPr>
        <w:t xml:space="preserve"> Responsabilizar-se pelas despesas dos tributos, encargos trabalhistas, previdenciário</w:t>
      </w:r>
      <w:r>
        <w:rPr>
          <w:sz w:val="24"/>
          <w:szCs w:val="24"/>
          <w:lang w:val="pt-BR"/>
        </w:rPr>
        <w:t xml:space="preserve">s, fiscais, comerciais, taxas, fretes, seguros, deslocamento de pessoal, prestação de garantia e quaisquer outras que incidam ou venham a incidir na execução da ata/contrato, inclusive nos casos de troca de item ou qualquer eventualidade que possa ocorrer;</w:t>
      </w:r>
      <w:r>
        <w:rPr>
          <w:sz w:val="24"/>
          <w:szCs w:val="24"/>
          <w:lang w:val="pt-BR"/>
        </w:rPr>
      </w:r>
      <w:r>
        <w:rPr>
          <w:sz w:val="24"/>
          <w:szCs w:val="24"/>
          <w:lang w:val="pt-BR"/>
        </w:rPr>
      </w:r>
    </w:p>
    <w:p w14:paraId="7219BBD8">
      <w:pPr>
        <w:pStyle w:val="1105"/>
        <w:widowControl w:val="false"/>
        <w:pBdr/>
        <w:spacing w:line="360" w:lineRule="auto"/>
        <w:ind w:firstLine="0" w:left="0"/>
        <w:contextualSpacing w:val="true"/>
        <w:jc w:val="both"/>
        <w:rPr>
          <w:sz w:val="24"/>
          <w:szCs w:val="24"/>
          <w:lang w:val="pt-BR"/>
        </w:rPr>
      </w:pPr>
      <w:r>
        <w:rPr>
          <w:b/>
          <w:bCs/>
          <w:sz w:val="24"/>
          <w:szCs w:val="24"/>
          <w:lang w:val="pt-BR"/>
        </w:rPr>
        <w:t xml:space="preserve">6.1.1.9.</w:t>
      </w:r>
      <w:r>
        <w:rPr>
          <w:sz w:val="24"/>
          <w:szCs w:val="24"/>
          <w:lang w:val="pt-BR"/>
        </w:rPr>
        <w:t xml:space="preserve"> Arcar com </w:t>
      </w:r>
      <w:r>
        <w:rPr>
          <w:sz w:val="24"/>
          <w:szCs w:val="24"/>
          <w:lang w:val="pt-BR"/>
        </w:rPr>
        <w:t xml:space="preserve">toda e qualquer despesa relativa ao fornecimento ora pactuado, dentre elas, carga, transporte, descarga, frete, impostos, mão de obra, taxas, contribuições, encargos sociais, inclusive nos casos de troca de item ou qualquer eventualidade que possa ocorrer;</w:t>
      </w:r>
      <w:r>
        <w:rPr>
          <w:sz w:val="24"/>
          <w:szCs w:val="24"/>
          <w:lang w:val="pt-BR"/>
        </w:rPr>
      </w:r>
      <w:r>
        <w:rPr>
          <w:sz w:val="24"/>
          <w:szCs w:val="24"/>
          <w:lang w:val="pt-BR"/>
        </w:rPr>
      </w:r>
    </w:p>
    <w:p w14:paraId="60484354">
      <w:pPr>
        <w:pStyle w:val="1105"/>
        <w:widowControl w:val="false"/>
        <w:pBdr/>
        <w:spacing w:line="360" w:lineRule="auto"/>
        <w:ind w:firstLine="0" w:left="0"/>
        <w:contextualSpacing w:val="true"/>
        <w:jc w:val="both"/>
        <w:rPr>
          <w:sz w:val="24"/>
          <w:szCs w:val="24"/>
          <w:lang w:val="pt-BR"/>
        </w:rPr>
      </w:pPr>
      <w:r>
        <w:rPr>
          <w:b/>
          <w:bCs/>
          <w:sz w:val="24"/>
          <w:szCs w:val="24"/>
          <w:lang w:val="pt-BR"/>
        </w:rPr>
        <w:t xml:space="preserve">6.1.1.10. </w:t>
      </w:r>
      <w:r>
        <w:rPr>
          <w:sz w:val="24"/>
          <w:szCs w:val="24"/>
          <w:lang w:val="pt-BR"/>
        </w:rPr>
        <w:t xml:space="preserve">Manter, durante toda a execução da ata/contrato, em compatibilidade com as obrigações assumidas, todas as condições de habilitação e qualificação exigidas na licitação ou na contratação.</w:t>
      </w:r>
      <w:r>
        <w:rPr>
          <w:sz w:val="24"/>
          <w:szCs w:val="24"/>
          <w:lang w:val="pt-BR"/>
        </w:rPr>
      </w:r>
      <w:r>
        <w:rPr>
          <w:sz w:val="24"/>
          <w:szCs w:val="24"/>
          <w:lang w:val="pt-BR"/>
        </w:rPr>
      </w:r>
    </w:p>
    <w:p w14:paraId="4F4BE314">
      <w:pPr>
        <w:pStyle w:val="1105"/>
        <w:widowControl w:val="false"/>
        <w:pBdr/>
        <w:spacing w:line="360" w:lineRule="auto"/>
        <w:ind w:firstLine="0" w:left="0"/>
        <w:contextualSpacing w:val="true"/>
        <w:jc w:val="both"/>
        <w:rPr>
          <w:sz w:val="24"/>
          <w:szCs w:val="24"/>
          <w:lang w:val="pt-BR"/>
        </w:rPr>
      </w:pPr>
      <w:r>
        <w:rPr>
          <w:b/>
          <w:bCs/>
          <w:sz w:val="24"/>
          <w:szCs w:val="24"/>
          <w:lang w:val="pt-BR"/>
        </w:rPr>
        <w:t xml:space="preserve">6.1.1.11.</w:t>
      </w:r>
      <w:r>
        <w:rPr>
          <w:sz w:val="24"/>
          <w:szCs w:val="24"/>
          <w:lang w:val="pt-BR"/>
        </w:rPr>
        <w:t xml:space="preserve"> Responsabilizar-se pelos vícios e danos decorrentes do objeto, de acordo com os artigos 12, 13 e 17 a 27, do Código de Defesa do Consumidor (Lei nº 8.078, de 1990);</w:t>
      </w:r>
      <w:r>
        <w:rPr>
          <w:sz w:val="24"/>
          <w:szCs w:val="24"/>
          <w:lang w:val="pt-BR"/>
        </w:rPr>
      </w:r>
      <w:r>
        <w:rPr>
          <w:sz w:val="24"/>
          <w:szCs w:val="24"/>
          <w:lang w:val="pt-BR"/>
        </w:rPr>
      </w:r>
    </w:p>
    <w:p w14:paraId="2D534FE2">
      <w:pPr>
        <w:pStyle w:val="1105"/>
        <w:widowControl w:val="false"/>
        <w:pBdr/>
        <w:spacing w:line="360" w:lineRule="auto"/>
        <w:ind w:firstLine="0" w:left="0"/>
        <w:contextualSpacing w:val="true"/>
        <w:jc w:val="both"/>
        <w:rPr>
          <w:rStyle w:val="1106"/>
          <w:sz w:val="24"/>
          <w:szCs w:val="24"/>
          <w:lang w:val="pt-BR"/>
        </w:rPr>
      </w:pPr>
      <w:r>
        <w:rPr>
          <w:rStyle w:val="1106"/>
          <w:b/>
          <w:bCs/>
          <w:sz w:val="24"/>
          <w:szCs w:val="24"/>
          <w:lang w:val="pt-BR"/>
        </w:rPr>
        <w:t xml:space="preserve">6.1.1.12.</w:t>
      </w:r>
      <w:r>
        <w:rPr>
          <w:rStyle w:val="1106"/>
          <w:sz w:val="24"/>
          <w:szCs w:val="24"/>
          <w:lang w:val="pt-BR"/>
        </w:rPr>
        <w:t xml:space="preserve"> Reparar, corrigir, remover, reconstruir ou substituir, às suas expensas, no total ou em parte, no prazo máximo de </w:t>
      </w:r>
      <w:r>
        <w:rPr>
          <w:rStyle w:val="1106"/>
          <w:b/>
          <w:bCs/>
          <w:sz w:val="24"/>
          <w:szCs w:val="24"/>
          <w:lang w:val="pt-BR"/>
        </w:rPr>
        <w:t xml:space="preserve">5 (cinco) dias</w:t>
      </w:r>
      <w:r>
        <w:rPr>
          <w:rStyle w:val="1106"/>
          <w:sz w:val="24"/>
          <w:szCs w:val="24"/>
          <w:lang w:val="pt-BR"/>
        </w:rPr>
        <w:t xml:space="preserve">,</w:t>
      </w:r>
      <w:bookmarkStart w:id="1" w:name="_Hlk34297024"/>
      <w:r>
        <w:rPr>
          <w:rStyle w:val="1106"/>
          <w:sz w:val="24"/>
          <w:szCs w:val="24"/>
          <w:lang w:val="pt-BR"/>
        </w:rPr>
        <w:t xml:space="preserve"> a contar do recebimento da notificação do contratante, </w:t>
      </w:r>
      <w:bookmarkEnd w:id="1"/>
      <w:r>
        <w:rPr>
          <w:rStyle w:val="1106"/>
          <w:sz w:val="24"/>
          <w:szCs w:val="24"/>
          <w:lang w:val="pt-BR"/>
        </w:rPr>
        <w:t xml:space="preserve">o objeto do ajuste em que se verifiquem vícios, defeitos ou incorreções resultantes da execução ou de materiais empregados.</w:t>
      </w:r>
      <w:r>
        <w:rPr>
          <w:rStyle w:val="1106"/>
          <w:sz w:val="24"/>
          <w:szCs w:val="24"/>
          <w:lang w:val="pt-BR"/>
        </w:rPr>
      </w:r>
      <w:r>
        <w:rPr>
          <w:rStyle w:val="1106"/>
          <w:sz w:val="24"/>
          <w:szCs w:val="24"/>
          <w:lang w:val="pt-BR"/>
        </w:rPr>
      </w:r>
    </w:p>
    <w:p w14:paraId="702C4DDE">
      <w:pPr>
        <w:pStyle w:val="1105"/>
        <w:widowControl w:val="false"/>
        <w:pBdr/>
        <w:spacing w:line="360" w:lineRule="auto"/>
        <w:ind w:firstLine="0" w:left="0"/>
        <w:contextualSpacing w:val="true"/>
        <w:jc w:val="both"/>
        <w:rPr>
          <w:sz w:val="24"/>
          <w:szCs w:val="24"/>
          <w:lang w:val="pt-BR"/>
        </w:rPr>
      </w:pPr>
      <w:r>
        <w:rPr>
          <w:b/>
          <w:bCs/>
          <w:sz w:val="24"/>
          <w:szCs w:val="24"/>
          <w:lang w:val="pt-BR"/>
        </w:rPr>
        <w:t xml:space="preserve">6.1.1.13.</w:t>
      </w:r>
      <w:r>
        <w:rPr>
          <w:sz w:val="24"/>
          <w:szCs w:val="24"/>
          <w:lang w:val="pt-BR"/>
        </w:rPr>
        <w:t xml:space="preserve"> Atender prontamente a quaisquer exigências da Administração, inerentes ao objeto da presente licitação.</w:t>
      </w:r>
      <w:r>
        <w:rPr>
          <w:sz w:val="24"/>
          <w:szCs w:val="24"/>
          <w:lang w:val="pt-BR"/>
        </w:rPr>
      </w:r>
      <w:r>
        <w:rPr>
          <w:sz w:val="24"/>
          <w:szCs w:val="24"/>
          <w:lang w:val="pt-BR"/>
        </w:rPr>
      </w:r>
    </w:p>
    <w:p w14:paraId="6EB42366">
      <w:pPr>
        <w:pStyle w:val="1105"/>
        <w:widowControl w:val="false"/>
        <w:pBdr/>
        <w:spacing w:line="360" w:lineRule="auto"/>
        <w:ind w:firstLine="0" w:left="0"/>
        <w:contextualSpacing w:val="true"/>
        <w:jc w:val="both"/>
        <w:rPr>
          <w:sz w:val="24"/>
          <w:szCs w:val="24"/>
          <w:lang w:val="pt-BR"/>
        </w:rPr>
      </w:pPr>
      <w:r>
        <w:rPr>
          <w:b/>
          <w:bCs/>
          <w:sz w:val="24"/>
          <w:szCs w:val="24"/>
          <w:lang w:val="pt-BR"/>
        </w:rPr>
        <w:t xml:space="preserve">6.1.1.14.</w:t>
      </w:r>
      <w:r>
        <w:rPr>
          <w:sz w:val="24"/>
          <w:szCs w:val="24"/>
          <w:lang w:val="pt-BR"/>
        </w:rPr>
        <w:t xml:space="preserve"> Comunicar à Administração, no prazo máximo de </w:t>
      </w:r>
      <w:r>
        <w:rPr>
          <w:b/>
          <w:bCs/>
          <w:sz w:val="24"/>
          <w:szCs w:val="24"/>
          <w:lang w:val="pt-BR"/>
        </w:rPr>
        <w:t xml:space="preserve">5 (cinco) dias</w:t>
      </w:r>
      <w:r>
        <w:rPr>
          <w:sz w:val="24"/>
          <w:szCs w:val="24"/>
          <w:lang w:val="pt-BR"/>
        </w:rPr>
        <w:t xml:space="preserve"> que antecede a data da entrega, os motivos que impossibilitem o cumprimento do prazo previsto, com a devida comprovação;</w:t>
      </w:r>
      <w:r>
        <w:rPr>
          <w:sz w:val="24"/>
          <w:szCs w:val="24"/>
          <w:lang w:val="pt-BR"/>
        </w:rPr>
      </w:r>
      <w:r>
        <w:rPr>
          <w:sz w:val="24"/>
          <w:szCs w:val="24"/>
          <w:lang w:val="pt-BR"/>
        </w:rPr>
      </w:r>
    </w:p>
    <w:p w14:paraId="0FBEF3AC">
      <w:pPr>
        <w:pStyle w:val="1105"/>
        <w:widowControl w:val="false"/>
        <w:pBdr/>
        <w:spacing w:line="360" w:lineRule="auto"/>
        <w:ind w:firstLine="0" w:left="0"/>
        <w:contextualSpacing w:val="true"/>
        <w:jc w:val="both"/>
        <w:rPr>
          <w:sz w:val="24"/>
          <w:szCs w:val="24"/>
          <w:lang w:val="pt-BR"/>
        </w:rPr>
      </w:pPr>
      <w:r>
        <w:rPr>
          <w:b/>
          <w:bCs/>
          <w:sz w:val="24"/>
          <w:szCs w:val="24"/>
          <w:lang w:val="pt-BR"/>
        </w:rPr>
        <w:t xml:space="preserve">6.1.1.15. </w:t>
      </w:r>
      <w:r>
        <w:rPr>
          <w:sz w:val="24"/>
          <w:szCs w:val="24"/>
          <w:lang w:val="pt-BR"/>
        </w:rPr>
        <w:t xml:space="preserve">Não transferir a terceiros, por qualquer forma, as obrigações assumidas, nem subcontratar qualquer das prestações a que está obrigada.</w:t>
      </w:r>
      <w:r>
        <w:rPr>
          <w:sz w:val="24"/>
          <w:szCs w:val="24"/>
          <w:lang w:val="pt-BR"/>
        </w:rPr>
      </w:r>
      <w:r>
        <w:rPr>
          <w:sz w:val="24"/>
          <w:szCs w:val="24"/>
          <w:lang w:val="pt-BR"/>
        </w:rPr>
      </w:r>
    </w:p>
    <w:p w14:paraId="2B96CB74">
      <w:pPr>
        <w:pStyle w:val="1105"/>
        <w:widowControl w:val="false"/>
        <w:pBdr/>
        <w:spacing w:line="360" w:lineRule="auto"/>
        <w:ind w:firstLine="0" w:left="0"/>
        <w:jc w:val="both"/>
        <w:rPr>
          <w:sz w:val="24"/>
          <w:szCs w:val="24"/>
          <w:lang w:val="pt-BR"/>
        </w:rPr>
      </w:pPr>
      <w:r>
        <w:rPr>
          <w:b/>
          <w:bCs/>
          <w:sz w:val="24"/>
          <w:szCs w:val="24"/>
          <w:lang w:val="pt-BR"/>
        </w:rPr>
        <w:t xml:space="preserve">6.1.1.16. </w:t>
      </w:r>
      <w:r>
        <w:rPr>
          <w:sz w:val="24"/>
          <w:szCs w:val="24"/>
          <w:lang w:val="pt-BR"/>
        </w:rPr>
        <w:t xml:space="preserve">Destacar e discriminar a retenção a que está sujeita, informando de forma clara e inequívoca todos os impostos e alíquotas incidentes, cabendo a ela toda a responsabilidade pela eventual ausência dessa informação ou pela informação incorreta.</w:t>
      </w:r>
      <w:r>
        <w:rPr>
          <w:sz w:val="24"/>
          <w:szCs w:val="24"/>
          <w:lang w:val="pt-BR"/>
        </w:rPr>
      </w:r>
      <w:r>
        <w:rPr>
          <w:sz w:val="24"/>
          <w:szCs w:val="24"/>
          <w:lang w:val="pt-BR"/>
        </w:rPr>
      </w:r>
    </w:p>
    <w:p w14:paraId="5307DCEF">
      <w:pPr>
        <w:pStyle w:val="1105"/>
        <w:widowControl w:val="false"/>
        <w:pBdr/>
        <w:spacing w:line="360" w:lineRule="auto"/>
        <w:ind w:firstLine="0" w:left="0"/>
        <w:jc w:val="both"/>
        <w:rPr>
          <w:sz w:val="24"/>
          <w:szCs w:val="24"/>
          <w:lang w:val="pt-BR"/>
        </w:rPr>
      </w:pPr>
      <w:r>
        <w:rPr>
          <w:b/>
          <w:bCs/>
          <w:sz w:val="24"/>
          <w:szCs w:val="24"/>
          <w:lang w:val="pt-BR"/>
        </w:rPr>
        <w:t xml:space="preserve">6.1.1.17. </w:t>
      </w:r>
      <w:r>
        <w:rPr>
          <w:sz w:val="24"/>
          <w:szCs w:val="24"/>
          <w:lang w:val="pt-BR"/>
        </w:rPr>
        <w:t xml:space="preserve">As notas fiscais não poderão ter rasuras e de</w:t>
      </w:r>
      <w:r>
        <w:rPr>
          <w:sz w:val="24"/>
          <w:szCs w:val="24"/>
          <w:lang w:val="pt-BR"/>
        </w:rPr>
        <w:t xml:space="preserve">verão descrever corretamente o item, e número de empenho, o número do processo de compras, dados bancários para depósito. As notas fiscais serão liberadas para pagamento somente quando, estiver devidamente assinado e carimbado pelo funcionário responsável;</w:t>
      </w:r>
      <w:r>
        <w:rPr>
          <w:sz w:val="24"/>
          <w:szCs w:val="24"/>
          <w:lang w:val="pt-BR"/>
        </w:rPr>
      </w:r>
      <w:r>
        <w:rPr>
          <w:sz w:val="24"/>
          <w:szCs w:val="24"/>
          <w:lang w:val="pt-BR"/>
        </w:rPr>
      </w:r>
    </w:p>
    <w:p w14:paraId="6FB394B6">
      <w:pPr>
        <w:pStyle w:val="1105"/>
        <w:widowControl w:val="false"/>
        <w:pBdr/>
        <w:tabs>
          <w:tab w:val="left" w:leader="none" w:pos="567"/>
        </w:tabs>
        <w:spacing w:after="10" w:before="10" w:line="360" w:lineRule="auto"/>
        <w:ind w:firstLine="0" w:left="0"/>
        <w:jc w:val="both"/>
        <w:rPr>
          <w:sz w:val="24"/>
          <w:szCs w:val="24"/>
          <w:lang w:val="pt-BR"/>
        </w:rPr>
      </w:pPr>
      <w:r>
        <w:rPr>
          <w:b/>
          <w:bCs/>
          <w:sz w:val="24"/>
          <w:szCs w:val="24"/>
          <w:lang w:val="pt-BR"/>
        </w:rPr>
        <w:t xml:space="preserve">6.1.1.18. </w:t>
      </w:r>
      <w:r>
        <w:rPr>
          <w:sz w:val="24"/>
          <w:szCs w:val="24"/>
          <w:lang w:val="pt-BR"/>
        </w:rPr>
        <w:t xml:space="preserve">As notas fiscais deverão ser encaminhadas à Prefeitura de Sinop, por meio do </w:t>
      </w:r>
      <w:r>
        <w:rPr>
          <w:b/>
          <w:bCs/>
          <w:i/>
          <w:iCs/>
          <w:sz w:val="24"/>
          <w:szCs w:val="24"/>
          <w:lang w:val="pt-BR"/>
        </w:rPr>
        <w:t xml:space="preserve">Portal do Fornecedor</w:t>
      </w:r>
      <w:r>
        <w:rPr>
          <w:sz w:val="24"/>
          <w:szCs w:val="24"/>
          <w:lang w:val="pt-BR"/>
        </w:rPr>
        <w:t xml:space="preserve">, disponível no endereço eletrônico:</w:t>
      </w:r>
      <w:r>
        <w:rPr>
          <w:color w:val="ff0000"/>
          <w:sz w:val="24"/>
          <w:szCs w:val="24"/>
          <w:lang w:val="pt-BR"/>
        </w:rPr>
        <w:t xml:space="preserve"> </w:t>
      </w:r>
      <w:r>
        <w:fldChar w:fldCharType="begin"/>
      </w:r>
      <w:r>
        <w:instrText xml:space="preserve"> HYPERLINK "https://www.gp.srv.br/portalfornecedor_sinop/servlet/home," </w:instrText>
      </w:r>
      <w:r>
        <w:fldChar w:fldCharType="separate"/>
      </w:r>
      <w:r>
        <w:rPr>
          <w:rStyle w:val="1098"/>
          <w:i/>
          <w:iCs/>
          <w:color w:val="000000"/>
          <w:sz w:val="24"/>
          <w:szCs w:val="24"/>
          <w:lang w:val="pt-BR"/>
        </w:rPr>
        <w:t xml:space="preserve">https://www.gp.srv.br/portalfornecedor_sinop/servlet/home</w:t>
      </w:r>
      <w:r>
        <w:rPr>
          <w:rStyle w:val="1098"/>
          <w:sz w:val="24"/>
          <w:szCs w:val="24"/>
          <w:lang w:val="pt-BR"/>
        </w:rPr>
        <w:t xml:space="preserve">,</w:t>
      </w:r>
      <w:r>
        <w:rPr>
          <w:rStyle w:val="1098"/>
          <w:sz w:val="24"/>
          <w:szCs w:val="24"/>
          <w:lang w:val="pt-BR"/>
        </w:rPr>
        <w:fldChar w:fldCharType="end"/>
      </w:r>
      <w:r>
        <w:rPr>
          <w:sz w:val="24"/>
          <w:szCs w:val="24"/>
          <w:lang w:val="pt-BR"/>
        </w:rPr>
        <w:t xml:space="preserve"> conforme Decreto 358/2024. </w:t>
      </w:r>
      <w:r>
        <w:rPr>
          <w:b/>
          <w:bCs/>
          <w:sz w:val="24"/>
          <w:szCs w:val="24"/>
          <w:lang w:val="pt-BR"/>
        </w:rPr>
        <w:t xml:space="preserve"> </w:t>
      </w:r>
      <w:r>
        <w:rPr>
          <w:sz w:val="24"/>
          <w:szCs w:val="24"/>
          <w:lang w:val="pt-BR"/>
        </w:rPr>
        <w:t xml:space="preserve">O protocolo deverá ser realizado separadamente por Secretaria e Empenho/Nad;</w:t>
      </w:r>
      <w:r>
        <w:rPr>
          <w:sz w:val="24"/>
          <w:szCs w:val="24"/>
          <w:lang w:val="pt-BR"/>
        </w:rPr>
      </w:r>
      <w:r>
        <w:rPr>
          <w:sz w:val="24"/>
          <w:szCs w:val="24"/>
          <w:lang w:val="pt-BR"/>
        </w:rPr>
      </w:r>
    </w:p>
    <w:p w14:paraId="575D0CCB">
      <w:pPr>
        <w:pStyle w:val="1105"/>
        <w:widowControl w:val="false"/>
        <w:pBdr/>
        <w:tabs>
          <w:tab w:val="left" w:leader="none" w:pos="567"/>
        </w:tabs>
        <w:spacing w:after="10" w:before="10" w:line="360" w:lineRule="auto"/>
        <w:ind w:firstLine="0" w:left="0"/>
        <w:jc w:val="both"/>
        <w:rPr>
          <w:sz w:val="24"/>
          <w:szCs w:val="24"/>
          <w:lang w:val="pt-BR"/>
        </w:rPr>
      </w:pPr>
      <w:r>
        <w:rPr>
          <w:b/>
          <w:bCs/>
          <w:sz w:val="24"/>
          <w:szCs w:val="24"/>
          <w:lang w:val="pt-BR"/>
        </w:rPr>
        <w:t xml:space="preserve">6.1.1.19. </w:t>
      </w:r>
      <w:r>
        <w:rPr>
          <w:sz w:val="24"/>
          <w:szCs w:val="24"/>
          <w:lang w:val="pt-BR"/>
        </w:rPr>
        <w:t xml:space="preserve">As certidões deverão ser juntadas ao protocolo e são obrigatórias para a liquidação da despesa.</w:t>
      </w:r>
      <w:r>
        <w:rPr>
          <w:sz w:val="24"/>
          <w:szCs w:val="24"/>
          <w:lang w:val="pt-BR"/>
        </w:rPr>
      </w:r>
      <w:r>
        <w:rPr>
          <w:sz w:val="24"/>
          <w:szCs w:val="24"/>
          <w:lang w:val="pt-BR"/>
        </w:rPr>
      </w:r>
    </w:p>
    <w:p w14:paraId="27C09932">
      <w:pPr>
        <w:pStyle w:val="1105"/>
        <w:widowControl w:val="false"/>
        <w:pBdr/>
        <w:tabs>
          <w:tab w:val="left" w:leader="none" w:pos="567"/>
        </w:tabs>
        <w:spacing w:after="10" w:before="10" w:line="360" w:lineRule="auto"/>
        <w:ind w:firstLine="0" w:left="0"/>
        <w:jc w:val="both"/>
        <w:rPr>
          <w:sz w:val="24"/>
          <w:szCs w:val="24"/>
          <w:lang w:val="pt-BR"/>
        </w:rPr>
      </w:pPr>
      <w:r>
        <w:rPr>
          <w:b/>
          <w:bCs/>
          <w:sz w:val="24"/>
          <w:szCs w:val="24"/>
          <w:lang w:val="pt-BR"/>
        </w:rPr>
        <w:t xml:space="preserve">6.1.1.20.</w:t>
      </w:r>
      <w:r>
        <w:rPr>
          <w:sz w:val="24"/>
          <w:szCs w:val="24"/>
          <w:lang w:val="pt-BR"/>
        </w:rPr>
        <w:t xml:space="preserve"> Todos os documentos são obrigatórios, especialmente os citados no edital de licitação e os que constam na instrução normativa 038/2009, atualizada no decreto 118/2022.</w:t>
      </w:r>
      <w:r>
        <w:rPr>
          <w:sz w:val="24"/>
          <w:szCs w:val="24"/>
          <w:lang w:val="pt-BR"/>
        </w:rPr>
      </w:r>
      <w:r>
        <w:rPr>
          <w:sz w:val="24"/>
          <w:szCs w:val="24"/>
          <w:lang w:val="pt-BR"/>
        </w:rPr>
      </w:r>
    </w:p>
    <w:p w14:paraId="22C1D7A7">
      <w:pPr>
        <w:pStyle w:val="1105"/>
        <w:widowControl w:val="false"/>
        <w:pBdr/>
        <w:spacing w:line="360" w:lineRule="auto"/>
        <w:ind w:firstLine="0" w:left="0"/>
        <w:jc w:val="both"/>
        <w:rPr>
          <w:sz w:val="24"/>
          <w:szCs w:val="24"/>
          <w:lang w:val="pt-BR"/>
        </w:rPr>
      </w:pPr>
      <w:r>
        <w:rPr>
          <w:b/>
          <w:bCs/>
          <w:sz w:val="24"/>
          <w:szCs w:val="24"/>
          <w:lang w:val="pt-BR"/>
        </w:rPr>
        <w:t xml:space="preserve">6.1.1.21.</w:t>
      </w:r>
      <w:r>
        <w:rPr>
          <w:sz w:val="24"/>
          <w:szCs w:val="24"/>
          <w:lang w:val="pt-BR"/>
        </w:rPr>
        <w:t xml:space="preserve"> Caso o protocolo não esteja de acordo com o solicitado, o mesmo será devolvido para correção, sendo válida a data de protocolo corrigida para fins de prazo de pagamento.</w:t>
      </w:r>
      <w:r>
        <w:rPr>
          <w:sz w:val="24"/>
          <w:szCs w:val="24"/>
          <w:lang w:val="pt-BR"/>
        </w:rPr>
      </w:r>
      <w:r>
        <w:rPr>
          <w:sz w:val="24"/>
          <w:szCs w:val="24"/>
          <w:lang w:val="pt-BR"/>
        </w:rPr>
      </w:r>
    </w:p>
    <w:p w14:paraId="017AD5E6">
      <w:pPr>
        <w:pBdr/>
        <w:tabs>
          <w:tab w:val="left" w:leader="none" w:pos="0"/>
        </w:tabs>
        <w:spacing w:line="360" w:lineRule="auto"/>
        <w:ind/>
        <w:contextualSpacing w:val="true"/>
        <w:jc w:val="both"/>
        <w:rPr>
          <w:rFonts w:ascii="Times New Roman" w:hAnsi="Times New Roman" w:cs="Times New Roman"/>
          <w:sz w:val="24"/>
          <w:szCs w:val="24"/>
        </w:rPr>
      </w:pPr>
      <w:r>
        <w:rPr>
          <w:rFonts w:ascii="Times New Roman" w:hAnsi="Times New Roman" w:cs="Times New Roman"/>
          <w:b/>
          <w:bCs/>
          <w:sz w:val="24"/>
          <w:szCs w:val="24"/>
        </w:rPr>
        <w:t xml:space="preserve">6.1.1.22. </w:t>
      </w:r>
      <w:r>
        <w:rPr>
          <w:rFonts w:ascii="Times New Roman" w:hAnsi="Times New Roman" w:cs="Times New Roman"/>
          <w:sz w:val="24"/>
          <w:szCs w:val="24"/>
        </w:rPr>
        <w:t xml:space="preserve">A(s) licitante(s) vencedora(s) se obriga(m) a entregar os produtos desta licitação sem ônus, mediante a emissão de ordem de fornecimento pelas Secretarias Municipais, a partir da data da assinatura da Ata de Registro de Preços.</w:t>
      </w:r>
      <w:r>
        <w:rPr>
          <w:rFonts w:ascii="Times New Roman" w:hAnsi="Times New Roman" w:cs="Times New Roman"/>
          <w:sz w:val="24"/>
          <w:szCs w:val="24"/>
        </w:rPr>
      </w:r>
      <w:r>
        <w:rPr>
          <w:rFonts w:ascii="Times New Roman" w:hAnsi="Times New Roman" w:cs="Times New Roman"/>
          <w:sz w:val="24"/>
          <w:szCs w:val="24"/>
        </w:rPr>
      </w:r>
    </w:p>
    <w:p w14:paraId="606C7CD1">
      <w:pPr>
        <w:pBdr/>
        <w:tabs>
          <w:tab w:val="left" w:leader="none" w:pos="0"/>
        </w:tabs>
        <w:spacing w:line="360" w:lineRule="auto"/>
        <w:ind/>
        <w:contextualSpacing w:val="true"/>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14:paraId="3CFD5AD5">
      <w:pPr>
        <w:pBdr/>
        <w:tabs>
          <w:tab w:val="left" w:leader="none" w:pos="0"/>
        </w:tabs>
        <w:spacing w:line="360" w:lineRule="auto"/>
        <w:ind/>
        <w:contextualSpacing w:val="true"/>
        <w:jc w:val="both"/>
        <w:rPr>
          <w:rFonts w:ascii="Times New Roman" w:hAnsi="Times New Roman" w:cs="Times New Roman"/>
          <w:b/>
          <w:sz w:val="24"/>
          <w:szCs w:val="24"/>
        </w:rPr>
      </w:pPr>
      <w:r>
        <w:rPr>
          <w:rFonts w:ascii="Times New Roman" w:hAnsi="Times New Roman" w:cs="Times New Roman"/>
          <w:b/>
          <w:sz w:val="24"/>
          <w:szCs w:val="24"/>
        </w:rPr>
        <w:t xml:space="preserve">6.1.2. OBRIGAÇÕES DA CONTRATANTE:</w:t>
      </w:r>
      <w:r>
        <w:rPr>
          <w:rFonts w:ascii="Times New Roman" w:hAnsi="Times New Roman" w:cs="Times New Roman"/>
          <w:b/>
          <w:sz w:val="24"/>
          <w:szCs w:val="24"/>
        </w:rPr>
      </w:r>
      <w:r>
        <w:rPr>
          <w:rFonts w:ascii="Times New Roman" w:hAnsi="Times New Roman" w:cs="Times New Roman"/>
          <w:b/>
          <w:sz w:val="24"/>
          <w:szCs w:val="24"/>
        </w:rPr>
      </w:r>
    </w:p>
    <w:p w14:paraId="5E927AD0">
      <w:pPr>
        <w:pStyle w:val="1105"/>
        <w:widowControl w:val="false"/>
        <w:pBdr/>
        <w:tabs>
          <w:tab w:val="left" w:leader="none" w:pos="0"/>
          <w:tab w:val="left" w:leader="none" w:pos="567"/>
        </w:tabs>
        <w:spacing w:line="360" w:lineRule="auto"/>
        <w:ind w:firstLine="0" w:left="0"/>
        <w:jc w:val="both"/>
        <w:rPr>
          <w:bCs/>
          <w:sz w:val="24"/>
          <w:szCs w:val="24"/>
          <w:lang w:val="pt-BR"/>
        </w:rPr>
      </w:pPr>
      <w:r>
        <w:rPr>
          <w:b/>
          <w:bCs/>
          <w:sz w:val="24"/>
          <w:szCs w:val="24"/>
          <w:lang w:val="pt-BR"/>
        </w:rPr>
        <w:t xml:space="preserve">6.1.2.1.</w:t>
      </w:r>
      <w:r>
        <w:rPr>
          <w:bCs/>
          <w:sz w:val="24"/>
          <w:szCs w:val="24"/>
          <w:lang w:val="pt-BR"/>
        </w:rPr>
        <w:t xml:space="preserve"> Atestar nas Notas Fiscais e/ou fatura a efetiva entrega do objeto desta licitação.</w:t>
      </w:r>
      <w:r>
        <w:rPr>
          <w:bCs/>
          <w:sz w:val="24"/>
          <w:szCs w:val="24"/>
          <w:lang w:val="pt-BR"/>
        </w:rPr>
      </w:r>
      <w:r>
        <w:rPr>
          <w:bCs/>
          <w:sz w:val="24"/>
          <w:szCs w:val="24"/>
          <w:lang w:val="pt-BR"/>
        </w:rPr>
      </w:r>
    </w:p>
    <w:p w14:paraId="347E6ACF">
      <w:pPr>
        <w:pStyle w:val="1105"/>
        <w:widowControl w:val="false"/>
        <w:pBdr/>
        <w:tabs>
          <w:tab w:val="left" w:leader="none" w:pos="0"/>
          <w:tab w:val="left" w:leader="none" w:pos="567"/>
        </w:tabs>
        <w:spacing w:line="360" w:lineRule="auto"/>
        <w:ind w:firstLine="0" w:left="0"/>
        <w:jc w:val="both"/>
        <w:rPr>
          <w:bCs/>
          <w:sz w:val="24"/>
          <w:szCs w:val="24"/>
          <w:lang w:val="pt-BR"/>
        </w:rPr>
      </w:pPr>
      <w:r>
        <w:rPr>
          <w:b/>
          <w:bCs/>
          <w:sz w:val="24"/>
          <w:szCs w:val="24"/>
          <w:lang w:val="pt-BR"/>
        </w:rPr>
        <w:t xml:space="preserve">6.1.2.2.</w:t>
      </w:r>
      <w:r>
        <w:rPr>
          <w:sz w:val="24"/>
          <w:szCs w:val="24"/>
          <w:lang w:val="pt-BR"/>
        </w:rPr>
        <w:t xml:space="preserve"> Promover o acompanhamento e a fiscalização da execução do objeto do presente Termo de Referência, sob o aspecto quantitativo e qualitativo, anotando em registro próprio as falhas e ocorrências detectadas.</w:t>
      </w:r>
      <w:r>
        <w:rPr>
          <w:bCs/>
          <w:sz w:val="24"/>
          <w:szCs w:val="24"/>
          <w:lang w:val="pt-BR"/>
        </w:rPr>
      </w:r>
      <w:r>
        <w:rPr>
          <w:bCs/>
          <w:sz w:val="24"/>
          <w:szCs w:val="24"/>
          <w:lang w:val="pt-BR"/>
        </w:rPr>
      </w:r>
    </w:p>
    <w:p w14:paraId="70D45A97">
      <w:pPr>
        <w:pStyle w:val="1105"/>
        <w:widowControl w:val="false"/>
        <w:pBdr/>
        <w:tabs>
          <w:tab w:val="left" w:leader="none" w:pos="0"/>
          <w:tab w:val="left" w:leader="none" w:pos="567"/>
        </w:tabs>
        <w:spacing w:line="360" w:lineRule="auto"/>
        <w:ind w:firstLine="0" w:left="0"/>
        <w:jc w:val="both"/>
        <w:rPr>
          <w:bCs/>
          <w:sz w:val="24"/>
          <w:szCs w:val="24"/>
          <w:lang w:val="pt-BR"/>
        </w:rPr>
      </w:pPr>
      <w:r>
        <w:rPr>
          <w:b/>
          <w:bCs/>
          <w:sz w:val="24"/>
          <w:szCs w:val="24"/>
          <w:lang w:val="pt-BR"/>
        </w:rPr>
        <w:t xml:space="preserve">6.1.2.3. </w:t>
      </w:r>
      <w:r>
        <w:rPr>
          <w:sz w:val="24"/>
          <w:szCs w:val="24"/>
          <w:lang w:val="pt-BR"/>
        </w:rPr>
        <w:t xml:space="preserve">Comunicar prontamente qualquer anormalidade na execução do objeto, podendo recusar o recebimento, caso não esteja de acordo com as especificações e condições estabelecidas no presente Termo de Referência.</w:t>
      </w:r>
      <w:r>
        <w:rPr>
          <w:bCs/>
          <w:sz w:val="24"/>
          <w:szCs w:val="24"/>
          <w:lang w:val="pt-BR"/>
        </w:rPr>
      </w:r>
      <w:r>
        <w:rPr>
          <w:bCs/>
          <w:sz w:val="24"/>
          <w:szCs w:val="24"/>
          <w:lang w:val="pt-BR"/>
        </w:rPr>
      </w:r>
    </w:p>
    <w:p w14:paraId="1DA4596E">
      <w:pPr>
        <w:pStyle w:val="1105"/>
        <w:widowControl w:val="false"/>
        <w:pBdr/>
        <w:tabs>
          <w:tab w:val="left" w:leader="none" w:pos="0"/>
          <w:tab w:val="left" w:leader="none" w:pos="567"/>
        </w:tabs>
        <w:spacing w:line="360" w:lineRule="auto"/>
        <w:ind w:firstLine="0" w:left="0"/>
        <w:jc w:val="both"/>
        <w:rPr>
          <w:bCs/>
          <w:sz w:val="24"/>
          <w:szCs w:val="24"/>
          <w:lang w:val="pt-BR"/>
        </w:rPr>
      </w:pPr>
      <w:r>
        <w:rPr>
          <w:b/>
          <w:bCs/>
          <w:sz w:val="24"/>
          <w:szCs w:val="24"/>
          <w:lang w:val="pt-BR"/>
        </w:rPr>
        <w:t xml:space="preserve">6.1.2.4.</w:t>
      </w:r>
      <w:r>
        <w:rPr>
          <w:sz w:val="24"/>
          <w:szCs w:val="24"/>
          <w:lang w:val="pt-BR"/>
        </w:rPr>
        <w:t xml:space="preserve"> A Contratante não responderá por quaisquer compromissos assumidos pela Contratada com terceiros, bem como por qualquer dano causado a terceiros em decorrência de ato da Contratada, de seus empregados, prepostos ou subordinados.</w:t>
      </w:r>
      <w:r>
        <w:rPr>
          <w:bCs/>
          <w:sz w:val="24"/>
          <w:szCs w:val="24"/>
          <w:lang w:val="pt-BR"/>
        </w:rPr>
      </w:r>
      <w:r>
        <w:rPr>
          <w:bCs/>
          <w:sz w:val="24"/>
          <w:szCs w:val="24"/>
          <w:lang w:val="pt-BR"/>
        </w:rPr>
      </w:r>
    </w:p>
    <w:p w14:paraId="45078D21">
      <w:pPr>
        <w:pStyle w:val="1105"/>
        <w:widowControl w:val="false"/>
        <w:pBdr/>
        <w:tabs>
          <w:tab w:val="left" w:leader="none" w:pos="0"/>
          <w:tab w:val="left" w:leader="none" w:pos="567"/>
        </w:tabs>
        <w:spacing w:line="360" w:lineRule="auto"/>
        <w:ind w:firstLine="0" w:left="0"/>
        <w:jc w:val="both"/>
        <w:rPr>
          <w:bCs/>
          <w:sz w:val="24"/>
          <w:szCs w:val="24"/>
          <w:lang w:val="pt-BR"/>
        </w:rPr>
      </w:pPr>
      <w:r>
        <w:rPr>
          <w:b/>
          <w:bCs/>
          <w:sz w:val="24"/>
          <w:szCs w:val="24"/>
          <w:lang w:val="pt-BR"/>
        </w:rPr>
        <w:t xml:space="preserve">6.1.2.5. </w:t>
      </w:r>
      <w:r>
        <w:rPr>
          <w:sz w:val="24"/>
          <w:szCs w:val="24"/>
          <w:lang w:val="pt-BR"/>
        </w:rPr>
        <w:t xml:space="preserve">Fornece todo tipo de informação interna essencial à realização dos fornecimentos.</w:t>
      </w:r>
      <w:r>
        <w:rPr>
          <w:bCs/>
          <w:sz w:val="24"/>
          <w:szCs w:val="24"/>
          <w:lang w:val="pt-BR"/>
        </w:rPr>
      </w:r>
      <w:r>
        <w:rPr>
          <w:bCs/>
          <w:sz w:val="24"/>
          <w:szCs w:val="24"/>
          <w:lang w:val="pt-BR"/>
        </w:rPr>
      </w:r>
    </w:p>
    <w:p w14:paraId="4DBDFF5B">
      <w:pPr>
        <w:pStyle w:val="1105"/>
        <w:widowControl w:val="false"/>
        <w:pBdr/>
        <w:tabs>
          <w:tab w:val="left" w:leader="none" w:pos="0"/>
          <w:tab w:val="left" w:leader="none" w:pos="567"/>
        </w:tabs>
        <w:spacing w:line="360" w:lineRule="auto"/>
        <w:ind w:firstLine="0" w:left="0"/>
        <w:jc w:val="both"/>
        <w:rPr>
          <w:bCs/>
          <w:sz w:val="24"/>
          <w:szCs w:val="24"/>
          <w:lang w:val="pt-BR"/>
        </w:rPr>
      </w:pPr>
      <w:r>
        <w:rPr>
          <w:b/>
          <w:bCs/>
          <w:sz w:val="24"/>
          <w:szCs w:val="24"/>
          <w:lang w:val="pt-BR"/>
        </w:rPr>
        <w:t xml:space="preserve">6.1.2.6.</w:t>
      </w:r>
      <w:r>
        <w:rPr>
          <w:sz w:val="24"/>
          <w:szCs w:val="24"/>
          <w:lang w:val="pt-BR"/>
        </w:rPr>
        <w:t xml:space="preserve"> Conferir toda a documentação, especificação do produto, quantidade e qualidade técnica gerada e apresentada durante a execução do objeto, efetuando o seu atesto quando a mesma estiver em conformidade com os padrões de informação e qualidade exigidos.</w:t>
      </w:r>
      <w:r>
        <w:rPr>
          <w:bCs/>
          <w:sz w:val="24"/>
          <w:szCs w:val="24"/>
          <w:lang w:val="pt-BR"/>
        </w:rPr>
      </w:r>
      <w:r>
        <w:rPr>
          <w:bCs/>
          <w:sz w:val="24"/>
          <w:szCs w:val="24"/>
          <w:lang w:val="pt-BR"/>
        </w:rPr>
      </w:r>
    </w:p>
    <w:p w14:paraId="0CFA3422">
      <w:pPr>
        <w:pStyle w:val="1105"/>
        <w:widowControl w:val="false"/>
        <w:pBdr/>
        <w:tabs>
          <w:tab w:val="left" w:leader="none" w:pos="0"/>
          <w:tab w:val="left" w:leader="none" w:pos="567"/>
        </w:tabs>
        <w:spacing w:line="360" w:lineRule="auto"/>
        <w:ind w:firstLine="0" w:left="0"/>
        <w:jc w:val="both"/>
        <w:rPr>
          <w:bCs/>
          <w:sz w:val="24"/>
          <w:szCs w:val="24"/>
          <w:lang w:val="pt-BR"/>
        </w:rPr>
      </w:pPr>
      <w:r>
        <w:rPr>
          <w:b/>
          <w:bCs/>
          <w:sz w:val="24"/>
          <w:szCs w:val="24"/>
          <w:lang w:val="pt-BR"/>
        </w:rPr>
        <w:t xml:space="preserve">6.1.2.7.</w:t>
      </w:r>
      <w:r>
        <w:rPr>
          <w:sz w:val="24"/>
          <w:szCs w:val="24"/>
          <w:lang w:val="pt-BR"/>
        </w:rPr>
        <w:t xml:space="preserve"> Efetuar o pagamento de acordo com o estabe</w:t>
      </w:r>
      <w:r>
        <w:rPr>
          <w:sz w:val="24"/>
          <w:szCs w:val="24"/>
          <w:lang w:val="pt-BR"/>
        </w:rPr>
        <w:t xml:space="preserve">lecido neste Termo de Referência e demais cominações legais, desde que atendidas todas as exigências e cumpridas as especificações e desde que devidamente atestadas as notas fiscais e relatórios feitos pelos fiscais e gestores da Ata de Registro de Preços.</w:t>
      </w:r>
      <w:r>
        <w:rPr>
          <w:bCs/>
          <w:sz w:val="24"/>
          <w:szCs w:val="24"/>
          <w:lang w:val="pt-BR"/>
        </w:rPr>
      </w:r>
      <w:r>
        <w:rPr>
          <w:bCs/>
          <w:sz w:val="24"/>
          <w:szCs w:val="24"/>
          <w:lang w:val="pt-BR"/>
        </w:rPr>
      </w:r>
    </w:p>
    <w:p w14:paraId="75AEA94E">
      <w:pPr>
        <w:pStyle w:val="1105"/>
        <w:widowControl w:val="false"/>
        <w:pBdr/>
        <w:tabs>
          <w:tab w:val="left" w:leader="none" w:pos="0"/>
          <w:tab w:val="left" w:leader="none" w:pos="567"/>
        </w:tabs>
        <w:spacing w:line="360" w:lineRule="auto"/>
        <w:ind w:firstLine="0" w:left="0"/>
        <w:jc w:val="both"/>
        <w:rPr>
          <w:bCs/>
          <w:sz w:val="24"/>
          <w:szCs w:val="24"/>
          <w:lang w:val="pt-BR"/>
        </w:rPr>
      </w:pPr>
      <w:r>
        <w:rPr>
          <w:b/>
          <w:bCs/>
          <w:sz w:val="24"/>
          <w:szCs w:val="24"/>
          <w:lang w:val="pt-BR"/>
        </w:rPr>
        <w:t xml:space="preserve">6.1.2.8. </w:t>
      </w:r>
      <w:r>
        <w:rPr>
          <w:sz w:val="24"/>
          <w:szCs w:val="24"/>
          <w:lang w:val="pt-BR"/>
        </w:rPr>
        <w:t xml:space="preserve">Aplicar à contratada as penalidades, quando for o caso.</w:t>
      </w:r>
      <w:r>
        <w:rPr>
          <w:bCs/>
          <w:sz w:val="24"/>
          <w:szCs w:val="24"/>
          <w:lang w:val="pt-BR"/>
        </w:rPr>
      </w:r>
      <w:r>
        <w:rPr>
          <w:bCs/>
          <w:sz w:val="24"/>
          <w:szCs w:val="24"/>
          <w:lang w:val="pt-BR"/>
        </w:rPr>
      </w:r>
    </w:p>
    <w:p w14:paraId="48A214F0">
      <w:pPr>
        <w:pStyle w:val="1105"/>
        <w:widowControl w:val="false"/>
        <w:pBdr/>
        <w:tabs>
          <w:tab w:val="left" w:leader="none" w:pos="0"/>
          <w:tab w:val="left" w:leader="none" w:pos="567"/>
        </w:tabs>
        <w:spacing w:line="360" w:lineRule="auto"/>
        <w:ind w:firstLine="0" w:left="0"/>
        <w:jc w:val="both"/>
        <w:rPr>
          <w:bCs/>
          <w:sz w:val="24"/>
          <w:szCs w:val="24"/>
          <w:lang w:val="pt-BR"/>
        </w:rPr>
      </w:pPr>
      <w:r>
        <w:rPr>
          <w:b/>
          <w:bCs/>
          <w:sz w:val="24"/>
          <w:szCs w:val="24"/>
          <w:lang w:val="pt-BR"/>
        </w:rPr>
        <w:t xml:space="preserve">6.1.2.9.</w:t>
      </w:r>
      <w:r>
        <w:rPr>
          <w:sz w:val="24"/>
          <w:szCs w:val="24"/>
          <w:lang w:val="pt-BR"/>
        </w:rPr>
        <w:t xml:space="preserve"> Notificar, por escrito, a contratada da aplicação de qualquer sanção.</w:t>
      </w:r>
      <w:r>
        <w:rPr>
          <w:bCs/>
          <w:sz w:val="24"/>
          <w:szCs w:val="24"/>
          <w:lang w:val="pt-BR"/>
        </w:rPr>
      </w:r>
      <w:r>
        <w:rPr>
          <w:bCs/>
          <w:sz w:val="24"/>
          <w:szCs w:val="24"/>
          <w:lang w:val="pt-BR"/>
        </w:rPr>
      </w:r>
    </w:p>
    <w:p w14:paraId="0D0A21EB">
      <w:pPr>
        <w:pStyle w:val="1105"/>
        <w:widowControl w:val="false"/>
        <w:pBdr/>
        <w:tabs>
          <w:tab w:val="left" w:leader="none" w:pos="0"/>
          <w:tab w:val="left" w:leader="none" w:pos="567"/>
        </w:tabs>
        <w:spacing w:line="360" w:lineRule="auto"/>
        <w:ind w:firstLine="0" w:left="0"/>
        <w:jc w:val="both"/>
        <w:rPr>
          <w:b/>
          <w:bCs/>
          <w:sz w:val="24"/>
          <w:szCs w:val="24"/>
          <w:lang w:val="pt-BR"/>
        </w:rPr>
      </w:pPr>
      <w:r>
        <w:rPr>
          <w:b/>
          <w:bCs/>
          <w:sz w:val="24"/>
          <w:szCs w:val="24"/>
          <w:lang w:val="pt-BR"/>
        </w:rPr>
        <w:t xml:space="preserve">6.1.2.10. </w:t>
      </w:r>
      <w:r>
        <w:rPr>
          <w:sz w:val="24"/>
          <w:szCs w:val="24"/>
          <w:lang w:val="pt-BR"/>
        </w:rPr>
        <w:t xml:space="preserve">Acompanhar, controlar e avaliar a prestação, através da unidade responsável por esta atribuição.</w:t>
      </w:r>
      <w:r>
        <w:rPr>
          <w:b/>
          <w:bCs/>
          <w:sz w:val="24"/>
          <w:szCs w:val="24"/>
          <w:lang w:val="pt-BR"/>
        </w:rPr>
      </w:r>
      <w:r>
        <w:rPr>
          <w:b/>
          <w:bCs/>
          <w:sz w:val="24"/>
          <w:szCs w:val="24"/>
          <w:lang w:val="pt-BR"/>
        </w:rPr>
      </w:r>
    </w:p>
    <w:p w14:paraId="58C3E8F8">
      <w:pPr>
        <w:pStyle w:val="1105"/>
        <w:widowControl w:val="false"/>
        <w:pBdr/>
        <w:spacing w:line="360" w:lineRule="auto"/>
        <w:ind w:firstLine="0" w:left="0"/>
        <w:jc w:val="both"/>
        <w:rPr>
          <w:sz w:val="24"/>
          <w:szCs w:val="24"/>
          <w:lang w:val="pt-BR"/>
        </w:rPr>
      </w:pPr>
      <w:r>
        <w:rPr>
          <w:b/>
          <w:bCs/>
          <w:sz w:val="24"/>
          <w:szCs w:val="24"/>
          <w:lang w:val="pt-BR"/>
        </w:rPr>
        <w:t xml:space="preserve">6.1.2.11.</w:t>
      </w:r>
      <w:r>
        <w:rPr>
          <w:sz w:val="24"/>
          <w:szCs w:val="24"/>
          <w:lang w:val="pt-BR"/>
        </w:rPr>
        <w:t xml:space="preserve"> Interromper os serviços que apresentarem irregularidades em sua prestação, comunicando o fato imediatamente à Contratada, bem como qualquer eventual ocorrência relevante relacionada com o mesmo.</w:t>
      </w:r>
      <w:r>
        <w:rPr>
          <w:sz w:val="24"/>
          <w:szCs w:val="24"/>
          <w:lang w:val="pt-BR"/>
        </w:rPr>
      </w:r>
      <w:r>
        <w:rPr>
          <w:sz w:val="24"/>
          <w:szCs w:val="24"/>
          <w:lang w:val="pt-BR"/>
        </w:rPr>
      </w:r>
    </w:p>
    <w:p w14:paraId="6ECD5F90">
      <w:pPr>
        <w:pStyle w:val="1105"/>
        <w:widowControl w:val="false"/>
        <w:pBdr/>
        <w:spacing w:line="360" w:lineRule="auto"/>
        <w:ind w:firstLine="0" w:left="0"/>
        <w:jc w:val="both"/>
        <w:rPr>
          <w:sz w:val="24"/>
          <w:szCs w:val="24"/>
          <w:lang w:val="pt-BR"/>
        </w:rPr>
      </w:pPr>
      <w:r>
        <w:rPr>
          <w:sz w:val="24"/>
          <w:szCs w:val="24"/>
          <w:lang w:val="pt-BR"/>
        </w:rPr>
      </w:r>
      <w:r>
        <w:rPr>
          <w:sz w:val="24"/>
          <w:szCs w:val="24"/>
          <w:lang w:val="pt-BR"/>
        </w:rPr>
      </w:r>
      <w:r>
        <w:rPr>
          <w:sz w:val="24"/>
          <w:szCs w:val="24"/>
          <w:lang w:val="pt-BR"/>
        </w:rPr>
      </w:r>
    </w:p>
    <w:p w14:paraId="57D7FF9D">
      <w:pPr>
        <w:numPr>
          <w:ilvl w:val="0"/>
          <w:numId w:val="19"/>
        </w:numPr>
        <w:pBdr/>
        <w:tabs>
          <w:tab w:val="left" w:leader="none" w:pos="0"/>
        </w:tabs>
        <w:spacing w:line="360" w:lineRule="auto"/>
        <w:ind w:hanging="454" w:left="454"/>
        <w:contextualSpacing w:val="true"/>
        <w:jc w:val="both"/>
        <w:rPr>
          <w:rFonts w:ascii="Times New Roman" w:hAnsi="Times New Roman" w:cs="Times New Roman"/>
          <w:b/>
          <w:bCs/>
          <w:sz w:val="24"/>
          <w:szCs w:val="24"/>
        </w:rPr>
      </w:pPr>
      <w:r>
        <w:rPr>
          <w:rFonts w:ascii="Times New Roman" w:hAnsi="Times New Roman" w:cs="Times New Roman"/>
          <w:b/>
          <w:bCs/>
          <w:sz w:val="24"/>
          <w:szCs w:val="24"/>
        </w:rPr>
        <w:t xml:space="preserve">CRITÉRIOS DE RECEBIMENTO PROVISÓRIO E DEFINITIVO DO OBJETO DA CONTRATAÇÃO:</w:t>
      </w:r>
      <w:r>
        <w:rPr>
          <w:rFonts w:ascii="Times New Roman" w:hAnsi="Times New Roman" w:cs="Times New Roman"/>
          <w:b/>
          <w:bCs/>
          <w:sz w:val="24"/>
          <w:szCs w:val="24"/>
        </w:rPr>
      </w:r>
      <w:r>
        <w:rPr>
          <w:rFonts w:ascii="Times New Roman" w:hAnsi="Times New Roman" w:cs="Times New Roman"/>
          <w:b/>
          <w:bCs/>
          <w:sz w:val="24"/>
          <w:szCs w:val="24"/>
        </w:rPr>
      </w:r>
    </w:p>
    <w:p w14:paraId="1475FDE2">
      <w:pPr>
        <w:pBdr/>
        <w:tabs>
          <w:tab w:val="left" w:leader="none" w:pos="0"/>
        </w:tabs>
        <w:spacing w:line="360" w:lineRule="auto"/>
        <w:ind/>
        <w:contextualSpacing w:val="true"/>
        <w:jc w:val="both"/>
        <w:rPr>
          <w:rStyle w:val="1106"/>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
          <w:bCs/>
          <w:sz w:val="24"/>
          <w:szCs w:val="24"/>
        </w:rPr>
        <w:t xml:space="preserve">6.2.1. </w:t>
      </w:r>
      <w:r>
        <w:rPr>
          <w:rStyle w:val="1106"/>
          <w:rFonts w:ascii="Times New Roman" w:hAnsi="Times New Roman" w:cs="Times New Roman"/>
          <w:bCs/>
          <w:color w:val="000000" w:themeColor="text1"/>
          <w:sz w:val="24"/>
          <w:szCs w:val="24"/>
          <w14:textFill>
            <w14:solidFill>
              <w14:schemeClr w14:val="tx1"/>
            </w14:solidFill>
          </w14:textFill>
        </w:rPr>
        <w:t xml:space="preserve">O recebimento provisório</w:t>
      </w:r>
      <w:r>
        <w:rPr>
          <w:rFonts w:ascii="Times New Roman" w:hAnsi="Times New Roman" w:cs="Times New Roman"/>
          <w:color w:val="000000" w:themeColor="text1"/>
          <w:sz w:val="24"/>
          <w:szCs w:val="24"/>
          <w14:textFill>
            <w14:solidFill>
              <w14:schemeClr w14:val="tx1"/>
            </w14:solidFill>
          </w14:textFill>
        </w:rPr>
        <w:t xml:space="preserve"> </w:t>
      </w:r>
      <w:r>
        <w:rPr>
          <w:rStyle w:val="1106"/>
          <w:rFonts w:ascii="Times New Roman" w:hAnsi="Times New Roman" w:cs="Times New Roman"/>
          <w:bCs/>
          <w:color w:val="000000" w:themeColor="text1"/>
          <w:sz w:val="24"/>
          <w:szCs w:val="24"/>
          <w14:textFill>
            <w14:solidFill>
              <w14:schemeClr w14:val="tx1"/>
            </w14:solidFill>
          </w14:textFill>
        </w:rPr>
        <w:t xml:space="preserve">será mediante o registro de recebimento do material pela Fiscalização, para efeito de posterior verificação de sua conformidade;</w:t>
      </w:r>
      <w:r>
        <w:rPr>
          <w:rStyle w:val="1106"/>
          <w:rFonts w:ascii="Times New Roman" w:hAnsi="Times New Roman" w:cs="Times New Roman"/>
          <w:bCs/>
          <w:color w:val="000000" w:themeColor="text1"/>
          <w:sz w:val="24"/>
          <w:szCs w:val="24"/>
          <w14:textFill>
            <w14:solidFill>
              <w14:schemeClr w14:val="tx1"/>
            </w14:solidFill>
          </w14:textFill>
        </w:rPr>
      </w:r>
      <w:r>
        <w:rPr>
          <w:rStyle w:val="1106"/>
          <w:rFonts w:ascii="Times New Roman" w:hAnsi="Times New Roman" w:cs="Times New Roman"/>
          <w:bCs/>
          <w:color w:val="000000" w:themeColor="text1"/>
          <w:sz w:val="24"/>
          <w:szCs w:val="24"/>
          <w14:textFill>
            <w14:solidFill>
              <w14:schemeClr w14:val="tx1"/>
            </w14:solidFill>
          </w14:textFill>
        </w:rPr>
      </w:r>
    </w:p>
    <w:p w14:paraId="0D998465">
      <w:pPr>
        <w:pBdr/>
        <w:tabs>
          <w:tab w:val="left" w:leader="none" w:pos="0"/>
        </w:tabs>
        <w:spacing w:line="360" w:lineRule="auto"/>
        <w:ind/>
        <w:contextualSpacing w:val="true"/>
        <w:jc w:val="both"/>
        <w:rPr>
          <w:rStyle w:val="1106"/>
          <w:rFonts w:ascii="Times New Roman" w:hAnsi="Times New Roman" w:cs="Times New Roman"/>
          <w:bCs/>
          <w:color w:val="000000" w:themeColor="text1"/>
          <w:sz w:val="24"/>
          <w:szCs w:val="24"/>
          <w14:textFill>
            <w14:solidFill>
              <w14:schemeClr w14:val="tx1"/>
            </w14:solidFill>
          </w14:textFill>
        </w:rPr>
      </w:pPr>
      <w:r>
        <w:rPr>
          <w:rStyle w:val="1106"/>
          <w:rFonts w:ascii="Times New Roman" w:hAnsi="Times New Roman" w:cs="Times New Roman"/>
          <w:b/>
          <w:bCs/>
          <w:color w:val="000000" w:themeColor="text1"/>
          <w:sz w:val="24"/>
          <w:szCs w:val="24"/>
          <w14:textFill>
            <w14:solidFill>
              <w14:schemeClr w14:val="tx1"/>
            </w14:solidFill>
          </w14:textFill>
        </w:rPr>
        <w:t xml:space="preserve">6.2.2.</w:t>
      </w:r>
      <w:r>
        <w:rPr>
          <w:rFonts w:ascii="Times New Roman" w:hAnsi="Times New Roman" w:cs="Times New Roman"/>
          <w:sz w:val="24"/>
          <w:szCs w:val="24"/>
        </w:rPr>
        <w:t xml:space="preserve"> </w:t>
      </w:r>
      <w:r>
        <w:rPr>
          <w:rStyle w:val="1106"/>
          <w:rFonts w:ascii="Times New Roman" w:hAnsi="Times New Roman" w:cs="Times New Roman"/>
          <w:bCs/>
          <w:color w:val="000000" w:themeColor="text1"/>
          <w:sz w:val="24"/>
          <w:szCs w:val="24"/>
          <w14:textFill>
            <w14:solidFill>
              <w14:schemeClr w14:val="tx1"/>
            </w14:solidFill>
          </w14:textFill>
        </w:rPr>
        <w:t xml:space="preserve">O recebimento definitivo será mediante recibo, em até 5 (cinco) dias corridos após o recebimento provisório e a verificação da perfeita execução das obrigações contratuais, ocasião em que se fará constar o atesto da nota fiscal;</w:t>
      </w:r>
      <w:r>
        <w:rPr>
          <w:rStyle w:val="1106"/>
          <w:rFonts w:ascii="Times New Roman" w:hAnsi="Times New Roman" w:cs="Times New Roman"/>
          <w:bCs/>
          <w:color w:val="000000" w:themeColor="text1"/>
          <w:sz w:val="24"/>
          <w:szCs w:val="24"/>
          <w14:textFill>
            <w14:solidFill>
              <w14:schemeClr w14:val="tx1"/>
            </w14:solidFill>
          </w14:textFill>
        </w:rPr>
      </w:r>
      <w:r>
        <w:rPr>
          <w:rStyle w:val="1106"/>
          <w:rFonts w:ascii="Times New Roman" w:hAnsi="Times New Roman" w:cs="Times New Roman"/>
          <w:bCs/>
          <w:color w:val="000000" w:themeColor="text1"/>
          <w:sz w:val="24"/>
          <w:szCs w:val="24"/>
          <w14:textFill>
            <w14:solidFill>
              <w14:schemeClr w14:val="tx1"/>
            </w14:solidFill>
          </w14:textFill>
        </w:rPr>
      </w:r>
    </w:p>
    <w:p w14:paraId="5578E07F">
      <w:pPr>
        <w:pBdr/>
        <w:tabs>
          <w:tab w:val="left" w:leader="none" w:pos="0"/>
        </w:tabs>
        <w:spacing w:line="360" w:lineRule="auto"/>
        <w:ind/>
        <w:contextualSpacing w:val="true"/>
        <w:jc w:val="both"/>
        <w:rPr>
          <w:rFonts w:ascii="Times New Roman" w:hAnsi="Times New Roman" w:cs="Times New Roman"/>
          <w:color w:val="000000" w:themeColor="text1"/>
          <w:sz w:val="24"/>
          <w:szCs w:val="24"/>
          <w14:textFill>
            <w14:solidFill>
              <w14:schemeClr w14:val="tx1"/>
            </w14:solidFill>
          </w14:textFill>
        </w:rPr>
      </w:pPr>
      <w:r>
        <w:rPr>
          <w:rStyle w:val="1106"/>
          <w:rFonts w:ascii="Times New Roman" w:hAnsi="Times New Roman" w:cs="Times New Roman"/>
          <w:b/>
          <w:bCs/>
          <w:color w:val="000000" w:themeColor="text1"/>
          <w:sz w:val="24"/>
          <w:szCs w:val="24"/>
          <w14:textFill>
            <w14:solidFill>
              <w14:schemeClr w14:val="tx1"/>
            </w14:solidFill>
          </w14:textFill>
        </w:rPr>
        <w:t xml:space="preserve">6.2.3.</w:t>
      </w:r>
      <w:r>
        <w:rPr>
          <w:rStyle w:val="1106"/>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O Recebimento Definitivo não exclui a responsabilidade da contratada por vícios de qualidade ou disparidade com as especificações técnicas verificadas posteriormente;</w:t>
      </w:r>
      <w:r>
        <w:rPr>
          <w:rFonts w:ascii="Times New Roman" w:hAnsi="Times New Roman" w:cs="Times New Roman"/>
          <w:color w:val="000000" w:themeColor="text1"/>
          <w:sz w:val="24"/>
          <w:szCs w:val="24"/>
          <w14:textFill>
            <w14:solidFill>
              <w14:schemeClr w14:val="tx1"/>
            </w14:solidFill>
          </w14:textFill>
        </w:rPr>
      </w:r>
      <w:r>
        <w:rPr>
          <w:rFonts w:ascii="Times New Roman" w:hAnsi="Times New Roman" w:cs="Times New Roman"/>
          <w:color w:val="000000" w:themeColor="text1"/>
          <w:sz w:val="24"/>
          <w:szCs w:val="24"/>
          <w14:textFill>
            <w14:solidFill>
              <w14:schemeClr w14:val="tx1"/>
            </w14:solidFill>
          </w14:textFill>
        </w:rPr>
      </w:r>
    </w:p>
    <w:p w14:paraId="19493EC2">
      <w:pPr>
        <w:pBdr/>
        <w:tabs>
          <w:tab w:val="left" w:leader="none" w:pos="0"/>
        </w:tabs>
        <w:spacing w:line="360" w:lineRule="auto"/>
        <w:ind/>
        <w:contextualSpacing w:val="true"/>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 xml:space="preserve">6.2.4.</w:t>
      </w:r>
      <w:r>
        <w:rPr>
          <w:rFonts w:ascii="Times New Roman" w:hAnsi="Times New Roman" w:cs="Times New Roman"/>
          <w:color w:val="000000" w:themeColor="text1"/>
          <w:sz w:val="24"/>
          <w:szCs w:val="24"/>
          <w14:textFill>
            <w14:solidFill>
              <w14:schemeClr w14:val="tx1"/>
            </w14:solidFill>
          </w14:textFill>
        </w:rPr>
        <w:t xml:space="preserve"> Os equipamentos/materiais poderão ser rejeitados, no t</w:t>
      </w:r>
      <w:r>
        <w:rPr>
          <w:rFonts w:ascii="Times New Roman" w:hAnsi="Times New Roman" w:cs="Times New Roman"/>
          <w:color w:val="000000" w:themeColor="text1"/>
          <w:sz w:val="24"/>
          <w:szCs w:val="24"/>
          <w14:textFill>
            <w14:solidFill>
              <w14:schemeClr w14:val="tx1"/>
            </w14:solidFill>
          </w14:textFill>
        </w:rPr>
        <w:t xml:space="preserve">odo ou em parte, quando em desacordo com as especificações constantes neste Termo de Referência e na proposta, devendo ser substituídos em até 5 (cinco) dias, a contar da notificação da contratada, às suas custas, sem prejuízo da aplicação das penalidades.</w:t>
      </w:r>
      <w:r>
        <w:rPr>
          <w:rFonts w:ascii="Times New Roman" w:hAnsi="Times New Roman" w:cs="Times New Roman"/>
          <w:color w:val="000000" w:themeColor="text1"/>
          <w:sz w:val="24"/>
          <w:szCs w:val="24"/>
          <w14:textFill>
            <w14:solidFill>
              <w14:schemeClr w14:val="tx1"/>
            </w14:solidFill>
          </w14:textFill>
        </w:rPr>
      </w:r>
      <w:r>
        <w:rPr>
          <w:rFonts w:ascii="Times New Roman" w:hAnsi="Times New Roman" w:cs="Times New Roman"/>
          <w:color w:val="000000" w:themeColor="text1"/>
          <w:sz w:val="24"/>
          <w:szCs w:val="24"/>
          <w14:textFill>
            <w14:solidFill>
              <w14:schemeClr w14:val="tx1"/>
            </w14:solidFill>
          </w14:textFill>
        </w:rPr>
      </w:r>
    </w:p>
    <w:p w14:paraId="29F94B0E">
      <w:pPr>
        <w:pBdr/>
        <w:spacing w:line="360" w:lineRule="auto"/>
        <w:ind/>
        <w:rPr>
          <w:rFonts w:ascii="Times New Roman" w:hAnsi="Times New Roman" w:eastAsia="SimSun" w:cs="Times New Roman"/>
          <w:color w:val="000000"/>
          <w:sz w:val="24"/>
          <w:szCs w:val="24"/>
          <w:lang w:bidi="ar"/>
        </w:rPr>
      </w:pPr>
      <w:r>
        <w:rPr>
          <w:rFonts w:ascii="Times New Roman" w:hAnsi="Times New Roman" w:cs="Times New Roman"/>
          <w:b/>
          <w:bCs/>
          <w:color w:val="000000" w:themeColor="text1"/>
          <w:sz w:val="24"/>
          <w:szCs w:val="24"/>
          <w14:textFill>
            <w14:solidFill>
              <w14:schemeClr w14:val="tx1"/>
            </w14:solidFill>
          </w14:textFill>
        </w:rPr>
        <w:t xml:space="preserve">6.2.5. </w:t>
      </w:r>
      <w:r>
        <w:rPr>
          <w:rFonts w:ascii="Times New Roman" w:hAnsi="Times New Roman" w:cs="Times New Roman"/>
          <w:color w:val="000000" w:themeColor="text1"/>
          <w:sz w:val="24"/>
          <w:szCs w:val="24"/>
          <w14:textFill>
            <w14:solidFill>
              <w14:schemeClr w14:val="tx1"/>
            </w14:solidFill>
          </w14:textFill>
        </w:rPr>
        <w:t xml:space="preserve">Acrescenta-se que o</w:t>
      </w:r>
      <w:r>
        <w:rPr>
          <w:rFonts w:ascii="Times New Roman" w:hAnsi="Times New Roman" w:eastAsia="SimSun" w:cs="Times New Roman"/>
          <w:color w:val="000000"/>
          <w:sz w:val="24"/>
          <w:szCs w:val="24"/>
          <w:lang w:bidi="ar"/>
        </w:rPr>
        <w:t xml:space="preserve"> recebimento do objeto contratado ocorrerá respeitando o Art. 43. do Decreto Municipal 359/2023</w:t>
      </w:r>
      <w:r>
        <w:rPr>
          <w:rFonts w:ascii="Times New Roman" w:hAnsi="Times New Roman" w:eastAsia="SimSun" w:cs="Times New Roman"/>
          <w:color w:val="000000"/>
          <w:sz w:val="24"/>
          <w:szCs w:val="24"/>
          <w:lang w:bidi="ar"/>
        </w:rPr>
      </w:r>
      <w:r>
        <w:rPr>
          <w:rFonts w:ascii="Times New Roman" w:hAnsi="Times New Roman" w:eastAsia="SimSun" w:cs="Times New Roman"/>
          <w:color w:val="000000"/>
          <w:sz w:val="24"/>
          <w:szCs w:val="24"/>
          <w:lang w:bidi="ar"/>
        </w:rPr>
      </w:r>
    </w:p>
    <w:p w14:paraId="5BC122DD">
      <w:pPr>
        <w:widowControl w:val="false"/>
        <w:pBdr/>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14:paraId="1B635CC4">
      <w:pPr>
        <w:widowControl w:val="false"/>
        <w:pBdr/>
        <w:tabs>
          <w:tab w:val="left" w:leader="none" w:pos="0"/>
        </w:tabs>
        <w:spacing w:line="360" w:lineRule="auto"/>
        <w:ind/>
        <w:jc w:val="both"/>
        <w:rPr>
          <w:rFonts w:ascii="Times New Roman" w:hAnsi="Times New Roman" w:cs="Times New Roman"/>
          <w:b/>
          <w:bCs/>
          <w:sz w:val="24"/>
          <w:szCs w:val="24"/>
        </w:rPr>
      </w:pPr>
      <w:r>
        <w:rPr>
          <w:rFonts w:ascii="Times New Roman" w:hAnsi="Times New Roman" w:cs="Times New Roman"/>
          <w:b/>
          <w:bCs/>
          <w:sz w:val="24"/>
          <w:szCs w:val="24"/>
        </w:rPr>
        <w:t xml:space="preserve">6.</w:t>
      </w:r>
      <w:r>
        <w:rPr>
          <w:rFonts w:hint="default" w:ascii="Times New Roman" w:hAnsi="Times New Roman" w:cs="Times New Roman"/>
          <w:b/>
          <w:bCs/>
          <w:sz w:val="24"/>
          <w:szCs w:val="24"/>
          <w:lang w:val="pt-BR"/>
        </w:rPr>
        <w:t xml:space="preserve">3</w:t>
      </w:r>
      <w:r>
        <w:rPr>
          <w:rFonts w:ascii="Times New Roman" w:hAnsi="Times New Roman" w:cs="Times New Roman"/>
          <w:b/>
          <w:bCs/>
          <w:sz w:val="24"/>
          <w:szCs w:val="24"/>
        </w:rPr>
        <w:t xml:space="preserve">. PRAZO MÍNIMO DE VALIDADE DO PRODUTO:</w:t>
      </w:r>
      <w:r>
        <w:rPr>
          <w:rFonts w:ascii="Times New Roman" w:hAnsi="Times New Roman" w:cs="Times New Roman"/>
          <w:b/>
          <w:bCs/>
          <w:sz w:val="24"/>
          <w:szCs w:val="24"/>
        </w:rPr>
      </w:r>
      <w:r>
        <w:rPr>
          <w:rFonts w:ascii="Times New Roman" w:hAnsi="Times New Roman" w:cs="Times New Roman"/>
          <w:b/>
          <w:bCs/>
          <w:sz w:val="24"/>
          <w:szCs w:val="24"/>
        </w:rPr>
      </w:r>
    </w:p>
    <w:p w14:paraId="4DEA94EF">
      <w:pPr>
        <w:widowControl w:val="false"/>
        <w:pBdr/>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b/>
          <w:bCs/>
          <w:sz w:val="24"/>
          <w:szCs w:val="24"/>
        </w:rPr>
        <w:t xml:space="preserve">6.</w:t>
      </w:r>
      <w:r>
        <w:rPr>
          <w:rFonts w:hint="default" w:ascii="Times New Roman" w:hAnsi="Times New Roman" w:cs="Times New Roman"/>
          <w:b/>
          <w:bCs/>
          <w:sz w:val="24"/>
          <w:szCs w:val="24"/>
          <w:lang w:val="pt-BR"/>
        </w:rPr>
        <w:t xml:space="preserve">3</w:t>
      </w:r>
      <w:r>
        <w:rPr>
          <w:rFonts w:ascii="Times New Roman" w:hAnsi="Times New Roman" w:cs="Times New Roman"/>
          <w:b/>
          <w:bCs/>
          <w:sz w:val="24"/>
          <w:szCs w:val="24"/>
        </w:rPr>
        <w:t xml:space="preserve">.1.</w:t>
      </w:r>
      <w:r>
        <w:rPr>
          <w:rFonts w:ascii="Times New Roman" w:hAnsi="Times New Roman" w:cs="Times New Roman"/>
          <w:sz w:val="24"/>
          <w:szCs w:val="24"/>
        </w:rPr>
        <w:t xml:space="preserve"> Sobre a responsabilidade técnica da contratada, essa responderá nos termos do Art. 618 do Código Civil Brasileiro,  pela solidez e segurança dos serviços </w:t>
      </w:r>
      <w:r>
        <w:rPr>
          <w:rFonts w:ascii="Times New Roman" w:hAnsi="Times New Roman" w:cs="Times New Roman"/>
          <w:sz w:val="24"/>
          <w:szCs w:val="24"/>
        </w:rPr>
        <w:t xml:space="preserve">de pavimentação em blocos intertravados (paver), abrangendo a infraestrutura (base e sub-base) e a superestrutura (assentamento e selagem), pelo prazo irrenunciável de 05 (cinco) anos, contado a partir da data de emissão do Termo de Recebimento Definitivo.</w:t>
      </w:r>
      <w:r>
        <w:rPr>
          <w:rFonts w:ascii="Times New Roman" w:hAnsi="Times New Roman" w:cs="Times New Roman"/>
          <w:sz w:val="24"/>
          <w:szCs w:val="24"/>
        </w:rPr>
      </w:r>
      <w:r>
        <w:rPr>
          <w:rFonts w:ascii="Times New Roman" w:hAnsi="Times New Roman" w:cs="Times New Roman"/>
          <w:sz w:val="24"/>
          <w:szCs w:val="24"/>
        </w:rPr>
      </w:r>
    </w:p>
    <w:p w14:paraId="3B606479">
      <w:pPr>
        <w:widowControl w:val="false"/>
        <w:numPr>
          <w:ilvl w:val="0"/>
          <w:numId w:val="20"/>
        </w:numPr>
        <w:pBdr/>
        <w:tabs>
          <w:tab w:val="left" w:leader="none" w:pos="0"/>
          <w:tab w:val="clear" w:leader="none" w:pos="454"/>
        </w:tabs>
        <w:spacing w:line="360" w:lineRule="auto"/>
        <w:ind w:firstLine="0" w:left="-1"/>
        <w:jc w:val="both"/>
        <w:rPr>
          <w:rFonts w:ascii="Times New Roman" w:hAnsi="Times New Roman" w:cs="Times New Roman"/>
          <w:sz w:val="24"/>
          <w:szCs w:val="24"/>
        </w:rPr>
      </w:pPr>
      <w:r>
        <w:rPr>
          <w:rFonts w:ascii="Times New Roman" w:hAnsi="Times New Roman" w:cs="Times New Roman"/>
          <w:sz w:val="24"/>
          <w:szCs w:val="24"/>
        </w:rPr>
        <w:t xml:space="preserve">Sem prejuízo do prazo legal de solidez, a CONTRATADA garante a perfeita funcionalidade da calçada/estacionamento pelo prazo de 24 (vinte e quatro) meses, obrigando-se a reparar, às suas expensas, vícios decorrentes de má execução, tais como:</w:t>
      </w:r>
      <w:r>
        <w:rPr>
          <w:rFonts w:ascii="Times New Roman" w:hAnsi="Times New Roman" w:cs="Times New Roman"/>
          <w:sz w:val="24"/>
          <w:szCs w:val="24"/>
        </w:rPr>
      </w:r>
      <w:r>
        <w:rPr>
          <w:rFonts w:ascii="Times New Roman" w:hAnsi="Times New Roman" w:cs="Times New Roman"/>
          <w:sz w:val="24"/>
          <w:szCs w:val="24"/>
        </w:rPr>
      </w:r>
    </w:p>
    <w:p w14:paraId="7BFB5304">
      <w:pPr>
        <w:widowControl w:val="false"/>
        <w:pBdr/>
        <w:tabs>
          <w:tab w:val="left" w:leader="none" w:pos="0"/>
        </w:tabs>
        <w:spacing w:line="360" w:lineRule="auto"/>
        <w:ind w:firstLine="0" w:left="-1"/>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14:paraId="73ACB138">
      <w:pPr>
        <w:widowControl w:val="false"/>
        <w:pBdr/>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I. Afundamentos, trilhas de roda ou ondulações excessivas decorrentes de falha na compactação;</w:t>
      </w:r>
      <w:r>
        <w:rPr>
          <w:rFonts w:ascii="Times New Roman" w:hAnsi="Times New Roman" w:cs="Times New Roman"/>
          <w:sz w:val="24"/>
          <w:szCs w:val="24"/>
        </w:rPr>
      </w:r>
      <w:r>
        <w:rPr>
          <w:rFonts w:ascii="Times New Roman" w:hAnsi="Times New Roman" w:cs="Times New Roman"/>
          <w:sz w:val="24"/>
          <w:szCs w:val="24"/>
        </w:rPr>
      </w:r>
    </w:p>
    <w:p w14:paraId="4317996B">
      <w:pPr>
        <w:widowControl w:val="false"/>
        <w:pBdr/>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II. Desníveis que provoquem o acúmulo de águas pluviais (empoçamento) ou prejudiquem a acessibilidade;</w:t>
      </w:r>
      <w:r>
        <w:rPr>
          <w:rFonts w:ascii="Times New Roman" w:hAnsi="Times New Roman" w:cs="Times New Roman"/>
          <w:sz w:val="24"/>
          <w:szCs w:val="24"/>
        </w:rPr>
      </w:r>
      <w:r>
        <w:rPr>
          <w:rFonts w:ascii="Times New Roman" w:hAnsi="Times New Roman" w:cs="Times New Roman"/>
          <w:sz w:val="24"/>
          <w:szCs w:val="24"/>
        </w:rPr>
      </w:r>
    </w:p>
    <w:p w14:paraId="7B65833F">
      <w:pPr>
        <w:widowControl w:val="false"/>
        <w:pBdr/>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III. Quebra ou desagregação prematura das peças de paver por baixa resistência característica à compressão (fck), em desacordo com as normas da ABNT;</w:t>
      </w:r>
      <w:r>
        <w:rPr>
          <w:rFonts w:ascii="Times New Roman" w:hAnsi="Times New Roman" w:cs="Times New Roman"/>
          <w:sz w:val="24"/>
          <w:szCs w:val="24"/>
        </w:rPr>
      </w:r>
      <w:r>
        <w:rPr>
          <w:rFonts w:ascii="Times New Roman" w:hAnsi="Times New Roman" w:cs="Times New Roman"/>
          <w:sz w:val="24"/>
          <w:szCs w:val="24"/>
        </w:rPr>
      </w:r>
    </w:p>
    <w:p w14:paraId="0068FEE1">
      <w:pPr>
        <w:widowControl w:val="false"/>
        <w:pBdr/>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IV. Deslocamento ou soltura de blocos por falha no confinamento lateral ou na selagem das juntas.</w:t>
      </w:r>
      <w:r>
        <w:rPr>
          <w:rFonts w:ascii="Times New Roman" w:hAnsi="Times New Roman" w:cs="Times New Roman"/>
          <w:sz w:val="24"/>
          <w:szCs w:val="24"/>
        </w:rPr>
      </w:r>
      <w:r>
        <w:rPr>
          <w:rFonts w:ascii="Times New Roman" w:hAnsi="Times New Roman" w:cs="Times New Roman"/>
          <w:sz w:val="24"/>
          <w:szCs w:val="24"/>
        </w:rPr>
      </w:r>
    </w:p>
    <w:p w14:paraId="57069BEF">
      <w:pPr>
        <w:widowControl w:val="false"/>
        <w:pBdr/>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Ocorrendo qualquer das irregularidades previstas nesta cláusula, a CONTRATADA será notificada pela Fiscalização e deverá:</w:t>
      </w:r>
      <w:r>
        <w:rPr>
          <w:rFonts w:ascii="Times New Roman" w:hAnsi="Times New Roman" w:cs="Times New Roman"/>
          <w:sz w:val="24"/>
          <w:szCs w:val="24"/>
        </w:rPr>
      </w:r>
      <w:r>
        <w:rPr>
          <w:rFonts w:ascii="Times New Roman" w:hAnsi="Times New Roman" w:cs="Times New Roman"/>
          <w:sz w:val="24"/>
          <w:szCs w:val="24"/>
        </w:rPr>
      </w:r>
    </w:p>
    <w:p w14:paraId="33990162">
      <w:pPr>
        <w:widowControl w:val="false"/>
        <w:pBdr/>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14:paraId="1A4E0C09">
      <w:pPr>
        <w:widowControl w:val="false"/>
        <w:numPr>
          <w:ilvl w:val="0"/>
          <w:numId w:val="21"/>
        </w:numPr>
        <w:pBdr/>
        <w:tabs>
          <w:tab w:val="left" w:leader="none" w:pos="0"/>
          <w:tab w:val="clear" w:leader="none" w:pos="425"/>
        </w:tabs>
        <w:spacing w:line="360" w:lineRule="auto"/>
        <w:ind w:firstLine="400" w:left="0"/>
        <w:jc w:val="both"/>
        <w:rPr>
          <w:rFonts w:ascii="Times New Roman" w:hAnsi="Times New Roman" w:cs="Times New Roman"/>
          <w:sz w:val="24"/>
          <w:szCs w:val="24"/>
        </w:rPr>
      </w:pPr>
      <w:r>
        <w:rPr>
          <w:rFonts w:ascii="Times New Roman" w:hAnsi="Times New Roman" w:cs="Times New Roman"/>
          <w:sz w:val="24"/>
          <w:szCs w:val="24"/>
        </w:rPr>
        <w:t xml:space="preserve">Apresentar cronograma de reparos em até 05 (cinco) dias úteis;</w:t>
      </w:r>
      <w:r>
        <w:rPr>
          <w:rFonts w:ascii="Times New Roman" w:hAnsi="Times New Roman" w:cs="Times New Roman"/>
          <w:sz w:val="24"/>
          <w:szCs w:val="24"/>
        </w:rPr>
      </w:r>
      <w:r>
        <w:rPr>
          <w:rFonts w:ascii="Times New Roman" w:hAnsi="Times New Roman" w:cs="Times New Roman"/>
          <w:sz w:val="24"/>
          <w:szCs w:val="24"/>
        </w:rPr>
      </w:r>
    </w:p>
    <w:p w14:paraId="6ADE566C">
      <w:pPr>
        <w:widowControl w:val="false"/>
        <w:numPr>
          <w:ilvl w:val="0"/>
          <w:numId w:val="21"/>
        </w:numPr>
        <w:pBdr/>
        <w:tabs>
          <w:tab w:val="left" w:leader="none" w:pos="0"/>
          <w:tab w:val="clear" w:leader="none" w:pos="425"/>
        </w:tabs>
        <w:spacing w:line="360" w:lineRule="auto"/>
        <w:ind w:firstLine="400" w:left="0"/>
        <w:jc w:val="both"/>
        <w:rPr>
          <w:rFonts w:ascii="Times New Roman" w:hAnsi="Times New Roman" w:cs="Times New Roman"/>
          <w:sz w:val="24"/>
          <w:szCs w:val="24"/>
        </w:rPr>
      </w:pPr>
      <w:r>
        <w:rPr>
          <w:rFonts w:ascii="Times New Roman" w:hAnsi="Times New Roman" w:cs="Times New Roman"/>
          <w:sz w:val="24"/>
          <w:szCs w:val="24"/>
        </w:rPr>
        <w:t xml:space="preserve"> Concluir os serviços de correção sem qualquer ônus para a Administração Pública, sob pena de execução da garantia contratual e aplicação das sanções previstas na Lei nº 14.133/2021.</w:t>
      </w:r>
      <w:r>
        <w:rPr>
          <w:rFonts w:ascii="Times New Roman" w:hAnsi="Times New Roman" w:cs="Times New Roman"/>
          <w:sz w:val="24"/>
          <w:szCs w:val="24"/>
        </w:rPr>
      </w:r>
      <w:r>
        <w:rPr>
          <w:rFonts w:ascii="Times New Roman" w:hAnsi="Times New Roman" w:cs="Times New Roman"/>
          <w:sz w:val="24"/>
          <w:szCs w:val="24"/>
        </w:rPr>
      </w:r>
    </w:p>
    <w:p w14:paraId="7049F3DE">
      <w:pPr>
        <w:widowControl w:val="false"/>
        <w:numPr>
          <w:ilvl w:val="0"/>
          <w:numId w:val="0"/>
        </w:numPr>
        <w:pBdr/>
        <w:tabs>
          <w:tab w:val="left" w:leader="none" w:pos="0"/>
        </w:tabs>
        <w:spacing w:line="360" w:lineRule="auto"/>
        <w:ind w:left="400"/>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14:paraId="7FFB07DD">
      <w:pPr>
        <w:widowControl w:val="false"/>
        <w:pBdr/>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A garantia não cobrirá danos comprovadamente causados por:</w:t>
      </w:r>
      <w:r>
        <w:rPr>
          <w:rFonts w:ascii="Times New Roman" w:hAnsi="Times New Roman" w:cs="Times New Roman"/>
          <w:sz w:val="24"/>
          <w:szCs w:val="24"/>
        </w:rPr>
      </w:r>
      <w:r>
        <w:rPr>
          <w:rFonts w:ascii="Times New Roman" w:hAnsi="Times New Roman" w:cs="Times New Roman"/>
          <w:sz w:val="24"/>
          <w:szCs w:val="24"/>
        </w:rPr>
      </w:r>
    </w:p>
    <w:p w14:paraId="5C69AF08">
      <w:pPr>
        <w:widowControl w:val="false"/>
        <w:pBdr/>
        <w:tabs>
          <w:tab w:val="left" w:leader="none" w:pos="0"/>
        </w:tabs>
        <w:spacing w:line="360" w:lineRule="auto"/>
        <w:ind w:firstLine="398" w:left="0"/>
        <w:jc w:val="both"/>
        <w:rPr>
          <w:rFonts w:ascii="Times New Roman" w:hAnsi="Times New Roman" w:cs="Times New Roman"/>
          <w:sz w:val="24"/>
          <w:szCs w:val="24"/>
        </w:rPr>
      </w:pPr>
      <w:r>
        <w:rPr>
          <w:rFonts w:ascii="Times New Roman" w:hAnsi="Times New Roman" w:cs="Times New Roman"/>
          <w:sz w:val="24"/>
          <w:szCs w:val="24"/>
        </w:rPr>
        <w:t xml:space="preserve">I. Uso do pavimento por veículos com carga superior à capacidade de projeto especificada no Memorial Descritivo;</w:t>
      </w:r>
      <w:r>
        <w:rPr>
          <w:rFonts w:ascii="Times New Roman" w:hAnsi="Times New Roman" w:cs="Times New Roman"/>
          <w:sz w:val="24"/>
          <w:szCs w:val="24"/>
        </w:rPr>
      </w:r>
      <w:r>
        <w:rPr>
          <w:rFonts w:ascii="Times New Roman" w:hAnsi="Times New Roman" w:cs="Times New Roman"/>
          <w:sz w:val="24"/>
          <w:szCs w:val="24"/>
        </w:rPr>
      </w:r>
    </w:p>
    <w:p w14:paraId="5D6CA896">
      <w:pPr>
        <w:widowControl w:val="false"/>
        <w:pBdr/>
        <w:tabs>
          <w:tab w:val="left" w:leader="none" w:pos="0"/>
        </w:tabs>
        <w:spacing w:line="360" w:lineRule="auto"/>
        <w:ind w:firstLine="398" w:left="0"/>
        <w:jc w:val="both"/>
        <w:rPr>
          <w:rFonts w:ascii="Times New Roman" w:hAnsi="Times New Roman" w:cs="Times New Roman"/>
          <w:sz w:val="24"/>
          <w:szCs w:val="24"/>
        </w:rPr>
      </w:pPr>
      <w:r>
        <w:rPr>
          <w:rFonts w:ascii="Times New Roman" w:hAnsi="Times New Roman" w:cs="Times New Roman"/>
          <w:sz w:val="24"/>
          <w:szCs w:val="24"/>
        </w:rPr>
        <w:t xml:space="preserve">II. Intervenções de terceiros (concessionárias de água, energia, etc.) após a entrega da obra;</w:t>
      </w:r>
      <w:r>
        <w:rPr>
          <w:rFonts w:ascii="Times New Roman" w:hAnsi="Times New Roman" w:cs="Times New Roman"/>
          <w:sz w:val="24"/>
          <w:szCs w:val="24"/>
        </w:rPr>
      </w:r>
      <w:r>
        <w:rPr>
          <w:rFonts w:ascii="Times New Roman" w:hAnsi="Times New Roman" w:cs="Times New Roman"/>
          <w:sz w:val="24"/>
          <w:szCs w:val="24"/>
        </w:rPr>
      </w:r>
    </w:p>
    <w:p w14:paraId="2C8C64CD">
      <w:pPr>
        <w:widowControl w:val="false"/>
        <w:pBdr/>
        <w:tabs>
          <w:tab w:val="left" w:leader="none" w:pos="0"/>
        </w:tabs>
        <w:spacing w:line="360" w:lineRule="auto"/>
        <w:ind w:firstLine="398" w:left="0"/>
        <w:jc w:val="both"/>
        <w:rPr>
          <w:rFonts w:ascii="Times New Roman" w:hAnsi="Times New Roman" w:cs="Times New Roman"/>
          <w:sz w:val="24"/>
          <w:szCs w:val="24"/>
        </w:rPr>
      </w:pPr>
      <w:r>
        <w:rPr>
          <w:rFonts w:ascii="Times New Roman" w:hAnsi="Times New Roman" w:cs="Times New Roman"/>
          <w:sz w:val="24"/>
          <w:szCs w:val="24"/>
        </w:rPr>
        <w:t xml:space="preserve">III. Falta de manutençã</w:t>
      </w:r>
      <w:r>
        <w:rPr>
          <w:rFonts w:ascii="Times New Roman" w:hAnsi="Times New Roman" w:cs="Times New Roman"/>
          <w:sz w:val="24"/>
          <w:szCs w:val="24"/>
        </w:rPr>
        <w:t xml:space="preserve">o básica por parte do Órgão , exemplos: proliferação de vegetação nas juntas, ausência de reposição de areia de selagem, limpeza com equipamentos de alta pressão inadequados, acúmulo de detritos e obstrução de drenagem, uso de produtos químicos agressivos.</w:t>
      </w:r>
      <w:r>
        <w:rPr>
          <w:rFonts w:ascii="SimSun" w:hAnsi="SimSun" w:eastAsia="SimSun" w:cs="SimSun"/>
          <w:sz w:val="24"/>
          <w:szCs w:val="24"/>
        </w:rPr>
        <w:t xml:space="preserve"> </w:t>
      </w:r>
      <w:r>
        <w:rPr>
          <w:rFonts w:ascii="Times New Roman" w:hAnsi="Times New Roman" w:cs="Times New Roman"/>
          <w:sz w:val="24"/>
          <w:szCs w:val="24"/>
        </w:rPr>
      </w:r>
      <w:r>
        <w:rPr>
          <w:rFonts w:ascii="Times New Roman" w:hAnsi="Times New Roman" w:cs="Times New Roman"/>
          <w:sz w:val="24"/>
          <w:szCs w:val="24"/>
        </w:rPr>
      </w:r>
    </w:p>
    <w:p w14:paraId="2103CBF0">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14:paraId="29B38A42">
      <w:pPr>
        <w:widowControl w:val="false"/>
        <w:numPr>
          <w:ilvl w:val="0"/>
          <w:numId w:val="22"/>
        </w:numPr>
        <w:pBdr/>
        <w:shd w:val="clear" w:color="auto"/>
        <w:tabs>
          <w:tab w:val="left" w:leader="none" w:pos="0"/>
        </w:tabs>
        <w:spacing w:line="360" w:lineRule="auto"/>
        <w:ind w:hanging="454" w:left="454"/>
        <w:jc w:val="both"/>
        <w:rPr>
          <w:rFonts w:ascii="Times New Roman" w:hAnsi="Times New Roman" w:cs="Times New Roman"/>
          <w:b/>
          <w:bCs/>
          <w:sz w:val="24"/>
          <w:szCs w:val="24"/>
        </w:rPr>
      </w:pPr>
      <w:r>
        <w:rPr>
          <w:rFonts w:ascii="Times New Roman" w:hAnsi="Times New Roman" w:cs="Times New Roman"/>
          <w:b/>
          <w:bCs/>
          <w:sz w:val="24"/>
          <w:szCs w:val="24"/>
        </w:rPr>
        <w:t xml:space="preserve">CRONOGRAMA DE EXECUÇÃO:</w:t>
      </w:r>
      <w:r>
        <w:rPr>
          <w:rFonts w:ascii="Times New Roman" w:hAnsi="Times New Roman" w:cs="Times New Roman"/>
          <w:b/>
          <w:bCs/>
          <w:sz w:val="24"/>
          <w:szCs w:val="24"/>
        </w:rPr>
      </w:r>
      <w:r>
        <w:rPr>
          <w:rFonts w:ascii="Times New Roman" w:hAnsi="Times New Roman" w:cs="Times New Roman"/>
          <w:b/>
          <w:bCs/>
          <w:sz w:val="24"/>
          <w:szCs w:val="24"/>
        </w:rPr>
      </w:r>
    </w:p>
    <w:tbl>
      <w:tblPr>
        <w:tblStyle w:val="1096"/>
        <w:tblInd w:w="-5" w:type="dxa"/>
        <w:tblW w:w="0" w:type="auto"/>
        <w:tblCellMar>
          <w:left w:w="0" w:type="dxa"/>
          <w:top w:w="0" w:type="dxa"/>
          <w:right w:w="0"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Spacing w:w="15" w:type="dxa"/>
        <w:tblLook w:val="04A0" w:firstRow="1" w:lastRow="0" w:firstColumn="1" w:lastColumn="0" w:noHBand="0" w:noVBand="1"/>
      </w:tblPr>
      <w:tblGrid>
        <w:gridCol w:w="1266"/>
        <w:gridCol w:w="1103"/>
        <w:gridCol w:w="1536"/>
        <w:gridCol w:w="1748"/>
        <w:gridCol w:w="1776"/>
        <w:gridCol w:w="1816"/>
      </w:tblGrid>
      <w:tr>
        <w:trPr>
          <w:tblCellSpacing w:w="15" w:type="dxa"/>
          <w:tblHeader/>
        </w:trPr>
        <w:tc>
          <w:tcPr>
            <w:tcBorders/>
            <w:tcMar>
              <w:left w:w="180" w:type="dxa"/>
              <w:top w:w="120" w:type="dxa"/>
              <w:right w:w="180" w:type="dxa"/>
              <w:bottom w:w="120" w:type="dxa"/>
            </w:tcMar>
            <w:tcW w:w="0" w:type="auto"/>
            <w:vAlign w:val="center"/>
          </w:tcPr>
          <w:p w14:paraId="5CE4B17B">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b/>
                <w:bCs/>
                <w:sz w:val="24"/>
                <w:szCs w:val="24"/>
              </w:rPr>
              <w:t xml:space="preserve">Período</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4C79ACE6">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b/>
                <w:bCs/>
                <w:sz w:val="24"/>
                <w:szCs w:val="24"/>
              </w:rPr>
              <w:t xml:space="preserve">Prazo (Dias)</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72EADF00">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b/>
                <w:bCs/>
                <w:sz w:val="24"/>
                <w:szCs w:val="24"/>
              </w:rPr>
              <w:t xml:space="preserve">Execução Mensal (%)</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3779EEF9">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b/>
                <w:bCs/>
                <w:sz w:val="24"/>
                <w:szCs w:val="24"/>
              </w:rPr>
              <w:t xml:space="preserve">Valor Mensal (R$)</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5BD1968E">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b/>
                <w:bCs/>
                <w:sz w:val="24"/>
                <w:szCs w:val="24"/>
              </w:rPr>
              <w:t xml:space="preserve">Execução Acumulada (%)</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1289A619">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b/>
                <w:bCs/>
                <w:sz w:val="24"/>
                <w:szCs w:val="24"/>
              </w:rPr>
              <w:t xml:space="preserve">Valor Acumulado (R$)</w:t>
            </w:r>
            <w:r>
              <w:rPr>
                <w:rFonts w:ascii="Times New Roman" w:hAnsi="Times New Roman" w:cs="Times New Roman"/>
                <w:sz w:val="24"/>
                <w:szCs w:val="24"/>
              </w:rPr>
            </w:r>
            <w:r>
              <w:rPr>
                <w:rFonts w:ascii="Times New Roman" w:hAnsi="Times New Roman" w:cs="Times New Roman"/>
                <w:sz w:val="24"/>
                <w:szCs w:val="24"/>
              </w:rPr>
            </w:r>
          </w:p>
        </w:tc>
      </w:tr>
      <w:tr>
        <w:trPr>
          <w:tblCellSpacing w:w="15" w:type="dxa"/>
        </w:trPr>
        <w:tc>
          <w:tcPr>
            <w:tcBorders/>
            <w:tcMar>
              <w:left w:w="180" w:type="dxa"/>
              <w:top w:w="120" w:type="dxa"/>
              <w:right w:w="180" w:type="dxa"/>
              <w:bottom w:w="120" w:type="dxa"/>
            </w:tcMar>
            <w:tcW w:w="0" w:type="auto"/>
            <w:vAlign w:val="center"/>
          </w:tcPr>
          <w:p w14:paraId="686402B9">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Mês 01</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5FC962C6">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01 a 30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4BDF3187">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8,33%</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4C7BDB96">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499.313,50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46A3F7A3">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8,33%</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1B600282">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499.313,50</w:t>
            </w:r>
            <w:r>
              <w:rPr>
                <w:rFonts w:ascii="Times New Roman" w:hAnsi="Times New Roman" w:cs="Times New Roman"/>
                <w:sz w:val="24"/>
                <w:szCs w:val="24"/>
              </w:rPr>
            </w:r>
            <w:r>
              <w:rPr>
                <w:rFonts w:ascii="Times New Roman" w:hAnsi="Times New Roman" w:cs="Times New Roman"/>
                <w:sz w:val="24"/>
                <w:szCs w:val="24"/>
              </w:rPr>
            </w:r>
          </w:p>
        </w:tc>
      </w:tr>
      <w:tr>
        <w:trPr>
          <w:tblCellSpacing w:w="15" w:type="dxa"/>
        </w:trPr>
        <w:tc>
          <w:tcPr>
            <w:tcBorders/>
            <w:tcMar>
              <w:left w:w="180" w:type="dxa"/>
              <w:top w:w="120" w:type="dxa"/>
              <w:right w:w="180" w:type="dxa"/>
              <w:bottom w:w="120" w:type="dxa"/>
            </w:tcMar>
            <w:tcW w:w="0" w:type="auto"/>
            <w:vAlign w:val="center"/>
          </w:tcPr>
          <w:p w14:paraId="19D2FB36">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Mês 02</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4DFC1717">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31 a 60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5B0EAA57">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8,33%</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5CA9B567">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499.313,50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75A11C89">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16,66%</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40D0B818">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998.627,00</w:t>
            </w:r>
            <w:r>
              <w:rPr>
                <w:rFonts w:ascii="Times New Roman" w:hAnsi="Times New Roman" w:cs="Times New Roman"/>
                <w:sz w:val="24"/>
                <w:szCs w:val="24"/>
              </w:rPr>
            </w:r>
            <w:r>
              <w:rPr>
                <w:rFonts w:ascii="Times New Roman" w:hAnsi="Times New Roman" w:cs="Times New Roman"/>
                <w:sz w:val="24"/>
                <w:szCs w:val="24"/>
              </w:rPr>
            </w:r>
          </w:p>
        </w:tc>
      </w:tr>
      <w:tr>
        <w:trPr>
          <w:tblCellSpacing w:w="15" w:type="dxa"/>
        </w:trPr>
        <w:tc>
          <w:tcPr>
            <w:tcBorders/>
            <w:tcMar>
              <w:left w:w="180" w:type="dxa"/>
              <w:top w:w="120" w:type="dxa"/>
              <w:right w:w="180" w:type="dxa"/>
              <w:bottom w:w="120" w:type="dxa"/>
            </w:tcMar>
            <w:tcW w:w="0" w:type="auto"/>
            <w:vAlign w:val="center"/>
          </w:tcPr>
          <w:p w14:paraId="237E301C">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Mês 03</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3B085666">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61 a 90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49E751AF">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8,33%</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4A357D1E">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499.313,50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010DB9E0">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25,00%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06A06EEA">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1.497.940,50</w:t>
            </w:r>
            <w:r>
              <w:rPr>
                <w:rFonts w:ascii="Times New Roman" w:hAnsi="Times New Roman" w:cs="Times New Roman"/>
                <w:sz w:val="24"/>
                <w:szCs w:val="24"/>
              </w:rPr>
            </w:r>
            <w:r>
              <w:rPr>
                <w:rFonts w:ascii="Times New Roman" w:hAnsi="Times New Roman" w:cs="Times New Roman"/>
                <w:sz w:val="24"/>
                <w:szCs w:val="24"/>
              </w:rPr>
            </w:r>
          </w:p>
        </w:tc>
      </w:tr>
      <w:tr>
        <w:trPr>
          <w:tblCellSpacing w:w="15" w:type="dxa"/>
        </w:trPr>
        <w:tc>
          <w:tcPr>
            <w:tcBorders/>
            <w:tcMar>
              <w:left w:w="180" w:type="dxa"/>
              <w:top w:w="120" w:type="dxa"/>
              <w:right w:w="180" w:type="dxa"/>
              <w:bottom w:w="120" w:type="dxa"/>
            </w:tcMar>
            <w:tcW w:w="0" w:type="auto"/>
            <w:vAlign w:val="center"/>
          </w:tcPr>
          <w:p w14:paraId="4B47D27F">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Mês 04</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1D633D70">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91 a 120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0338A95D">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8,33%</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2FC606B0">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499.313,50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5AFB66BB">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33,33%</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79A0E7C6">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1.997.254,00</w:t>
            </w:r>
            <w:r>
              <w:rPr>
                <w:rFonts w:ascii="Times New Roman" w:hAnsi="Times New Roman" w:cs="Times New Roman"/>
                <w:sz w:val="24"/>
                <w:szCs w:val="24"/>
              </w:rPr>
            </w:r>
            <w:r>
              <w:rPr>
                <w:rFonts w:ascii="Times New Roman" w:hAnsi="Times New Roman" w:cs="Times New Roman"/>
                <w:sz w:val="24"/>
                <w:szCs w:val="24"/>
              </w:rPr>
            </w:r>
          </w:p>
        </w:tc>
      </w:tr>
      <w:tr>
        <w:trPr>
          <w:tblCellSpacing w:w="15" w:type="dxa"/>
        </w:trPr>
        <w:tc>
          <w:tcPr>
            <w:tcBorders/>
            <w:tcMar>
              <w:left w:w="180" w:type="dxa"/>
              <w:top w:w="120" w:type="dxa"/>
              <w:right w:w="180" w:type="dxa"/>
              <w:bottom w:w="120" w:type="dxa"/>
            </w:tcMar>
            <w:tcW w:w="0" w:type="auto"/>
            <w:vAlign w:val="center"/>
          </w:tcPr>
          <w:p w14:paraId="7373543B">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Mês 05</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2A733FFD">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121 a 150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226A9DC3">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8,33%</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6F32F4F0">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499.313,50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10EB96BF">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41,66%</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3902E518">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2.496.567,50</w:t>
            </w:r>
            <w:r>
              <w:rPr>
                <w:rFonts w:ascii="Times New Roman" w:hAnsi="Times New Roman" w:cs="Times New Roman"/>
                <w:sz w:val="24"/>
                <w:szCs w:val="24"/>
              </w:rPr>
            </w:r>
            <w:r>
              <w:rPr>
                <w:rFonts w:ascii="Times New Roman" w:hAnsi="Times New Roman" w:cs="Times New Roman"/>
                <w:sz w:val="24"/>
                <w:szCs w:val="24"/>
              </w:rPr>
            </w:r>
          </w:p>
        </w:tc>
      </w:tr>
      <w:tr>
        <w:trPr>
          <w:tblCellSpacing w:w="15" w:type="dxa"/>
        </w:trPr>
        <w:tc>
          <w:tcPr>
            <w:tcBorders/>
            <w:tcMar>
              <w:left w:w="180" w:type="dxa"/>
              <w:top w:w="120" w:type="dxa"/>
              <w:right w:w="180" w:type="dxa"/>
              <w:bottom w:w="120" w:type="dxa"/>
            </w:tcMar>
            <w:tcW w:w="0" w:type="auto"/>
            <w:vAlign w:val="center"/>
          </w:tcPr>
          <w:p w14:paraId="216461E0">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Mês 06</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230B8EAA">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151 a 180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0D6CE3C1">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8,33%</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256A2E58">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499.313,50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7580A787">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50,00%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63A7E3C5">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2.995.881,00</w:t>
            </w:r>
            <w:r>
              <w:rPr>
                <w:rFonts w:ascii="Times New Roman" w:hAnsi="Times New Roman" w:cs="Times New Roman"/>
                <w:sz w:val="24"/>
                <w:szCs w:val="24"/>
              </w:rPr>
            </w:r>
            <w:r>
              <w:rPr>
                <w:rFonts w:ascii="Times New Roman" w:hAnsi="Times New Roman" w:cs="Times New Roman"/>
                <w:sz w:val="24"/>
                <w:szCs w:val="24"/>
              </w:rPr>
            </w:r>
          </w:p>
        </w:tc>
      </w:tr>
      <w:tr>
        <w:trPr>
          <w:tblCellSpacing w:w="15" w:type="dxa"/>
        </w:trPr>
        <w:tc>
          <w:tcPr>
            <w:tcBorders/>
            <w:tcMar>
              <w:left w:w="180" w:type="dxa"/>
              <w:top w:w="120" w:type="dxa"/>
              <w:right w:w="180" w:type="dxa"/>
              <w:bottom w:w="120" w:type="dxa"/>
            </w:tcMar>
            <w:tcW w:w="0" w:type="auto"/>
            <w:vAlign w:val="center"/>
          </w:tcPr>
          <w:p w14:paraId="5697F0B0">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Mês 07</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1DF96FEC">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181 a 210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05477E5D">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8,33%</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22C77028">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499.313,50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5826751D">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58,33%</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5667B76B">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3.495.194,50</w:t>
            </w:r>
            <w:r>
              <w:rPr>
                <w:rFonts w:ascii="Times New Roman" w:hAnsi="Times New Roman" w:cs="Times New Roman"/>
                <w:sz w:val="24"/>
                <w:szCs w:val="24"/>
              </w:rPr>
            </w:r>
            <w:r>
              <w:rPr>
                <w:rFonts w:ascii="Times New Roman" w:hAnsi="Times New Roman" w:cs="Times New Roman"/>
                <w:sz w:val="24"/>
                <w:szCs w:val="24"/>
              </w:rPr>
            </w:r>
          </w:p>
        </w:tc>
      </w:tr>
      <w:tr>
        <w:trPr>
          <w:tblCellSpacing w:w="15" w:type="dxa"/>
        </w:trPr>
        <w:tc>
          <w:tcPr>
            <w:tcBorders/>
            <w:tcMar>
              <w:left w:w="180" w:type="dxa"/>
              <w:top w:w="120" w:type="dxa"/>
              <w:right w:w="180" w:type="dxa"/>
              <w:bottom w:w="120" w:type="dxa"/>
            </w:tcMar>
            <w:tcW w:w="0" w:type="auto"/>
            <w:vAlign w:val="center"/>
          </w:tcPr>
          <w:p w14:paraId="34289958">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Mês 08</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148FA76D">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211 a 240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6616CDFF">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8,33%</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13E9A1D5">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499.313,50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04F214F7">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66,66%</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561AFE21">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3.994.508,00</w:t>
            </w:r>
            <w:r>
              <w:rPr>
                <w:rFonts w:ascii="Times New Roman" w:hAnsi="Times New Roman" w:cs="Times New Roman"/>
                <w:sz w:val="24"/>
                <w:szCs w:val="24"/>
              </w:rPr>
            </w:r>
            <w:r>
              <w:rPr>
                <w:rFonts w:ascii="Times New Roman" w:hAnsi="Times New Roman" w:cs="Times New Roman"/>
                <w:sz w:val="24"/>
                <w:szCs w:val="24"/>
              </w:rPr>
            </w:r>
          </w:p>
        </w:tc>
      </w:tr>
      <w:tr>
        <w:trPr>
          <w:tblCellSpacing w:w="15" w:type="dxa"/>
        </w:trPr>
        <w:tc>
          <w:tcPr>
            <w:tcBorders/>
            <w:tcMar>
              <w:left w:w="180" w:type="dxa"/>
              <w:top w:w="120" w:type="dxa"/>
              <w:right w:w="180" w:type="dxa"/>
              <w:bottom w:w="120" w:type="dxa"/>
            </w:tcMar>
            <w:tcW w:w="0" w:type="auto"/>
            <w:vAlign w:val="center"/>
          </w:tcPr>
          <w:p w14:paraId="1EBF0C3A">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Mês 09</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2244C38C">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241 a 270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430E875C">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8,33%</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1F6BA26D">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499.313,50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7F42E671">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75,00%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448F7BC1">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4.493.821,50</w:t>
            </w:r>
            <w:r>
              <w:rPr>
                <w:rFonts w:ascii="Times New Roman" w:hAnsi="Times New Roman" w:cs="Times New Roman"/>
                <w:sz w:val="24"/>
                <w:szCs w:val="24"/>
              </w:rPr>
            </w:r>
            <w:r>
              <w:rPr>
                <w:rFonts w:ascii="Times New Roman" w:hAnsi="Times New Roman" w:cs="Times New Roman"/>
                <w:sz w:val="24"/>
                <w:szCs w:val="24"/>
              </w:rPr>
            </w:r>
          </w:p>
        </w:tc>
      </w:tr>
      <w:tr>
        <w:trPr>
          <w:tblCellSpacing w:w="15" w:type="dxa"/>
        </w:trPr>
        <w:tc>
          <w:tcPr>
            <w:tcBorders/>
            <w:tcMar>
              <w:left w:w="180" w:type="dxa"/>
              <w:top w:w="120" w:type="dxa"/>
              <w:right w:w="180" w:type="dxa"/>
              <w:bottom w:w="120" w:type="dxa"/>
            </w:tcMar>
            <w:tcW w:w="0" w:type="auto"/>
            <w:vAlign w:val="center"/>
          </w:tcPr>
          <w:p w14:paraId="34F87BF8">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Mês 10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3BB89BB5">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271 a 300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343A3497">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8,33%</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3800436C">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499.313,50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7D275368">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83,33%</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68B7C06E">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4.993.135,00</w:t>
            </w:r>
            <w:r>
              <w:rPr>
                <w:rFonts w:ascii="Times New Roman" w:hAnsi="Times New Roman" w:cs="Times New Roman"/>
                <w:sz w:val="24"/>
                <w:szCs w:val="24"/>
              </w:rPr>
            </w:r>
            <w:r>
              <w:rPr>
                <w:rFonts w:ascii="Times New Roman" w:hAnsi="Times New Roman" w:cs="Times New Roman"/>
                <w:sz w:val="24"/>
                <w:szCs w:val="24"/>
              </w:rPr>
            </w:r>
          </w:p>
        </w:tc>
      </w:tr>
      <w:tr>
        <w:trPr>
          <w:tblCellSpacing w:w="15" w:type="dxa"/>
        </w:trPr>
        <w:tc>
          <w:tcPr>
            <w:tcBorders/>
            <w:tcMar>
              <w:left w:w="180" w:type="dxa"/>
              <w:top w:w="120" w:type="dxa"/>
              <w:right w:w="180" w:type="dxa"/>
              <w:bottom w:w="120" w:type="dxa"/>
            </w:tcMar>
            <w:tcW w:w="0" w:type="auto"/>
            <w:vAlign w:val="center"/>
          </w:tcPr>
          <w:p w14:paraId="714BE192">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Mês 11</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07199FBE">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301 a 330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7D11FFAE">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8,33%</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368AB73D">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499.313,50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02A470E9">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91,66%</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798C54A3">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5.492.448,50</w:t>
            </w:r>
            <w:r>
              <w:rPr>
                <w:rFonts w:ascii="Times New Roman" w:hAnsi="Times New Roman" w:cs="Times New Roman"/>
                <w:sz w:val="24"/>
                <w:szCs w:val="24"/>
              </w:rPr>
            </w:r>
            <w:r>
              <w:rPr>
                <w:rFonts w:ascii="Times New Roman" w:hAnsi="Times New Roman" w:cs="Times New Roman"/>
                <w:sz w:val="24"/>
                <w:szCs w:val="24"/>
              </w:rPr>
            </w:r>
          </w:p>
        </w:tc>
      </w:tr>
      <w:tr>
        <w:trPr>
          <w:tblCellSpacing w:w="15" w:type="dxa"/>
        </w:trPr>
        <w:tc>
          <w:tcPr>
            <w:tcBorders/>
            <w:tcMar>
              <w:left w:w="180" w:type="dxa"/>
              <w:top w:w="120" w:type="dxa"/>
              <w:right w:w="180" w:type="dxa"/>
              <w:bottom w:w="120" w:type="dxa"/>
            </w:tcMar>
            <w:tcW w:w="0" w:type="auto"/>
            <w:vAlign w:val="center"/>
          </w:tcPr>
          <w:p w14:paraId="38B9D9B5">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Mês 12</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4CE1B425">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331 a 360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09C8BC8C">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8,34%*</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74F5F6D0">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499.313,50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1B0A6CFF">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100,00%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7A04279C">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5.991.762,00</w:t>
            </w:r>
            <w:r>
              <w:rPr>
                <w:rFonts w:ascii="Times New Roman" w:hAnsi="Times New Roman" w:cs="Times New Roman"/>
                <w:sz w:val="24"/>
                <w:szCs w:val="24"/>
              </w:rPr>
            </w:r>
            <w:r>
              <w:rPr>
                <w:rFonts w:ascii="Times New Roman" w:hAnsi="Times New Roman" w:cs="Times New Roman"/>
                <w:sz w:val="24"/>
                <w:szCs w:val="24"/>
              </w:rPr>
            </w:r>
          </w:p>
        </w:tc>
      </w:tr>
      <w:tr>
        <w:trPr>
          <w:tblCellSpacing w:w="15" w:type="dxa"/>
        </w:trPr>
        <w:tc>
          <w:tcPr>
            <w:tcBorders/>
            <w:tcMar>
              <w:left w:w="180" w:type="dxa"/>
              <w:top w:w="120" w:type="dxa"/>
              <w:right w:w="180" w:type="dxa"/>
              <w:bottom w:w="120" w:type="dxa"/>
            </w:tcMar>
            <w:tcW w:w="0" w:type="auto"/>
            <w:vAlign w:val="center"/>
          </w:tcPr>
          <w:p w14:paraId="515D289B">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b/>
                <w:bCs/>
                <w:sz w:val="24"/>
                <w:szCs w:val="24"/>
              </w:rPr>
              <w:t xml:space="preserve">TOTAL</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7DEBA5F6">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b/>
                <w:bCs/>
                <w:sz w:val="24"/>
                <w:szCs w:val="24"/>
              </w:rPr>
              <w:t xml:space="preserve">360 dias</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544ABE89">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b/>
                <w:bCs/>
                <w:sz w:val="24"/>
                <w:szCs w:val="24"/>
              </w:rPr>
              <w:t xml:space="preserve">100,00%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527C6476">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b/>
                <w:bCs/>
                <w:sz w:val="24"/>
                <w:szCs w:val="24"/>
              </w:rPr>
              <w:t xml:space="preserve">5.991.762,00</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0926E2C7">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b/>
                <w:bCs/>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tc>
        <w:tc>
          <w:tcPr>
            <w:tcBorders/>
            <w:tcMar>
              <w:left w:w="180" w:type="dxa"/>
              <w:top w:w="120" w:type="dxa"/>
              <w:right w:w="180" w:type="dxa"/>
              <w:bottom w:w="120" w:type="dxa"/>
            </w:tcMar>
            <w:tcW w:w="0" w:type="auto"/>
            <w:vAlign w:val="center"/>
          </w:tcPr>
          <w:p w14:paraId="33D6B2F4">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b/>
                <w:bCs/>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tc>
      </w:tr>
    </w:tbl>
    <w:p w14:paraId="67CBD82C">
      <w:pPr>
        <w:widowControl w:val="false"/>
        <w:pBdr/>
        <w:shd w:val="clear" w:color="auto"/>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rPr>
        <w:t xml:space="preserve">Observação: em razão do regime pluviométrico de Sinop, a distribuição mensal acima deverá ser ajustada, sempre que possível, para priorizar a execução dos serviços mais sensíveis às condições climáticas (concretagem, pintura de meio-fio e</w:t>
      </w:r>
      <w:r>
        <w:rPr>
          <w:rFonts w:ascii="Times New Roman" w:hAnsi="Times New Roman" w:cs="Times New Roman"/>
          <w:sz w:val="24"/>
          <w:szCs w:val="24"/>
        </w:rPr>
        <w:t xml:space="preserve"> sinalização viária) no período de estiagem (abril a outubro), concentrando no período chuvoso (novembro a março) as atividades menos impactadas pela chuva, de modo a mitigar o risco climático identificado na Análise de Riscos do Estudo Técnico Preliminar.</w:t>
      </w:r>
      <w:r>
        <w:rPr>
          <w:rFonts w:ascii="Times New Roman" w:hAnsi="Times New Roman" w:cs="Times New Roman"/>
          <w:sz w:val="24"/>
          <w:szCs w:val="24"/>
        </w:rPr>
      </w:r>
      <w:r>
        <w:rPr>
          <w:rFonts w:ascii="Times New Roman" w:hAnsi="Times New Roman" w:cs="Times New Roman"/>
          <w:sz w:val="24"/>
          <w:szCs w:val="24"/>
        </w:rPr>
      </w:r>
    </w:p>
    <w:p w14:paraId="1230F3CB">
      <w:pPr>
        <w:widowControl w:val="false"/>
        <w:pBdr/>
        <w:tabs>
          <w:tab w:val="left" w:leader="none" w:pos="0"/>
        </w:tabs>
        <w:spacing w:line="360" w:lineRule="auto"/>
        <w:ind/>
        <w:jc w:val="both"/>
        <w:rPr>
          <w:rFonts w:ascii="Times New Roman" w:hAnsi="Times New Roman" w:cs="Times New Roman"/>
          <w:sz w:val="24"/>
          <w:szCs w:val="24"/>
          <w:highlight w:val="yellow"/>
        </w:rPr>
      </w:pPr>
      <w:r>
        <w:rPr>
          <w:rFonts w:ascii="Times New Roman" w:hAnsi="Times New Roman" w:cs="Times New Roman"/>
          <w:sz w:val="24"/>
          <w:szCs w:val="24"/>
          <w:highlight w:val="yellow"/>
        </w:rPr>
      </w:r>
      <w:r>
        <w:rPr>
          <w:rFonts w:ascii="Times New Roman" w:hAnsi="Times New Roman" w:cs="Times New Roman"/>
          <w:sz w:val="24"/>
          <w:szCs w:val="24"/>
          <w:highlight w:val="yellow"/>
        </w:rPr>
      </w:r>
      <w:r>
        <w:rPr>
          <w:rFonts w:ascii="Times New Roman" w:hAnsi="Times New Roman" w:cs="Times New Roman"/>
          <w:sz w:val="24"/>
          <w:szCs w:val="24"/>
          <w:highlight w:val="yellow"/>
        </w:rPr>
      </w:r>
    </w:p>
    <w:p w14:paraId="7B05641F">
      <w:pPr>
        <w:pBdr/>
        <w:tabs>
          <w:tab w:val="left" w:leader="none" w:pos="0"/>
        </w:tabs>
        <w:spacing w:line="360" w:lineRule="auto"/>
        <w:ind/>
        <w:contextualSpacing w:val="true"/>
        <w:jc w:val="both"/>
        <w:rPr>
          <w:rFonts w:ascii="Times New Roman" w:hAnsi="Times New Roman" w:cs="Times New Roman"/>
          <w:b/>
          <w:bCs/>
          <w:sz w:val="24"/>
          <w:szCs w:val="24"/>
        </w:rPr>
      </w:pPr>
      <w:r>
        <w:rPr>
          <w:rFonts w:ascii="Times New Roman" w:hAnsi="Times New Roman" w:cs="Times New Roman"/>
          <w:b/>
          <w:bCs/>
          <w:sz w:val="24"/>
          <w:szCs w:val="24"/>
        </w:rPr>
        <w:t xml:space="preserve">6.</w:t>
      </w:r>
      <w:r>
        <w:rPr>
          <w:rFonts w:hint="default" w:ascii="Times New Roman" w:hAnsi="Times New Roman" w:cs="Times New Roman"/>
          <w:b/>
          <w:bCs/>
          <w:sz w:val="24"/>
          <w:szCs w:val="24"/>
          <w:lang w:val="pt-BR"/>
        </w:rPr>
        <w:t xml:space="preserve">5</w:t>
      </w:r>
      <w:r>
        <w:rPr>
          <w:rFonts w:ascii="Times New Roman" w:hAnsi="Times New Roman" w:cs="Times New Roman"/>
          <w:b/>
          <w:bCs/>
          <w:sz w:val="24"/>
          <w:szCs w:val="24"/>
        </w:rPr>
        <w:t xml:space="preserve">. NECESSIDADE DE ACOMPANHAMENTO DOS SERVIÇOS POR PROFISSIONAIS DA “ÁREA” DEMANDANTE:</w:t>
      </w:r>
      <w:r>
        <w:rPr>
          <w:rFonts w:ascii="Times New Roman" w:hAnsi="Times New Roman" w:cs="Times New Roman"/>
          <w:b/>
          <w:bCs/>
          <w:sz w:val="24"/>
          <w:szCs w:val="24"/>
        </w:rPr>
      </w:r>
      <w:r>
        <w:rPr>
          <w:rFonts w:ascii="Times New Roman" w:hAnsi="Times New Roman" w:cs="Times New Roman"/>
          <w:b/>
          <w:bCs/>
          <w:sz w:val="24"/>
          <w:szCs w:val="24"/>
        </w:rPr>
      </w:r>
    </w:p>
    <w:p w14:paraId="18DEEE01">
      <w:pPr>
        <w:pBdr/>
        <w:tabs>
          <w:tab w:val="left" w:leader="none" w:pos="0"/>
        </w:tabs>
        <w:spacing w:line="360" w:lineRule="auto"/>
        <w:ind/>
        <w:contextualSpacing w:val="true"/>
        <w:jc w:val="both"/>
        <w:rPr>
          <w:sz w:val="24"/>
        </w:rPr>
      </w:pPr>
      <w:r>
        <w:rPr>
          <w:rFonts w:ascii="Times New Roman" w:hAnsi="Times New Roman" w:cs="Times New Roman"/>
          <w:b/>
          <w:bCs/>
          <w:sz w:val="24"/>
          <w:szCs w:val="24"/>
        </w:rPr>
        <w:t xml:space="preserve">6.5.1. </w:t>
      </w:r>
      <w:r>
        <w:rPr>
          <w:rFonts w:ascii="Times New Roman" w:hAnsi="Times New Roman" w:cs="Times New Roman"/>
          <w:sz w:val="24"/>
        </w:rPr>
        <w:t xml:space="preserve">A necessidade de acompanhamento dos servi</w:t>
      </w:r>
      <w:r>
        <w:rPr>
          <w:rFonts w:ascii="Times New Roman" w:hAnsi="Times New Roman" w:cs="Times New Roman"/>
          <w:sz w:val="24"/>
        </w:rPr>
        <w:t xml:space="preserve">ços por profissionais da área demandante decorre da complexidade técnica e da natureza específica das atividades a serem executadas, que envolvem a aplicação de materiais e métodos construtivos diretamente relacionados à infraestrutura viária do município.</w:t>
      </w:r>
      <w:r>
        <w:rPr>
          <w:sz w:val="24"/>
        </w:rPr>
      </w:r>
      <w:r>
        <w:rPr>
          <w:sz w:val="24"/>
        </w:rPr>
      </w:r>
    </w:p>
    <w:p w14:paraId="3B5D4FD7">
      <w:pPr>
        <w:pBdr/>
        <w:tabs>
          <w:tab w:val="left" w:leader="none" w:pos="0"/>
        </w:tabs>
        <w:spacing w:line="360" w:lineRule="auto"/>
        <w:ind/>
        <w:contextualSpacing w:val="true"/>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O acompanhamento técnico in loco pela equipe da Secretaria Municipal de Obras e Serviços Públicos é indisp</w:t>
      </w:r>
      <w:r>
        <w:rPr>
          <w:rFonts w:ascii="Times New Roman" w:hAnsi="Times New Roman" w:cs="Times New Roman"/>
          <w:sz w:val="24"/>
          <w:szCs w:val="24"/>
        </w:rPr>
        <w:t xml:space="preserve">ensável para garantir que a utilização dos materiais adquiridos ocorra conforme as especificações técnicas, normas da ABNT e diretrizes do projeto executivo, assegurando a conformidade entre o produto fornecido e o desempenho esperado na aplicação prática.</w:t>
      </w:r>
      <w:r>
        <w:rPr>
          <w:rFonts w:ascii="Times New Roman" w:hAnsi="Times New Roman" w:cs="Times New Roman"/>
          <w:sz w:val="24"/>
          <w:szCs w:val="24"/>
        </w:rPr>
      </w:r>
      <w:r>
        <w:rPr>
          <w:rFonts w:ascii="Times New Roman" w:hAnsi="Times New Roman" w:cs="Times New Roman"/>
          <w:sz w:val="24"/>
          <w:szCs w:val="24"/>
        </w:rPr>
      </w:r>
    </w:p>
    <w:p w14:paraId="05CCBCC8">
      <w:pPr>
        <w:pBdr/>
        <w:tabs>
          <w:tab w:val="left" w:leader="none" w:pos="0"/>
        </w:tabs>
        <w:spacing w:line="360" w:lineRule="auto"/>
        <w:ind/>
        <w:contextualSpacing w:val="true"/>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Tal supervisão visa controlar a qualidade dos serviços e materiais empregados, verificando aspectos como granulometria, compactação, espessura de camadas, acabamento superficial e demais parâmetros construtivos que influenciam diretamente </w:t>
      </w:r>
      <w:r>
        <w:rPr>
          <w:rFonts w:ascii="Times New Roman" w:hAnsi="Times New Roman" w:cs="Times New Roman"/>
          <w:sz w:val="24"/>
          <w:szCs w:val="24"/>
        </w:rPr>
        <w:t xml:space="preserve">na durabilidade e desempenho funcional das vias. Além disso, o acompanhamento contínuo permite ajustes imediatos durante a execução, prevenindo falhas, desperdícios e retrabalhos que poderiam comprometer o resultado final e a economicidade da obra pública.</w:t>
      </w:r>
      <w:r>
        <w:rPr>
          <w:rFonts w:ascii="Times New Roman" w:hAnsi="Times New Roman" w:cs="Times New Roman"/>
          <w:sz w:val="24"/>
          <w:szCs w:val="24"/>
        </w:rPr>
      </w:r>
      <w:r>
        <w:rPr>
          <w:rFonts w:ascii="Times New Roman" w:hAnsi="Times New Roman" w:cs="Times New Roman"/>
          <w:sz w:val="24"/>
          <w:szCs w:val="24"/>
        </w:rPr>
      </w:r>
    </w:p>
    <w:p w14:paraId="1A72F7AF">
      <w:pPr>
        <w:pBdr/>
        <w:tabs>
          <w:tab w:val="left" w:leader="none" w:pos="0"/>
        </w:tabs>
        <w:spacing w:line="360" w:lineRule="auto"/>
        <w:ind/>
        <w:contextualSpacing w:val="true"/>
        <w:jc w:val="both"/>
        <w:rPr>
          <w:rFonts w:ascii="Times New Roman" w:hAnsi="Times New Roman" w:cs="Times New Roman"/>
          <w:sz w:val="24"/>
          <w:szCs w:val="24"/>
        </w:rPr>
      </w:pPr>
      <w:r>
        <w:rPr>
          <w:rFonts w:ascii="Times New Roman" w:hAnsi="Times New Roman" w:cs="Times New Roman"/>
          <w:sz w:val="24"/>
          <w:szCs w:val="24"/>
        </w:rPr>
        <w:t xml:space="preserve">Portanto, a presença de profissionais técnicos da área demandante constitui medida essencial para o cumprimento das boas prát</w:t>
      </w:r>
      <w:r>
        <w:rPr>
          <w:rFonts w:ascii="Times New Roman" w:hAnsi="Times New Roman" w:cs="Times New Roman"/>
          <w:sz w:val="24"/>
          <w:szCs w:val="24"/>
        </w:rPr>
        <w:t xml:space="preserve">icas de engenharia, observância às exigências contratuais e garantia da rastreabilidade e qualidade do serviço executado, de modo a assegurar que o investimento público resulte em infraestrutura eficiente, segura e duradoura para o Município de Sinop – MT.</w:t>
      </w:r>
      <w:r>
        <w:rPr>
          <w:rFonts w:ascii="Times New Roman" w:hAnsi="Times New Roman" w:cs="Times New Roman"/>
          <w:sz w:val="24"/>
          <w:szCs w:val="24"/>
        </w:rPr>
      </w:r>
      <w:r>
        <w:rPr>
          <w:rFonts w:ascii="Times New Roman" w:hAnsi="Times New Roman" w:cs="Times New Roman"/>
          <w:sz w:val="24"/>
          <w:szCs w:val="24"/>
        </w:rPr>
      </w:r>
    </w:p>
    <w:p w14:paraId="4794C2CD">
      <w:pPr>
        <w:pBdr/>
        <w:tabs>
          <w:tab w:val="left" w:leader="none" w:pos="0"/>
        </w:tabs>
        <w:spacing w:line="360" w:lineRule="auto"/>
        <w:ind/>
        <w:contextualSpacing w:val="true"/>
        <w:jc w:val="both"/>
        <w:rPr>
          <w:rFonts w:ascii="Times New Roman" w:hAnsi="Times New Roman" w:cs="Times New Roman"/>
          <w:sz w:val="24"/>
          <w:szCs w:val="24"/>
          <w:highlight w:val="yellow"/>
        </w:rPr>
      </w:pPr>
      <w:r>
        <w:rPr>
          <w:rFonts w:ascii="Times New Roman" w:hAnsi="Times New Roman" w:cs="Times New Roman"/>
          <w:sz w:val="24"/>
          <w:szCs w:val="24"/>
          <w:highlight w:val="yellow"/>
        </w:rPr>
      </w:r>
      <w:r>
        <w:rPr>
          <w:rFonts w:ascii="Times New Roman" w:hAnsi="Times New Roman" w:cs="Times New Roman"/>
          <w:sz w:val="24"/>
          <w:szCs w:val="24"/>
          <w:highlight w:val="yellow"/>
        </w:rPr>
      </w:r>
      <w:r>
        <w:rPr>
          <w:rFonts w:ascii="Times New Roman" w:hAnsi="Times New Roman" w:cs="Times New Roman"/>
          <w:sz w:val="24"/>
          <w:szCs w:val="24"/>
          <w:highlight w:val="yellow"/>
        </w:rPr>
      </w:r>
    </w:p>
    <w:p w14:paraId="3101FE3A">
      <w:pPr>
        <w:pBdr/>
        <w:tabs>
          <w:tab w:val="left" w:leader="none" w:pos="0"/>
        </w:tabs>
        <w:spacing w:line="360" w:lineRule="auto"/>
        <w:ind/>
        <w:contextualSpacing w:val="true"/>
        <w:jc w:val="both"/>
        <w:rPr>
          <w:rFonts w:ascii="Times New Roman" w:hAnsi="Times New Roman" w:cs="Times New Roman"/>
          <w:b/>
          <w:bCs/>
          <w:sz w:val="24"/>
          <w:szCs w:val="24"/>
        </w:rPr>
      </w:pPr>
      <w:r>
        <w:rPr>
          <w:rFonts w:ascii="Times New Roman" w:hAnsi="Times New Roman" w:cs="Times New Roman"/>
          <w:b/>
          <w:bCs/>
          <w:sz w:val="24"/>
          <w:szCs w:val="24"/>
        </w:rPr>
        <w:t xml:space="preserve">6.</w:t>
      </w:r>
      <w:r>
        <w:rPr>
          <w:rFonts w:hint="default" w:ascii="Times New Roman" w:hAnsi="Times New Roman" w:cs="Times New Roman"/>
          <w:b/>
          <w:bCs/>
          <w:sz w:val="24"/>
          <w:szCs w:val="24"/>
          <w:lang w:val="pt-BR"/>
        </w:rPr>
        <w:t xml:space="preserve">6</w:t>
      </w:r>
      <w:r>
        <w:rPr>
          <w:rFonts w:ascii="Times New Roman" w:hAnsi="Times New Roman" w:cs="Times New Roman"/>
          <w:b/>
          <w:bCs/>
          <w:sz w:val="24"/>
          <w:szCs w:val="24"/>
        </w:rPr>
        <w:t xml:space="preserve">. POSSIBILIDADE OU NÃO DE SUBCONTRATAÇÃO:</w:t>
      </w:r>
      <w:r>
        <w:rPr>
          <w:rFonts w:ascii="Times New Roman" w:hAnsi="Times New Roman" w:cs="Times New Roman"/>
          <w:b/>
          <w:bCs/>
          <w:sz w:val="24"/>
          <w:szCs w:val="24"/>
        </w:rPr>
      </w:r>
      <w:r>
        <w:rPr>
          <w:rFonts w:ascii="Times New Roman" w:hAnsi="Times New Roman" w:cs="Times New Roman"/>
          <w:b/>
          <w:bCs/>
          <w:sz w:val="24"/>
          <w:szCs w:val="24"/>
        </w:rPr>
      </w:r>
    </w:p>
    <w:p w14:paraId="1C98AE24">
      <w:pPr>
        <w:pStyle w:val="1105"/>
        <w:widowControl w:val="false"/>
        <w:numPr>
          <w:ilvl w:val="0"/>
          <w:numId w:val="23"/>
        </w:numPr>
        <w:pBdr/>
        <w:tabs>
          <w:tab w:val="left" w:leader="none" w:pos="426"/>
        </w:tabs>
        <w:spacing w:line="360" w:lineRule="auto"/>
        <w:ind w:hanging="454" w:left="454"/>
        <w:contextualSpacing w:val="true"/>
        <w:jc w:val="both"/>
        <w:rPr>
          <w:sz w:val="24"/>
          <w:szCs w:val="24"/>
          <w:lang w:val="pt-BR"/>
        </w:rPr>
      </w:pPr>
      <w:r>
        <w:rPr>
          <w:sz w:val="24"/>
          <w:szCs w:val="24"/>
          <w:lang w:val="pt-BR"/>
        </w:rPr>
        <w:t xml:space="preserve">Será vedado</w:t>
      </w:r>
      <w:r>
        <w:rPr>
          <w:b/>
          <w:bCs/>
          <w:sz w:val="24"/>
          <w:szCs w:val="24"/>
          <w:lang w:val="pt-BR"/>
        </w:rPr>
        <w:t xml:space="preserve"> </w:t>
      </w:r>
      <w:r>
        <w:rPr>
          <w:sz w:val="24"/>
          <w:szCs w:val="24"/>
          <w:lang w:val="pt-BR"/>
        </w:rPr>
        <w:t xml:space="preserve">transferir a terceiros ou subcontratar as obrigações assumidas.</w:t>
      </w:r>
      <w:r>
        <w:rPr>
          <w:sz w:val="24"/>
          <w:szCs w:val="24"/>
          <w:lang w:val="pt-BR"/>
        </w:rPr>
      </w:r>
      <w:r>
        <w:rPr>
          <w:sz w:val="24"/>
          <w:szCs w:val="24"/>
          <w:lang w:val="pt-BR"/>
        </w:rPr>
      </w:r>
    </w:p>
    <w:p w14:paraId="6BA59F0D">
      <w:pPr>
        <w:pStyle w:val="1105"/>
        <w:widowControl w:val="false"/>
        <w:numPr>
          <w:ilvl w:val="0"/>
          <w:numId w:val="23"/>
        </w:numPr>
        <w:pBdr/>
        <w:tabs>
          <w:tab w:val="clear" w:leader="none" w:pos="454"/>
        </w:tabs>
        <w:spacing w:line="360" w:lineRule="auto"/>
        <w:ind w:hanging="14" w:left="14"/>
        <w:contextualSpacing w:val="true"/>
        <w:jc w:val="both"/>
        <w:rPr>
          <w:sz w:val="24"/>
          <w:szCs w:val="24"/>
          <w:lang w:val="pt-BR"/>
        </w:rPr>
      </w:pPr>
      <w:r>
        <w:rPr>
          <w:sz w:val="24"/>
          <w:szCs w:val="24"/>
          <w:lang w:val="pt-BR"/>
        </w:rPr>
        <w:t xml:space="preserve">É terminantemente proibida a subcontratação, cessão ou transferência, total ou parcial, do objeto desta Ata/Contrato, nos termos do Art. 122, caput, da Lei nº 14.133/2021.</w:t>
      </w:r>
      <w:r>
        <w:rPr>
          <w:sz w:val="24"/>
          <w:szCs w:val="24"/>
          <w:lang w:val="pt-BR"/>
        </w:rPr>
      </w:r>
      <w:r>
        <w:rPr>
          <w:sz w:val="24"/>
          <w:szCs w:val="24"/>
          <w:lang w:val="pt-BR"/>
        </w:rPr>
      </w:r>
    </w:p>
    <w:p w14:paraId="75919B6A">
      <w:pPr>
        <w:pStyle w:val="1105"/>
        <w:widowControl w:val="false"/>
        <w:numPr>
          <w:ilvl w:val="0"/>
          <w:numId w:val="23"/>
        </w:numPr>
        <w:pBdr/>
        <w:tabs>
          <w:tab w:val="clear" w:leader="none" w:pos="454"/>
        </w:tabs>
        <w:spacing w:line="360" w:lineRule="auto"/>
        <w:ind w:hanging="14" w:left="14"/>
        <w:contextualSpacing w:val="true"/>
        <w:jc w:val="both"/>
        <w:rPr>
          <w:sz w:val="24"/>
          <w:szCs w:val="24"/>
          <w:lang w:val="pt-BR"/>
        </w:rPr>
      </w:pPr>
      <w:r>
        <w:rPr>
          <w:sz w:val="24"/>
          <w:szCs w:val="24"/>
          <w:lang w:val="pt-BR"/>
        </w:rPr>
        <w:t xml:space="preserve"> A vedação se justifica pela natureza do objeto, que envolve serviços de engenharia voltados à acessibilidade e infraestrutura urbana, exigindo que a exec</w:t>
      </w:r>
      <w:r>
        <w:rPr>
          <w:sz w:val="24"/>
          <w:szCs w:val="24"/>
          <w:lang w:val="pt-BR"/>
        </w:rPr>
        <w:t xml:space="preserve">ução seja realizada diretamente pela empresa que comprovou possuir a expertise e a capacidade técnica operacional e profissional durante a fase de habilitação, garantindo assim o padrão de qualidade e a segurança dos usuários das vias públicas de Sinop-MT.</w:t>
      </w:r>
      <w:r>
        <w:rPr>
          <w:sz w:val="24"/>
          <w:szCs w:val="24"/>
          <w:lang w:val="pt-BR"/>
        </w:rPr>
      </w:r>
      <w:r>
        <w:rPr>
          <w:sz w:val="24"/>
          <w:szCs w:val="24"/>
          <w:lang w:val="pt-BR"/>
        </w:rPr>
      </w:r>
    </w:p>
    <w:p w14:paraId="5964E26C">
      <w:pPr>
        <w:pStyle w:val="1105"/>
        <w:widowControl w:val="false"/>
        <w:numPr>
          <w:ilvl w:val="0"/>
          <w:numId w:val="23"/>
        </w:numPr>
        <w:pBdr/>
        <w:tabs>
          <w:tab w:val="clear" w:leader="none" w:pos="454"/>
        </w:tabs>
        <w:spacing w:line="360" w:lineRule="auto"/>
        <w:ind w:hanging="14" w:left="14"/>
        <w:contextualSpacing w:val="true"/>
        <w:jc w:val="both"/>
        <w:rPr>
          <w:sz w:val="24"/>
          <w:szCs w:val="24"/>
          <w:lang w:val="pt-BR"/>
        </w:rPr>
      </w:pPr>
      <w:r>
        <w:rPr>
          <w:sz w:val="24"/>
          <w:szCs w:val="24"/>
          <w:lang w:val="pt-BR"/>
        </w:rPr>
        <w:t xml:space="preserve"> O descumprimento desta cláusula ensejará a rescisão imediata do contrato, sem prejuízo da aplicação das sanções administrativas previstas na legislação vigente.</w:t>
      </w:r>
      <w:r>
        <w:rPr>
          <w:sz w:val="24"/>
          <w:szCs w:val="24"/>
          <w:lang w:val="pt-BR"/>
        </w:rPr>
      </w:r>
      <w:r>
        <w:rPr>
          <w:sz w:val="24"/>
          <w:szCs w:val="24"/>
          <w:lang w:val="pt-BR"/>
        </w:rPr>
      </w:r>
    </w:p>
    <w:p w14:paraId="0E4F40C0">
      <w:pPr>
        <w:pStyle w:val="1105"/>
        <w:widowControl w:val="false"/>
        <w:pBdr/>
        <w:tabs>
          <w:tab w:val="left" w:leader="none" w:pos="426"/>
        </w:tabs>
        <w:spacing w:line="360" w:lineRule="auto"/>
        <w:ind w:firstLine="0" w:left="0"/>
        <w:contextualSpacing w:val="true"/>
        <w:jc w:val="both"/>
        <w:rPr>
          <w:sz w:val="24"/>
          <w:szCs w:val="24"/>
          <w:highlight w:val="yellow"/>
          <w:lang w:val="pt-BR"/>
        </w:rPr>
      </w:pPr>
      <w:r>
        <w:rPr>
          <w:sz w:val="24"/>
          <w:szCs w:val="24"/>
          <w:highlight w:val="yellow"/>
          <w:lang w:val="pt-BR"/>
        </w:rPr>
      </w:r>
      <w:r>
        <w:rPr>
          <w:sz w:val="24"/>
          <w:szCs w:val="24"/>
          <w:highlight w:val="yellow"/>
          <w:lang w:val="pt-BR"/>
        </w:rPr>
      </w:r>
      <w:r>
        <w:rPr>
          <w:sz w:val="24"/>
          <w:szCs w:val="24"/>
          <w:highlight w:val="yellow"/>
          <w:lang w:val="pt-BR"/>
        </w:rPr>
      </w:r>
    </w:p>
    <w:p w14:paraId="1173AE5D">
      <w:pPr>
        <w:pStyle w:val="1105"/>
        <w:widowControl w:val="false"/>
        <w:numPr>
          <w:ilvl w:val="0"/>
          <w:numId w:val="24"/>
        </w:numPr>
        <w:pBdr/>
        <w:tabs>
          <w:tab w:val="left" w:leader="none" w:pos="426"/>
        </w:tabs>
        <w:spacing w:line="360" w:lineRule="auto"/>
        <w:ind w:hanging="454" w:left="454"/>
        <w:contextualSpacing w:val="true"/>
        <w:jc w:val="both"/>
        <w:rPr>
          <w:b/>
          <w:bCs/>
          <w:sz w:val="24"/>
          <w:szCs w:val="24"/>
          <w:lang w:val="pt-BR"/>
        </w:rPr>
      </w:pPr>
      <w:r>
        <w:rPr>
          <w:b/>
          <w:bCs/>
          <w:sz w:val="24"/>
          <w:szCs w:val="24"/>
          <w:lang w:val="pt-BR"/>
        </w:rPr>
        <w:t xml:space="preserve">POSSIBILIDADE DE PRORROGAÇÃO CONTRATUAL E REAJUSTE:</w:t>
      </w:r>
      <w:r>
        <w:rPr>
          <w:b/>
          <w:bCs/>
          <w:sz w:val="24"/>
          <w:szCs w:val="24"/>
          <w:lang w:val="pt-BR"/>
        </w:rPr>
      </w:r>
      <w:r>
        <w:rPr>
          <w:b/>
          <w:bCs/>
          <w:sz w:val="24"/>
          <w:szCs w:val="24"/>
          <w:lang w:val="pt-BR"/>
        </w:rPr>
      </w:r>
    </w:p>
    <w:p w14:paraId="7CF9EC54">
      <w:pPr>
        <w:pStyle w:val="1105"/>
        <w:widowControl w:val="false"/>
        <w:numPr>
          <w:ilvl w:val="0"/>
          <w:numId w:val="25"/>
        </w:numPr>
        <w:pBdr/>
        <w:tabs>
          <w:tab w:val="clear" w:leader="none" w:pos="454"/>
        </w:tabs>
        <w:spacing w:line="360" w:lineRule="auto"/>
        <w:ind w:hanging="14" w:left="14"/>
        <w:contextualSpacing w:val="true"/>
        <w:jc w:val="both"/>
        <w:rPr>
          <w:bCs/>
          <w:sz w:val="24"/>
          <w:szCs w:val="24"/>
          <w:lang w:val="pt-BR"/>
        </w:rPr>
      </w:pPr>
      <w:r>
        <w:rPr>
          <w:bCs/>
          <w:sz w:val="24"/>
          <w:szCs w:val="24"/>
          <w:lang w:val="pt-BR"/>
        </w:rPr>
        <w:t xml:space="preserve">Registro de preços com prazo de vigência de 12 meses, podendo ser prorrogado conforme Lei 14.133/2021.Os preços registrados serão fixos e irreajustáveis pelo período de um ano</w:t>
      </w:r>
      <w:r>
        <w:rPr>
          <w:bCs/>
          <w:sz w:val="24"/>
          <w:szCs w:val="24"/>
          <w:lang w:val="pt-BR"/>
        </w:rPr>
      </w:r>
      <w:r>
        <w:rPr>
          <w:bCs/>
          <w:sz w:val="24"/>
          <w:szCs w:val="24"/>
          <w:lang w:val="pt-BR"/>
        </w:rPr>
      </w:r>
    </w:p>
    <w:p w14:paraId="68682FE0">
      <w:pPr>
        <w:pStyle w:val="1105"/>
        <w:widowControl w:val="false"/>
        <w:numPr>
          <w:ilvl w:val="0"/>
          <w:numId w:val="25"/>
        </w:numPr>
        <w:pBdr/>
        <w:tabs>
          <w:tab w:val="clear" w:leader="none" w:pos="454"/>
        </w:tabs>
        <w:spacing w:line="360" w:lineRule="auto"/>
        <w:ind w:hanging="14" w:left="14"/>
        <w:contextualSpacing w:val="true"/>
        <w:jc w:val="both"/>
        <w:rPr>
          <w:bCs/>
          <w:sz w:val="24"/>
          <w:szCs w:val="24"/>
          <w:lang w:val="pt-BR"/>
        </w:rPr>
      </w:pPr>
      <w:r>
        <w:rPr>
          <w:bCs/>
          <w:sz w:val="24"/>
          <w:szCs w:val="24"/>
          <w:lang w:val="pt-BR"/>
        </w:rPr>
        <w:t xml:space="preserve">Após o interregno de 12 (doze) meses, contados da data do orçamento estimado ou</w:t>
      </w:r>
      <w:r>
        <w:rPr>
          <w:bCs/>
          <w:sz w:val="24"/>
          <w:szCs w:val="24"/>
          <w:lang w:val="pt-BR"/>
        </w:rPr>
        <w:t xml:space="preserve"> da apresentação da proposta, os preços poderão ser reajustados mediante a aplicação do índice INCC/FGV (ou outro índice setorial específico), visando a manutenção do equilíbrio econômico-financeiro, conforme determina o Art. 92, IX, da Lei nº 14.133/2021.</w:t>
      </w:r>
      <w:r>
        <w:rPr>
          <w:bCs/>
          <w:sz w:val="24"/>
          <w:szCs w:val="24"/>
          <w:lang w:val="pt-BR"/>
        </w:rPr>
      </w:r>
      <w:r>
        <w:rPr>
          <w:bCs/>
          <w:sz w:val="24"/>
          <w:szCs w:val="24"/>
          <w:lang w:val="pt-BR"/>
        </w:rPr>
      </w:r>
    </w:p>
    <w:p w14:paraId="108CA34F">
      <w:pPr>
        <w:pStyle w:val="1105"/>
        <w:widowControl w:val="false"/>
        <w:numPr>
          <w:ilvl w:val="0"/>
          <w:numId w:val="25"/>
        </w:numPr>
        <w:pBdr/>
        <w:tabs>
          <w:tab w:val="clear" w:leader="none" w:pos="454"/>
        </w:tabs>
        <w:spacing w:line="360" w:lineRule="auto"/>
        <w:ind w:hanging="14" w:left="14"/>
        <w:contextualSpacing w:val="true"/>
        <w:jc w:val="both"/>
        <w:rPr>
          <w:bCs/>
          <w:sz w:val="24"/>
          <w:szCs w:val="24"/>
          <w:lang w:val="pt-BR"/>
        </w:rPr>
      </w:pPr>
      <w:r>
        <w:rPr>
          <w:bCs/>
          <w:sz w:val="24"/>
          <w:szCs w:val="24"/>
          <w:lang w:val="pt-BR"/>
        </w:rPr>
        <w:t xml:space="preserve">Os contratos de prestação de serviços contínuos derivados dest</w:t>
      </w:r>
      <w:r>
        <w:rPr>
          <w:bCs/>
          <w:sz w:val="24"/>
          <w:szCs w:val="24"/>
          <w:lang w:val="pt-BR"/>
        </w:rPr>
        <w:t xml:space="preserve">a Ata poderão ser prorrogados sucessivamente, respeitada a vigência máxima de até 10 (dez) anos, desde que haja previsão no edital e que a autoridade competente ateste a vantajosidade da manutenção do contrato, nos termos do Art. 107 da Lei nº 14.133/2021.</w:t>
      </w:r>
      <w:r>
        <w:rPr>
          <w:bCs/>
          <w:sz w:val="24"/>
          <w:szCs w:val="24"/>
          <w:lang w:val="pt-BR"/>
        </w:rPr>
      </w:r>
      <w:r>
        <w:rPr>
          <w:bCs/>
          <w:sz w:val="24"/>
          <w:szCs w:val="24"/>
          <w:lang w:val="pt-BR"/>
        </w:rPr>
      </w:r>
    </w:p>
    <w:p w14:paraId="61B65350">
      <w:pPr>
        <w:pStyle w:val="1105"/>
        <w:widowControl w:val="false"/>
        <w:numPr>
          <w:ilvl w:val="0"/>
          <w:numId w:val="25"/>
        </w:numPr>
        <w:pBdr/>
        <w:tabs>
          <w:tab w:val="clear" w:leader="none" w:pos="454"/>
        </w:tabs>
        <w:spacing w:line="360" w:lineRule="auto"/>
        <w:ind w:hanging="14" w:left="14"/>
        <w:contextualSpacing w:val="true"/>
        <w:jc w:val="both"/>
        <w:rPr>
          <w:bCs/>
          <w:sz w:val="24"/>
          <w:szCs w:val="24"/>
          <w:lang w:val="pt-BR"/>
        </w:rPr>
      </w:pPr>
      <w:r>
        <w:rPr>
          <w:bCs/>
          <w:sz w:val="24"/>
          <w:szCs w:val="24"/>
          <w:lang w:val="pt-BR"/>
        </w:rPr>
        <w:t xml:space="preserve">A prorrogação será formalizada mediante termo aditivo e dependerá da demonstração de que os preços e condições permanecem favoráveis à Administração.</w:t>
      </w:r>
      <w:r>
        <w:rPr>
          <w:bCs/>
          <w:sz w:val="24"/>
          <w:szCs w:val="24"/>
          <w:lang w:val="pt-BR"/>
        </w:rPr>
      </w:r>
      <w:r>
        <w:rPr>
          <w:bCs/>
          <w:sz w:val="24"/>
          <w:szCs w:val="24"/>
          <w:lang w:val="pt-BR"/>
        </w:rPr>
      </w:r>
    </w:p>
    <w:p w14:paraId="2AA70938">
      <w:pPr>
        <w:pStyle w:val="1105"/>
        <w:widowControl w:val="false"/>
        <w:pBdr/>
        <w:shd w:val="clear" w:color="auto"/>
        <w:tabs>
          <w:tab w:val="left" w:leader="none" w:pos="0"/>
        </w:tabs>
        <w:spacing w:line="360" w:lineRule="auto"/>
        <w:ind w:firstLine="0" w:left="0"/>
        <w:contextualSpacing w:val="true"/>
        <w:jc w:val="both"/>
        <w:rPr>
          <w:bCs/>
          <w:sz w:val="24"/>
          <w:szCs w:val="24"/>
          <w:lang w:val="pt-BR"/>
        </w:rPr>
      </w:pPr>
      <w:r>
        <w:rPr>
          <w:bCs/>
          <w:sz w:val="24"/>
          <w:szCs w:val="24"/>
          <w:lang w:val="pt-BR"/>
        </w:rPr>
      </w:r>
      <w:r>
        <w:rPr>
          <w:bCs/>
          <w:sz w:val="24"/>
          <w:szCs w:val="24"/>
          <w:lang w:val="pt-BR"/>
        </w:rPr>
      </w:r>
      <w:r>
        <w:rPr>
          <w:bCs/>
          <w:sz w:val="24"/>
          <w:szCs w:val="24"/>
          <w:lang w:val="pt-BR"/>
        </w:rPr>
      </w:r>
    </w:p>
    <w:p w14:paraId="6519650F">
      <w:pPr>
        <w:pStyle w:val="1105"/>
        <w:widowControl w:val="false"/>
        <w:pBdr/>
        <w:shd w:val="clear" w:color="auto"/>
        <w:tabs>
          <w:tab w:val="left" w:leader="none" w:pos="426"/>
        </w:tabs>
        <w:spacing w:line="360" w:lineRule="auto"/>
        <w:ind w:firstLine="0" w:left="0"/>
        <w:contextualSpacing w:val="true"/>
        <w:jc w:val="both"/>
        <w:rPr>
          <w:b/>
          <w:sz w:val="24"/>
          <w:szCs w:val="24"/>
          <w:lang w:val="pt-BR"/>
        </w:rPr>
      </w:pPr>
      <w:r>
        <w:rPr>
          <w:b/>
          <w:sz w:val="24"/>
          <w:szCs w:val="24"/>
          <w:shd w:val="clear" w:color="auto"/>
          <w:lang w:val="pt-BR"/>
        </w:rPr>
        <w:t xml:space="preserve">6.9. </w:t>
      </w:r>
      <w:r>
        <w:rPr>
          <w:b/>
          <w:sz w:val="24"/>
          <w:szCs w:val="24"/>
          <w:lang w:val="pt-BR"/>
        </w:rPr>
        <w:t xml:space="preserve">APLICAÇÃO DE SANÇÕES ADMINISTRATIVAS:</w:t>
      </w:r>
      <w:r>
        <w:rPr>
          <w:b/>
          <w:sz w:val="24"/>
          <w:szCs w:val="24"/>
          <w:lang w:val="pt-BR"/>
        </w:rPr>
      </w:r>
      <w:r>
        <w:rPr>
          <w:b/>
          <w:sz w:val="24"/>
          <w:szCs w:val="24"/>
          <w:lang w:val="pt-BR"/>
        </w:rPr>
      </w:r>
    </w:p>
    <w:p w14:paraId="1A46E7BD">
      <w:pPr>
        <w:pStyle w:val="1105"/>
        <w:widowControl w:val="false"/>
        <w:pBdr/>
        <w:tabs>
          <w:tab w:val="left" w:leader="none" w:pos="426"/>
        </w:tabs>
        <w:spacing w:line="360" w:lineRule="auto"/>
        <w:ind w:firstLine="0" w:left="0"/>
        <w:contextualSpacing w:val="true"/>
        <w:jc w:val="both"/>
        <w:rPr>
          <w:bCs/>
          <w:sz w:val="24"/>
          <w:szCs w:val="24"/>
          <w:lang w:val="pt-BR"/>
        </w:rPr>
      </w:pPr>
      <w:r>
        <w:rPr>
          <w:b/>
          <w:sz w:val="24"/>
          <w:szCs w:val="24"/>
          <w:lang w:val="pt-BR"/>
        </w:rPr>
        <w:t xml:space="preserve">6.9.1. </w:t>
      </w:r>
      <w:r>
        <w:rPr>
          <w:bCs/>
          <w:sz w:val="24"/>
          <w:szCs w:val="24"/>
          <w:lang w:val="pt-BR"/>
        </w:rPr>
        <w:t xml:space="preserve">As sanções de que tratam este Termo de Referência são aquelas descritas nos Art. 155 a 163 da Lei 14.133/2021 e no Decreto 360/2023.</w:t>
      </w:r>
      <w:r>
        <w:rPr>
          <w:bCs/>
          <w:sz w:val="24"/>
          <w:szCs w:val="24"/>
          <w:lang w:val="pt-BR"/>
        </w:rPr>
      </w:r>
      <w:r>
        <w:rPr>
          <w:bCs/>
          <w:sz w:val="24"/>
          <w:szCs w:val="24"/>
          <w:lang w:val="pt-BR"/>
        </w:rPr>
      </w:r>
    </w:p>
    <w:p w14:paraId="64109201">
      <w:pPr>
        <w:pStyle w:val="1105"/>
        <w:widowControl w:val="false"/>
        <w:pBdr/>
        <w:tabs>
          <w:tab w:val="left" w:leader="none" w:pos="426"/>
        </w:tabs>
        <w:spacing w:line="360" w:lineRule="auto"/>
        <w:ind w:firstLine="0"/>
        <w:contextualSpacing w:val="true"/>
        <w:jc w:val="both"/>
        <w:rPr>
          <w:bCs/>
          <w:sz w:val="24"/>
          <w:szCs w:val="24"/>
          <w:lang w:val="pt-BR"/>
        </w:rPr>
      </w:pPr>
      <w:r>
        <w:rPr>
          <w:b/>
          <w:sz w:val="24"/>
          <w:szCs w:val="24"/>
          <w:lang w:val="pt-BR"/>
        </w:rPr>
        <w:t xml:space="preserve">6.9.2. </w:t>
      </w:r>
      <w:r>
        <w:rPr>
          <w:bCs/>
          <w:sz w:val="24"/>
          <w:szCs w:val="24"/>
          <w:lang w:val="pt-BR"/>
        </w:rPr>
        <w:t xml:space="preserve">O licitante ou o contratado será responsabilizado administrativamente pelas seguintes infrações:</w:t>
      </w:r>
      <w:r>
        <w:rPr>
          <w:bCs/>
          <w:sz w:val="24"/>
          <w:szCs w:val="24"/>
          <w:lang w:val="pt-BR"/>
        </w:rPr>
      </w:r>
      <w:r>
        <w:rPr>
          <w:bCs/>
          <w:sz w:val="24"/>
          <w:szCs w:val="24"/>
          <w:lang w:val="pt-BR"/>
        </w:rPr>
      </w:r>
    </w:p>
    <w:p w14:paraId="6ABE1EBB">
      <w:pPr>
        <w:widowControl w:val="false"/>
        <w:pBdr/>
        <w:tabs>
          <w:tab w:val="left" w:leader="none" w:pos="426"/>
        </w:tabs>
        <w:spacing w:line="360" w:lineRule="auto"/>
        <w:ind/>
        <w:contextualSpacing w:val="true"/>
        <w:jc w:val="both"/>
        <w:rPr>
          <w:rFonts w:ascii="Times New Roman" w:hAnsi="Times New Roman" w:cs="Times New Roman"/>
          <w:bCs/>
          <w:sz w:val="24"/>
          <w:szCs w:val="24"/>
        </w:rPr>
      </w:pPr>
      <w:r>
        <w:rPr>
          <w:rFonts w:ascii="Times New Roman" w:hAnsi="Times New Roman" w:cs="Times New Roman"/>
          <w:bCs/>
          <w:sz w:val="24"/>
          <w:szCs w:val="24"/>
        </w:rPr>
        <w:tab/>
      </w:r>
      <w:r>
        <w:rPr>
          <w:rFonts w:ascii="Times New Roman" w:hAnsi="Times New Roman" w:cs="Times New Roman"/>
          <w:b/>
          <w:sz w:val="24"/>
          <w:szCs w:val="24"/>
        </w:rPr>
        <w:t xml:space="preserve">I</w:t>
      </w:r>
      <w:r>
        <w:rPr>
          <w:rFonts w:ascii="Times New Roman" w:hAnsi="Times New Roman" w:cs="Times New Roman"/>
          <w:bCs/>
          <w:sz w:val="24"/>
          <w:szCs w:val="24"/>
        </w:rPr>
        <w:t xml:space="preserve"> - Dar causa à inexecução parcial do contrato;</w:t>
      </w:r>
      <w:r>
        <w:rPr>
          <w:rFonts w:ascii="Times New Roman" w:hAnsi="Times New Roman" w:cs="Times New Roman"/>
          <w:bCs/>
          <w:sz w:val="24"/>
          <w:szCs w:val="24"/>
        </w:rPr>
      </w:r>
      <w:r>
        <w:rPr>
          <w:rFonts w:ascii="Times New Roman" w:hAnsi="Times New Roman" w:cs="Times New Roman"/>
          <w:bCs/>
          <w:sz w:val="24"/>
          <w:szCs w:val="24"/>
        </w:rPr>
      </w:r>
    </w:p>
    <w:p w14:paraId="1AADDB21">
      <w:pPr>
        <w:pStyle w:val="1105"/>
        <w:widowControl w:val="false"/>
        <w:pBdr/>
        <w:tabs>
          <w:tab w:val="left" w:leader="none" w:pos="426"/>
        </w:tabs>
        <w:spacing w:line="360" w:lineRule="auto"/>
        <w:ind w:firstLine="0"/>
        <w:contextualSpacing w:val="true"/>
        <w:jc w:val="both"/>
        <w:rPr>
          <w:bCs/>
          <w:sz w:val="24"/>
          <w:szCs w:val="24"/>
          <w:lang w:val="pt-BR"/>
        </w:rPr>
      </w:pPr>
      <w:r>
        <w:rPr>
          <w:bCs/>
          <w:sz w:val="24"/>
          <w:szCs w:val="24"/>
          <w:lang w:val="pt-BR"/>
        </w:rPr>
        <w:tab/>
      </w:r>
      <w:r>
        <w:rPr>
          <w:b/>
          <w:sz w:val="24"/>
          <w:szCs w:val="24"/>
          <w:lang w:val="pt-BR"/>
        </w:rPr>
        <w:t xml:space="preserve">II </w:t>
      </w:r>
      <w:r>
        <w:rPr>
          <w:bCs/>
          <w:sz w:val="24"/>
          <w:szCs w:val="24"/>
          <w:lang w:val="pt-BR"/>
        </w:rPr>
        <w:t xml:space="preserve">- Dar causa à inexecução parcial do contrato que cause grave dano à Administração, ao funcionamento dos serviços públicos ou ao interesse coletivo;</w:t>
      </w:r>
      <w:r>
        <w:rPr>
          <w:bCs/>
          <w:sz w:val="24"/>
          <w:szCs w:val="24"/>
          <w:lang w:val="pt-BR"/>
        </w:rPr>
      </w:r>
      <w:r>
        <w:rPr>
          <w:bCs/>
          <w:sz w:val="24"/>
          <w:szCs w:val="24"/>
          <w:lang w:val="pt-BR"/>
        </w:rPr>
      </w:r>
    </w:p>
    <w:p w14:paraId="1ABC49BF">
      <w:pPr>
        <w:pStyle w:val="1105"/>
        <w:widowControl w:val="false"/>
        <w:pBdr/>
        <w:tabs>
          <w:tab w:val="left" w:leader="none" w:pos="426"/>
        </w:tabs>
        <w:spacing w:line="360" w:lineRule="auto"/>
        <w:ind w:firstLine="0" w:left="0"/>
        <w:contextualSpacing w:val="true"/>
        <w:jc w:val="both"/>
        <w:rPr>
          <w:bCs/>
          <w:sz w:val="24"/>
          <w:szCs w:val="24"/>
          <w:lang w:val="pt-BR"/>
        </w:rPr>
      </w:pPr>
      <w:r>
        <w:rPr>
          <w:bCs/>
          <w:sz w:val="24"/>
          <w:szCs w:val="24"/>
          <w:lang w:val="pt-BR"/>
        </w:rPr>
        <w:tab/>
      </w:r>
      <w:r>
        <w:rPr>
          <w:b/>
          <w:sz w:val="24"/>
          <w:szCs w:val="24"/>
          <w:lang w:val="pt-BR"/>
        </w:rPr>
        <w:t xml:space="preserve">III</w:t>
      </w:r>
      <w:r>
        <w:rPr>
          <w:bCs/>
          <w:sz w:val="24"/>
          <w:szCs w:val="24"/>
          <w:lang w:val="pt-BR"/>
        </w:rPr>
        <w:t xml:space="preserve"> - Dar causa à inexecução total do contrato;</w:t>
      </w:r>
      <w:r>
        <w:rPr>
          <w:bCs/>
          <w:sz w:val="24"/>
          <w:szCs w:val="24"/>
          <w:lang w:val="pt-BR"/>
        </w:rPr>
      </w:r>
      <w:r>
        <w:rPr>
          <w:bCs/>
          <w:sz w:val="24"/>
          <w:szCs w:val="24"/>
          <w:lang w:val="pt-BR"/>
        </w:rPr>
      </w:r>
    </w:p>
    <w:p w14:paraId="4465E62C">
      <w:pPr>
        <w:widowControl w:val="false"/>
        <w:pBdr/>
        <w:tabs>
          <w:tab w:val="left" w:leader="none" w:pos="426"/>
        </w:tabs>
        <w:spacing w:line="360" w:lineRule="auto"/>
        <w:ind/>
        <w:contextualSpacing w:val="true"/>
        <w:jc w:val="both"/>
        <w:rPr>
          <w:rFonts w:ascii="Times New Roman" w:hAnsi="Times New Roman" w:cs="Times New Roman"/>
          <w:bCs/>
          <w:sz w:val="24"/>
          <w:szCs w:val="24"/>
        </w:rPr>
      </w:pPr>
      <w:r>
        <w:rPr>
          <w:rFonts w:ascii="Times New Roman" w:hAnsi="Times New Roman" w:cs="Times New Roman"/>
          <w:bCs/>
          <w:sz w:val="24"/>
          <w:szCs w:val="24"/>
        </w:rPr>
        <w:tab/>
      </w:r>
      <w:r>
        <w:rPr>
          <w:rFonts w:ascii="Times New Roman" w:hAnsi="Times New Roman" w:cs="Times New Roman"/>
          <w:b/>
          <w:sz w:val="24"/>
          <w:szCs w:val="24"/>
        </w:rPr>
        <w:t xml:space="preserve">IV</w:t>
      </w:r>
      <w:r>
        <w:rPr>
          <w:rFonts w:ascii="Times New Roman" w:hAnsi="Times New Roman" w:cs="Times New Roman"/>
          <w:bCs/>
          <w:sz w:val="24"/>
          <w:szCs w:val="24"/>
        </w:rPr>
        <w:t xml:space="preserve"> - Deixar de entregar a documentação exigida para o certame;</w:t>
      </w:r>
      <w:r>
        <w:rPr>
          <w:rFonts w:ascii="Times New Roman" w:hAnsi="Times New Roman" w:cs="Times New Roman"/>
          <w:bCs/>
          <w:sz w:val="24"/>
          <w:szCs w:val="24"/>
        </w:rPr>
      </w:r>
      <w:r>
        <w:rPr>
          <w:rFonts w:ascii="Times New Roman" w:hAnsi="Times New Roman" w:cs="Times New Roman"/>
          <w:bCs/>
          <w:sz w:val="24"/>
          <w:szCs w:val="24"/>
        </w:rPr>
      </w:r>
    </w:p>
    <w:p w14:paraId="143C1242">
      <w:pPr>
        <w:pStyle w:val="1105"/>
        <w:widowControl w:val="false"/>
        <w:pBdr/>
        <w:tabs>
          <w:tab w:val="left" w:leader="none" w:pos="426"/>
        </w:tabs>
        <w:spacing w:line="360" w:lineRule="auto"/>
        <w:ind w:firstLine="0"/>
        <w:contextualSpacing w:val="true"/>
        <w:jc w:val="both"/>
        <w:rPr>
          <w:bCs/>
          <w:sz w:val="24"/>
          <w:szCs w:val="24"/>
          <w:lang w:val="pt-BR"/>
        </w:rPr>
      </w:pPr>
      <w:r>
        <w:rPr>
          <w:bCs/>
          <w:sz w:val="24"/>
          <w:szCs w:val="24"/>
          <w:lang w:val="pt-BR"/>
        </w:rPr>
        <w:tab/>
      </w:r>
      <w:r>
        <w:rPr>
          <w:b/>
          <w:sz w:val="24"/>
          <w:szCs w:val="24"/>
          <w:lang w:val="pt-BR"/>
        </w:rPr>
        <w:t xml:space="preserve">V</w:t>
      </w:r>
      <w:r>
        <w:rPr>
          <w:bCs/>
          <w:sz w:val="24"/>
          <w:szCs w:val="24"/>
          <w:lang w:val="pt-BR"/>
        </w:rPr>
        <w:t xml:space="preserve"> - Não manter a proposta, salvo em decorrência de fato superveniente devidamente justificado;</w:t>
      </w:r>
      <w:r>
        <w:rPr>
          <w:bCs/>
          <w:sz w:val="24"/>
          <w:szCs w:val="24"/>
          <w:lang w:val="pt-BR"/>
        </w:rPr>
      </w:r>
      <w:r>
        <w:rPr>
          <w:bCs/>
          <w:sz w:val="24"/>
          <w:szCs w:val="24"/>
          <w:lang w:val="pt-BR"/>
        </w:rPr>
      </w:r>
    </w:p>
    <w:p w14:paraId="5F953382">
      <w:pPr>
        <w:pStyle w:val="1105"/>
        <w:widowControl w:val="false"/>
        <w:pBdr/>
        <w:tabs>
          <w:tab w:val="left" w:leader="none" w:pos="426"/>
        </w:tabs>
        <w:spacing w:line="360" w:lineRule="auto"/>
        <w:ind w:firstLine="0"/>
        <w:contextualSpacing w:val="true"/>
        <w:jc w:val="both"/>
        <w:rPr>
          <w:bCs/>
          <w:sz w:val="24"/>
          <w:szCs w:val="24"/>
          <w:lang w:val="pt-BR"/>
        </w:rPr>
      </w:pPr>
      <w:r>
        <w:rPr>
          <w:bCs/>
          <w:sz w:val="24"/>
          <w:szCs w:val="24"/>
          <w:lang w:val="pt-BR"/>
        </w:rPr>
        <w:tab/>
      </w:r>
      <w:r>
        <w:rPr>
          <w:b/>
          <w:sz w:val="24"/>
          <w:szCs w:val="24"/>
          <w:lang w:val="pt-BR"/>
        </w:rPr>
        <w:t xml:space="preserve">VI</w:t>
      </w:r>
      <w:r>
        <w:rPr>
          <w:bCs/>
          <w:sz w:val="24"/>
          <w:szCs w:val="24"/>
          <w:lang w:val="pt-BR"/>
        </w:rPr>
        <w:t xml:space="preserve"> - Não celebrar o contrato ou não entregar a documentação exigida para a contratação, quando convocado dentro do prazo de validade de sua proposta;</w:t>
      </w:r>
      <w:r>
        <w:rPr>
          <w:bCs/>
          <w:sz w:val="24"/>
          <w:szCs w:val="24"/>
          <w:lang w:val="pt-BR"/>
        </w:rPr>
      </w:r>
      <w:r>
        <w:rPr>
          <w:bCs/>
          <w:sz w:val="24"/>
          <w:szCs w:val="24"/>
          <w:lang w:val="pt-BR"/>
        </w:rPr>
      </w:r>
    </w:p>
    <w:p w14:paraId="79E5F1A4">
      <w:pPr>
        <w:pStyle w:val="1105"/>
        <w:widowControl w:val="false"/>
        <w:pBdr/>
        <w:tabs>
          <w:tab w:val="left" w:leader="none" w:pos="426"/>
        </w:tabs>
        <w:spacing w:line="360" w:lineRule="auto"/>
        <w:ind w:firstLine="0"/>
        <w:contextualSpacing w:val="true"/>
        <w:jc w:val="both"/>
        <w:rPr>
          <w:bCs/>
          <w:sz w:val="24"/>
          <w:szCs w:val="24"/>
          <w:lang w:val="pt-BR"/>
        </w:rPr>
      </w:pPr>
      <w:r>
        <w:rPr>
          <w:bCs/>
          <w:sz w:val="24"/>
          <w:szCs w:val="24"/>
          <w:lang w:val="pt-BR"/>
        </w:rPr>
        <w:tab/>
      </w:r>
      <w:r>
        <w:rPr>
          <w:b/>
          <w:sz w:val="24"/>
          <w:szCs w:val="24"/>
          <w:lang w:val="pt-BR"/>
        </w:rPr>
        <w:t xml:space="preserve">VII</w:t>
      </w:r>
      <w:r>
        <w:rPr>
          <w:bCs/>
          <w:sz w:val="24"/>
          <w:szCs w:val="24"/>
          <w:lang w:val="pt-BR"/>
        </w:rPr>
        <w:t xml:space="preserve"> - ensejar o retardamento da execução ou da entrega do objeto da licitação sem motivo justificado;</w:t>
      </w:r>
      <w:r>
        <w:rPr>
          <w:bCs/>
          <w:sz w:val="24"/>
          <w:szCs w:val="24"/>
          <w:lang w:val="pt-BR"/>
        </w:rPr>
      </w:r>
      <w:r>
        <w:rPr>
          <w:bCs/>
          <w:sz w:val="24"/>
          <w:szCs w:val="24"/>
          <w:lang w:val="pt-BR"/>
        </w:rPr>
      </w:r>
    </w:p>
    <w:p w14:paraId="0574249B">
      <w:pPr>
        <w:pStyle w:val="1105"/>
        <w:widowControl w:val="false"/>
        <w:pBdr/>
        <w:tabs>
          <w:tab w:val="left" w:leader="none" w:pos="426"/>
        </w:tabs>
        <w:spacing w:line="360" w:lineRule="auto"/>
        <w:ind w:firstLine="0"/>
        <w:contextualSpacing w:val="true"/>
        <w:jc w:val="both"/>
        <w:rPr>
          <w:bCs/>
          <w:sz w:val="24"/>
          <w:szCs w:val="24"/>
          <w:lang w:val="pt-BR"/>
        </w:rPr>
      </w:pPr>
      <w:r>
        <w:rPr>
          <w:bCs/>
          <w:sz w:val="24"/>
          <w:szCs w:val="24"/>
          <w:lang w:val="pt-BR"/>
        </w:rPr>
        <w:tab/>
      </w:r>
      <w:r>
        <w:rPr>
          <w:b/>
          <w:sz w:val="24"/>
          <w:szCs w:val="24"/>
          <w:lang w:val="pt-BR"/>
        </w:rPr>
        <w:t xml:space="preserve">VIII</w:t>
      </w:r>
      <w:r>
        <w:rPr>
          <w:bCs/>
          <w:sz w:val="24"/>
          <w:szCs w:val="24"/>
          <w:lang w:val="pt-BR"/>
        </w:rPr>
        <w:t xml:space="preserve"> - apresentar declaração ou documentação falsa exigida para o certame ou prestar declaração falsa durante a licitação ou a execução do contrato;</w:t>
      </w:r>
      <w:r>
        <w:rPr>
          <w:bCs/>
          <w:sz w:val="24"/>
          <w:szCs w:val="24"/>
          <w:lang w:val="pt-BR"/>
        </w:rPr>
      </w:r>
      <w:r>
        <w:rPr>
          <w:bCs/>
          <w:sz w:val="24"/>
          <w:szCs w:val="24"/>
          <w:lang w:val="pt-BR"/>
        </w:rPr>
      </w:r>
    </w:p>
    <w:p w14:paraId="53AD03E2">
      <w:pPr>
        <w:pStyle w:val="1105"/>
        <w:widowControl w:val="false"/>
        <w:pBdr/>
        <w:tabs>
          <w:tab w:val="left" w:leader="none" w:pos="426"/>
        </w:tabs>
        <w:spacing w:line="360" w:lineRule="auto"/>
        <w:ind w:firstLine="0"/>
        <w:contextualSpacing w:val="true"/>
        <w:jc w:val="both"/>
        <w:rPr>
          <w:bCs/>
          <w:sz w:val="24"/>
          <w:szCs w:val="24"/>
          <w:lang w:val="pt-BR"/>
        </w:rPr>
      </w:pPr>
      <w:r>
        <w:rPr>
          <w:bCs/>
          <w:sz w:val="24"/>
          <w:szCs w:val="24"/>
          <w:lang w:val="pt-BR"/>
        </w:rPr>
        <w:tab/>
      </w:r>
      <w:r>
        <w:rPr>
          <w:b/>
          <w:sz w:val="24"/>
          <w:szCs w:val="24"/>
          <w:lang w:val="pt-BR"/>
        </w:rPr>
        <w:t xml:space="preserve">IX</w:t>
      </w:r>
      <w:r>
        <w:rPr>
          <w:bCs/>
          <w:sz w:val="24"/>
          <w:szCs w:val="24"/>
          <w:lang w:val="pt-BR"/>
        </w:rPr>
        <w:t xml:space="preserve"> - Fraudar a licitação ou praticar ato fraudulento na execução do contrato;</w:t>
      </w:r>
      <w:r>
        <w:rPr>
          <w:bCs/>
          <w:sz w:val="24"/>
          <w:szCs w:val="24"/>
          <w:lang w:val="pt-BR"/>
        </w:rPr>
      </w:r>
      <w:r>
        <w:rPr>
          <w:bCs/>
          <w:sz w:val="24"/>
          <w:szCs w:val="24"/>
          <w:lang w:val="pt-BR"/>
        </w:rPr>
      </w:r>
    </w:p>
    <w:p w14:paraId="2F7ACA12">
      <w:pPr>
        <w:pStyle w:val="1105"/>
        <w:widowControl w:val="false"/>
        <w:pBdr/>
        <w:tabs>
          <w:tab w:val="left" w:leader="none" w:pos="426"/>
        </w:tabs>
        <w:spacing w:line="360" w:lineRule="auto"/>
        <w:ind w:firstLine="0"/>
        <w:contextualSpacing w:val="true"/>
        <w:jc w:val="both"/>
        <w:rPr>
          <w:bCs/>
          <w:sz w:val="24"/>
          <w:szCs w:val="24"/>
          <w:lang w:val="pt-BR"/>
        </w:rPr>
      </w:pPr>
      <w:r>
        <w:rPr>
          <w:bCs/>
          <w:sz w:val="24"/>
          <w:szCs w:val="24"/>
          <w:lang w:val="pt-BR"/>
        </w:rPr>
        <w:tab/>
      </w:r>
      <w:r>
        <w:rPr>
          <w:b/>
          <w:sz w:val="24"/>
          <w:szCs w:val="24"/>
          <w:lang w:val="pt-BR"/>
        </w:rPr>
        <w:t xml:space="preserve">X </w:t>
      </w:r>
      <w:r>
        <w:rPr>
          <w:bCs/>
          <w:sz w:val="24"/>
          <w:szCs w:val="24"/>
          <w:lang w:val="pt-BR"/>
        </w:rPr>
        <w:t xml:space="preserve">- Comportar-se de modo inidôneo ou cometer fraude de qualquer natureza;</w:t>
      </w:r>
      <w:r>
        <w:rPr>
          <w:bCs/>
          <w:sz w:val="24"/>
          <w:szCs w:val="24"/>
          <w:lang w:val="pt-BR"/>
        </w:rPr>
      </w:r>
      <w:r>
        <w:rPr>
          <w:bCs/>
          <w:sz w:val="24"/>
          <w:szCs w:val="24"/>
          <w:lang w:val="pt-BR"/>
        </w:rPr>
      </w:r>
    </w:p>
    <w:p w14:paraId="14A6EDA2">
      <w:pPr>
        <w:pStyle w:val="1105"/>
        <w:widowControl w:val="false"/>
        <w:pBdr/>
        <w:tabs>
          <w:tab w:val="left" w:leader="none" w:pos="426"/>
        </w:tabs>
        <w:spacing w:line="360" w:lineRule="auto"/>
        <w:ind w:firstLine="0"/>
        <w:contextualSpacing w:val="true"/>
        <w:jc w:val="both"/>
        <w:rPr>
          <w:bCs/>
          <w:sz w:val="24"/>
          <w:szCs w:val="24"/>
          <w:lang w:val="pt-BR"/>
        </w:rPr>
      </w:pPr>
      <w:r>
        <w:rPr>
          <w:bCs/>
          <w:sz w:val="24"/>
          <w:szCs w:val="24"/>
          <w:lang w:val="pt-BR"/>
        </w:rPr>
        <w:tab/>
      </w:r>
      <w:r>
        <w:rPr>
          <w:b/>
          <w:sz w:val="24"/>
          <w:szCs w:val="24"/>
          <w:lang w:val="pt-BR"/>
        </w:rPr>
        <w:t xml:space="preserve">XI</w:t>
      </w:r>
      <w:r>
        <w:rPr>
          <w:bCs/>
          <w:sz w:val="24"/>
          <w:szCs w:val="24"/>
          <w:lang w:val="pt-BR"/>
        </w:rPr>
        <w:t xml:space="preserve"> - praticar atos ilícitos com vistas a frustrar os objetivos da licitação;</w:t>
      </w:r>
      <w:r>
        <w:rPr>
          <w:bCs/>
          <w:sz w:val="24"/>
          <w:szCs w:val="24"/>
          <w:lang w:val="pt-BR"/>
        </w:rPr>
      </w:r>
      <w:r>
        <w:rPr>
          <w:bCs/>
          <w:sz w:val="24"/>
          <w:szCs w:val="24"/>
          <w:lang w:val="pt-BR"/>
        </w:rPr>
      </w:r>
    </w:p>
    <w:p w14:paraId="62F71234">
      <w:pPr>
        <w:pStyle w:val="1105"/>
        <w:widowControl w:val="false"/>
        <w:pBdr/>
        <w:tabs>
          <w:tab w:val="left" w:leader="none" w:pos="426"/>
        </w:tabs>
        <w:spacing w:line="360" w:lineRule="auto"/>
        <w:ind w:firstLine="0"/>
        <w:contextualSpacing w:val="true"/>
        <w:jc w:val="both"/>
        <w:rPr>
          <w:bCs/>
          <w:sz w:val="24"/>
          <w:szCs w:val="24"/>
          <w:lang w:val="pt-BR"/>
        </w:rPr>
      </w:pPr>
      <w:r>
        <w:rPr>
          <w:bCs/>
          <w:sz w:val="24"/>
          <w:szCs w:val="24"/>
          <w:lang w:val="pt-BR"/>
        </w:rPr>
        <w:tab/>
      </w:r>
      <w:r>
        <w:rPr>
          <w:b/>
          <w:sz w:val="24"/>
          <w:szCs w:val="24"/>
          <w:lang w:val="pt-BR"/>
        </w:rPr>
        <w:t xml:space="preserve">XII</w:t>
      </w:r>
      <w:r>
        <w:rPr>
          <w:bCs/>
          <w:sz w:val="24"/>
          <w:szCs w:val="24"/>
          <w:lang w:val="pt-BR"/>
        </w:rPr>
        <w:t xml:space="preserve"> - praticar ato lesivo previsto no art. 5º da Lei nº 12.846, de 1º de agosto de 2013.</w:t>
      </w:r>
      <w:r>
        <w:rPr>
          <w:bCs/>
          <w:sz w:val="24"/>
          <w:szCs w:val="24"/>
          <w:lang w:val="pt-BR"/>
        </w:rPr>
      </w:r>
      <w:r>
        <w:rPr>
          <w:bCs/>
          <w:sz w:val="24"/>
          <w:szCs w:val="24"/>
          <w:lang w:val="pt-BR"/>
        </w:rPr>
      </w:r>
    </w:p>
    <w:p w14:paraId="0CA38978">
      <w:pPr>
        <w:pStyle w:val="1105"/>
        <w:widowControl w:val="false"/>
        <w:pBdr/>
        <w:tabs>
          <w:tab w:val="left" w:leader="none" w:pos="426"/>
        </w:tabs>
        <w:spacing w:line="360" w:lineRule="auto"/>
        <w:ind w:hanging="17" w:left="17"/>
        <w:contextualSpacing w:val="true"/>
        <w:jc w:val="both"/>
        <w:rPr>
          <w:bCs/>
          <w:sz w:val="24"/>
          <w:szCs w:val="24"/>
          <w:lang w:val="pt-BR"/>
        </w:rPr>
      </w:pPr>
      <w:r>
        <w:rPr>
          <w:b/>
          <w:sz w:val="24"/>
          <w:szCs w:val="24"/>
          <w:lang w:val="pt-BR"/>
        </w:rPr>
        <w:t xml:space="preserve">6.9.3</w:t>
      </w:r>
      <w:r>
        <w:rPr>
          <w:bCs/>
          <w:sz w:val="24"/>
          <w:szCs w:val="24"/>
          <w:lang w:val="pt-BR"/>
        </w:rPr>
        <w:t xml:space="preserve">. Serão aplicadas ao responsável pelas infrações administrativas as seguintes sanções:</w:t>
      </w:r>
      <w:r>
        <w:rPr>
          <w:bCs/>
          <w:sz w:val="24"/>
          <w:szCs w:val="24"/>
          <w:lang w:val="pt-BR"/>
        </w:rPr>
      </w:r>
      <w:r>
        <w:rPr>
          <w:bCs/>
          <w:sz w:val="24"/>
          <w:szCs w:val="24"/>
          <w:lang w:val="pt-BR"/>
        </w:rPr>
      </w:r>
    </w:p>
    <w:p w14:paraId="78DD8932">
      <w:pPr>
        <w:pStyle w:val="1105"/>
        <w:widowControl w:val="false"/>
        <w:pBdr/>
        <w:tabs>
          <w:tab w:val="left" w:leader="none" w:pos="0"/>
        </w:tabs>
        <w:spacing w:line="360" w:lineRule="auto"/>
        <w:ind w:firstLine="399" w:left="0"/>
        <w:contextualSpacing w:val="true"/>
        <w:jc w:val="both"/>
        <w:rPr>
          <w:bCs/>
          <w:sz w:val="24"/>
          <w:szCs w:val="24"/>
          <w:lang w:val="pt-BR"/>
        </w:rPr>
      </w:pPr>
      <w:r>
        <w:rPr>
          <w:b/>
          <w:sz w:val="24"/>
          <w:szCs w:val="24"/>
          <w:lang w:val="pt-BR"/>
        </w:rPr>
        <w:t xml:space="preserve">I</w:t>
      </w:r>
      <w:r>
        <w:rPr>
          <w:bCs/>
          <w:sz w:val="24"/>
          <w:szCs w:val="24"/>
          <w:lang w:val="pt-BR"/>
        </w:rPr>
        <w:t xml:space="preserve"> - Advertência;</w:t>
      </w:r>
      <w:r>
        <w:rPr>
          <w:bCs/>
          <w:sz w:val="24"/>
          <w:szCs w:val="24"/>
          <w:lang w:val="pt-BR"/>
        </w:rPr>
      </w:r>
      <w:r>
        <w:rPr>
          <w:bCs/>
          <w:sz w:val="24"/>
          <w:szCs w:val="24"/>
          <w:lang w:val="pt-BR"/>
        </w:rPr>
      </w:r>
    </w:p>
    <w:p w14:paraId="65E543BD">
      <w:pPr>
        <w:pStyle w:val="1105"/>
        <w:widowControl w:val="false"/>
        <w:pBdr/>
        <w:tabs>
          <w:tab w:val="left" w:leader="none" w:pos="426"/>
        </w:tabs>
        <w:spacing w:line="360" w:lineRule="auto"/>
        <w:ind w:firstLine="482" w:left="0"/>
        <w:contextualSpacing w:val="true"/>
        <w:jc w:val="both"/>
        <w:rPr>
          <w:bCs/>
          <w:sz w:val="24"/>
          <w:szCs w:val="24"/>
          <w:lang w:val="pt-BR"/>
        </w:rPr>
      </w:pPr>
      <w:r>
        <w:rPr>
          <w:b/>
          <w:sz w:val="24"/>
          <w:szCs w:val="24"/>
          <w:lang w:val="pt-BR"/>
        </w:rPr>
        <w:t xml:space="preserve">II</w:t>
      </w:r>
      <w:r>
        <w:rPr>
          <w:bCs/>
          <w:sz w:val="24"/>
          <w:szCs w:val="24"/>
          <w:lang w:val="pt-BR"/>
        </w:rPr>
        <w:t xml:space="preserve"> - Multa;</w:t>
      </w:r>
      <w:r>
        <w:rPr>
          <w:bCs/>
          <w:sz w:val="24"/>
          <w:szCs w:val="24"/>
          <w:lang w:val="pt-BR"/>
        </w:rPr>
      </w:r>
      <w:r>
        <w:rPr>
          <w:bCs/>
          <w:sz w:val="24"/>
          <w:szCs w:val="24"/>
          <w:lang w:val="pt-BR"/>
        </w:rPr>
      </w:r>
    </w:p>
    <w:p w14:paraId="27649E2D">
      <w:pPr>
        <w:pStyle w:val="1105"/>
        <w:widowControl w:val="false"/>
        <w:pBdr/>
        <w:tabs>
          <w:tab w:val="left" w:leader="none" w:pos="426"/>
        </w:tabs>
        <w:spacing w:line="360" w:lineRule="auto"/>
        <w:ind w:firstLine="482" w:left="0"/>
        <w:contextualSpacing w:val="true"/>
        <w:jc w:val="both"/>
        <w:rPr>
          <w:bCs/>
          <w:sz w:val="24"/>
          <w:szCs w:val="24"/>
          <w:lang w:val="pt-BR"/>
        </w:rPr>
      </w:pPr>
      <w:r>
        <w:rPr>
          <w:b/>
          <w:sz w:val="24"/>
          <w:szCs w:val="24"/>
          <w:lang w:val="pt-BR"/>
        </w:rPr>
        <w:t xml:space="preserve">III </w:t>
      </w:r>
      <w:r>
        <w:rPr>
          <w:bCs/>
          <w:sz w:val="24"/>
          <w:szCs w:val="24"/>
          <w:lang w:val="pt-BR"/>
        </w:rPr>
        <w:t xml:space="preserve">- impedimento de licitar e contratar;</w:t>
      </w:r>
      <w:r>
        <w:rPr>
          <w:bCs/>
          <w:sz w:val="24"/>
          <w:szCs w:val="24"/>
          <w:lang w:val="pt-BR"/>
        </w:rPr>
      </w:r>
      <w:r>
        <w:rPr>
          <w:bCs/>
          <w:sz w:val="24"/>
          <w:szCs w:val="24"/>
          <w:lang w:val="pt-BR"/>
        </w:rPr>
      </w:r>
    </w:p>
    <w:p w14:paraId="5A14E921">
      <w:pPr>
        <w:pStyle w:val="1105"/>
        <w:widowControl w:val="false"/>
        <w:pBdr/>
        <w:tabs>
          <w:tab w:val="left" w:leader="none" w:pos="426"/>
        </w:tabs>
        <w:spacing w:line="360" w:lineRule="auto"/>
        <w:ind w:firstLine="482" w:left="0"/>
        <w:contextualSpacing w:val="true"/>
        <w:jc w:val="both"/>
        <w:rPr>
          <w:bCs/>
          <w:sz w:val="24"/>
          <w:szCs w:val="24"/>
          <w:lang w:val="pt-BR"/>
        </w:rPr>
      </w:pPr>
      <w:r>
        <w:rPr>
          <w:b/>
          <w:sz w:val="24"/>
          <w:szCs w:val="24"/>
          <w:lang w:val="pt-BR"/>
        </w:rPr>
        <w:t xml:space="preserve">IV</w:t>
      </w:r>
      <w:r>
        <w:rPr>
          <w:bCs/>
          <w:sz w:val="24"/>
          <w:szCs w:val="24"/>
          <w:lang w:val="pt-BR"/>
        </w:rPr>
        <w:t xml:space="preserve"> - Declaração de inidoneidade para licitar ou contratar.</w:t>
      </w:r>
      <w:r>
        <w:rPr>
          <w:bCs/>
          <w:sz w:val="24"/>
          <w:szCs w:val="24"/>
          <w:lang w:val="pt-BR"/>
        </w:rPr>
      </w:r>
      <w:r>
        <w:rPr>
          <w:bCs/>
          <w:sz w:val="24"/>
          <w:szCs w:val="24"/>
          <w:lang w:val="pt-BR"/>
        </w:rPr>
      </w:r>
    </w:p>
    <w:p w14:paraId="6F408D73">
      <w:pPr>
        <w:pStyle w:val="1105"/>
        <w:widowControl w:val="false"/>
        <w:pBdr/>
        <w:tabs>
          <w:tab w:val="left" w:leader="none" w:pos="426"/>
        </w:tabs>
        <w:spacing w:line="360" w:lineRule="auto"/>
        <w:ind w:firstLine="3000" w:left="0"/>
        <w:contextualSpacing w:val="true"/>
        <w:jc w:val="both"/>
        <w:rPr>
          <w:bCs/>
          <w:sz w:val="24"/>
          <w:szCs w:val="24"/>
          <w:lang w:val="pt-BR"/>
        </w:rPr>
      </w:pPr>
      <w:r>
        <w:rPr>
          <w:bCs/>
          <w:sz w:val="24"/>
          <w:szCs w:val="24"/>
          <w:lang w:val="pt-BR"/>
        </w:rPr>
        <w:t xml:space="preserve">§ 1º Na aplicação das sanções serão considerados:</w:t>
      </w:r>
      <w:r>
        <w:rPr>
          <w:bCs/>
          <w:sz w:val="24"/>
          <w:szCs w:val="24"/>
          <w:lang w:val="pt-BR"/>
        </w:rPr>
      </w:r>
      <w:r>
        <w:rPr>
          <w:bCs/>
          <w:sz w:val="24"/>
          <w:szCs w:val="24"/>
          <w:lang w:val="pt-BR"/>
        </w:rPr>
      </w:r>
    </w:p>
    <w:p w14:paraId="1A7F554A">
      <w:pPr>
        <w:pStyle w:val="1105"/>
        <w:widowControl w:val="false"/>
        <w:pBdr/>
        <w:tabs>
          <w:tab w:val="left" w:leader="none" w:pos="426"/>
        </w:tabs>
        <w:spacing w:line="360" w:lineRule="auto"/>
        <w:ind w:firstLine="3000" w:left="0"/>
        <w:contextualSpacing w:val="true"/>
        <w:jc w:val="both"/>
        <w:rPr>
          <w:bCs/>
          <w:sz w:val="24"/>
          <w:szCs w:val="24"/>
          <w:lang w:val="pt-BR"/>
        </w:rPr>
      </w:pPr>
      <w:r>
        <w:rPr>
          <w:b/>
          <w:sz w:val="24"/>
          <w:szCs w:val="24"/>
          <w:lang w:val="pt-BR"/>
        </w:rPr>
        <w:t xml:space="preserve">I</w:t>
      </w:r>
      <w:r>
        <w:rPr>
          <w:bCs/>
          <w:sz w:val="24"/>
          <w:szCs w:val="24"/>
          <w:lang w:val="pt-BR"/>
        </w:rPr>
        <w:t xml:space="preserve"> - A natureza e a gravidade da infração cometida;</w:t>
      </w:r>
      <w:r>
        <w:rPr>
          <w:bCs/>
          <w:sz w:val="24"/>
          <w:szCs w:val="24"/>
          <w:lang w:val="pt-BR"/>
        </w:rPr>
      </w:r>
      <w:r>
        <w:rPr>
          <w:bCs/>
          <w:sz w:val="24"/>
          <w:szCs w:val="24"/>
          <w:lang w:val="pt-BR"/>
        </w:rPr>
      </w:r>
    </w:p>
    <w:p w14:paraId="21F7A990">
      <w:pPr>
        <w:pStyle w:val="1105"/>
        <w:widowControl w:val="false"/>
        <w:pBdr/>
        <w:tabs>
          <w:tab w:val="left" w:leader="none" w:pos="426"/>
        </w:tabs>
        <w:spacing w:line="360" w:lineRule="auto"/>
        <w:ind w:firstLine="3000" w:left="0"/>
        <w:contextualSpacing w:val="true"/>
        <w:jc w:val="both"/>
        <w:rPr>
          <w:bCs/>
          <w:sz w:val="24"/>
          <w:szCs w:val="24"/>
          <w:lang w:val="pt-BR"/>
        </w:rPr>
      </w:pPr>
      <w:r>
        <w:rPr>
          <w:b/>
          <w:sz w:val="24"/>
          <w:szCs w:val="24"/>
          <w:lang w:val="pt-BR"/>
        </w:rPr>
        <w:t xml:space="preserve">II </w:t>
      </w:r>
      <w:r>
        <w:rPr>
          <w:bCs/>
          <w:sz w:val="24"/>
          <w:szCs w:val="24"/>
          <w:lang w:val="pt-BR"/>
        </w:rPr>
        <w:t xml:space="preserve">- As peculiaridades do caso concreto;</w:t>
      </w:r>
      <w:r>
        <w:rPr>
          <w:bCs/>
          <w:sz w:val="24"/>
          <w:szCs w:val="24"/>
          <w:lang w:val="pt-BR"/>
        </w:rPr>
      </w:r>
      <w:r>
        <w:rPr>
          <w:bCs/>
          <w:sz w:val="24"/>
          <w:szCs w:val="24"/>
          <w:lang w:val="pt-BR"/>
        </w:rPr>
      </w:r>
    </w:p>
    <w:p w14:paraId="3530BD33">
      <w:pPr>
        <w:pStyle w:val="1105"/>
        <w:widowControl w:val="false"/>
        <w:pBdr/>
        <w:tabs>
          <w:tab w:val="left" w:leader="none" w:pos="426"/>
        </w:tabs>
        <w:spacing w:line="360" w:lineRule="auto"/>
        <w:ind w:firstLine="3000" w:left="0"/>
        <w:contextualSpacing w:val="true"/>
        <w:jc w:val="both"/>
        <w:rPr>
          <w:bCs/>
          <w:sz w:val="24"/>
          <w:szCs w:val="24"/>
          <w:lang w:val="pt-BR"/>
        </w:rPr>
      </w:pPr>
      <w:r>
        <w:rPr>
          <w:b/>
          <w:sz w:val="24"/>
          <w:szCs w:val="24"/>
          <w:lang w:val="pt-BR"/>
        </w:rPr>
        <w:t xml:space="preserve">III</w:t>
      </w:r>
      <w:r>
        <w:rPr>
          <w:bCs/>
          <w:sz w:val="24"/>
          <w:szCs w:val="24"/>
          <w:lang w:val="pt-BR"/>
        </w:rPr>
        <w:t xml:space="preserve"> - As circunstâncias agravantes ou atenuantes;</w:t>
      </w:r>
      <w:r>
        <w:rPr>
          <w:bCs/>
          <w:sz w:val="24"/>
          <w:szCs w:val="24"/>
          <w:lang w:val="pt-BR"/>
        </w:rPr>
      </w:r>
      <w:r>
        <w:rPr>
          <w:bCs/>
          <w:sz w:val="24"/>
          <w:szCs w:val="24"/>
          <w:lang w:val="pt-BR"/>
        </w:rPr>
      </w:r>
    </w:p>
    <w:p w14:paraId="29D716BC">
      <w:pPr>
        <w:pStyle w:val="1105"/>
        <w:widowControl w:val="false"/>
        <w:pBdr/>
        <w:tabs>
          <w:tab w:val="left" w:leader="none" w:pos="426"/>
        </w:tabs>
        <w:spacing w:line="360" w:lineRule="auto"/>
        <w:ind w:firstLine="3000" w:left="0"/>
        <w:contextualSpacing w:val="true"/>
        <w:jc w:val="both"/>
        <w:rPr>
          <w:bCs/>
          <w:sz w:val="24"/>
          <w:szCs w:val="24"/>
          <w:lang w:val="pt-BR"/>
        </w:rPr>
      </w:pPr>
      <w:r>
        <w:rPr>
          <w:b/>
          <w:sz w:val="24"/>
          <w:szCs w:val="24"/>
          <w:lang w:val="pt-BR"/>
        </w:rPr>
        <w:t xml:space="preserve">IV </w:t>
      </w:r>
      <w:r>
        <w:rPr>
          <w:bCs/>
          <w:sz w:val="24"/>
          <w:szCs w:val="24"/>
          <w:lang w:val="pt-BR"/>
        </w:rPr>
        <w:t xml:space="preserve">- Os danos que dela provierem para a Administração Pública;</w:t>
      </w:r>
      <w:r>
        <w:rPr>
          <w:bCs/>
          <w:sz w:val="24"/>
          <w:szCs w:val="24"/>
          <w:lang w:val="pt-BR"/>
        </w:rPr>
      </w:r>
      <w:r>
        <w:rPr>
          <w:bCs/>
          <w:sz w:val="24"/>
          <w:szCs w:val="24"/>
          <w:lang w:val="pt-BR"/>
        </w:rPr>
      </w:r>
    </w:p>
    <w:p w14:paraId="3B8FEF88">
      <w:pPr>
        <w:pStyle w:val="1105"/>
        <w:widowControl w:val="false"/>
        <w:pBdr/>
        <w:tabs>
          <w:tab w:val="left" w:leader="none" w:pos="426"/>
        </w:tabs>
        <w:spacing w:line="360" w:lineRule="auto"/>
        <w:ind w:firstLine="3000" w:left="0"/>
        <w:contextualSpacing w:val="true"/>
        <w:jc w:val="both"/>
        <w:rPr>
          <w:bCs/>
          <w:sz w:val="24"/>
          <w:szCs w:val="24"/>
          <w:lang w:val="pt-BR"/>
        </w:rPr>
      </w:pPr>
      <w:r>
        <w:rPr>
          <w:b/>
          <w:sz w:val="24"/>
          <w:szCs w:val="24"/>
          <w:lang w:val="pt-BR"/>
        </w:rPr>
        <w:t xml:space="preserve">V</w:t>
      </w:r>
      <w:r>
        <w:rPr>
          <w:bCs/>
          <w:sz w:val="24"/>
          <w:szCs w:val="24"/>
          <w:lang w:val="pt-BR"/>
        </w:rPr>
        <w:t xml:space="preserve"> - A implantação ou o aperfeiçoamento de programa de integridade, conforme normas e orientações dos órgãos de controle.</w:t>
      </w:r>
      <w:r>
        <w:rPr>
          <w:bCs/>
          <w:sz w:val="24"/>
          <w:szCs w:val="24"/>
          <w:lang w:val="pt-BR"/>
        </w:rPr>
      </w:r>
      <w:r>
        <w:rPr>
          <w:bCs/>
          <w:sz w:val="24"/>
          <w:szCs w:val="24"/>
          <w:lang w:val="pt-BR"/>
        </w:rPr>
      </w:r>
    </w:p>
    <w:p w14:paraId="1BE507F4">
      <w:pPr>
        <w:pStyle w:val="1105"/>
        <w:widowControl w:val="false"/>
        <w:pBdr/>
        <w:tabs>
          <w:tab w:val="left" w:leader="none" w:pos="426"/>
        </w:tabs>
        <w:spacing w:line="360" w:lineRule="auto"/>
        <w:ind w:firstLine="2982" w:left="18"/>
        <w:contextualSpacing w:val="true"/>
        <w:jc w:val="both"/>
        <w:rPr>
          <w:bCs/>
          <w:sz w:val="24"/>
          <w:szCs w:val="24"/>
          <w:lang w:val="pt-BR"/>
        </w:rPr>
      </w:pPr>
      <w:r>
        <w:rPr>
          <w:bCs/>
          <w:sz w:val="24"/>
          <w:szCs w:val="24"/>
          <w:lang w:val="pt-BR"/>
        </w:rPr>
        <w:t xml:space="preserve">§ </w:t>
      </w:r>
      <w:r>
        <w:rPr>
          <w:bCs/>
          <w:sz w:val="24"/>
          <w:szCs w:val="24"/>
          <w:lang w:val="pt-BR"/>
        </w:rPr>
        <w:t xml:space="preserve">2º A sanção prevista no inciso I, do caput do art. 156, da Lei 14.133/21 será aplicada exclusivamente pela infração administrativa de prevista no inciso I do caput do art. 155 da Lei 14.133/21, quando não se justificar a imposição de penalidade mais grave.</w:t>
      </w:r>
      <w:r>
        <w:rPr>
          <w:bCs/>
          <w:sz w:val="24"/>
          <w:szCs w:val="24"/>
          <w:lang w:val="pt-BR"/>
        </w:rPr>
      </w:r>
      <w:r>
        <w:rPr>
          <w:bCs/>
          <w:sz w:val="24"/>
          <w:szCs w:val="24"/>
          <w:lang w:val="pt-BR"/>
        </w:rPr>
      </w:r>
    </w:p>
    <w:p w14:paraId="3C6EE36C">
      <w:pPr>
        <w:pStyle w:val="1105"/>
        <w:widowControl w:val="false"/>
        <w:pBdr/>
        <w:tabs>
          <w:tab w:val="left" w:leader="none" w:pos="426"/>
        </w:tabs>
        <w:spacing w:line="360" w:lineRule="auto"/>
        <w:ind/>
        <w:contextualSpacing w:val="true"/>
        <w:jc w:val="both"/>
        <w:rPr>
          <w:bCs/>
          <w:sz w:val="24"/>
          <w:szCs w:val="24"/>
          <w:lang w:val="pt-BR"/>
        </w:rPr>
      </w:pPr>
      <w:r>
        <w:rPr>
          <w:bCs/>
          <w:sz w:val="24"/>
          <w:szCs w:val="24"/>
          <w:lang w:val="pt-BR"/>
        </w:rPr>
        <w:t xml:space="preserve">§ 3º A sanção prevista no inciso II, do caput do art. 156, da Lei 14.133/21, calculada na forma do edital ou do contrato, não poderá ser inf</w:t>
      </w:r>
      <w:r>
        <w:rPr>
          <w:bCs/>
          <w:sz w:val="24"/>
          <w:szCs w:val="24"/>
          <w:lang w:val="pt-BR"/>
        </w:rPr>
        <w:t xml:space="preserve">erior a 0,5% (cinco décimos por cento) nem superior a 30% (trinta por cento) do valor do contrato licitado ou celebrado com contratação direta e será aplicada ao responsável por qualquer das infrações administrativas previstas no art. 155 da Lei 14.133/21.</w:t>
      </w:r>
      <w:r>
        <w:rPr>
          <w:bCs/>
          <w:sz w:val="24"/>
          <w:szCs w:val="24"/>
          <w:lang w:val="pt-BR"/>
        </w:rPr>
      </w:r>
      <w:r>
        <w:rPr>
          <w:bCs/>
          <w:sz w:val="24"/>
          <w:szCs w:val="24"/>
          <w:lang w:val="pt-BR"/>
        </w:rPr>
      </w:r>
    </w:p>
    <w:p w14:paraId="05178087">
      <w:pPr>
        <w:pStyle w:val="1105"/>
        <w:widowControl w:val="false"/>
        <w:pBdr/>
        <w:tabs>
          <w:tab w:val="left" w:leader="none" w:pos="426"/>
        </w:tabs>
        <w:spacing w:line="360" w:lineRule="auto"/>
        <w:ind/>
        <w:contextualSpacing w:val="true"/>
        <w:jc w:val="both"/>
        <w:rPr>
          <w:bCs/>
          <w:sz w:val="24"/>
          <w:szCs w:val="24"/>
          <w:lang w:val="pt-BR"/>
        </w:rPr>
      </w:pPr>
      <w:r>
        <w:rPr>
          <w:bCs/>
          <w:sz w:val="24"/>
          <w:szCs w:val="24"/>
          <w:lang w:val="pt-BR"/>
        </w:rPr>
        <w:t xml:space="preserve">§ 4º A sanção prevista no inciso III, do caput do art. 156, da Lei 14.133/21será aplicada ao responsável pelas infrações administrativas previstas nos incisos II, III, IV, V, VI e VII do caput do art. 155, da Lei 14.</w:t>
      </w:r>
      <w:r>
        <w:rPr>
          <w:bCs/>
          <w:sz w:val="24"/>
          <w:szCs w:val="24"/>
          <w:lang w:val="pt-BR"/>
        </w:rPr>
        <w:t xml:space="preserve">133/21, quando não se justificar a imposição de penalidade mais grave, e impedirá o responsável de licitar ou contratar no âmbito da Administração Pública direta e indireta do ente federativo que tiver aplicado a sanção, pelo prazo máximo de 3 (três) anos.</w:t>
      </w:r>
      <w:r>
        <w:rPr>
          <w:bCs/>
          <w:sz w:val="24"/>
          <w:szCs w:val="24"/>
          <w:lang w:val="pt-BR"/>
        </w:rPr>
      </w:r>
      <w:r>
        <w:rPr>
          <w:bCs/>
          <w:sz w:val="24"/>
          <w:szCs w:val="24"/>
          <w:lang w:val="pt-BR"/>
        </w:rPr>
      </w:r>
    </w:p>
    <w:p w14:paraId="71AA69CC">
      <w:pPr>
        <w:pStyle w:val="1105"/>
        <w:widowControl w:val="false"/>
        <w:pBdr/>
        <w:tabs>
          <w:tab w:val="left" w:leader="none" w:pos="426"/>
        </w:tabs>
        <w:spacing w:line="360" w:lineRule="auto"/>
        <w:ind/>
        <w:contextualSpacing w:val="true"/>
        <w:jc w:val="both"/>
        <w:rPr>
          <w:bCs/>
          <w:sz w:val="24"/>
          <w:szCs w:val="24"/>
          <w:lang w:val="pt-BR"/>
        </w:rPr>
      </w:pPr>
      <w:r>
        <w:rPr>
          <w:bCs/>
          <w:sz w:val="24"/>
          <w:szCs w:val="24"/>
          <w:lang w:val="pt-BR"/>
        </w:rPr>
        <w:t xml:space="preserve">§ 5º A sanção prevista no inciso IV, do caput do art. 156, da Lei 14.133/21 será aplicada ao responsável pelas infrações administrati</w:t>
      </w:r>
      <w:r>
        <w:rPr>
          <w:bCs/>
          <w:sz w:val="24"/>
          <w:szCs w:val="24"/>
          <w:lang w:val="pt-BR"/>
        </w:rPr>
        <w:t xml:space="preserve">vas previstas nos incisos VIII, IX, X, XI e XII do caput do art. 155, da Lei 14.133/21, bem como pelas infrações administrativas previstas nos incisos II, III, IV, V, VI e VII do caput do referido artigo que justifiquem a imposição de penalidade mais grave</w:t>
      </w:r>
      <w:r>
        <w:rPr>
          <w:bCs/>
          <w:sz w:val="24"/>
          <w:szCs w:val="24"/>
          <w:lang w:val="pt-BR"/>
        </w:rPr>
        <w:t xml:space="preserve"> que a sanção prevista no § 4º do art. 156, da Lei 14.133/21, e impedirá o responsável de licitar ou contratar no âmbito da Administração Pública direta e indireta de todos os entes federativos, pelo prazo mínimo de 3 (três) anos e máximo de 6 (seis) anos.</w:t>
      </w:r>
      <w:r>
        <w:rPr>
          <w:bCs/>
          <w:sz w:val="24"/>
          <w:szCs w:val="24"/>
          <w:lang w:val="pt-BR"/>
        </w:rPr>
      </w:r>
      <w:r>
        <w:rPr>
          <w:bCs/>
          <w:sz w:val="24"/>
          <w:szCs w:val="24"/>
          <w:lang w:val="pt-BR"/>
        </w:rPr>
      </w:r>
    </w:p>
    <w:p w14:paraId="38B36F4C">
      <w:pPr>
        <w:pStyle w:val="1105"/>
        <w:widowControl w:val="false"/>
        <w:pBdr/>
        <w:tabs>
          <w:tab w:val="left" w:leader="none" w:pos="426"/>
        </w:tabs>
        <w:spacing w:line="360" w:lineRule="auto"/>
        <w:ind/>
        <w:contextualSpacing w:val="true"/>
        <w:jc w:val="both"/>
        <w:rPr>
          <w:bCs/>
          <w:sz w:val="24"/>
          <w:szCs w:val="24"/>
          <w:lang w:val="pt-BR"/>
        </w:rPr>
      </w:pPr>
      <w:r>
        <w:rPr>
          <w:bCs/>
          <w:sz w:val="24"/>
          <w:szCs w:val="24"/>
          <w:lang w:val="pt-BR"/>
        </w:rPr>
        <w:t xml:space="preserve">§ 6º A sanção prevista no inciso IV, do caput do art. 156, da Lei 14.133/21 será precedida de</w:t>
      </w:r>
      <w:r>
        <w:rPr>
          <w:rFonts w:hint="default"/>
          <w:bCs/>
          <w:sz w:val="24"/>
          <w:szCs w:val="24"/>
          <w:lang w:val="pt-BR"/>
        </w:rPr>
        <w:t xml:space="preserve"> </w:t>
      </w:r>
      <w:r>
        <w:rPr>
          <w:bCs/>
          <w:sz w:val="24"/>
          <w:szCs w:val="24"/>
          <w:lang w:val="pt-BR"/>
        </w:rPr>
        <w:t xml:space="preserve">análise jurídica e observará a seguinte regra: quando aplicada por órgão do Poder Executivo, será</w:t>
      </w:r>
      <w:r>
        <w:rPr>
          <w:rFonts w:hint="default"/>
          <w:bCs/>
          <w:sz w:val="24"/>
          <w:szCs w:val="24"/>
          <w:lang w:val="pt-BR"/>
        </w:rPr>
        <w:t xml:space="preserve"> </w:t>
      </w:r>
      <w:r>
        <w:rPr>
          <w:bCs/>
          <w:sz w:val="24"/>
          <w:szCs w:val="24"/>
          <w:lang w:val="pt-BR"/>
        </w:rPr>
        <w:t xml:space="preserve">de competência exclusiva de secretário municipal.</w:t>
      </w:r>
      <w:r>
        <w:rPr>
          <w:bCs/>
          <w:sz w:val="24"/>
          <w:szCs w:val="24"/>
          <w:lang w:val="pt-BR"/>
        </w:rPr>
      </w:r>
      <w:r>
        <w:rPr>
          <w:bCs/>
          <w:sz w:val="24"/>
          <w:szCs w:val="24"/>
          <w:lang w:val="pt-BR"/>
        </w:rPr>
      </w:r>
    </w:p>
    <w:p w14:paraId="56C175EC">
      <w:pPr>
        <w:pStyle w:val="1105"/>
        <w:widowControl w:val="false"/>
        <w:pBdr/>
        <w:tabs>
          <w:tab w:val="left" w:leader="none" w:pos="426"/>
        </w:tabs>
        <w:spacing w:line="360" w:lineRule="auto"/>
        <w:ind/>
        <w:contextualSpacing w:val="true"/>
        <w:jc w:val="both"/>
        <w:rPr>
          <w:bCs/>
          <w:sz w:val="24"/>
          <w:szCs w:val="24"/>
          <w:lang w:val="pt-BR"/>
        </w:rPr>
      </w:pPr>
      <w:r>
        <w:rPr>
          <w:bCs/>
          <w:sz w:val="24"/>
          <w:szCs w:val="24"/>
          <w:lang w:val="pt-BR"/>
        </w:rPr>
        <w:t xml:space="preserve">§ 7º As sanções previstas nos incisos I, III e IV do caput do art. 156, da Lei 14.133/21 poderão ser aplicadas cumulativamente com a prevista no inciso II do caput do referido artigo.</w:t>
      </w:r>
      <w:r>
        <w:rPr>
          <w:bCs/>
          <w:sz w:val="24"/>
          <w:szCs w:val="24"/>
          <w:lang w:val="pt-BR"/>
        </w:rPr>
      </w:r>
      <w:r>
        <w:rPr>
          <w:bCs/>
          <w:sz w:val="24"/>
          <w:szCs w:val="24"/>
          <w:lang w:val="pt-BR"/>
        </w:rPr>
      </w:r>
    </w:p>
    <w:p w14:paraId="56D5CB3B">
      <w:pPr>
        <w:pStyle w:val="1105"/>
        <w:widowControl w:val="false"/>
        <w:pBdr/>
        <w:tabs>
          <w:tab w:val="left" w:leader="none" w:pos="426"/>
        </w:tabs>
        <w:spacing w:line="360" w:lineRule="auto"/>
        <w:ind/>
        <w:contextualSpacing w:val="true"/>
        <w:jc w:val="both"/>
        <w:rPr>
          <w:bCs/>
          <w:sz w:val="24"/>
          <w:szCs w:val="24"/>
          <w:lang w:val="pt-BR"/>
        </w:rPr>
      </w:pPr>
      <w:r>
        <w:rPr>
          <w:bCs/>
          <w:sz w:val="24"/>
          <w:szCs w:val="24"/>
          <w:lang w:val="pt-BR"/>
        </w:rPr>
        <w:t xml:space="preserve">§ 8º Se a multa aplicada e as indenizações cabíveis forem superiores ao valor de pagamento eventualmente devido pela Administração ao contratado, além da perda desse valor, a diferença será descontada da garantia prestada ou será cobrada judicialmente.</w:t>
      </w:r>
      <w:r>
        <w:rPr>
          <w:bCs/>
          <w:sz w:val="24"/>
          <w:szCs w:val="24"/>
          <w:lang w:val="pt-BR"/>
        </w:rPr>
      </w:r>
      <w:r>
        <w:rPr>
          <w:bCs/>
          <w:sz w:val="24"/>
          <w:szCs w:val="24"/>
          <w:lang w:val="pt-BR"/>
        </w:rPr>
      </w:r>
    </w:p>
    <w:p w14:paraId="62E270DF">
      <w:pPr>
        <w:pStyle w:val="1105"/>
        <w:widowControl w:val="false"/>
        <w:pBdr/>
        <w:tabs>
          <w:tab w:val="left" w:leader="none" w:pos="426"/>
        </w:tabs>
        <w:spacing w:line="360" w:lineRule="auto"/>
        <w:ind/>
        <w:contextualSpacing w:val="true"/>
        <w:jc w:val="both"/>
        <w:rPr>
          <w:bCs/>
          <w:sz w:val="24"/>
          <w:szCs w:val="24"/>
          <w:lang w:val="pt-BR"/>
        </w:rPr>
      </w:pPr>
      <w:r>
        <w:rPr>
          <w:bCs/>
          <w:sz w:val="24"/>
          <w:szCs w:val="24"/>
          <w:lang w:val="pt-BR"/>
        </w:rPr>
        <w:t xml:space="preserve">§ 9º A aplicação das sanções previstas no caput do art. 156, da Lei 14.133/21 não exclui, em hipótese alguma, a obrigação de reparação integral do dano causado à Administração Pública.</w:t>
      </w:r>
      <w:r>
        <w:rPr>
          <w:bCs/>
          <w:sz w:val="24"/>
          <w:szCs w:val="24"/>
          <w:lang w:val="pt-BR"/>
        </w:rPr>
      </w:r>
      <w:r>
        <w:rPr>
          <w:bCs/>
          <w:sz w:val="24"/>
          <w:szCs w:val="24"/>
          <w:lang w:val="pt-BR"/>
        </w:rPr>
      </w:r>
    </w:p>
    <w:p w14:paraId="2410FE12">
      <w:pPr>
        <w:pStyle w:val="1105"/>
        <w:widowControl w:val="false"/>
        <w:pBdr/>
        <w:tabs>
          <w:tab w:val="left" w:leader="none" w:pos="426"/>
        </w:tabs>
        <w:spacing w:line="360" w:lineRule="auto"/>
        <w:ind/>
        <w:contextualSpacing w:val="true"/>
        <w:jc w:val="both"/>
        <w:rPr>
          <w:bCs/>
          <w:sz w:val="24"/>
          <w:szCs w:val="24"/>
          <w:lang w:val="pt-BR"/>
        </w:rPr>
      </w:pPr>
      <w:r>
        <w:rPr>
          <w:bCs/>
          <w:sz w:val="24"/>
          <w:szCs w:val="24"/>
          <w:lang w:val="pt-BR"/>
        </w:rPr>
      </w:r>
      <w:r>
        <w:rPr>
          <w:bCs/>
          <w:sz w:val="24"/>
          <w:szCs w:val="24"/>
          <w:lang w:val="pt-BR"/>
        </w:rPr>
      </w:r>
      <w:r>
        <w:rPr>
          <w:bCs/>
          <w:sz w:val="24"/>
          <w:szCs w:val="24"/>
          <w:lang w:val="pt-BR"/>
        </w:rPr>
      </w:r>
    </w:p>
    <w:p w14:paraId="3AEFB0F6">
      <w:pPr>
        <w:pStyle w:val="1105"/>
        <w:widowControl w:val="false"/>
        <w:pBdr/>
        <w:tabs>
          <w:tab w:val="left" w:leader="none" w:pos="426"/>
        </w:tabs>
        <w:spacing w:line="360" w:lineRule="auto"/>
        <w:ind w:firstLine="0"/>
        <w:contextualSpacing w:val="true"/>
        <w:jc w:val="both"/>
        <w:rPr>
          <w:bCs/>
          <w:sz w:val="24"/>
          <w:szCs w:val="24"/>
          <w:lang w:val="pt-BR"/>
        </w:rPr>
      </w:pPr>
      <w:r>
        <w:rPr>
          <w:b/>
          <w:sz w:val="24"/>
          <w:szCs w:val="24"/>
          <w:lang w:val="pt-BR"/>
        </w:rPr>
        <w:t xml:space="preserve">6.9.4</w:t>
      </w:r>
      <w:r>
        <w:rPr>
          <w:bCs/>
          <w:sz w:val="24"/>
          <w:szCs w:val="24"/>
          <w:lang w:val="pt-BR"/>
        </w:rPr>
        <w:t xml:space="preserve">. Na aplicação da sanção prevista no inciso II do caput do art. 156 da Lei 14.133/21, será facultada a defesa do interessado no prazo de 15 (quinze) dias úteis, contado da data de sua intimação.</w:t>
      </w:r>
      <w:r>
        <w:rPr>
          <w:bCs/>
          <w:sz w:val="24"/>
          <w:szCs w:val="24"/>
          <w:lang w:val="pt-BR"/>
        </w:rPr>
      </w:r>
      <w:r>
        <w:rPr>
          <w:bCs/>
          <w:sz w:val="24"/>
          <w:szCs w:val="24"/>
          <w:lang w:val="pt-BR"/>
        </w:rPr>
      </w:r>
    </w:p>
    <w:p w14:paraId="18649E98">
      <w:pPr>
        <w:pStyle w:val="1105"/>
        <w:widowControl w:val="false"/>
        <w:pBdr/>
        <w:tabs>
          <w:tab w:val="left" w:leader="none" w:pos="426"/>
        </w:tabs>
        <w:spacing w:line="360" w:lineRule="auto"/>
        <w:ind w:firstLine="0"/>
        <w:contextualSpacing w:val="true"/>
        <w:jc w:val="both"/>
        <w:rPr>
          <w:bCs/>
          <w:sz w:val="24"/>
          <w:szCs w:val="24"/>
          <w:lang w:val="pt-BR"/>
        </w:rPr>
      </w:pPr>
      <w:r>
        <w:rPr>
          <w:b/>
          <w:sz w:val="24"/>
          <w:szCs w:val="24"/>
          <w:lang w:val="pt-BR"/>
        </w:rPr>
        <w:t xml:space="preserve">6.9.5</w:t>
      </w:r>
      <w:r>
        <w:rPr>
          <w:bCs/>
          <w:sz w:val="24"/>
          <w:szCs w:val="24"/>
          <w:lang w:val="pt-BR"/>
        </w:rPr>
        <w:t xml:space="preserve">. A aplicação das sanções previstas nos incisos III e IV do caput do art. 156 da Lei 14.133/21 dependerá da instauração de processo de responsabilização, a ser conduzido por comissão composta de 2 (dois) ou </w:t>
      </w:r>
      <w:r>
        <w:rPr>
          <w:bCs/>
          <w:sz w:val="24"/>
          <w:szCs w:val="24"/>
          <w:lang w:val="pt-BR"/>
        </w:rPr>
        <w:t xml:space="preserve">mais servidores estáveis, que avaliará fatos e circunstâncias conhecidos e intimará o licitante ou o contratado para, no prazo de 15 (quinze) dias úteis, contado da data de intimação, apresentar defesa escrita e especificar as provas que pretenda produzir.</w:t>
      </w:r>
      <w:r>
        <w:rPr>
          <w:bCs/>
          <w:sz w:val="24"/>
          <w:szCs w:val="24"/>
          <w:lang w:val="pt-BR"/>
        </w:rPr>
      </w:r>
      <w:r>
        <w:rPr>
          <w:bCs/>
          <w:sz w:val="24"/>
          <w:szCs w:val="24"/>
          <w:lang w:val="pt-BR"/>
        </w:rPr>
      </w:r>
    </w:p>
    <w:p w14:paraId="6724DCCC">
      <w:pPr>
        <w:pStyle w:val="1105"/>
        <w:widowControl w:val="false"/>
        <w:pBdr/>
        <w:tabs>
          <w:tab w:val="left" w:leader="none" w:pos="426"/>
        </w:tabs>
        <w:spacing w:line="360" w:lineRule="auto"/>
        <w:ind/>
        <w:contextualSpacing w:val="true"/>
        <w:jc w:val="both"/>
        <w:rPr>
          <w:bCs/>
          <w:sz w:val="24"/>
          <w:szCs w:val="24"/>
          <w:lang w:val="pt-BR"/>
        </w:rPr>
      </w:pPr>
      <w:r>
        <w:rPr>
          <w:bCs/>
          <w:sz w:val="24"/>
          <w:szCs w:val="24"/>
          <w:lang w:val="pt-BR"/>
        </w:rPr>
        <w:t xml:space="preserve">§ 1º</w:t>
      </w:r>
      <w:r>
        <w:rPr>
          <w:bCs/>
          <w:sz w:val="24"/>
          <w:szCs w:val="24"/>
          <w:lang w:val="pt-BR"/>
        </w:rPr>
        <w:t xml:space="preserve"> Na hipótese de deferimento de pedido de produção de novas provas ou de juntada de provas julgadas indispensáveis pela comissão, o licitante ou o contratado poderá apresentar alegações finais no prazo de 15(quinze) dias úteis, contado da data da intimação.</w:t>
      </w:r>
      <w:r>
        <w:rPr>
          <w:bCs/>
          <w:sz w:val="24"/>
          <w:szCs w:val="24"/>
          <w:lang w:val="pt-BR"/>
        </w:rPr>
      </w:r>
      <w:r>
        <w:rPr>
          <w:bCs/>
          <w:sz w:val="24"/>
          <w:szCs w:val="24"/>
          <w:lang w:val="pt-BR"/>
        </w:rPr>
      </w:r>
    </w:p>
    <w:p w14:paraId="0C376510">
      <w:pPr>
        <w:pStyle w:val="1105"/>
        <w:widowControl w:val="false"/>
        <w:pBdr/>
        <w:tabs>
          <w:tab w:val="left" w:leader="none" w:pos="426"/>
        </w:tabs>
        <w:spacing w:line="360" w:lineRule="auto"/>
        <w:ind/>
        <w:contextualSpacing w:val="true"/>
        <w:jc w:val="both"/>
        <w:rPr>
          <w:bCs/>
          <w:sz w:val="24"/>
          <w:szCs w:val="24"/>
          <w:lang w:val="pt-BR"/>
        </w:rPr>
      </w:pPr>
      <w:r>
        <w:rPr>
          <w:bCs/>
          <w:sz w:val="24"/>
          <w:szCs w:val="24"/>
          <w:lang w:val="pt-BR"/>
        </w:rPr>
        <w:t xml:space="preserve">§ 2º Serão indeferidas pela comissão, mediante decisão fundamentada, provas ilícitas, impertinentes, desnecessárias, protelatórias ou intempestivas.</w:t>
      </w:r>
      <w:r>
        <w:rPr>
          <w:bCs/>
          <w:sz w:val="24"/>
          <w:szCs w:val="24"/>
          <w:lang w:val="pt-BR"/>
        </w:rPr>
      </w:r>
      <w:r>
        <w:rPr>
          <w:bCs/>
          <w:sz w:val="24"/>
          <w:szCs w:val="24"/>
          <w:lang w:val="pt-BR"/>
        </w:rPr>
      </w:r>
    </w:p>
    <w:p w14:paraId="442CE051">
      <w:pPr>
        <w:pStyle w:val="1105"/>
        <w:widowControl w:val="false"/>
        <w:pBdr/>
        <w:tabs>
          <w:tab w:val="left" w:leader="none" w:pos="426"/>
        </w:tabs>
        <w:spacing w:line="360" w:lineRule="auto"/>
        <w:ind/>
        <w:contextualSpacing w:val="true"/>
        <w:jc w:val="both"/>
        <w:rPr>
          <w:bCs/>
          <w:sz w:val="24"/>
          <w:szCs w:val="24"/>
          <w:lang w:val="pt-BR"/>
        </w:rPr>
      </w:pPr>
      <w:r>
        <w:rPr>
          <w:bCs/>
          <w:sz w:val="24"/>
          <w:szCs w:val="24"/>
          <w:lang w:val="pt-BR"/>
        </w:rPr>
        <w:t xml:space="preserve">§ 3º A prescrição ocorrerá em 5 (cinco) anos, contados da ciência da infração pela Administração, e será:</w:t>
      </w:r>
      <w:r>
        <w:rPr>
          <w:bCs/>
          <w:sz w:val="24"/>
          <w:szCs w:val="24"/>
          <w:lang w:val="pt-BR"/>
        </w:rPr>
      </w:r>
      <w:r>
        <w:rPr>
          <w:bCs/>
          <w:sz w:val="24"/>
          <w:szCs w:val="24"/>
          <w:lang w:val="pt-BR"/>
        </w:rPr>
      </w:r>
    </w:p>
    <w:p w14:paraId="08A66489">
      <w:pPr>
        <w:pStyle w:val="1105"/>
        <w:widowControl w:val="false"/>
        <w:pBdr/>
        <w:tabs>
          <w:tab w:val="left" w:leader="none" w:pos="426"/>
        </w:tabs>
        <w:spacing w:line="360" w:lineRule="auto"/>
        <w:ind/>
        <w:contextualSpacing w:val="true"/>
        <w:jc w:val="both"/>
        <w:rPr>
          <w:bCs/>
          <w:sz w:val="24"/>
          <w:szCs w:val="24"/>
          <w:lang w:val="pt-BR"/>
        </w:rPr>
      </w:pPr>
      <w:r>
        <w:rPr>
          <w:b/>
          <w:sz w:val="24"/>
          <w:szCs w:val="24"/>
          <w:lang w:val="pt-BR"/>
        </w:rPr>
        <w:t xml:space="preserve">I</w:t>
      </w:r>
      <w:r>
        <w:rPr>
          <w:bCs/>
          <w:sz w:val="24"/>
          <w:szCs w:val="24"/>
          <w:lang w:val="pt-BR"/>
        </w:rPr>
        <w:t xml:space="preserve"> - Interrompida pela instauração do processo de responsabilização a que se refere o caput do</w:t>
      </w:r>
      <w:r>
        <w:rPr>
          <w:bCs/>
          <w:sz w:val="24"/>
          <w:szCs w:val="24"/>
          <w:lang w:val="pt-BR"/>
        </w:rPr>
      </w:r>
      <w:r>
        <w:rPr>
          <w:bCs/>
          <w:sz w:val="24"/>
          <w:szCs w:val="24"/>
          <w:lang w:val="pt-BR"/>
        </w:rPr>
      </w:r>
    </w:p>
    <w:p w14:paraId="726B9ED4">
      <w:pPr>
        <w:pStyle w:val="1105"/>
        <w:widowControl w:val="false"/>
        <w:pBdr/>
        <w:tabs>
          <w:tab w:val="left" w:leader="none" w:pos="426"/>
        </w:tabs>
        <w:spacing w:line="360" w:lineRule="auto"/>
        <w:ind/>
        <w:contextualSpacing w:val="true"/>
        <w:jc w:val="both"/>
        <w:rPr>
          <w:bCs/>
          <w:sz w:val="24"/>
          <w:szCs w:val="24"/>
          <w:lang w:val="pt-BR"/>
        </w:rPr>
      </w:pPr>
      <w:r>
        <w:rPr>
          <w:bCs/>
          <w:sz w:val="24"/>
          <w:szCs w:val="24"/>
          <w:lang w:val="pt-BR"/>
        </w:rPr>
        <w:t xml:space="preserve">artigo 158 da Lei 14.133/21;</w:t>
      </w:r>
      <w:r>
        <w:rPr>
          <w:bCs/>
          <w:sz w:val="24"/>
          <w:szCs w:val="24"/>
          <w:lang w:val="pt-BR"/>
        </w:rPr>
      </w:r>
      <w:r>
        <w:rPr>
          <w:bCs/>
          <w:sz w:val="24"/>
          <w:szCs w:val="24"/>
          <w:lang w:val="pt-BR"/>
        </w:rPr>
      </w:r>
    </w:p>
    <w:p w14:paraId="25B91AA9">
      <w:pPr>
        <w:pStyle w:val="1105"/>
        <w:widowControl w:val="false"/>
        <w:pBdr/>
        <w:tabs>
          <w:tab w:val="left" w:leader="none" w:pos="426"/>
        </w:tabs>
        <w:spacing w:line="360" w:lineRule="auto"/>
        <w:ind/>
        <w:contextualSpacing w:val="true"/>
        <w:jc w:val="both"/>
        <w:rPr>
          <w:bCs/>
          <w:sz w:val="24"/>
          <w:szCs w:val="24"/>
          <w:lang w:val="pt-BR"/>
        </w:rPr>
      </w:pPr>
      <w:r>
        <w:rPr>
          <w:b/>
          <w:sz w:val="24"/>
          <w:szCs w:val="24"/>
          <w:lang w:val="pt-BR"/>
        </w:rPr>
        <w:t xml:space="preserve">II</w:t>
      </w:r>
      <w:r>
        <w:rPr>
          <w:bCs/>
          <w:sz w:val="24"/>
          <w:szCs w:val="24"/>
          <w:lang w:val="pt-BR"/>
        </w:rPr>
        <w:t xml:space="preserve"> - Suspensa pela celebração de acordo de leniência previsto na Lei nº 12.846, de 1º de agosto de 2013;</w:t>
      </w:r>
      <w:r>
        <w:rPr>
          <w:bCs/>
          <w:sz w:val="24"/>
          <w:szCs w:val="24"/>
          <w:lang w:val="pt-BR"/>
        </w:rPr>
      </w:r>
      <w:r>
        <w:rPr>
          <w:bCs/>
          <w:sz w:val="24"/>
          <w:szCs w:val="24"/>
          <w:lang w:val="pt-BR"/>
        </w:rPr>
      </w:r>
    </w:p>
    <w:p w14:paraId="494091BF">
      <w:pPr>
        <w:pStyle w:val="1105"/>
        <w:widowControl w:val="false"/>
        <w:pBdr/>
        <w:tabs>
          <w:tab w:val="left" w:leader="none" w:pos="426"/>
        </w:tabs>
        <w:spacing w:line="360" w:lineRule="auto"/>
        <w:ind/>
        <w:contextualSpacing w:val="true"/>
        <w:jc w:val="both"/>
        <w:rPr>
          <w:bCs/>
          <w:sz w:val="24"/>
          <w:szCs w:val="24"/>
          <w:lang w:val="pt-BR"/>
        </w:rPr>
      </w:pPr>
      <w:r>
        <w:rPr>
          <w:b/>
          <w:sz w:val="24"/>
          <w:szCs w:val="24"/>
          <w:lang w:val="pt-BR"/>
        </w:rPr>
        <w:t xml:space="preserve">III</w:t>
      </w:r>
      <w:r>
        <w:rPr>
          <w:bCs/>
          <w:sz w:val="24"/>
          <w:szCs w:val="24"/>
          <w:lang w:val="pt-BR"/>
        </w:rPr>
        <w:t xml:space="preserve"> - suspensa por decisão judicial que inviabilize a conclusão da apuração administrativa.</w:t>
      </w:r>
      <w:r>
        <w:rPr>
          <w:bCs/>
          <w:sz w:val="24"/>
          <w:szCs w:val="24"/>
          <w:lang w:val="pt-BR"/>
        </w:rPr>
      </w:r>
      <w:r>
        <w:rPr>
          <w:bCs/>
          <w:sz w:val="24"/>
          <w:szCs w:val="24"/>
          <w:lang w:val="pt-BR"/>
        </w:rPr>
      </w:r>
    </w:p>
    <w:p w14:paraId="13BF55E2">
      <w:pPr>
        <w:pStyle w:val="1105"/>
        <w:widowControl w:val="false"/>
        <w:numPr>
          <w:ilvl w:val="0"/>
          <w:numId w:val="26"/>
        </w:numPr>
        <w:pBdr/>
        <w:tabs>
          <w:tab w:val="left" w:leader="none" w:pos="0"/>
          <w:tab w:val="clear" w:leader="none" w:pos="425"/>
        </w:tabs>
        <w:spacing w:line="360" w:lineRule="auto"/>
        <w:ind w:firstLine="0" w:left="0"/>
        <w:contextualSpacing w:val="true"/>
        <w:jc w:val="both"/>
        <w:rPr>
          <w:bCs/>
          <w:sz w:val="24"/>
          <w:szCs w:val="24"/>
          <w:lang w:val="pt-BR"/>
        </w:rPr>
      </w:pPr>
      <w:r>
        <w:rPr>
          <w:bCs/>
          <w:sz w:val="24"/>
          <w:szCs w:val="24"/>
          <w:lang w:val="pt-BR"/>
        </w:rPr>
        <w:t xml:space="preserve">Os atos previstos como infrações administrativas na Lei 14.133/21 ou em outras leis de licitações e contratos da </w:t>
      </w:r>
      <w:r>
        <w:rPr>
          <w:bCs/>
          <w:sz w:val="24"/>
          <w:szCs w:val="24"/>
          <w:lang w:val="pt-BR"/>
        </w:rPr>
        <w:t xml:space="preserve">Administração Pública que também sejam tipificados como atos lesivos na Lei nº 12.846, de 1º de agosto de 2013, serão apurados e julgados conjuntamente, nos mesmos autos, observados o rito procedimental e a autoridade competente definidos na referida Lei. </w:t>
      </w:r>
      <w:r>
        <w:rPr>
          <w:bCs/>
          <w:sz w:val="24"/>
          <w:szCs w:val="24"/>
          <w:lang w:val="pt-BR"/>
        </w:rPr>
      </w:r>
      <w:r>
        <w:rPr>
          <w:bCs/>
          <w:sz w:val="24"/>
          <w:szCs w:val="24"/>
          <w:lang w:val="pt-BR"/>
        </w:rPr>
      </w:r>
    </w:p>
    <w:p w14:paraId="1C4B7D9C">
      <w:pPr>
        <w:pStyle w:val="1105"/>
        <w:widowControl w:val="false"/>
        <w:numPr>
          <w:ilvl w:val="0"/>
          <w:numId w:val="26"/>
        </w:numPr>
        <w:pBdr/>
        <w:tabs>
          <w:tab w:val="left" w:leader="none" w:pos="0"/>
          <w:tab w:val="clear" w:leader="none" w:pos="425"/>
        </w:tabs>
        <w:spacing w:line="360" w:lineRule="auto"/>
        <w:ind w:firstLine="0" w:left="0"/>
        <w:contextualSpacing w:val="true"/>
        <w:jc w:val="both"/>
        <w:rPr>
          <w:bCs/>
          <w:sz w:val="24"/>
          <w:szCs w:val="24"/>
          <w:lang w:val="pt-BR"/>
        </w:rPr>
      </w:pPr>
      <w:r>
        <w:rPr>
          <w:bCs/>
          <w:sz w:val="24"/>
          <w:szCs w:val="24"/>
          <w:lang w:val="pt-BR"/>
        </w:rPr>
        <w:t xml:space="preserve">A personalidade jurídica poderá ser desconsiderada sempre que utilizada com abuso do direito para facilitar, enc</w:t>
      </w:r>
      <w:r>
        <w:rPr>
          <w:bCs/>
          <w:sz w:val="24"/>
          <w:szCs w:val="24"/>
          <w:lang w:val="pt-BR"/>
        </w:rPr>
        <w:t xml:space="preserve">obrir ou dissimular a prática dos atos ilícitos previstos na Lei 14.133/21 ou para provocar confusão patrimonial, e, nesse caso, todos os efeitos das sanções aplicadas à pessoa jurídica serão estendidos aos seus administradores e sócios com poderes de admi</w:t>
      </w:r>
      <w:r>
        <w:rPr>
          <w:bCs/>
          <w:sz w:val="24"/>
          <w:szCs w:val="24"/>
          <w:lang w:val="pt-BR"/>
        </w:rPr>
        <w:t xml:space="preserve">nistração, a pessoa jurídica sucessora ou a empresa do mesmo ramo com relação de coligação ou controle, de fato ou de direito, com o sancionado, observados, em todos os casos, o contraditório, a ampla defesa e a obrigatoriedade de análise jurídica prévia. </w:t>
      </w:r>
      <w:r>
        <w:rPr>
          <w:bCs/>
          <w:sz w:val="24"/>
          <w:szCs w:val="24"/>
          <w:lang w:val="pt-BR"/>
        </w:rPr>
      </w:r>
      <w:r>
        <w:rPr>
          <w:bCs/>
          <w:sz w:val="24"/>
          <w:szCs w:val="24"/>
          <w:lang w:val="pt-BR"/>
        </w:rPr>
      </w:r>
    </w:p>
    <w:p w14:paraId="6074D63F">
      <w:pPr>
        <w:pStyle w:val="1105"/>
        <w:widowControl w:val="false"/>
        <w:numPr>
          <w:ilvl w:val="0"/>
          <w:numId w:val="26"/>
        </w:numPr>
        <w:pBdr/>
        <w:tabs>
          <w:tab w:val="left" w:leader="none" w:pos="0"/>
          <w:tab w:val="clear" w:leader="none" w:pos="425"/>
        </w:tabs>
        <w:spacing w:line="360" w:lineRule="auto"/>
        <w:ind w:firstLine="0" w:left="0"/>
        <w:contextualSpacing w:val="true"/>
        <w:jc w:val="both"/>
        <w:rPr>
          <w:bCs/>
          <w:sz w:val="24"/>
          <w:szCs w:val="24"/>
          <w:lang w:val="pt-BR"/>
        </w:rPr>
      </w:pPr>
      <w:r>
        <w:rPr>
          <w:bCs/>
          <w:sz w:val="24"/>
          <w:szCs w:val="24"/>
          <w:lang w:val="pt-BR"/>
        </w:rPr>
        <w:t xml:space="preserve">O Poder Executivo deverá, no prazo máximo 15 (quinze) dias úteis, contado da data de aplicação da sanção, informar e</w:t>
      </w:r>
      <w:r>
        <w:rPr>
          <w:bCs/>
          <w:sz w:val="24"/>
          <w:szCs w:val="24"/>
          <w:lang w:val="pt-BR"/>
        </w:rPr>
        <w:t xml:space="preserve"> manter atualizados os dados relativos às sanções por ele aplicadas, para fins de publicidade no Cadastro Nacional de Empresas Inidôneas e Suspensas (Ceis) e no Cadastro Nacional de Empresas Punidas (Cnep), instituídos no âmbito do Poder Executivo federal.</w:t>
      </w:r>
      <w:r>
        <w:rPr>
          <w:bCs/>
          <w:sz w:val="24"/>
          <w:szCs w:val="24"/>
          <w:lang w:val="pt-BR"/>
        </w:rPr>
      </w:r>
      <w:r>
        <w:rPr>
          <w:bCs/>
          <w:sz w:val="24"/>
          <w:szCs w:val="24"/>
          <w:lang w:val="pt-BR"/>
        </w:rPr>
      </w:r>
    </w:p>
    <w:p w14:paraId="32006478">
      <w:pPr>
        <w:pStyle w:val="1105"/>
        <w:widowControl w:val="false"/>
        <w:numPr>
          <w:ilvl w:val="0"/>
          <w:numId w:val="26"/>
        </w:numPr>
        <w:pBdr/>
        <w:tabs>
          <w:tab w:val="left" w:leader="none" w:pos="0"/>
          <w:tab w:val="clear" w:leader="none" w:pos="425"/>
        </w:tabs>
        <w:spacing w:line="360" w:lineRule="auto"/>
        <w:ind w:firstLine="0" w:left="0"/>
        <w:contextualSpacing w:val="true"/>
        <w:jc w:val="both"/>
        <w:rPr>
          <w:bCs/>
          <w:sz w:val="24"/>
          <w:szCs w:val="24"/>
          <w:lang w:val="pt-BR"/>
        </w:rPr>
      </w:pPr>
      <w:r>
        <w:rPr>
          <w:bCs/>
          <w:sz w:val="24"/>
          <w:szCs w:val="24"/>
          <w:lang w:val="pt-BR"/>
        </w:rPr>
        <w:t xml:space="preserve">O atraso injustificado na execução do contrato sujeitará o contratado a multa de mora, na forma</w:t>
      </w:r>
      <w:r>
        <w:rPr>
          <w:rFonts w:hint="default"/>
          <w:bCs/>
          <w:sz w:val="24"/>
          <w:szCs w:val="24"/>
          <w:lang w:val="pt-BR"/>
        </w:rPr>
        <w:t xml:space="preserve"> </w:t>
      </w:r>
      <w:r>
        <w:rPr>
          <w:bCs/>
          <w:sz w:val="24"/>
          <w:szCs w:val="24"/>
          <w:lang w:val="pt-BR"/>
        </w:rPr>
        <w:t xml:space="preserve">prevista em edital ou em contrato. A aplicação de multa de mora não impedirá que a Administração a converta em compens</w:t>
      </w:r>
      <w:r>
        <w:rPr>
          <w:bCs/>
          <w:sz w:val="24"/>
          <w:szCs w:val="24"/>
          <w:lang w:val="pt-BR"/>
        </w:rPr>
        <w:t xml:space="preserve">atória e promova a extinção unilateral do contrato com a aplicação cumulada de outras sanções previstas na Lei 14.133/21. É admitida a reabilitação do licitante ou contratado perante a própria autoridade que aplicou a penalidade, exigidos, cumulativamente:</w:t>
      </w:r>
      <w:r>
        <w:rPr>
          <w:bCs/>
          <w:sz w:val="24"/>
          <w:szCs w:val="24"/>
          <w:lang w:val="pt-BR"/>
        </w:rPr>
      </w:r>
      <w:r>
        <w:rPr>
          <w:bCs/>
          <w:sz w:val="24"/>
          <w:szCs w:val="24"/>
          <w:lang w:val="pt-BR"/>
        </w:rPr>
      </w:r>
    </w:p>
    <w:p w14:paraId="541B192C">
      <w:pPr>
        <w:pStyle w:val="1105"/>
        <w:widowControl w:val="false"/>
        <w:pBdr/>
        <w:tabs>
          <w:tab w:val="left" w:leader="none" w:pos="426"/>
        </w:tabs>
        <w:spacing w:line="360" w:lineRule="auto"/>
        <w:ind w:firstLine="482" w:left="0"/>
        <w:contextualSpacing w:val="true"/>
        <w:jc w:val="both"/>
        <w:rPr>
          <w:bCs/>
          <w:sz w:val="24"/>
          <w:szCs w:val="24"/>
          <w:lang w:val="pt-BR"/>
        </w:rPr>
      </w:pPr>
      <w:r>
        <w:rPr>
          <w:b/>
          <w:sz w:val="24"/>
          <w:szCs w:val="24"/>
          <w:lang w:val="pt-BR"/>
        </w:rPr>
        <w:t xml:space="preserve">I </w:t>
      </w:r>
      <w:r>
        <w:rPr>
          <w:bCs/>
          <w:sz w:val="24"/>
          <w:szCs w:val="24"/>
          <w:lang w:val="pt-BR"/>
        </w:rPr>
        <w:t xml:space="preserve">- Reparação integral do dano causado à Administração Pública;</w:t>
      </w:r>
      <w:r>
        <w:rPr>
          <w:bCs/>
          <w:sz w:val="24"/>
          <w:szCs w:val="24"/>
          <w:lang w:val="pt-BR"/>
        </w:rPr>
      </w:r>
      <w:r>
        <w:rPr>
          <w:bCs/>
          <w:sz w:val="24"/>
          <w:szCs w:val="24"/>
          <w:lang w:val="pt-BR"/>
        </w:rPr>
      </w:r>
    </w:p>
    <w:p w14:paraId="2EA19510">
      <w:pPr>
        <w:pStyle w:val="1105"/>
        <w:widowControl w:val="false"/>
        <w:pBdr/>
        <w:tabs>
          <w:tab w:val="left" w:leader="none" w:pos="426"/>
        </w:tabs>
        <w:spacing w:line="360" w:lineRule="auto"/>
        <w:ind w:firstLine="482" w:left="0"/>
        <w:contextualSpacing w:val="true"/>
        <w:jc w:val="both"/>
        <w:rPr>
          <w:bCs/>
          <w:sz w:val="24"/>
          <w:szCs w:val="24"/>
          <w:lang w:val="pt-BR"/>
        </w:rPr>
      </w:pPr>
      <w:r>
        <w:rPr>
          <w:b/>
          <w:sz w:val="24"/>
          <w:szCs w:val="24"/>
          <w:lang w:val="pt-BR"/>
        </w:rPr>
        <w:t xml:space="preserve">II</w:t>
      </w:r>
      <w:r>
        <w:rPr>
          <w:bCs/>
          <w:sz w:val="24"/>
          <w:szCs w:val="24"/>
          <w:lang w:val="pt-BR"/>
        </w:rPr>
        <w:t xml:space="preserve"> - Pagamento da multa;</w:t>
      </w:r>
      <w:r>
        <w:rPr>
          <w:bCs/>
          <w:sz w:val="24"/>
          <w:szCs w:val="24"/>
          <w:lang w:val="pt-BR"/>
        </w:rPr>
      </w:r>
      <w:r>
        <w:rPr>
          <w:bCs/>
          <w:sz w:val="24"/>
          <w:szCs w:val="24"/>
          <w:lang w:val="pt-BR"/>
        </w:rPr>
      </w:r>
    </w:p>
    <w:p w14:paraId="07E045C2">
      <w:pPr>
        <w:pStyle w:val="1105"/>
        <w:widowControl w:val="false"/>
        <w:pBdr/>
        <w:tabs>
          <w:tab w:val="left" w:leader="none" w:pos="426"/>
        </w:tabs>
        <w:spacing w:line="360" w:lineRule="auto"/>
        <w:ind w:firstLine="482" w:left="0"/>
        <w:contextualSpacing w:val="true"/>
        <w:jc w:val="both"/>
        <w:rPr>
          <w:bCs/>
          <w:sz w:val="24"/>
          <w:szCs w:val="24"/>
          <w:lang w:val="pt-BR"/>
        </w:rPr>
      </w:pPr>
      <w:r>
        <w:rPr>
          <w:b/>
          <w:sz w:val="24"/>
          <w:szCs w:val="24"/>
          <w:lang w:val="pt-BR"/>
        </w:rPr>
        <w:t xml:space="preserve">III</w:t>
      </w:r>
      <w:r>
        <w:rPr>
          <w:bCs/>
          <w:sz w:val="24"/>
          <w:szCs w:val="24"/>
          <w:lang w:val="pt-BR"/>
        </w:rPr>
        <w:t xml:space="preserve"> - transcurso do prazo mínimo de 1 (um) ano da aplicação da penalidade, no caso de impedimento de licitar e contratar, ou de 3 (três) anos da aplicação da penalidade, no caso de declaração de inidoneidade;</w:t>
      </w:r>
      <w:r>
        <w:rPr>
          <w:bCs/>
          <w:sz w:val="24"/>
          <w:szCs w:val="24"/>
          <w:lang w:val="pt-BR"/>
        </w:rPr>
      </w:r>
      <w:r>
        <w:rPr>
          <w:bCs/>
          <w:sz w:val="24"/>
          <w:szCs w:val="24"/>
          <w:lang w:val="pt-BR"/>
        </w:rPr>
      </w:r>
    </w:p>
    <w:p w14:paraId="41E0C6C5">
      <w:pPr>
        <w:pStyle w:val="1105"/>
        <w:widowControl w:val="false"/>
        <w:pBdr/>
        <w:tabs>
          <w:tab w:val="left" w:leader="none" w:pos="426"/>
        </w:tabs>
        <w:spacing w:line="360" w:lineRule="auto"/>
        <w:ind w:firstLine="582" w:left="18"/>
        <w:contextualSpacing w:val="true"/>
        <w:jc w:val="both"/>
        <w:rPr>
          <w:bCs/>
          <w:sz w:val="24"/>
          <w:szCs w:val="24"/>
          <w:lang w:val="pt-BR"/>
        </w:rPr>
      </w:pPr>
      <w:r>
        <w:rPr>
          <w:b/>
          <w:bCs w:val="0"/>
          <w:sz w:val="24"/>
          <w:szCs w:val="24"/>
          <w:lang w:val="pt-BR"/>
        </w:rPr>
        <w:t xml:space="preserve">IV </w:t>
      </w:r>
      <w:r>
        <w:rPr>
          <w:bCs/>
          <w:sz w:val="24"/>
          <w:szCs w:val="24"/>
          <w:lang w:val="pt-BR"/>
        </w:rPr>
        <w:t xml:space="preserve">- Cumprimento das condições de reabilitação definidas no ato punitivo;</w:t>
      </w:r>
      <w:r>
        <w:rPr>
          <w:bCs/>
          <w:sz w:val="24"/>
          <w:szCs w:val="24"/>
          <w:lang w:val="pt-BR"/>
        </w:rPr>
      </w:r>
      <w:r>
        <w:rPr>
          <w:bCs/>
          <w:sz w:val="24"/>
          <w:szCs w:val="24"/>
          <w:lang w:val="pt-BR"/>
        </w:rPr>
      </w:r>
    </w:p>
    <w:p w14:paraId="67363C3F">
      <w:pPr>
        <w:pStyle w:val="1105"/>
        <w:widowControl w:val="false"/>
        <w:pBdr/>
        <w:tabs>
          <w:tab w:val="left" w:leader="none" w:pos="426"/>
        </w:tabs>
        <w:spacing w:line="360" w:lineRule="auto"/>
        <w:ind w:firstLine="582" w:left="18"/>
        <w:contextualSpacing w:val="true"/>
        <w:jc w:val="both"/>
        <w:rPr>
          <w:bCs/>
          <w:sz w:val="24"/>
          <w:szCs w:val="24"/>
          <w:lang w:val="pt-BR"/>
        </w:rPr>
      </w:pPr>
      <w:r>
        <w:rPr>
          <w:b/>
          <w:bCs w:val="0"/>
          <w:sz w:val="24"/>
          <w:szCs w:val="24"/>
          <w:lang w:val="pt-BR"/>
        </w:rPr>
        <w:t xml:space="preserve">V </w:t>
      </w:r>
      <w:r>
        <w:rPr>
          <w:bCs/>
          <w:sz w:val="24"/>
          <w:szCs w:val="24"/>
          <w:lang w:val="pt-BR"/>
        </w:rPr>
        <w:t xml:space="preserve">- Análise jurídica prévia, com posicionamento conclusivo quanto ao cumprimento dos requisitos definidos neste artigo.</w:t>
      </w:r>
      <w:r>
        <w:rPr>
          <w:bCs/>
          <w:sz w:val="24"/>
          <w:szCs w:val="24"/>
          <w:lang w:val="pt-BR"/>
        </w:rPr>
      </w:r>
      <w:r>
        <w:rPr>
          <w:bCs/>
          <w:sz w:val="24"/>
          <w:szCs w:val="24"/>
          <w:lang w:val="pt-BR"/>
        </w:rPr>
      </w:r>
    </w:p>
    <w:p w14:paraId="26B21E12">
      <w:pPr>
        <w:pStyle w:val="1105"/>
        <w:widowControl w:val="false"/>
        <w:numPr>
          <w:ilvl w:val="0"/>
          <w:numId w:val="27"/>
        </w:numPr>
        <w:pBdr/>
        <w:tabs>
          <w:tab w:val="left" w:leader="none" w:pos="0"/>
          <w:tab w:val="clear" w:leader="none" w:pos="425"/>
        </w:tabs>
        <w:spacing w:line="360" w:lineRule="auto"/>
        <w:ind w:hanging="5" w:left="5"/>
        <w:contextualSpacing w:val="true"/>
        <w:jc w:val="both"/>
        <w:rPr>
          <w:bCs/>
          <w:sz w:val="24"/>
          <w:szCs w:val="24"/>
          <w:lang w:val="pt-BR"/>
        </w:rPr>
      </w:pPr>
      <w:r>
        <w:rPr>
          <w:bCs/>
          <w:sz w:val="24"/>
          <w:szCs w:val="24"/>
          <w:lang w:val="pt-BR"/>
        </w:rPr>
        <w:t xml:space="preserve">A sanção pelas infrações previstas nos incisos VIII e XII do caput do art. 155 da Lei 14.133/21 exigirá, como condição de reabilitação do licitante ou contratado, a implantação ou aperfeiçoamento de programa de integridade pelo responsável</w:t>
      </w:r>
      <w:r>
        <w:rPr>
          <w:bCs/>
          <w:sz w:val="24"/>
          <w:szCs w:val="24"/>
          <w:lang w:val="pt-BR"/>
        </w:rPr>
      </w:r>
      <w:r>
        <w:rPr>
          <w:bCs/>
          <w:sz w:val="24"/>
          <w:szCs w:val="24"/>
          <w:lang w:val="pt-BR"/>
        </w:rPr>
      </w:r>
    </w:p>
    <w:p w14:paraId="1A386292">
      <w:pPr>
        <w:pStyle w:val="1105"/>
        <w:widowControl w:val="false"/>
        <w:pBdr/>
        <w:spacing w:line="360" w:lineRule="auto"/>
        <w:ind w:firstLine="0" w:left="0"/>
        <w:jc w:val="both"/>
        <w:rPr>
          <w:i/>
          <w:sz w:val="24"/>
          <w:szCs w:val="24"/>
          <w:highlight w:val="yellow"/>
          <w:lang w:val="pt-BR"/>
        </w:rPr>
      </w:pPr>
      <w:r>
        <w:rPr>
          <w:i/>
          <w:sz w:val="24"/>
          <w:szCs w:val="24"/>
          <w:highlight w:val="yellow"/>
          <w:lang w:val="pt-BR"/>
        </w:rPr>
      </w:r>
      <w:r>
        <w:rPr>
          <w:i/>
          <w:sz w:val="24"/>
          <w:szCs w:val="24"/>
          <w:highlight w:val="yellow"/>
          <w:lang w:val="pt-BR"/>
        </w:rPr>
      </w:r>
      <w:r>
        <w:rPr>
          <w:i/>
          <w:sz w:val="24"/>
          <w:szCs w:val="24"/>
          <w:highlight w:val="yellow"/>
          <w:lang w:val="pt-BR"/>
        </w:rPr>
      </w:r>
    </w:p>
    <w:tbl>
      <w:tblPr>
        <w:tblStyle w:val="1103"/>
        <w:tblInd w:w="0" w:type="dxa"/>
        <w:tblW w:w="9210"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9210"/>
      </w:tblGrid>
      <w:tr>
        <w:trPr>
          <w:trHeight w:val="375"/>
        </w:trPr>
        <w:tc>
          <w:tcPr>
            <w:shd w:val="clear" w:color="auto" w:fill="d7d7d7" w:themeFill="background1" w:themeFillShade="D8"/>
            <w:tcBorders/>
            <w:tcW w:w="9210" w:type="dxa"/>
            <w:vAlign w:val="center"/>
          </w:tcPr>
          <w:p w14:paraId="002A4034">
            <w:pPr>
              <w:numPr>
                <w:ilvl w:val="0"/>
                <w:numId w:val="28"/>
              </w:numPr>
              <w:pBdr/>
              <w:spacing w:line="360" w:lineRule="auto"/>
              <w:ind w:hanging="454" w:left="454"/>
              <w:jc w:val="center"/>
              <w:rPr>
                <w:rFonts w:ascii="Times New Roman" w:hAnsi="Times New Roman" w:cs="Times New Roman"/>
                <w:b/>
                <w:sz w:val="24"/>
                <w:szCs w:val="24"/>
              </w:rPr>
            </w:pPr>
            <w:r>
              <w:rPr>
                <w:rFonts w:ascii="Times New Roman" w:hAnsi="Times New Roman" w:cs="Times New Roman"/>
                <w:b/>
                <w:sz w:val="24"/>
                <w:szCs w:val="24"/>
              </w:rPr>
              <w:t xml:space="preserve">CONTROLE E</w:t>
            </w:r>
            <w:r>
              <w:rPr>
                <w:rFonts w:ascii="Times New Roman" w:hAnsi="Times New Roman" w:cs="Times New Roman"/>
                <w:b/>
                <w:spacing w:val="-1"/>
                <w:sz w:val="24"/>
                <w:szCs w:val="24"/>
              </w:rPr>
              <w:t xml:space="preserve"> </w:t>
            </w:r>
            <w:r>
              <w:rPr>
                <w:rFonts w:ascii="Times New Roman" w:hAnsi="Times New Roman" w:cs="Times New Roman"/>
                <w:b/>
                <w:sz w:val="24"/>
                <w:szCs w:val="24"/>
              </w:rPr>
              <w:t xml:space="preserve">FISCALIZAÇÃO</w:t>
            </w:r>
            <w:r>
              <w:rPr>
                <w:rFonts w:ascii="Times New Roman" w:hAnsi="Times New Roman" w:cs="Times New Roman"/>
                <w:b/>
                <w:spacing w:val="-1"/>
                <w:sz w:val="24"/>
                <w:szCs w:val="24"/>
              </w:rPr>
              <w:t xml:space="preserve"> </w:t>
            </w:r>
            <w:r>
              <w:rPr>
                <w:rFonts w:ascii="Times New Roman" w:hAnsi="Times New Roman" w:cs="Times New Roman"/>
                <w:b/>
                <w:sz w:val="24"/>
                <w:szCs w:val="24"/>
              </w:rPr>
              <w:t xml:space="preserve">DA ATA/ </w:t>
            </w:r>
            <w:r>
              <w:rPr>
                <w:rFonts w:ascii="Times New Roman" w:hAnsi="Times New Roman" w:cs="Times New Roman"/>
                <w:b/>
                <w:spacing w:val="-2"/>
                <w:sz w:val="24"/>
                <w:szCs w:val="24"/>
              </w:rPr>
              <w:t xml:space="preserve">CONTRATO</w:t>
            </w:r>
            <w:r>
              <w:rPr>
                <w:rFonts w:ascii="Times New Roman" w:hAnsi="Times New Roman" w:cs="Times New Roman"/>
                <w:b/>
                <w:sz w:val="24"/>
                <w:szCs w:val="24"/>
              </w:rPr>
            </w:r>
            <w:r>
              <w:rPr>
                <w:rFonts w:ascii="Times New Roman" w:hAnsi="Times New Roman" w:cs="Times New Roman"/>
                <w:b/>
                <w:sz w:val="24"/>
                <w:szCs w:val="24"/>
              </w:rPr>
            </w:r>
          </w:p>
        </w:tc>
      </w:tr>
    </w:tbl>
    <w:p w14:paraId="0CB024B7">
      <w:pPr>
        <w:numPr>
          <w:ilvl w:val="0"/>
          <w:numId w:val="29"/>
        </w:numPr>
        <w:pBdr/>
        <w:spacing w:line="360" w:lineRule="auto"/>
        <w:ind w:hanging="454" w:left="454"/>
        <w:jc w:val="both"/>
        <w:rPr>
          <w:rFonts w:ascii="Times New Roman" w:hAnsi="Times New Roman" w:eastAsia="SimSun" w:cs="Times New Roman"/>
          <w:color w:val="000000"/>
          <w:sz w:val="24"/>
          <w:szCs w:val="24"/>
        </w:rPr>
      </w:pPr>
      <w:r>
        <w:rPr>
          <w:rFonts w:ascii="Times New Roman" w:hAnsi="Times New Roman" w:eastAsia="SimSun" w:cs="Times New Roman"/>
          <w:color w:val="000000"/>
          <w:sz w:val="24"/>
          <w:szCs w:val="24"/>
          <w:lang w:bidi="ar"/>
        </w:rPr>
        <w:t xml:space="preserve">Nos termos do Art. 117, da Lei n° 14.133/2021, </w:t>
      </w:r>
      <w:r>
        <w:rPr>
          <w:rFonts w:ascii="Times New Roman" w:hAnsi="Times New Roman" w:eastAsia="SimSun" w:cs="Times New Roman"/>
          <w:color w:val="000000"/>
          <w:sz w:val="24"/>
          <w:szCs w:val="24"/>
        </w:rPr>
        <w:t xml:space="preserve">a execução da ata deverá ser acompanhada e fiscalizada por 1 (um) ou mais fiscais do contrato, representantes da Administração especialmente designados conforme requisitos estabelecidos no </w:t>
      </w:r>
      <w:r>
        <w:fldChar w:fldCharType="begin"/>
      </w:r>
      <w:r>
        <w:instrText xml:space="preserve"> HYPERLINK "https://www.planalto.gov.br/ccivil_03/_ato2019-2022/2021/lei/L14133.htm" \l "art7" </w:instrText>
      </w:r>
      <w:r>
        <w:fldChar w:fldCharType="separate"/>
      </w:r>
      <w:r>
        <w:rPr>
          <w:rStyle w:val="1098"/>
          <w:rFonts w:ascii="Times New Roman" w:hAnsi="Times New Roman" w:eastAsia="SimSun" w:cs="Times New Roman"/>
          <w:sz w:val="24"/>
          <w:szCs w:val="24"/>
        </w:rPr>
        <w:t xml:space="preserve">art. 7º desta Lei</w:t>
      </w:r>
      <w:r>
        <w:rPr>
          <w:rStyle w:val="1098"/>
          <w:rFonts w:ascii="Times New Roman" w:hAnsi="Times New Roman" w:eastAsia="SimSun" w:cs="Times New Roman"/>
          <w:sz w:val="24"/>
          <w:szCs w:val="24"/>
        </w:rPr>
        <w:fldChar w:fldCharType="end"/>
      </w:r>
      <w:r>
        <w:rPr>
          <w:rFonts w:ascii="Times New Roman" w:hAnsi="Times New Roman" w:eastAsia="SimSun" w:cs="Times New Roman"/>
          <w:color w:val="000000"/>
          <w:sz w:val="24"/>
          <w:szCs w:val="24"/>
        </w:rPr>
        <w:t xml:space="preserve">, ou pelos respectivos substitutos, permitida a contratação de terceiros para assisti-los e subsidiá-los com informações pertinentes a essa atribuição, obedecendo ao decreto municipal nº 359/2023.</w:t>
      </w:r>
      <w:r>
        <w:rPr>
          <w:rFonts w:ascii="Times New Roman" w:hAnsi="Times New Roman" w:eastAsia="SimSun" w:cs="Times New Roman"/>
          <w:color w:val="000000"/>
          <w:sz w:val="24"/>
          <w:szCs w:val="24"/>
        </w:rPr>
      </w:r>
      <w:r>
        <w:rPr>
          <w:rFonts w:ascii="Times New Roman" w:hAnsi="Times New Roman" w:eastAsia="SimSun" w:cs="Times New Roman"/>
          <w:color w:val="000000"/>
          <w:sz w:val="24"/>
          <w:szCs w:val="24"/>
        </w:rPr>
      </w:r>
    </w:p>
    <w:p w14:paraId="5C7D427E">
      <w:pPr>
        <w:numPr>
          <w:ilvl w:val="0"/>
          <w:numId w:val="0"/>
        </w:numPr>
        <w:pBdr/>
        <w:spacing w:line="360" w:lineRule="auto"/>
        <w:ind w:firstLine="0" w:left="3000"/>
        <w:jc w:val="both"/>
        <w:rPr>
          <w:rFonts w:ascii="Times New Roman" w:hAnsi="Times New Roman" w:cs="Times New Roman"/>
          <w:sz w:val="24"/>
          <w:szCs w:val="24"/>
        </w:rPr>
      </w:pPr>
      <w:r>
        <w:rPr>
          <w:rFonts w:ascii="Times New Roman" w:hAnsi="Times New Roman" w:cs="Times New Roman"/>
          <w:sz w:val="24"/>
          <w:szCs w:val="24"/>
        </w:rPr>
        <w:t xml:space="preserve">§ 1° </w:t>
      </w:r>
      <w:r>
        <w:rPr>
          <w:rFonts w:ascii="Times New Roman" w:hAnsi="Times New Roman" w:eastAsia="SimSun" w:cs="Times New Roman"/>
          <w:color w:val="000000"/>
          <w:sz w:val="24"/>
          <w:szCs w:val="24"/>
        </w:rPr>
        <w:t xml:space="preserve">O fiscal da ata anotará em registro próprio todas as ocorrências relacionadas à execução da ata, determinando o que for necessário para a regularização das faltas ou dos defeitos observados.</w:t>
      </w:r>
      <w:r>
        <w:rPr>
          <w:rFonts w:ascii="Times New Roman" w:hAnsi="Times New Roman" w:cs="Times New Roman"/>
          <w:sz w:val="24"/>
          <w:szCs w:val="24"/>
        </w:rPr>
      </w:r>
      <w:r>
        <w:rPr>
          <w:rFonts w:ascii="Times New Roman" w:hAnsi="Times New Roman" w:cs="Times New Roman"/>
          <w:sz w:val="24"/>
          <w:szCs w:val="24"/>
        </w:rPr>
      </w:r>
    </w:p>
    <w:p w14:paraId="4C6CB696">
      <w:pPr>
        <w:numPr>
          <w:ilvl w:val="0"/>
          <w:numId w:val="0"/>
        </w:numPr>
        <w:pBdr/>
        <w:spacing w:line="360" w:lineRule="auto"/>
        <w:ind w:firstLine="0" w:left="3000"/>
        <w:jc w:val="both"/>
        <w:rPr>
          <w:rFonts w:ascii="Times New Roman" w:hAnsi="Times New Roman" w:cs="Times New Roman"/>
          <w:sz w:val="24"/>
          <w:szCs w:val="24"/>
        </w:rPr>
      </w:pPr>
      <w:r>
        <w:rPr>
          <w:rFonts w:ascii="Times New Roman" w:hAnsi="Times New Roman" w:cs="Times New Roman"/>
          <w:sz w:val="24"/>
          <w:szCs w:val="24"/>
        </w:rPr>
        <w:t xml:space="preserve">§ 2° </w:t>
      </w:r>
      <w:r>
        <w:rPr>
          <w:rFonts w:ascii="Times New Roman" w:hAnsi="Times New Roman" w:eastAsia="SimSun" w:cs="Times New Roman"/>
          <w:color w:val="000000"/>
          <w:sz w:val="24"/>
          <w:szCs w:val="24"/>
        </w:rPr>
        <w:t xml:space="preserve">O fiscal da ata informará a seus superiores, em tempo hábil para a adoção das medidas convenientes, a situação que demandar decisão ou providência que ultrapasse sua competência.</w:t>
      </w:r>
      <w:r>
        <w:rPr>
          <w:rFonts w:ascii="Times New Roman" w:hAnsi="Times New Roman" w:cs="Times New Roman"/>
          <w:sz w:val="24"/>
          <w:szCs w:val="24"/>
        </w:rPr>
      </w:r>
      <w:r>
        <w:rPr>
          <w:rFonts w:ascii="Times New Roman" w:hAnsi="Times New Roman" w:cs="Times New Roman"/>
          <w:sz w:val="24"/>
          <w:szCs w:val="24"/>
        </w:rPr>
      </w:r>
    </w:p>
    <w:p w14:paraId="01A57808">
      <w:pPr>
        <w:numPr>
          <w:ilvl w:val="0"/>
          <w:numId w:val="0"/>
        </w:numPr>
        <w:pBdr/>
        <w:spacing w:line="360" w:lineRule="auto"/>
        <w:ind w:firstLine="0" w:left="3000"/>
        <w:jc w:val="both"/>
        <w:rPr>
          <w:rFonts w:ascii="Times New Roman" w:hAnsi="Times New Roman" w:eastAsia="SimSun" w:cs="Times New Roman"/>
          <w:color w:val="000000"/>
          <w:sz w:val="24"/>
          <w:szCs w:val="24"/>
        </w:rPr>
      </w:pPr>
      <w:r>
        <w:rPr>
          <w:rFonts w:ascii="Times New Roman" w:hAnsi="Times New Roman" w:cs="Times New Roman"/>
          <w:sz w:val="24"/>
          <w:szCs w:val="24"/>
        </w:rPr>
        <w:t xml:space="preserve">§ 3° </w:t>
      </w:r>
      <w:r>
        <w:rPr>
          <w:rFonts w:ascii="Times New Roman" w:hAnsi="Times New Roman" w:eastAsia="SimSun" w:cs="Times New Roman"/>
          <w:color w:val="000000"/>
          <w:sz w:val="24"/>
          <w:szCs w:val="24"/>
        </w:rPr>
        <w:t xml:space="preserve">O fiscal da ata será auxiliado pelos órgãos de assessoramento jurídico e de controle interno da Administração, que deverão dirimir dúvidas e subsidiá-lo com informações relevantes para prevenir riscos na execução contratual.</w:t>
      </w:r>
      <w:r>
        <w:rPr>
          <w:rFonts w:ascii="Times New Roman" w:hAnsi="Times New Roman" w:eastAsia="SimSun" w:cs="Times New Roman"/>
          <w:color w:val="000000"/>
          <w:sz w:val="24"/>
          <w:szCs w:val="24"/>
        </w:rPr>
      </w:r>
      <w:r>
        <w:rPr>
          <w:rFonts w:ascii="Times New Roman" w:hAnsi="Times New Roman" w:eastAsia="SimSun" w:cs="Times New Roman"/>
          <w:color w:val="000000"/>
          <w:sz w:val="24"/>
          <w:szCs w:val="24"/>
        </w:rPr>
      </w:r>
    </w:p>
    <w:p w14:paraId="09099AC0">
      <w:pPr>
        <w:numPr>
          <w:ilvl w:val="0"/>
          <w:numId w:val="0"/>
        </w:numPr>
        <w:pBdr/>
        <w:spacing w:line="360" w:lineRule="auto"/>
        <w:ind w:firstLine="0" w:left="3000"/>
        <w:jc w:val="both"/>
        <w:rPr>
          <w:rFonts w:ascii="Times New Roman" w:hAnsi="Times New Roman" w:eastAsia="SimSun" w:cs="Times New Roman"/>
          <w:color w:val="000000"/>
          <w:sz w:val="24"/>
          <w:szCs w:val="24"/>
        </w:rPr>
      </w:pPr>
      <w:r>
        <w:rPr>
          <w:rFonts w:ascii="Times New Roman" w:hAnsi="Times New Roman" w:eastAsia="SimSun" w:cs="Times New Roman"/>
          <w:color w:val="000000"/>
          <w:sz w:val="24"/>
          <w:szCs w:val="24"/>
        </w:rPr>
      </w:r>
      <w:r>
        <w:rPr>
          <w:rFonts w:ascii="Times New Roman" w:hAnsi="Times New Roman" w:eastAsia="SimSun" w:cs="Times New Roman"/>
          <w:color w:val="000000"/>
          <w:sz w:val="24"/>
          <w:szCs w:val="24"/>
        </w:rPr>
      </w:r>
      <w:r>
        <w:rPr>
          <w:rFonts w:ascii="Times New Roman" w:hAnsi="Times New Roman" w:eastAsia="SimSun" w:cs="Times New Roman"/>
          <w:color w:val="000000"/>
          <w:sz w:val="24"/>
          <w:szCs w:val="24"/>
        </w:rPr>
      </w:r>
    </w:p>
    <w:p w14:paraId="43FA6EB9">
      <w:pPr>
        <w:numPr>
          <w:ilvl w:val="0"/>
          <w:numId w:val="30"/>
        </w:numPr>
        <w:pBdr/>
        <w:tabs>
          <w:tab w:val="left" w:leader="none" w:pos="426"/>
        </w:tabs>
        <w:spacing w:line="276" w:lineRule="auto"/>
        <w:ind w:hanging="454" w:left="454"/>
        <w:rPr>
          <w:rFonts w:ascii="Times New Roman" w:hAnsi="Times New Roman" w:cs="Times New Roman"/>
          <w:bCs/>
          <w:color w:val="000000"/>
          <w:sz w:val="24"/>
          <w:szCs w:val="24"/>
        </w:rPr>
      </w:pPr>
      <w:r>
        <w:rPr>
          <w:rFonts w:ascii="Times New Roman" w:hAnsi="Times New Roman" w:cs="Times New Roman"/>
          <w:b/>
          <w:sz w:val="24"/>
          <w:szCs w:val="24"/>
        </w:rPr>
        <w:t xml:space="preserve">DO FISCAL DA ATA DE REGISTRO DE PREÇO/ CONTRATO</w:t>
      </w:r>
      <w:r>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r>
      <w:r>
        <w:rPr>
          <w:rFonts w:ascii="Times New Roman" w:hAnsi="Times New Roman" w:cs="Times New Roman"/>
          <w:bCs/>
          <w:color w:val="000000"/>
          <w:sz w:val="24"/>
          <w:szCs w:val="24"/>
        </w:rPr>
      </w:r>
    </w:p>
    <w:tbl>
      <w:tblPr>
        <w:tblStyle w:val="1103"/>
        <w:tblInd w:w="356" w:type="dxa"/>
        <w:tblW w:w="8286"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1639"/>
        <w:gridCol w:w="3439"/>
        <w:gridCol w:w="3208"/>
      </w:tblGrid>
      <w:tr>
        <w:trPr>
          <w:trHeight w:val="581"/>
        </w:trPr>
        <w:tc>
          <w:tcPr>
            <w:tcBorders/>
            <w:tcW w:w="1283" w:type="dxa"/>
            <w:vAlign w:val="center"/>
          </w:tcPr>
          <w:p w14:paraId="7976824D">
            <w:pPr>
              <w:pBdr/>
              <w:spacing w:line="360" w:lineRule="auto"/>
              <w:ind/>
              <w:jc w:val="center"/>
              <w:rPr>
                <w:rFonts w:ascii="Times New Roman" w:hAnsi="Times New Roman" w:cs="Times New Roman"/>
                <w:b/>
                <w:bCs/>
                <w:color w:val="000000"/>
              </w:rPr>
            </w:pPr>
            <w:r>
              <w:rPr>
                <w:rFonts w:ascii="Times New Roman" w:hAnsi="Times New Roman" w:cs="Times New Roman"/>
                <w:b/>
                <w:bCs/>
                <w:color w:val="000000"/>
              </w:rPr>
              <w:t xml:space="preserve">SECRETARIAS</w:t>
            </w:r>
            <w:r>
              <w:rPr>
                <w:rFonts w:ascii="Times New Roman" w:hAnsi="Times New Roman" w:cs="Times New Roman"/>
                <w:b/>
                <w:bCs/>
                <w:color w:val="000000"/>
              </w:rPr>
            </w:r>
            <w:r>
              <w:rPr>
                <w:rFonts w:ascii="Times New Roman" w:hAnsi="Times New Roman" w:cs="Times New Roman"/>
                <w:b/>
                <w:bCs/>
                <w:color w:val="000000"/>
              </w:rPr>
            </w:r>
          </w:p>
        </w:tc>
        <w:tc>
          <w:tcPr>
            <w:tcBorders/>
            <w:tcW w:w="3601" w:type="dxa"/>
            <w:vAlign w:val="center"/>
          </w:tcPr>
          <w:p w14:paraId="5271BA22">
            <w:pPr>
              <w:pBdr/>
              <w:spacing w:line="360" w:lineRule="auto"/>
              <w:ind/>
              <w:rPr>
                <w:rFonts w:ascii="Times New Roman" w:hAnsi="Times New Roman" w:cs="Times New Roman"/>
                <w:b/>
                <w:bCs/>
                <w:color w:val="000000"/>
              </w:rPr>
            </w:pPr>
            <w:r>
              <w:rPr>
                <w:rFonts w:ascii="Times New Roman" w:hAnsi="Times New Roman" w:cs="Times New Roman"/>
                <w:b/>
                <w:bCs/>
                <w:color w:val="000000"/>
              </w:rPr>
              <w:t xml:space="preserve">FISCAL DA ATA/CONTRATO</w:t>
            </w:r>
            <w:r>
              <w:rPr>
                <w:rFonts w:ascii="Times New Roman" w:hAnsi="Times New Roman" w:cs="Times New Roman"/>
                <w:b/>
                <w:bCs/>
                <w:color w:val="000000"/>
              </w:rPr>
            </w:r>
            <w:r>
              <w:rPr>
                <w:rFonts w:ascii="Times New Roman" w:hAnsi="Times New Roman" w:cs="Times New Roman"/>
                <w:b/>
                <w:bCs/>
                <w:color w:val="000000"/>
              </w:rPr>
            </w:r>
          </w:p>
        </w:tc>
        <w:tc>
          <w:tcPr>
            <w:tcBorders/>
            <w:tcW w:w="3402" w:type="dxa"/>
            <w:vAlign w:val="center"/>
          </w:tcPr>
          <w:p w14:paraId="6FFE956C">
            <w:pPr>
              <w:pBdr/>
              <w:spacing w:line="360" w:lineRule="auto"/>
              <w:ind/>
              <w:jc w:val="center"/>
              <w:rPr>
                <w:rFonts w:ascii="Times New Roman" w:hAnsi="Times New Roman" w:cs="Times New Roman"/>
                <w:b/>
                <w:bCs/>
                <w:color w:val="000000"/>
              </w:rPr>
            </w:pPr>
            <w:r>
              <w:rPr>
                <w:rFonts w:ascii="Times New Roman" w:hAnsi="Times New Roman" w:cs="Times New Roman"/>
                <w:b/>
                <w:bCs/>
                <w:color w:val="000000"/>
              </w:rPr>
              <w:t xml:space="preserve">SUPLENTE</w:t>
            </w:r>
            <w:r>
              <w:rPr>
                <w:rFonts w:ascii="Times New Roman" w:hAnsi="Times New Roman" w:cs="Times New Roman"/>
                <w:b/>
                <w:bCs/>
                <w:color w:val="000000"/>
              </w:rPr>
            </w:r>
            <w:r>
              <w:rPr>
                <w:rFonts w:ascii="Times New Roman" w:hAnsi="Times New Roman" w:cs="Times New Roman"/>
                <w:b/>
                <w:bCs/>
                <w:color w:val="000000"/>
              </w:rPr>
            </w:r>
          </w:p>
        </w:tc>
      </w:tr>
      <w:tr>
        <w:trPr>
          <w:trHeight w:val="1240"/>
        </w:trPr>
        <w:tc>
          <w:tcPr>
            <w:tcBorders/>
            <w:tcW w:w="1283" w:type="dxa"/>
            <w:vAlign w:val="center"/>
          </w:tcPr>
          <w:p w14:paraId="5514A733">
            <w:pPr>
              <w:widowControl w:val="false"/>
              <w:pBdr/>
              <w:tabs>
                <w:tab w:val="left" w:leader="none" w:pos="567"/>
                <w:tab w:val="left" w:leader="none" w:pos="8647"/>
              </w:tabs>
              <w:spacing w:after="100" w:afterAutospacing="1" w:before="100" w:beforeAutospacing="1" w:line="276" w:lineRule="auto"/>
              <w:ind w:right="-1"/>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OBRAS</w:t>
            </w:r>
            <w:r>
              <w:rPr>
                <w:rFonts w:ascii="Times New Roman" w:hAnsi="Times New Roman" w:cs="Times New Roman"/>
                <w:bCs/>
                <w:color w:val="000000"/>
                <w:sz w:val="24"/>
                <w:szCs w:val="24"/>
              </w:rPr>
            </w:r>
            <w:r>
              <w:rPr>
                <w:rFonts w:ascii="Times New Roman" w:hAnsi="Times New Roman" w:cs="Times New Roman"/>
                <w:bCs/>
                <w:color w:val="000000"/>
                <w:sz w:val="24"/>
                <w:szCs w:val="24"/>
              </w:rPr>
            </w:r>
          </w:p>
          <w:p w14:paraId="634C69AF">
            <w:pPr>
              <w:widowControl w:val="false"/>
              <w:pBdr/>
              <w:tabs>
                <w:tab w:val="left" w:leader="none" w:pos="567"/>
                <w:tab w:val="left" w:leader="none" w:pos="8647"/>
              </w:tabs>
              <w:spacing w:after="100" w:afterAutospacing="1" w:before="100" w:beforeAutospacing="1" w:line="276" w:lineRule="auto"/>
              <w:ind w:right="-1"/>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r>
            <w:r>
              <w:rPr>
                <w:rFonts w:ascii="Times New Roman" w:hAnsi="Times New Roman" w:cs="Times New Roman"/>
                <w:bCs/>
                <w:color w:val="000000"/>
                <w:sz w:val="24"/>
                <w:szCs w:val="24"/>
              </w:rPr>
            </w:r>
            <w:r>
              <w:rPr>
                <w:rFonts w:ascii="Times New Roman" w:hAnsi="Times New Roman" w:cs="Times New Roman"/>
                <w:bCs/>
                <w:color w:val="000000"/>
                <w:sz w:val="24"/>
                <w:szCs w:val="24"/>
              </w:rPr>
            </w:r>
          </w:p>
        </w:tc>
        <w:tc>
          <w:tcPr>
            <w:tcBorders/>
            <w:tcW w:w="3601" w:type="dxa"/>
            <w:vAlign w:val="center"/>
          </w:tcPr>
          <w:p w14:paraId="4E0F46B9">
            <w:pPr>
              <w:pBdr/>
              <w:tabs>
                <w:tab w:val="left" w:leader="none" w:pos="426"/>
              </w:tabs>
              <w:spacing w:line="276" w:lineRule="auto"/>
              <w:ind/>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Fiscal:</w:t>
            </w:r>
            <w:r>
              <w:rPr>
                <w:rFonts w:hint="default" w:ascii="Times New Roman" w:hAnsi="Times New Roman" w:cs="Times New Roman"/>
                <w:bCs/>
                <w:color w:val="000000"/>
                <w:sz w:val="24"/>
                <w:szCs w:val="24"/>
                <w:lang w:val="pt-BR"/>
              </w:rPr>
              <w:t xml:space="preserve"> </w:t>
            </w:r>
            <w:r>
              <w:rPr>
                <w:rFonts w:ascii="Times New Roman" w:hAnsi="Times New Roman" w:cs="Times New Roman"/>
                <w:bCs/>
                <w:color w:val="000000"/>
                <w:sz w:val="24"/>
                <w:szCs w:val="24"/>
              </w:rPr>
              <w:t xml:space="preserve">JAISON ANDREY SEGAT</w:t>
            </w:r>
            <w:r>
              <w:rPr>
                <w:rFonts w:ascii="Times New Roman" w:hAnsi="Times New Roman" w:cs="Times New Roman"/>
                <w:bCs/>
                <w:color w:val="000000"/>
                <w:sz w:val="24"/>
                <w:szCs w:val="24"/>
              </w:rPr>
            </w:r>
            <w:r>
              <w:rPr>
                <w:rFonts w:ascii="Times New Roman" w:hAnsi="Times New Roman" w:cs="Times New Roman"/>
                <w:bCs/>
                <w:color w:val="000000"/>
                <w:sz w:val="24"/>
                <w:szCs w:val="24"/>
              </w:rPr>
            </w:r>
          </w:p>
          <w:p w14:paraId="11E49EEE">
            <w:pPr>
              <w:pBdr/>
              <w:tabs>
                <w:tab w:val="left" w:leader="none" w:pos="426"/>
              </w:tabs>
              <w:spacing w:line="276" w:lineRule="auto"/>
              <w:ind/>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Cargo: ACESSOR</w:t>
            </w:r>
            <w:r>
              <w:rPr>
                <w:rFonts w:ascii="Times New Roman" w:hAnsi="Times New Roman" w:cs="Times New Roman"/>
                <w:bCs/>
                <w:color w:val="000000"/>
                <w:sz w:val="24"/>
                <w:szCs w:val="24"/>
              </w:rPr>
            </w:r>
            <w:r>
              <w:rPr>
                <w:rFonts w:ascii="Times New Roman" w:hAnsi="Times New Roman" w:cs="Times New Roman"/>
                <w:bCs/>
                <w:color w:val="000000"/>
                <w:sz w:val="24"/>
                <w:szCs w:val="24"/>
              </w:rPr>
            </w:r>
          </w:p>
          <w:p w14:paraId="3CFDBCCB">
            <w:pPr>
              <w:pBdr/>
              <w:spacing w:line="276" w:lineRule="auto"/>
              <w:ind/>
              <w:rPr>
                <w:rFonts w:ascii="Times New Roman" w:hAnsi="Times New Roman" w:cs="Times New Roman"/>
                <w:color w:val="000000"/>
                <w:sz w:val="24"/>
                <w:szCs w:val="24"/>
              </w:rPr>
            </w:pPr>
            <w:r>
              <w:rPr>
                <w:rFonts w:ascii="Times New Roman" w:hAnsi="Times New Roman" w:cs="Times New Roman"/>
                <w:bCs/>
                <w:color w:val="000000"/>
                <w:sz w:val="24"/>
                <w:szCs w:val="24"/>
              </w:rPr>
              <w:t xml:space="preserve">Matrícula: 15428</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tcBorders/>
            <w:tcW w:w="3402" w:type="dxa"/>
            <w:vAlign w:val="center"/>
          </w:tcPr>
          <w:p w14:paraId="5D324D04">
            <w:pPr>
              <w:pBdr/>
              <w:tabs>
                <w:tab w:val="left" w:leader="none" w:pos="426"/>
              </w:tabs>
              <w:spacing w:line="276" w:lineRule="auto"/>
              <w:ind/>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Suplente: ARIEL NIKOLAK CORREIA</w:t>
            </w:r>
            <w:r>
              <w:rPr>
                <w:rFonts w:ascii="Times New Roman" w:hAnsi="Times New Roman" w:cs="Times New Roman"/>
                <w:bCs/>
                <w:color w:val="000000"/>
                <w:sz w:val="24"/>
                <w:szCs w:val="24"/>
              </w:rPr>
            </w:r>
            <w:r>
              <w:rPr>
                <w:rFonts w:ascii="Times New Roman" w:hAnsi="Times New Roman" w:cs="Times New Roman"/>
                <w:bCs/>
                <w:color w:val="000000"/>
                <w:sz w:val="24"/>
                <w:szCs w:val="24"/>
              </w:rPr>
            </w:r>
          </w:p>
          <w:p w14:paraId="534E96CE">
            <w:pPr>
              <w:pBdr/>
              <w:tabs>
                <w:tab w:val="left" w:leader="none" w:pos="426"/>
              </w:tabs>
              <w:spacing w:line="276" w:lineRule="auto"/>
              <w:ind/>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Cargo: ACESSOR</w:t>
            </w:r>
            <w:r>
              <w:rPr>
                <w:rFonts w:ascii="Times New Roman" w:hAnsi="Times New Roman" w:cs="Times New Roman"/>
                <w:bCs/>
                <w:color w:val="000000"/>
                <w:sz w:val="24"/>
                <w:szCs w:val="24"/>
              </w:rPr>
            </w:r>
            <w:r>
              <w:rPr>
                <w:rFonts w:ascii="Times New Roman" w:hAnsi="Times New Roman" w:cs="Times New Roman"/>
                <w:bCs/>
                <w:color w:val="000000"/>
                <w:sz w:val="24"/>
                <w:szCs w:val="24"/>
              </w:rPr>
            </w:r>
          </w:p>
          <w:p w14:paraId="3C55B938">
            <w:pPr>
              <w:pBdr/>
              <w:tabs>
                <w:tab w:val="left" w:leader="none" w:pos="426"/>
              </w:tabs>
              <w:spacing w:line="276" w:lineRule="auto"/>
              <w:ind/>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Matrícula: 17171</w:t>
            </w:r>
            <w:r>
              <w:rPr>
                <w:rFonts w:ascii="Times New Roman" w:hAnsi="Times New Roman" w:cs="Times New Roman"/>
                <w:bCs/>
                <w:color w:val="000000"/>
                <w:sz w:val="24"/>
                <w:szCs w:val="24"/>
              </w:rPr>
            </w:r>
            <w:r>
              <w:rPr>
                <w:rFonts w:ascii="Times New Roman" w:hAnsi="Times New Roman" w:cs="Times New Roman"/>
                <w:bCs/>
                <w:color w:val="000000"/>
                <w:sz w:val="24"/>
                <w:szCs w:val="24"/>
              </w:rPr>
            </w:r>
          </w:p>
        </w:tc>
      </w:tr>
    </w:tbl>
    <w:p w14:paraId="1FBEDD38">
      <w:pPr>
        <w:pBdr/>
        <w:spacing w:line="360" w:lineRule="auto"/>
        <w:ind/>
        <w:rPr>
          <w:rFonts w:ascii="Times New Roman" w:hAnsi="Times New Roman" w:cs="Times New Roman"/>
          <w:color w:val="000000"/>
          <w:sz w:val="24"/>
          <w:szCs w:val="24"/>
          <w:highlight w:val="yellow"/>
        </w:rPr>
      </w:pPr>
      <w:r>
        <w:rPr>
          <w:rFonts w:ascii="Times New Roman" w:hAnsi="Times New Roman" w:cs="Times New Roman"/>
          <w:color w:val="000000"/>
          <w:sz w:val="24"/>
          <w:szCs w:val="24"/>
          <w:highlight w:val="yellow"/>
        </w:rPr>
      </w:r>
      <w:r>
        <w:rPr>
          <w:rFonts w:ascii="Times New Roman" w:hAnsi="Times New Roman" w:cs="Times New Roman"/>
          <w:color w:val="000000"/>
          <w:sz w:val="24"/>
          <w:szCs w:val="24"/>
          <w:highlight w:val="yellow"/>
        </w:rPr>
      </w:r>
      <w:r>
        <w:rPr>
          <w:rFonts w:ascii="Times New Roman" w:hAnsi="Times New Roman" w:cs="Times New Roman"/>
          <w:color w:val="000000"/>
          <w:sz w:val="24"/>
          <w:szCs w:val="24"/>
          <w:highlight w:val="yellow"/>
        </w:rPr>
      </w:r>
    </w:p>
    <w:p w14:paraId="0A8E2D45">
      <w:pPr>
        <w:numPr>
          <w:ilvl w:val="0"/>
          <w:numId w:val="31"/>
        </w:numPr>
        <w:pBdr/>
        <w:tabs>
          <w:tab w:val="left" w:leader="none" w:pos="0"/>
          <w:tab w:val="clear" w:leader="none" w:pos="454"/>
        </w:tabs>
        <w:spacing w:line="360" w:lineRule="auto"/>
        <w:ind w:firstLine="0" w:left="0"/>
        <w:jc w:val="both"/>
        <w:rPr>
          <w:rFonts w:ascii="Times New Roman" w:hAnsi="Times New Roman" w:cs="Times New Roman"/>
          <w:b/>
          <w:bCs/>
          <w:color w:val="000000"/>
          <w:sz w:val="24"/>
          <w:szCs w:val="24"/>
        </w:rPr>
      </w:pPr>
      <w:r>
        <w:rPr>
          <w:rFonts w:ascii="Times New Roman" w:hAnsi="Times New Roman" w:cs="Times New Roman"/>
          <w:color w:val="000000"/>
          <w:sz w:val="24"/>
          <w:szCs w:val="24"/>
        </w:rPr>
        <w:t xml:space="preserve">O fiscal da ata</w:t>
      </w:r>
      <w:r>
        <w:rPr>
          <w:rFonts w:hint="default" w:ascii="Times New Roman" w:hAnsi="Times New Roman" w:cs="Times New Roman"/>
          <w:color w:val="000000"/>
          <w:sz w:val="24"/>
          <w:szCs w:val="24"/>
          <w:lang w:val="pt-BR"/>
        </w:rPr>
        <w:t xml:space="preserve">/contrato</w:t>
      </w:r>
      <w:r>
        <w:rPr>
          <w:rFonts w:ascii="Times New Roman" w:hAnsi="Times New Roman" w:cs="Times New Roman"/>
          <w:color w:val="000000"/>
          <w:sz w:val="24"/>
          <w:szCs w:val="24"/>
        </w:rPr>
        <w:t xml:space="preserve"> acompanhará os registros realizados pelos fiscais do</w:t>
      </w:r>
      <w:r>
        <w:rPr>
          <w:rFonts w:ascii="Times New Roman" w:hAnsi="Times New Roman" w:cs="Times New Roman"/>
          <w:color w:val="000000"/>
          <w:sz w:val="24"/>
          <w:szCs w:val="24"/>
        </w:rPr>
        <w:t xml:space="preserve"> contrato, de todas as ocorrências relacionadas à execução do contrato e as medidas adotadas, informando, se for o caso, à autoridade superior àquelas que ultrapassarem a sua competência. (Decreto Federal nº 11.246, de 2022, art. 21, II e suas atualizações</w:t>
      </w:r>
      <w:r>
        <w:rPr>
          <w:rFonts w:ascii="Times New Roman" w:hAnsi="Times New Roman" w:cs="Times New Roman"/>
          <w:b/>
          <w:bCs/>
          <w:color w:val="000000"/>
          <w:sz w:val="24"/>
          <w:szCs w:val="24"/>
        </w:rPr>
        <w:t xml:space="preserve">).</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14:paraId="466F6E4F">
      <w:pPr>
        <w:numPr>
          <w:ilvl w:val="0"/>
          <w:numId w:val="31"/>
        </w:numPr>
        <w:pBdr/>
        <w:tabs>
          <w:tab w:val="clear" w:leader="none" w:pos="454"/>
        </w:tabs>
        <w:spacing w:line="360" w:lineRule="auto"/>
        <w:ind w:firstLine="0" w:left="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 fiscal da ata</w:t>
      </w:r>
      <w:r>
        <w:rPr>
          <w:rFonts w:hint="default" w:ascii="Times New Roman" w:hAnsi="Times New Roman" w:cs="Times New Roman"/>
          <w:color w:val="000000"/>
          <w:sz w:val="24"/>
          <w:szCs w:val="24"/>
          <w:lang w:val="pt-BR"/>
        </w:rPr>
        <w:t xml:space="preserve">/contrato</w:t>
      </w:r>
      <w:r>
        <w:rPr>
          <w:rFonts w:ascii="Times New Roman" w:hAnsi="Times New Roman" w:cs="Times New Roman"/>
          <w:color w:val="000000"/>
          <w:sz w:val="24"/>
          <w:szCs w:val="24"/>
        </w:rPr>
        <w:t xml:space="preserve"> coordenará a atualização do processo de acompanhamento e fiscalização da ata contendo todos os registros formais da execução no histórico de gere</w:t>
      </w:r>
      <w:r>
        <w:rPr>
          <w:rFonts w:ascii="Times New Roman" w:hAnsi="Times New Roman" w:cs="Times New Roman"/>
          <w:color w:val="000000"/>
          <w:sz w:val="24"/>
          <w:szCs w:val="24"/>
        </w:rPr>
        <w:t xml:space="preserve">nciamento da ata, a exemplo da ordem de serviço, do registro de ocorrências, das alterações e das prorrogações da ata, elaborando relatório com vistas à verificação da necessidade de adequações da ata para fins de atendimento da finalidade da administração</w:t>
      </w:r>
      <w:r>
        <w:rPr>
          <w:rFonts w:hint="default" w:ascii="Times New Roman" w:hAnsi="Times New Roman" w:cs="Times New Roman"/>
          <w:color w:val="000000"/>
          <w:sz w:val="24"/>
          <w:szCs w:val="24"/>
          <w:lang w:val="pt-BR"/>
        </w:rPr>
        <w:t xml:space="preserve">.</w:t>
      </w:r>
      <w:r>
        <w:rPr>
          <w:rFonts w:ascii="Times New Roman" w:hAnsi="Times New Roman" w:cs="Times New Roman"/>
          <w:color w:val="000000"/>
          <w:sz w:val="24"/>
          <w:szCs w:val="24"/>
        </w:rPr>
      </w:r>
      <w:r>
        <w:rPr>
          <w:rFonts w:ascii="Times New Roman" w:hAnsi="Times New Roman" w:cs="Times New Roman"/>
          <w:color w:val="000000"/>
          <w:sz w:val="24"/>
          <w:szCs w:val="24"/>
        </w:rPr>
      </w:r>
    </w:p>
    <w:p w14:paraId="4F62031A">
      <w:pPr>
        <w:numPr>
          <w:ilvl w:val="0"/>
          <w:numId w:val="31"/>
        </w:numPr>
        <w:pBdr/>
        <w:shd w:val="clear" w:color="auto"/>
        <w:tabs>
          <w:tab w:val="clear" w:leader="none" w:pos="454"/>
        </w:tabs>
        <w:spacing w:line="360" w:lineRule="auto"/>
        <w:ind w:firstLine="0" w:left="0"/>
        <w:jc w:val="both"/>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O fiscal da ata</w:t>
      </w:r>
      <w:r>
        <w:rPr>
          <w:rFonts w:hint="default" w:ascii="Times New Roman" w:hAnsi="Times New Roman" w:cs="Times New Roman"/>
          <w:color w:val="000000"/>
          <w:sz w:val="24"/>
          <w:szCs w:val="24"/>
          <w:highlight w:val="none"/>
          <w:lang w:val="pt-BR"/>
        </w:rPr>
        <w:t xml:space="preserve">/contrato</w:t>
      </w:r>
      <w:r>
        <w:rPr>
          <w:rFonts w:ascii="Times New Roman" w:hAnsi="Times New Roman" w:cs="Times New Roman"/>
          <w:color w:val="000000"/>
          <w:sz w:val="24"/>
          <w:szCs w:val="24"/>
          <w:highlight w:val="none"/>
        </w:rPr>
        <w:t xml:space="preserve"> acompanhará a manutenção das condições de habilitação da contratada, para fins de empenho de despesa e pagamento, e anotará os problemas que obstem o fluxo normal da liquidação e do pagamento da despesa no relatório de riscos eventuais</w:t>
      </w:r>
      <w:r>
        <w:rPr>
          <w:rFonts w:ascii="Times New Roman" w:hAnsi="Times New Roman" w:cs="Times New Roman"/>
          <w:b/>
          <w:bCs/>
          <w:color w:val="000000"/>
          <w:sz w:val="24"/>
          <w:szCs w:val="24"/>
          <w:highlight w:val="none"/>
        </w:rPr>
        <w:t xml:space="preserve">.</w:t>
      </w:r>
      <w:r>
        <w:rPr>
          <w:rFonts w:ascii="Times New Roman" w:hAnsi="Times New Roman" w:cs="Times New Roman"/>
          <w:color w:val="000000"/>
          <w:sz w:val="24"/>
          <w:szCs w:val="24"/>
          <w:highlight w:val="none"/>
        </w:rPr>
      </w:r>
      <w:r>
        <w:rPr>
          <w:rFonts w:ascii="Times New Roman" w:hAnsi="Times New Roman" w:cs="Times New Roman"/>
          <w:color w:val="000000"/>
          <w:sz w:val="24"/>
          <w:szCs w:val="24"/>
          <w:highlight w:val="none"/>
        </w:rPr>
      </w:r>
    </w:p>
    <w:p w14:paraId="43A968CA">
      <w:pPr>
        <w:numPr>
          <w:ilvl w:val="0"/>
          <w:numId w:val="31"/>
        </w:numPr>
        <w:pBdr/>
        <w:shd w:val="clear" w:color="auto"/>
        <w:tabs>
          <w:tab w:val="left" w:leader="none" w:pos="0"/>
          <w:tab w:val="clear" w:leader="none" w:pos="454"/>
        </w:tabs>
        <w:spacing w:line="360" w:lineRule="auto"/>
        <w:ind w:firstLine="0" w:left="0"/>
        <w:jc w:val="both"/>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O fiscal da ata</w:t>
      </w:r>
      <w:r>
        <w:rPr>
          <w:rFonts w:hint="default" w:ascii="Times New Roman" w:hAnsi="Times New Roman" w:cs="Times New Roman"/>
          <w:color w:val="000000"/>
          <w:sz w:val="24"/>
          <w:szCs w:val="24"/>
          <w:highlight w:val="none"/>
          <w:lang w:val="pt-BR"/>
        </w:rPr>
        <w:t xml:space="preserve">/contrato</w:t>
      </w:r>
      <w:r>
        <w:rPr>
          <w:rFonts w:ascii="Times New Roman" w:hAnsi="Times New Roman" w:cs="Times New Roman"/>
          <w:color w:val="000000"/>
          <w:sz w:val="24"/>
          <w:szCs w:val="24"/>
          <w:highlight w:val="none"/>
        </w:rPr>
        <w:t xml:space="preserve"> emitirá documento comprobatório da avaliação real</w:t>
      </w:r>
      <w:r>
        <w:rPr>
          <w:rFonts w:ascii="Times New Roman" w:hAnsi="Times New Roman" w:cs="Times New Roman"/>
          <w:color w:val="000000"/>
          <w:sz w:val="24"/>
          <w:szCs w:val="24"/>
          <w:highlight w:val="none"/>
        </w:rPr>
        <w:t xml:space="preserve">izada pelos fiscais técnico, administrativo e setorial quanto ao cumprimento de obrigações assumidas pelo contratado, com menção ao seu desempenho na execução contratual, baseado nos indicadores objetivamente definidos e aferidos, e a eventuais penalidades</w:t>
      </w:r>
      <w:r>
        <w:rPr>
          <w:rFonts w:ascii="Times New Roman" w:hAnsi="Times New Roman" w:cs="Times New Roman"/>
          <w:b/>
          <w:bCs/>
          <w:color w:val="000000"/>
          <w:sz w:val="24"/>
          <w:szCs w:val="24"/>
          <w:highlight w:val="none"/>
        </w:rPr>
        <w:t xml:space="preserve"> </w:t>
      </w:r>
      <w:r>
        <w:rPr>
          <w:rFonts w:ascii="Times New Roman" w:hAnsi="Times New Roman" w:cs="Times New Roman"/>
          <w:color w:val="000000"/>
          <w:sz w:val="24"/>
          <w:szCs w:val="24"/>
          <w:highlight w:val="none"/>
        </w:rPr>
        <w:t xml:space="preserve">aplicadas,</w:t>
      </w:r>
      <w:r>
        <w:rPr>
          <w:rFonts w:ascii="Times New Roman" w:hAnsi="Times New Roman" w:cs="Times New Roman"/>
          <w:b/>
          <w:bCs/>
          <w:color w:val="000000"/>
          <w:sz w:val="24"/>
          <w:szCs w:val="24"/>
          <w:highlight w:val="none"/>
        </w:rPr>
        <w:t xml:space="preserve"> </w:t>
      </w:r>
      <w:r>
        <w:rPr>
          <w:rFonts w:ascii="Times New Roman" w:hAnsi="Times New Roman" w:cs="Times New Roman"/>
          <w:color w:val="000000"/>
          <w:sz w:val="24"/>
          <w:szCs w:val="24"/>
          <w:highlight w:val="none"/>
        </w:rPr>
        <w:t xml:space="preserve">devendo constar do cadastro de atesto de cumprimento de obrigações. </w:t>
      </w:r>
      <w:r>
        <w:rPr>
          <w:rFonts w:ascii="Times New Roman" w:hAnsi="Times New Roman" w:cs="Times New Roman"/>
          <w:color w:val="000000"/>
          <w:sz w:val="24"/>
          <w:szCs w:val="24"/>
          <w:highlight w:val="none"/>
        </w:rPr>
      </w:r>
      <w:r>
        <w:rPr>
          <w:rFonts w:ascii="Times New Roman" w:hAnsi="Times New Roman" w:cs="Times New Roman"/>
          <w:color w:val="000000"/>
          <w:sz w:val="24"/>
          <w:szCs w:val="24"/>
          <w:highlight w:val="none"/>
        </w:rPr>
      </w:r>
    </w:p>
    <w:p w14:paraId="0BF3DA5F">
      <w:pPr>
        <w:numPr>
          <w:ilvl w:val="0"/>
          <w:numId w:val="31"/>
        </w:numPr>
        <w:pBdr/>
        <w:shd w:val="clear" w:color="auto"/>
        <w:tabs>
          <w:tab w:val="left" w:leader="none" w:pos="0"/>
          <w:tab w:val="clear" w:leader="none" w:pos="454"/>
        </w:tabs>
        <w:spacing w:line="360" w:lineRule="auto"/>
        <w:ind w:firstLine="0" w:left="0"/>
        <w:jc w:val="both"/>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O fiscal da ata</w:t>
      </w:r>
      <w:r>
        <w:rPr>
          <w:rFonts w:hint="default" w:ascii="Times New Roman" w:hAnsi="Times New Roman" w:cs="Times New Roman"/>
          <w:color w:val="000000"/>
          <w:sz w:val="24"/>
          <w:szCs w:val="24"/>
          <w:highlight w:val="none"/>
          <w:lang w:val="pt-BR"/>
        </w:rPr>
        <w:t xml:space="preserve">/contrato</w:t>
      </w:r>
      <w:r>
        <w:rPr>
          <w:rFonts w:ascii="Times New Roman" w:hAnsi="Times New Roman" w:cs="Times New Roman"/>
          <w:color w:val="000000"/>
          <w:sz w:val="24"/>
          <w:szCs w:val="24"/>
          <w:highlight w:val="none"/>
        </w:rPr>
        <w:t xml:space="preserve"> tomará providências para a formalização de processo </w:t>
      </w:r>
      <w:r>
        <w:rPr>
          <w:rFonts w:ascii="Times New Roman" w:hAnsi="Times New Roman" w:cs="Times New Roman"/>
          <w:color w:val="000000"/>
          <w:sz w:val="24"/>
          <w:szCs w:val="24"/>
          <w:highlight w:val="none"/>
        </w:rPr>
        <w:t xml:space="preserve">administrativo de responsabilização para fins de aplicação de sanções, a ser conduzido pela comissão de que trata o art. 158 da Lei nº 14.133, de 2021, ou pelo agente ou pelo setor com competência para tal, conforme o caso (Decreto Municipal  nº 360/2023).</w:t>
      </w:r>
      <w:r>
        <w:rPr>
          <w:rFonts w:hint="default" w:ascii="Times New Roman" w:hAnsi="Times New Roman" w:cs="Times New Roman"/>
          <w:color w:val="000000"/>
          <w:sz w:val="24"/>
          <w:szCs w:val="24"/>
          <w:highlight w:val="none"/>
          <w:lang w:val="pt-BR"/>
        </w:rPr>
        <w:t xml:space="preserve"> </w:t>
      </w:r>
      <w:r>
        <w:rPr>
          <w:rFonts w:ascii="Times New Roman" w:hAnsi="Times New Roman" w:cs="Times New Roman"/>
          <w:color w:val="000000"/>
          <w:sz w:val="24"/>
          <w:szCs w:val="24"/>
          <w:highlight w:val="none"/>
        </w:rPr>
      </w:r>
      <w:r>
        <w:rPr>
          <w:rFonts w:ascii="Times New Roman" w:hAnsi="Times New Roman" w:cs="Times New Roman"/>
          <w:color w:val="000000"/>
          <w:sz w:val="24"/>
          <w:szCs w:val="24"/>
          <w:highlight w:val="none"/>
        </w:rPr>
      </w:r>
    </w:p>
    <w:p w14:paraId="0A3B7B2B">
      <w:pPr>
        <w:numPr>
          <w:ilvl w:val="0"/>
          <w:numId w:val="0"/>
        </w:numPr>
        <w:pBdr/>
        <w:shd w:val="clear" w:color="auto"/>
        <w:tabs>
          <w:tab w:val="left" w:leader="none" w:pos="0"/>
        </w:tabs>
        <w:spacing w:line="360" w:lineRule="auto"/>
        <w:ind/>
        <w:jc w:val="both"/>
        <w:rPr>
          <w:rFonts w:ascii="Times New Roman" w:hAnsi="Times New Roman" w:cs="Times New Roman"/>
          <w:color w:val="000000"/>
          <w:sz w:val="24"/>
          <w:szCs w:val="24"/>
          <w:highlight w:val="yellow"/>
        </w:rPr>
      </w:pPr>
      <w:r>
        <w:rPr>
          <w:rFonts w:ascii="Times New Roman" w:hAnsi="Times New Roman" w:cs="Times New Roman"/>
          <w:color w:val="000000"/>
          <w:sz w:val="24"/>
          <w:szCs w:val="24"/>
          <w:highlight w:val="yellow"/>
        </w:rPr>
      </w:r>
      <w:r>
        <w:rPr>
          <w:rFonts w:ascii="Times New Roman" w:hAnsi="Times New Roman" w:cs="Times New Roman"/>
          <w:color w:val="000000"/>
          <w:sz w:val="24"/>
          <w:szCs w:val="24"/>
          <w:highlight w:val="yellow"/>
        </w:rPr>
      </w:r>
      <w:r>
        <w:rPr>
          <w:rFonts w:ascii="Times New Roman" w:hAnsi="Times New Roman" w:cs="Times New Roman"/>
          <w:color w:val="000000"/>
          <w:sz w:val="24"/>
          <w:szCs w:val="24"/>
          <w:highlight w:val="yellow"/>
        </w:rPr>
      </w:r>
    </w:p>
    <w:tbl>
      <w:tblPr>
        <w:tblStyle w:val="1103"/>
        <w:tblInd w:w="0" w:type="dxa"/>
        <w:tblW w:w="9067"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9067"/>
      </w:tblGrid>
      <w:tr>
        <w:trPr>
          <w:trHeight w:val="375"/>
        </w:trPr>
        <w:tc>
          <w:tcPr>
            <w:shd w:val="clear" w:color="auto" w:fill="d7d7d7" w:themeFill="background1" w:themeFillShade="D8"/>
            <w:tcBorders/>
            <w:tcW w:w="9067" w:type="dxa"/>
            <w:vAlign w:val="center"/>
          </w:tcPr>
          <w:p w14:paraId="38241C4D">
            <w:pPr>
              <w:numPr>
                <w:ilvl w:val="0"/>
                <w:numId w:val="32"/>
              </w:numPr>
              <w:pBdr/>
              <w:spacing w:line="360" w:lineRule="auto"/>
              <w:ind w:hanging="454" w:left="454"/>
              <w:jc w:val="center"/>
              <w:rPr>
                <w:rFonts w:ascii="Times New Roman" w:hAnsi="Times New Roman" w:cs="Times New Roman"/>
                <w:b/>
                <w:sz w:val="24"/>
                <w:szCs w:val="24"/>
              </w:rPr>
            </w:pPr>
            <w:r>
              <w:rPr>
                <w:rFonts w:ascii="Times New Roman" w:hAnsi="Times New Roman" w:cs="Times New Roman"/>
                <w:b/>
                <w:sz w:val="24"/>
                <w:szCs w:val="24"/>
              </w:rPr>
              <w:t xml:space="preserve">MEDIÇÃO</w:t>
            </w:r>
            <w:r>
              <w:rPr>
                <w:rFonts w:ascii="Times New Roman" w:hAnsi="Times New Roman" w:cs="Times New Roman"/>
                <w:b/>
                <w:spacing w:val="-1"/>
                <w:sz w:val="24"/>
                <w:szCs w:val="24"/>
              </w:rPr>
              <w:t xml:space="preserve"> </w:t>
            </w:r>
            <w:r>
              <w:rPr>
                <w:rFonts w:ascii="Times New Roman" w:hAnsi="Times New Roman" w:cs="Times New Roman"/>
                <w:b/>
                <w:sz w:val="24"/>
                <w:szCs w:val="24"/>
              </w:rPr>
              <w:t xml:space="preserve">E </w:t>
            </w:r>
            <w:r>
              <w:rPr>
                <w:rFonts w:ascii="Times New Roman" w:hAnsi="Times New Roman" w:cs="Times New Roman"/>
                <w:b/>
                <w:spacing w:val="-2"/>
                <w:sz w:val="24"/>
                <w:szCs w:val="24"/>
              </w:rPr>
              <w:t xml:space="preserve">PAGAMENTO</w:t>
            </w:r>
            <w:r>
              <w:rPr>
                <w:rFonts w:ascii="Times New Roman" w:hAnsi="Times New Roman" w:cs="Times New Roman"/>
                <w:b/>
                <w:sz w:val="24"/>
                <w:szCs w:val="24"/>
              </w:rPr>
            </w:r>
            <w:r>
              <w:rPr>
                <w:rFonts w:ascii="Times New Roman" w:hAnsi="Times New Roman" w:cs="Times New Roman"/>
                <w:b/>
                <w:sz w:val="24"/>
                <w:szCs w:val="24"/>
              </w:rPr>
            </w:r>
          </w:p>
        </w:tc>
      </w:tr>
    </w:tbl>
    <w:p w14:paraId="323036B4">
      <w:pPr>
        <w:pStyle w:val="1105"/>
        <w:widowControl w:val="false"/>
        <w:pBdr/>
        <w:tabs>
          <w:tab w:val="left" w:leader="none" w:pos="400"/>
        </w:tabs>
        <w:spacing w:line="360" w:lineRule="auto"/>
        <w:ind w:firstLine="0" w:left="0"/>
        <w:jc w:val="both"/>
        <w:rPr>
          <w:color w:val="000000" w:themeColor="text1"/>
          <w:sz w:val="24"/>
          <w:szCs w:val="24"/>
          <w:lang w:val="pt-BR"/>
          <w14:textFill>
            <w14:solidFill>
              <w14:schemeClr w14:val="tx1"/>
            </w14:solidFill>
          </w14:textFill>
        </w:rPr>
      </w:pPr>
      <w:r>
        <w:rPr>
          <w:b/>
          <w:bCs/>
          <w:color w:val="000000" w:themeColor="text1"/>
          <w:sz w:val="24"/>
          <w:szCs w:val="24"/>
          <w:lang w:val="pt-BR"/>
          <w14:textFill>
            <w14:solidFill>
              <w14:schemeClr w14:val="tx1"/>
            </w14:solidFill>
          </w14:textFill>
        </w:rPr>
        <w:t xml:space="preserve">8.1. </w:t>
      </w:r>
      <w:r>
        <w:rPr>
          <w:color w:val="000000" w:themeColor="text1"/>
          <w:sz w:val="24"/>
          <w:szCs w:val="24"/>
          <w:lang w:val="pt-BR"/>
          <w14:textFill>
            <w14:solidFill>
              <w14:schemeClr w14:val="tx1"/>
            </w14:solidFill>
          </w14:textFill>
        </w:rPr>
        <w:t xml:space="preserve">O pagamento das despesas orçamentárias será efetuado em até 30 dias conforme previstos no Decreto nº 129/2024 e será efetuado media</w:t>
      </w:r>
      <w:r>
        <w:rPr>
          <w:color w:val="000000" w:themeColor="text1"/>
          <w:sz w:val="24"/>
          <w:szCs w:val="24"/>
          <w:lang w:val="pt-BR"/>
          <w14:textFill>
            <w14:solidFill>
              <w14:schemeClr w14:val="tx1"/>
            </w14:solidFill>
          </w14:textFill>
        </w:rPr>
        <w:t xml:space="preserve">nte a apresentação da(s) respectiva(s) nota(s) fiscais/fatura devidamente acompanhada das certidões demonstrando sua regularidade fiscal e trabalhista, que serão liberadas para pagamento somente quando aferidas seu recebimento por meio de fiscal designado.</w:t>
      </w:r>
      <w:r>
        <w:rPr>
          <w:color w:val="000000" w:themeColor="text1"/>
          <w:sz w:val="24"/>
          <w:szCs w:val="24"/>
          <w:lang w:val="pt-BR"/>
          <w14:textFill>
            <w14:solidFill>
              <w14:schemeClr w14:val="tx1"/>
            </w14:solidFill>
          </w14:textFill>
        </w:rPr>
      </w:r>
      <w:r>
        <w:rPr>
          <w:color w:val="000000" w:themeColor="text1"/>
          <w:sz w:val="24"/>
          <w:szCs w:val="24"/>
          <w:lang w:val="pt-BR"/>
          <w14:textFill>
            <w14:solidFill>
              <w14:schemeClr w14:val="tx1"/>
            </w14:solidFill>
          </w14:textFill>
        </w:rPr>
      </w:r>
    </w:p>
    <w:p w14:paraId="7EAF58A6">
      <w:pPr>
        <w:pStyle w:val="1105"/>
        <w:widowControl w:val="false"/>
        <w:pBdr/>
        <w:tabs>
          <w:tab w:val="left" w:leader="none" w:pos="400"/>
        </w:tabs>
        <w:spacing w:line="360" w:lineRule="auto"/>
        <w:ind w:firstLine="0" w:left="0"/>
        <w:jc w:val="both"/>
        <w:rPr>
          <w:color w:val="000000" w:themeColor="text1"/>
          <w:sz w:val="24"/>
          <w:szCs w:val="24"/>
          <w:lang w:val="pt-BR"/>
          <w14:textFill>
            <w14:solidFill>
              <w14:schemeClr w14:val="tx1"/>
            </w14:solidFill>
          </w14:textFill>
        </w:rPr>
      </w:pPr>
      <w:r>
        <w:rPr>
          <w:b/>
          <w:bCs/>
          <w:color w:val="000000" w:themeColor="text1"/>
          <w:sz w:val="24"/>
          <w:szCs w:val="24"/>
          <w:lang w:val="pt-BR"/>
          <w14:textFill>
            <w14:solidFill>
              <w14:schemeClr w14:val="tx1"/>
            </w14:solidFill>
          </w14:textFill>
        </w:rPr>
        <w:t xml:space="preserve">8.2.</w:t>
      </w:r>
      <w:r>
        <w:rPr>
          <w:color w:val="000000" w:themeColor="text1"/>
          <w:sz w:val="24"/>
          <w:szCs w:val="24"/>
          <w:lang w:val="pt-BR"/>
          <w14:textFill>
            <w14:solidFill>
              <w14:schemeClr w14:val="tx1"/>
            </w14:solidFill>
          </w14:textFill>
        </w:rPr>
        <w:t xml:space="preserve"> As notas fiscais não poderão ter rasuras e deverão descrever corretamente o item, e número de empenho, o número do processo de compras, dados bancários para depósito, de</w:t>
      </w:r>
      <w:r>
        <w:rPr>
          <w:color w:val="000000" w:themeColor="text1"/>
          <w:sz w:val="24"/>
          <w:szCs w:val="24"/>
          <w:lang w:val="pt-BR"/>
          <w14:textFill>
            <w14:solidFill>
              <w14:schemeClr w14:val="tx1"/>
            </w14:solidFill>
          </w14:textFill>
        </w:rPr>
        <w:t xml:space="preserve">vendo ainda, destacar e discriminar a retenção a que está sujeita, informando de forma clara e inequívoca todos os impostos e alíquotas incidentes, cabendo a ela toda a responsabilidade pela eventual ausência dessa informação ou pela informação incorreta. </w:t>
      </w:r>
      <w:r>
        <w:rPr>
          <w:color w:val="000000" w:themeColor="text1"/>
          <w:sz w:val="24"/>
          <w:szCs w:val="24"/>
          <w:lang w:val="pt-BR"/>
          <w14:textFill>
            <w14:solidFill>
              <w14:schemeClr w14:val="tx1"/>
            </w14:solidFill>
          </w14:textFill>
        </w:rPr>
      </w:r>
      <w:r>
        <w:rPr>
          <w:color w:val="000000" w:themeColor="text1"/>
          <w:sz w:val="24"/>
          <w:szCs w:val="24"/>
          <w:lang w:val="pt-BR"/>
          <w14:textFill>
            <w14:solidFill>
              <w14:schemeClr w14:val="tx1"/>
            </w14:solidFill>
          </w14:textFill>
        </w:rPr>
      </w:r>
    </w:p>
    <w:p w14:paraId="27E8E087">
      <w:pPr>
        <w:pStyle w:val="1105"/>
        <w:widowControl w:val="false"/>
        <w:pBdr/>
        <w:tabs>
          <w:tab w:val="left" w:leader="none" w:pos="400"/>
        </w:tabs>
        <w:spacing w:line="360" w:lineRule="auto"/>
        <w:ind w:firstLine="0" w:left="0"/>
        <w:jc w:val="both"/>
        <w:rPr>
          <w:color w:val="000000" w:themeColor="text1"/>
          <w:sz w:val="24"/>
          <w:szCs w:val="24"/>
          <w:lang w:val="pt-BR"/>
          <w14:textFill>
            <w14:solidFill>
              <w14:schemeClr w14:val="tx1"/>
            </w14:solidFill>
          </w14:textFill>
        </w:rPr>
      </w:pPr>
      <w:r>
        <w:rPr>
          <w:b/>
          <w:bCs/>
          <w:color w:val="000000" w:themeColor="text1"/>
          <w:sz w:val="24"/>
          <w:szCs w:val="24"/>
          <w:lang w:val="pt-BR"/>
          <w14:textFill>
            <w14:solidFill>
              <w14:schemeClr w14:val="tx1"/>
            </w14:solidFill>
          </w14:textFill>
        </w:rPr>
        <w:t xml:space="preserve">8.3.</w:t>
      </w:r>
      <w:r>
        <w:rPr>
          <w:color w:val="000000" w:themeColor="text1"/>
          <w:sz w:val="24"/>
          <w:szCs w:val="24"/>
          <w:lang w:val="pt-BR"/>
          <w14:textFill>
            <w14:solidFill>
              <w14:schemeClr w14:val="tx1"/>
            </w14:solidFill>
          </w14:textFill>
        </w:rPr>
        <w:t xml:space="preserve"> Os prestadores de serviço e fornecedores de bens deverão observar às regras de retenção dispostas na Instrução Normativa RFB nº 1.234, de 2012.</w:t>
      </w:r>
      <w:r>
        <w:rPr>
          <w:color w:val="000000" w:themeColor="text1"/>
          <w:sz w:val="24"/>
          <w:szCs w:val="24"/>
          <w:lang w:val="pt-BR"/>
          <w14:textFill>
            <w14:solidFill>
              <w14:schemeClr w14:val="tx1"/>
            </w14:solidFill>
          </w14:textFill>
        </w:rPr>
      </w:r>
      <w:r>
        <w:rPr>
          <w:color w:val="000000" w:themeColor="text1"/>
          <w:sz w:val="24"/>
          <w:szCs w:val="24"/>
          <w:lang w:val="pt-BR"/>
          <w14:textFill>
            <w14:solidFill>
              <w14:schemeClr w14:val="tx1"/>
            </w14:solidFill>
          </w14:textFill>
        </w:rPr>
      </w:r>
    </w:p>
    <w:p w14:paraId="2BFA5736">
      <w:pPr>
        <w:pBdr/>
        <w:tabs>
          <w:tab w:val="left" w:leader="none" w:pos="220"/>
        </w:tabs>
        <w:spacing w:line="360" w:lineRule="auto"/>
        <w:ind/>
        <w:contextualSpacing w:val="true"/>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 xml:space="preserve">8.4.</w:t>
      </w:r>
      <w:r>
        <w:rPr>
          <w:rFonts w:ascii="Times New Roman" w:hAnsi="Times New Roman" w:cs="Times New Roman"/>
          <w:color w:val="000000" w:themeColor="text1"/>
          <w:sz w:val="24"/>
          <w:szCs w:val="24"/>
          <w14:textFill>
            <w14:solidFill>
              <w14:schemeClr w14:val="tx1"/>
            </w14:solidFill>
          </w14:textFill>
        </w:rPr>
        <w:t xml:space="preserve"> Caso a documentação não esteja de acordo com o solicitado, será devolvida para a correção, sendo válida a data de protocolo corrigida, para fins de prazo de pagamento.</w:t>
      </w:r>
      <w:r>
        <w:rPr>
          <w:rFonts w:ascii="Times New Roman" w:hAnsi="Times New Roman" w:cs="Times New Roman"/>
          <w:color w:val="000000" w:themeColor="text1"/>
          <w:sz w:val="24"/>
          <w:szCs w:val="24"/>
          <w14:textFill>
            <w14:solidFill>
              <w14:schemeClr w14:val="tx1"/>
            </w14:solidFill>
          </w14:textFill>
        </w:rPr>
      </w:r>
      <w:r>
        <w:rPr>
          <w:rFonts w:ascii="Times New Roman" w:hAnsi="Times New Roman" w:cs="Times New Roman"/>
          <w:color w:val="000000" w:themeColor="text1"/>
          <w:sz w:val="24"/>
          <w:szCs w:val="24"/>
          <w14:textFill>
            <w14:solidFill>
              <w14:schemeClr w14:val="tx1"/>
            </w14:solidFill>
          </w14:textFill>
        </w:rPr>
      </w:r>
    </w:p>
    <w:p w14:paraId="3DF086FD">
      <w:pPr>
        <w:pBdr/>
        <w:tabs>
          <w:tab w:val="left" w:leader="none" w:pos="220"/>
        </w:tabs>
        <w:spacing w:line="360" w:lineRule="auto"/>
        <w:ind/>
        <w:contextualSpacing w:val="true"/>
        <w:jc w:val="both"/>
        <w:rPr>
          <w:rFonts w:ascii="Times New Roman" w:hAnsi="Times New Roman" w:cs="Times New Roman"/>
          <w:sz w:val="24"/>
          <w:szCs w:val="24"/>
        </w:rPr>
      </w:pPr>
      <w:r>
        <w:rPr>
          <w:rFonts w:ascii="Times New Roman" w:hAnsi="Times New Roman" w:cs="Times New Roman"/>
          <w:b/>
          <w:sz w:val="24"/>
          <w:szCs w:val="24"/>
        </w:rPr>
        <w:t xml:space="preserve">8.5. </w:t>
      </w:r>
      <w:r>
        <w:rPr>
          <w:rFonts w:ascii="Times New Roman" w:hAnsi="Times New Roman" w:cs="Times New Roman"/>
          <w:sz w:val="24"/>
          <w:szCs w:val="24"/>
        </w:rPr>
        <w:t xml:space="preserve">O Recebimento dos materiais não exclui a responsabilidade da contratada por vícios de qualidade ou disparidade com as especificações técnicas verificadas posteriormente;</w:t>
      </w:r>
      <w:r>
        <w:rPr>
          <w:rFonts w:ascii="Times New Roman" w:hAnsi="Times New Roman" w:cs="Times New Roman"/>
          <w:sz w:val="24"/>
          <w:szCs w:val="24"/>
        </w:rPr>
      </w:r>
      <w:r>
        <w:rPr>
          <w:rFonts w:ascii="Times New Roman" w:hAnsi="Times New Roman" w:cs="Times New Roman"/>
          <w:sz w:val="24"/>
          <w:szCs w:val="24"/>
        </w:rPr>
      </w:r>
    </w:p>
    <w:p w14:paraId="4F775F9E">
      <w:pPr>
        <w:pBdr/>
        <w:tabs>
          <w:tab w:val="left" w:leader="none" w:pos="220"/>
        </w:tabs>
        <w:spacing w:line="360" w:lineRule="auto"/>
        <w:ind/>
        <w:contextualSpacing w:val="true"/>
        <w:jc w:val="both"/>
        <w:rPr>
          <w:rFonts w:ascii="Times New Roman" w:hAnsi="Times New Roman" w:cs="Times New Roman"/>
          <w:sz w:val="24"/>
          <w:szCs w:val="24"/>
        </w:rPr>
      </w:pPr>
      <w:r>
        <w:rPr>
          <w:rFonts w:ascii="Times New Roman" w:hAnsi="Times New Roman" w:cs="Times New Roman"/>
          <w:b/>
          <w:sz w:val="24"/>
          <w:szCs w:val="24"/>
        </w:rPr>
        <w:t xml:space="preserve">8.6. </w:t>
      </w:r>
      <w:r>
        <w:rPr>
          <w:rFonts w:ascii="Times New Roman" w:hAnsi="Times New Roman" w:cs="Times New Roman"/>
          <w:sz w:val="24"/>
          <w:szCs w:val="24"/>
        </w:rPr>
        <w:t xml:space="preserve">Os materiais poderão ser rejeitados, no todo ou em parte, quando em desacordo com as especificações constantes neste Termo de Referência e na proposta, devendo ser substituídos em até </w:t>
      </w:r>
      <w:r>
        <w:rPr>
          <w:rFonts w:ascii="Times New Roman" w:hAnsi="Times New Roman" w:cs="Times New Roman"/>
          <w:b/>
          <w:bCs/>
          <w:sz w:val="24"/>
          <w:szCs w:val="24"/>
        </w:rPr>
        <w:t xml:space="preserve">5 (cinco)</w:t>
      </w:r>
      <w:r>
        <w:rPr>
          <w:rFonts w:ascii="Times New Roman" w:hAnsi="Times New Roman" w:cs="Times New Roman"/>
          <w:sz w:val="24"/>
          <w:szCs w:val="24"/>
        </w:rPr>
        <w:t xml:space="preserve"> dias, a contar da notificação da contratada, às suas custas, sem prejuízo da aplicação das penalidades.</w:t>
      </w:r>
      <w:r>
        <w:rPr>
          <w:rFonts w:ascii="Times New Roman" w:hAnsi="Times New Roman" w:cs="Times New Roman"/>
          <w:sz w:val="24"/>
          <w:szCs w:val="24"/>
        </w:rPr>
      </w:r>
      <w:r>
        <w:rPr>
          <w:rFonts w:ascii="Times New Roman" w:hAnsi="Times New Roman" w:cs="Times New Roman"/>
          <w:sz w:val="24"/>
          <w:szCs w:val="24"/>
        </w:rPr>
      </w:r>
    </w:p>
    <w:p w14:paraId="319C03B8">
      <w:pPr>
        <w:pBdr/>
        <w:tabs>
          <w:tab w:val="left" w:leader="none" w:pos="220"/>
        </w:tabs>
        <w:spacing w:line="360" w:lineRule="auto"/>
        <w:ind/>
        <w:contextualSpacing w:val="true"/>
        <w:jc w:val="both"/>
        <w:rPr>
          <w:rFonts w:ascii="Times New Roman" w:hAnsi="Times New Roman" w:cs="Times New Roman"/>
          <w:sz w:val="24"/>
          <w:szCs w:val="24"/>
        </w:rPr>
      </w:pPr>
      <w:r>
        <w:rPr>
          <w:rFonts w:ascii="Times New Roman" w:hAnsi="Times New Roman" w:cs="Times New Roman"/>
          <w:b/>
          <w:bCs/>
          <w:sz w:val="24"/>
          <w:szCs w:val="24"/>
        </w:rPr>
        <w:t xml:space="preserve">8.7 </w:t>
      </w:r>
      <w:r>
        <w:rPr>
          <w:rFonts w:ascii="Times New Roman" w:hAnsi="Times New Roman" w:cs="Times New Roman"/>
          <w:sz w:val="24"/>
          <w:szCs w:val="24"/>
        </w:rPr>
        <w:t xml:space="preserve">Caberá ao fornecedor por intermédio do fiscal da secretaria atentar-se a cumprir as diretrizes do Decreto Municipal Orçamentário 001/2024 e a Instrução Normativa 038/2009 3ª versão para o envio da nota e liquidação da despesa.</w:t>
      </w:r>
      <w:r>
        <w:rPr>
          <w:rFonts w:ascii="Times New Roman" w:hAnsi="Times New Roman" w:cs="Times New Roman"/>
          <w:sz w:val="24"/>
          <w:szCs w:val="24"/>
        </w:rPr>
      </w:r>
      <w:r>
        <w:rPr>
          <w:rFonts w:ascii="Times New Roman" w:hAnsi="Times New Roman" w:cs="Times New Roman"/>
          <w:sz w:val="24"/>
          <w:szCs w:val="24"/>
        </w:rPr>
      </w:r>
    </w:p>
    <w:p w14:paraId="49478315">
      <w:pPr>
        <w:pBdr/>
        <w:tabs>
          <w:tab w:val="left" w:leader="none" w:pos="220"/>
        </w:tabs>
        <w:spacing w:line="360" w:lineRule="auto"/>
        <w:ind/>
        <w:contextualSpacing w:val="true"/>
        <w:jc w:val="both"/>
        <w:rPr>
          <w:rFonts w:ascii="Times New Roman" w:hAnsi="Times New Roman" w:cs="Times New Roman"/>
          <w:sz w:val="24"/>
          <w:szCs w:val="24"/>
        </w:rPr>
      </w:pPr>
      <w:r>
        <w:rPr>
          <w:rFonts w:ascii="Times New Roman" w:hAnsi="Times New Roman" w:cs="Times New Roman"/>
          <w:b/>
          <w:bCs/>
          <w:sz w:val="24"/>
          <w:szCs w:val="24"/>
        </w:rPr>
        <w:t xml:space="preserve">8.8.</w:t>
      </w:r>
      <w:r>
        <w:rPr>
          <w:rFonts w:ascii="Times New Roman" w:hAnsi="Times New Roman" w:cs="Times New Roman"/>
          <w:sz w:val="24"/>
          <w:szCs w:val="24"/>
        </w:rPr>
        <w:t xml:space="preserve"> Estar em dia com o e-Social, apresentar os eventos: S-1000, S-1070, S-1020 (lotação tributária), S-1200 (folha</w:t>
      </w:r>
      <w:r>
        <w:rPr>
          <w:rFonts w:ascii="Times New Roman" w:hAnsi="Times New Roman" w:cs="Times New Roman"/>
          <w:sz w:val="24"/>
          <w:szCs w:val="24"/>
        </w:rPr>
        <w:t xml:space="preserve">), S-1210, DCTFWEB, S-2200, S-2206, S-2210, S-2220, S-2240, LGPD (Apresentar o Projeto de Tratamento e Proteção de Dados (com o comprovante de conscientização datado e assinado, por colaborador), CND (Apresentar a CND trabalhista, previdenciária e fiscal).</w:t>
      </w:r>
      <w:r>
        <w:rPr>
          <w:rFonts w:ascii="Times New Roman" w:hAnsi="Times New Roman" w:cs="Times New Roman"/>
          <w:sz w:val="24"/>
          <w:szCs w:val="24"/>
        </w:rPr>
      </w:r>
      <w:r>
        <w:rPr>
          <w:rFonts w:ascii="Times New Roman" w:hAnsi="Times New Roman" w:cs="Times New Roman"/>
          <w:sz w:val="24"/>
          <w:szCs w:val="24"/>
        </w:rPr>
      </w:r>
    </w:p>
    <w:p w14:paraId="577CA348">
      <w:pPr>
        <w:pBdr/>
        <w:tabs>
          <w:tab w:val="left" w:leader="none" w:pos="220"/>
        </w:tabs>
        <w:spacing w:line="360" w:lineRule="auto"/>
        <w:ind/>
        <w:contextualSpacing w:val="true"/>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bl>
      <w:tblPr>
        <w:tblStyle w:val="1103"/>
        <w:tblInd w:w="0" w:type="dxa"/>
        <w:tblW w:w="9459"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9459"/>
      </w:tblGrid>
      <w:tr>
        <w:trPr>
          <w:trHeight w:val="375"/>
        </w:trPr>
        <w:tc>
          <w:tcPr>
            <w:shd w:val="clear" w:color="auto" w:fill="d7d7d7" w:themeFill="background1" w:themeFillShade="D8"/>
            <w:tcBorders/>
            <w:tcW w:w="9459" w:type="dxa"/>
            <w:vAlign w:val="center"/>
          </w:tcPr>
          <w:p w14:paraId="6390D526">
            <w:pPr>
              <w:numPr>
                <w:ilvl w:val="0"/>
                <w:numId w:val="33"/>
              </w:numPr>
              <w:pBdr/>
              <w:spacing w:line="360" w:lineRule="auto"/>
              <w:ind w:hanging="454" w:left="454"/>
              <w:jc w:val="center"/>
              <w:rPr>
                <w:rFonts w:ascii="Times New Roman" w:hAnsi="Times New Roman" w:cs="Times New Roman"/>
                <w:b/>
                <w:sz w:val="24"/>
                <w:szCs w:val="24"/>
              </w:rPr>
            </w:pPr>
            <w:r>
              <w:rPr>
                <w:rFonts w:ascii="Times New Roman" w:hAnsi="Times New Roman" w:cs="Times New Roman"/>
                <w:b/>
                <w:sz w:val="24"/>
                <w:szCs w:val="24"/>
              </w:rPr>
              <w:t xml:space="preserve">FORMA</w:t>
            </w:r>
            <w:r>
              <w:rPr>
                <w:rFonts w:ascii="Times New Roman" w:hAnsi="Times New Roman" w:cs="Times New Roman"/>
                <w:b/>
                <w:spacing w:val="-1"/>
                <w:sz w:val="24"/>
                <w:szCs w:val="24"/>
              </w:rPr>
              <w:t xml:space="preserve"> </w:t>
            </w:r>
            <w:r>
              <w:rPr>
                <w:rFonts w:ascii="Times New Roman" w:hAnsi="Times New Roman" w:cs="Times New Roman"/>
                <w:b/>
                <w:sz w:val="24"/>
                <w:szCs w:val="24"/>
              </w:rPr>
              <w:t xml:space="preserve">E CRITÉRIOS</w:t>
            </w:r>
            <w:r>
              <w:rPr>
                <w:rFonts w:ascii="Times New Roman" w:hAnsi="Times New Roman" w:cs="Times New Roman"/>
                <w:b/>
                <w:spacing w:val="-1"/>
                <w:sz w:val="24"/>
                <w:szCs w:val="24"/>
              </w:rPr>
              <w:t xml:space="preserve"> </w:t>
            </w:r>
            <w:r>
              <w:rPr>
                <w:rFonts w:ascii="Times New Roman" w:hAnsi="Times New Roman" w:cs="Times New Roman"/>
                <w:b/>
                <w:sz w:val="24"/>
                <w:szCs w:val="24"/>
              </w:rPr>
              <w:t xml:space="preserve">DE</w:t>
            </w:r>
            <w:r>
              <w:rPr>
                <w:rFonts w:ascii="Times New Roman" w:hAnsi="Times New Roman" w:cs="Times New Roman"/>
                <w:b/>
                <w:spacing w:val="-1"/>
                <w:sz w:val="24"/>
                <w:szCs w:val="24"/>
              </w:rPr>
              <w:t xml:space="preserve"> </w:t>
            </w:r>
            <w:r>
              <w:rPr>
                <w:rFonts w:ascii="Times New Roman" w:hAnsi="Times New Roman" w:cs="Times New Roman"/>
                <w:b/>
                <w:sz w:val="24"/>
                <w:szCs w:val="24"/>
              </w:rPr>
              <w:t xml:space="preserve">SELEÇÃO</w:t>
            </w:r>
            <w:r>
              <w:rPr>
                <w:rFonts w:ascii="Times New Roman" w:hAnsi="Times New Roman" w:cs="Times New Roman"/>
                <w:b/>
                <w:spacing w:val="-1"/>
                <w:sz w:val="24"/>
                <w:szCs w:val="24"/>
              </w:rPr>
              <w:t xml:space="preserve"> </w:t>
            </w:r>
            <w:r>
              <w:rPr>
                <w:rFonts w:ascii="Times New Roman" w:hAnsi="Times New Roman" w:cs="Times New Roman"/>
                <w:b/>
                <w:sz w:val="24"/>
                <w:szCs w:val="24"/>
              </w:rPr>
              <w:t xml:space="preserve">DO </w:t>
            </w:r>
            <w:r>
              <w:rPr>
                <w:rFonts w:ascii="Times New Roman" w:hAnsi="Times New Roman" w:cs="Times New Roman"/>
                <w:b/>
                <w:spacing w:val="-2"/>
                <w:sz w:val="24"/>
                <w:szCs w:val="24"/>
              </w:rPr>
              <w:t xml:space="preserve">FORNECEDOR</w:t>
            </w:r>
            <w:r>
              <w:rPr>
                <w:rFonts w:ascii="Times New Roman" w:hAnsi="Times New Roman" w:cs="Times New Roman"/>
                <w:b/>
                <w:sz w:val="24"/>
                <w:szCs w:val="24"/>
              </w:rPr>
            </w:r>
            <w:r>
              <w:rPr>
                <w:rFonts w:ascii="Times New Roman" w:hAnsi="Times New Roman" w:cs="Times New Roman"/>
                <w:b/>
                <w:sz w:val="24"/>
                <w:szCs w:val="24"/>
              </w:rPr>
            </w:r>
          </w:p>
        </w:tc>
      </w:tr>
    </w:tbl>
    <w:p w14:paraId="78E16EC3">
      <w:pPr>
        <w:numPr>
          <w:ilvl w:val="0"/>
          <w:numId w:val="34"/>
        </w:numPr>
        <w:pBdr/>
        <w:tabs>
          <w:tab w:val="clear" w:leader="none" w:pos="454"/>
        </w:tabs>
        <w:spacing w:line="360" w:lineRule="auto"/>
        <w:ind w:firstLine="6" w:left="-6"/>
        <w:contextualSpacing w:val="true"/>
        <w:jc w:val="both"/>
        <w:rPr>
          <w:rFonts w:ascii="Times New Roman" w:hAnsi="Times New Roman" w:cs="Times New Roman"/>
          <w:sz w:val="24"/>
          <w:szCs w:val="24"/>
        </w:rPr>
      </w:pPr>
      <w:r>
        <w:rPr>
          <w:rFonts w:ascii="Times New Roman" w:hAnsi="Times New Roman" w:cs="Times New Roman"/>
          <w:color w:val="000000"/>
          <w:sz w:val="24"/>
          <w:szCs w:val="24"/>
        </w:rPr>
        <w:t xml:space="preserve">O objeto a ser contratado caracteriza-se como serviço comum de engenharia, nos termos do inciso XXI, alínea 'a', do art. 6º da Lei nº 14.133/2021, uma vez que envolve ações objetivamente padronizáveis em te</w:t>
      </w:r>
      <w:r>
        <w:rPr>
          <w:rFonts w:ascii="Times New Roman" w:hAnsi="Times New Roman" w:cs="Times New Roman"/>
          <w:color w:val="000000"/>
          <w:sz w:val="24"/>
          <w:szCs w:val="24"/>
        </w:rPr>
        <w:t xml:space="preserve">rmos de desempenho e qualidade, cujas especificações são usuais no mercado e podem ser detalhadas de forma clara e objetiva no Termo de Referência/Edital, e será realizado de forma eletrônica no critério por menor preço, de acordo com a Lei n° 14.133/2021.</w:t>
      </w:r>
      <w:r>
        <w:rPr>
          <w:rFonts w:ascii="Times New Roman" w:hAnsi="Times New Roman" w:cs="Times New Roman"/>
          <w:sz w:val="24"/>
          <w:szCs w:val="24"/>
        </w:rPr>
      </w:r>
      <w:r>
        <w:rPr>
          <w:rFonts w:ascii="Times New Roman" w:hAnsi="Times New Roman" w:cs="Times New Roman"/>
          <w:sz w:val="24"/>
          <w:szCs w:val="24"/>
        </w:rPr>
      </w:r>
    </w:p>
    <w:p w14:paraId="491599F2">
      <w:pPr>
        <w:numPr>
          <w:ilvl w:val="0"/>
          <w:numId w:val="34"/>
        </w:numPr>
        <w:pBdr/>
        <w:tabs>
          <w:tab w:val="clear" w:leader="none" w:pos="454"/>
        </w:tabs>
        <w:spacing w:line="360" w:lineRule="auto"/>
        <w:ind w:firstLine="6" w:left="-6"/>
        <w:contextualSpacing w:val="true"/>
        <w:jc w:val="both"/>
        <w:rPr>
          <w:rFonts w:ascii="Times New Roman" w:hAnsi="Times New Roman" w:cs="Times New Roman"/>
          <w:sz w:val="24"/>
          <w:szCs w:val="24"/>
        </w:rPr>
      </w:pPr>
      <w:r>
        <w:rPr>
          <w:rFonts w:ascii="Times New Roman" w:hAnsi="Times New Roman" w:cs="Times New Roman"/>
          <w:sz w:val="24"/>
          <w:szCs w:val="24"/>
        </w:rPr>
        <w:t xml:space="preserve">Do Credenciamento (Sistema Eletrônico) O certame será realizado de forma eletrônica, sendo o credenciamento dos licitantes realizado diretamente no sistema PORTAL DE COMPRAS PÚBLICAS (www.portaldecompraspublicas.com.br). </w:t>
      </w:r>
      <w:r>
        <w:rPr>
          <w:rFonts w:ascii="Times New Roman" w:hAnsi="Times New Roman" w:cs="Times New Roman"/>
          <w:sz w:val="24"/>
          <w:szCs w:val="24"/>
        </w:rPr>
      </w:r>
      <w:r>
        <w:rPr>
          <w:rFonts w:ascii="Times New Roman" w:hAnsi="Times New Roman" w:cs="Times New Roman"/>
          <w:sz w:val="24"/>
          <w:szCs w:val="24"/>
        </w:rPr>
      </w:r>
    </w:p>
    <w:p w14:paraId="02D7781F">
      <w:pPr>
        <w:numPr>
          <w:ilvl w:val="0"/>
          <w:numId w:val="34"/>
        </w:numPr>
        <w:pBdr/>
        <w:tabs>
          <w:tab w:val="clear" w:leader="none" w:pos="454"/>
        </w:tabs>
        <w:spacing w:line="360" w:lineRule="auto"/>
        <w:ind w:firstLine="6" w:left="-6"/>
        <w:contextualSpacing w:val="true"/>
        <w:jc w:val="both"/>
        <w:rPr>
          <w:rFonts w:ascii="Times New Roman" w:hAnsi="Times New Roman" w:cs="Times New Roman"/>
          <w:sz w:val="24"/>
          <w:szCs w:val="24"/>
        </w:rPr>
      </w:pPr>
      <w:r>
        <w:rPr>
          <w:rFonts w:ascii="Times New Roman" w:hAnsi="Times New Roman" w:cs="Times New Roman"/>
          <w:sz w:val="24"/>
          <w:szCs w:val="24"/>
        </w:rPr>
        <w:t xml:space="preserve">Responsabilidade do Licitante: É de responsabilidade exclusiva do licitante o acompanhamento de sua senha de acesso e a manutenção de seus dados cadastrais atualizados junto aos órgãos competentes.</w:t>
      </w:r>
      <w:r>
        <w:rPr>
          <w:rFonts w:ascii="Times New Roman" w:hAnsi="Times New Roman" w:cs="Times New Roman"/>
          <w:sz w:val="24"/>
          <w:szCs w:val="24"/>
        </w:rPr>
      </w:r>
      <w:r>
        <w:rPr>
          <w:rFonts w:ascii="Times New Roman" w:hAnsi="Times New Roman" w:cs="Times New Roman"/>
          <w:sz w:val="24"/>
          <w:szCs w:val="24"/>
        </w:rPr>
      </w:r>
    </w:p>
    <w:p w14:paraId="204028D9">
      <w:pPr>
        <w:numPr>
          <w:ilvl w:val="0"/>
          <w:numId w:val="34"/>
        </w:numPr>
        <w:pBdr/>
        <w:tabs>
          <w:tab w:val="clear" w:leader="none" w:pos="454"/>
        </w:tabs>
        <w:spacing w:line="360" w:lineRule="auto"/>
        <w:ind w:firstLine="6" w:left="-6"/>
        <w:contextualSpacing w:val="true"/>
        <w:jc w:val="both"/>
        <w:rPr>
          <w:rFonts w:ascii="Times New Roman" w:hAnsi="Times New Roman" w:cs="Times New Roman"/>
          <w:sz w:val="24"/>
          <w:szCs w:val="24"/>
        </w:rPr>
      </w:pPr>
      <w:r>
        <w:rPr>
          <w:rFonts w:ascii="Times New Roman" w:hAnsi="Times New Roman" w:cs="Times New Roman"/>
          <w:sz w:val="24"/>
          <w:szCs w:val="24"/>
        </w:rPr>
        <w:t xml:space="preserve"> Representação: Cada licitante deverá designar um representante, devidamente munido de poderes para formular lances e praticar todos os demais atos inerentes ao certame.</w:t>
      </w:r>
      <w:r>
        <w:rPr>
          <w:rFonts w:ascii="Times New Roman" w:hAnsi="Times New Roman" w:cs="Times New Roman"/>
          <w:sz w:val="24"/>
          <w:szCs w:val="24"/>
        </w:rPr>
      </w:r>
      <w:r>
        <w:rPr>
          <w:rFonts w:ascii="Times New Roman" w:hAnsi="Times New Roman" w:cs="Times New Roman"/>
          <w:sz w:val="24"/>
          <w:szCs w:val="24"/>
        </w:rPr>
      </w:r>
    </w:p>
    <w:p w14:paraId="3FB8A8C1">
      <w:pPr>
        <w:numPr>
          <w:ilvl w:val="0"/>
          <w:numId w:val="34"/>
        </w:numPr>
        <w:pBdr/>
        <w:tabs>
          <w:tab w:val="clear" w:leader="none" w:pos="454"/>
        </w:tabs>
        <w:spacing w:line="360" w:lineRule="auto"/>
        <w:ind w:firstLine="6" w:left="-6"/>
        <w:contextualSpacing w:val="true"/>
        <w:jc w:val="both"/>
        <w:rPr>
          <w:rFonts w:ascii="Times New Roman" w:hAnsi="Times New Roman" w:cs="Times New Roman"/>
          <w:sz w:val="24"/>
          <w:szCs w:val="24"/>
        </w:rPr>
      </w:pPr>
      <w:r>
        <w:rPr>
          <w:rFonts w:ascii="Times New Roman" w:hAnsi="Times New Roman" w:cs="Times New Roman"/>
          <w:sz w:val="24"/>
          <w:szCs w:val="24"/>
        </w:rPr>
        <w:t xml:space="preserve"> Condições de Participação Poderão participar desta licitação as pessoas jurídicas que atuem em ramo de atividade compatível com o objeto (Engenharia/Infraestrutura Urbana) e que atendam a todas as exigências deste ETP e do futuro Edital.</w:t>
      </w:r>
      <w:r>
        <w:rPr>
          <w:rFonts w:ascii="Times New Roman" w:hAnsi="Times New Roman" w:cs="Times New Roman"/>
          <w:sz w:val="24"/>
          <w:szCs w:val="24"/>
        </w:rPr>
      </w:r>
      <w:r>
        <w:rPr>
          <w:rFonts w:ascii="Times New Roman" w:hAnsi="Times New Roman" w:cs="Times New Roman"/>
          <w:sz w:val="24"/>
          <w:szCs w:val="24"/>
        </w:rPr>
      </w:r>
    </w:p>
    <w:p w14:paraId="0C2BAC5B">
      <w:pPr>
        <w:numPr>
          <w:ilvl w:val="0"/>
          <w:numId w:val="34"/>
        </w:numPr>
        <w:pBdr/>
        <w:tabs>
          <w:tab w:val="clear" w:leader="none" w:pos="454"/>
        </w:tabs>
        <w:spacing w:line="360" w:lineRule="auto"/>
        <w:ind w:firstLine="6" w:left="-6"/>
        <w:contextualSpacing w:val="true"/>
        <w:jc w:val="both"/>
        <w:rPr>
          <w:rFonts w:ascii="Times New Roman" w:hAnsi="Times New Roman" w:cs="Times New Roman"/>
          <w:sz w:val="24"/>
          <w:szCs w:val="24"/>
        </w:rPr>
      </w:pPr>
      <w:r>
        <w:rPr>
          <w:rFonts w:ascii="Times New Roman" w:hAnsi="Times New Roman" w:cs="Times New Roman"/>
          <w:sz w:val="24"/>
          <w:szCs w:val="24"/>
        </w:rPr>
        <w:t xml:space="preserve">Impedimentos de Participação (Art. 14 da Lei nº 14.133/2021) Não poderão participar da licitação, direta ou indiretamente:</w:t>
      </w:r>
      <w:r>
        <w:rPr>
          <w:rFonts w:ascii="Times New Roman" w:hAnsi="Times New Roman" w:cs="Times New Roman"/>
          <w:sz w:val="24"/>
          <w:szCs w:val="24"/>
        </w:rPr>
      </w:r>
      <w:r>
        <w:rPr>
          <w:rFonts w:ascii="Times New Roman" w:hAnsi="Times New Roman" w:cs="Times New Roman"/>
          <w:sz w:val="24"/>
          <w:szCs w:val="24"/>
        </w:rPr>
      </w:r>
    </w:p>
    <w:p w14:paraId="79474C0C">
      <w:pPr>
        <w:numPr>
          <w:ilvl w:val="0"/>
          <w:numId w:val="35"/>
        </w:numPr>
        <w:pBdr/>
        <w:tabs>
          <w:tab w:val="clear" w:leader="none" w:pos="425"/>
          <w:tab w:val="left" w:leader="none" w:pos="800"/>
        </w:tabs>
        <w:spacing w:line="360" w:lineRule="auto"/>
        <w:ind w:firstLine="6" w:left="-6"/>
        <w:contextualSpacing w:val="true"/>
        <w:jc w:val="both"/>
        <w:rPr>
          <w:rFonts w:ascii="Times New Roman" w:hAnsi="Times New Roman" w:cs="Times New Roman"/>
          <w:sz w:val="24"/>
          <w:szCs w:val="24"/>
        </w:rPr>
      </w:pPr>
      <w:r>
        <w:rPr>
          <w:rFonts w:ascii="Times New Roman" w:hAnsi="Times New Roman" w:cs="Times New Roman"/>
          <w:sz w:val="24"/>
          <w:szCs w:val="24"/>
        </w:rPr>
        <w:t xml:space="preserve">Empresas Suspensas ou Impedidas: Aquelas que estejam cumprindo sanção de isolamento, suspensão temporária ou declaração de inidoneidade para licitar ou contratar com a Administração Pública.</w:t>
      </w:r>
      <w:r>
        <w:rPr>
          <w:rFonts w:ascii="Times New Roman" w:hAnsi="Times New Roman" w:cs="Times New Roman"/>
          <w:sz w:val="24"/>
          <w:szCs w:val="24"/>
        </w:rPr>
      </w:r>
      <w:r>
        <w:rPr>
          <w:rFonts w:ascii="Times New Roman" w:hAnsi="Times New Roman" w:cs="Times New Roman"/>
          <w:sz w:val="24"/>
          <w:szCs w:val="24"/>
        </w:rPr>
      </w:r>
    </w:p>
    <w:p w14:paraId="21519263">
      <w:pPr>
        <w:numPr>
          <w:ilvl w:val="0"/>
          <w:numId w:val="35"/>
        </w:numPr>
        <w:pBdr/>
        <w:tabs>
          <w:tab w:val="clear" w:leader="none" w:pos="425"/>
          <w:tab w:val="left" w:leader="none" w:pos="800"/>
        </w:tabs>
        <w:spacing w:line="360" w:lineRule="auto"/>
        <w:ind w:firstLine="6" w:left="-6"/>
        <w:contextualSpacing w:val="true"/>
        <w:jc w:val="both"/>
        <w:rPr>
          <w:rFonts w:ascii="Times New Roman" w:hAnsi="Times New Roman" w:cs="Times New Roman"/>
          <w:sz w:val="24"/>
          <w:szCs w:val="24"/>
        </w:rPr>
      </w:pPr>
      <w:r>
        <w:rPr>
          <w:rFonts w:ascii="Times New Roman" w:hAnsi="Times New Roman" w:cs="Times New Roman"/>
          <w:sz w:val="24"/>
          <w:szCs w:val="24"/>
        </w:rPr>
        <w:t xml:space="preserve">Vínculo com a Administração: Empresas que possuam em seu quadro societário servidor ou dirigente de órgão ou entidade vinculada à Prefeitura Municipal de Sinop.</w:t>
      </w:r>
      <w:r>
        <w:rPr>
          <w:rFonts w:ascii="Times New Roman" w:hAnsi="Times New Roman" w:cs="Times New Roman"/>
          <w:sz w:val="24"/>
          <w:szCs w:val="24"/>
        </w:rPr>
      </w:r>
      <w:r>
        <w:rPr>
          <w:rFonts w:ascii="Times New Roman" w:hAnsi="Times New Roman" w:cs="Times New Roman"/>
          <w:sz w:val="24"/>
          <w:szCs w:val="24"/>
        </w:rPr>
      </w:r>
    </w:p>
    <w:p w14:paraId="7EFE2ABC">
      <w:pPr>
        <w:numPr>
          <w:ilvl w:val="0"/>
          <w:numId w:val="35"/>
        </w:numPr>
        <w:pBdr/>
        <w:tabs>
          <w:tab w:val="clear" w:leader="none" w:pos="425"/>
          <w:tab w:val="left" w:leader="none" w:pos="800"/>
        </w:tabs>
        <w:spacing w:line="360" w:lineRule="auto"/>
        <w:ind w:firstLine="6" w:left="-6"/>
        <w:contextualSpacing w:val="true"/>
        <w:jc w:val="both"/>
        <w:rPr>
          <w:rFonts w:ascii="Times New Roman" w:hAnsi="Times New Roman" w:cs="Times New Roman"/>
          <w:sz w:val="24"/>
          <w:szCs w:val="24"/>
        </w:rPr>
      </w:pPr>
      <w:r>
        <w:rPr>
          <w:rFonts w:ascii="Times New Roman" w:hAnsi="Times New Roman" w:cs="Times New Roman"/>
          <w:sz w:val="24"/>
          <w:szCs w:val="24"/>
        </w:rPr>
        <w:t xml:space="preserve">Autor do Projeto: Pessoa física ou jurídica que tenha elaborado o projeto básico ou executivo (salvo em casos de contratação integrada, o que não se aplica aqui).</w:t>
      </w:r>
      <w:r>
        <w:rPr>
          <w:rFonts w:ascii="Times New Roman" w:hAnsi="Times New Roman" w:cs="Times New Roman"/>
          <w:sz w:val="24"/>
          <w:szCs w:val="24"/>
        </w:rPr>
      </w:r>
      <w:r>
        <w:rPr>
          <w:rFonts w:ascii="Times New Roman" w:hAnsi="Times New Roman" w:cs="Times New Roman"/>
          <w:sz w:val="24"/>
          <w:szCs w:val="24"/>
        </w:rPr>
      </w:r>
    </w:p>
    <w:p w14:paraId="306807D4">
      <w:pPr>
        <w:numPr>
          <w:ilvl w:val="0"/>
          <w:numId w:val="35"/>
        </w:numPr>
        <w:pBdr/>
        <w:tabs>
          <w:tab w:val="clear" w:leader="none" w:pos="425"/>
          <w:tab w:val="left" w:leader="none" w:pos="800"/>
        </w:tabs>
        <w:spacing w:line="360" w:lineRule="auto"/>
        <w:ind w:firstLine="6" w:left="-6"/>
        <w:contextualSpacing w:val="true"/>
        <w:jc w:val="both"/>
        <w:rPr>
          <w:rFonts w:ascii="Times New Roman" w:hAnsi="Times New Roman" w:cs="Times New Roman"/>
          <w:sz w:val="24"/>
          <w:szCs w:val="24"/>
        </w:rPr>
      </w:pPr>
      <w:r>
        <w:rPr>
          <w:rFonts w:ascii="Times New Roman" w:hAnsi="Times New Roman" w:cs="Times New Roman"/>
          <w:sz w:val="24"/>
          <w:szCs w:val="24"/>
        </w:rPr>
        <w:t xml:space="preserve">Falência ou Concordata: Empresas em processo de falência, ressalvadas aquelas com plano de recuperação judicial homologado e em vigor, que demonstrem capacidade de execução técnica e financeira.</w:t>
      </w:r>
      <w:r>
        <w:rPr>
          <w:rFonts w:ascii="Times New Roman" w:hAnsi="Times New Roman" w:cs="Times New Roman"/>
          <w:sz w:val="24"/>
          <w:szCs w:val="24"/>
        </w:rPr>
      </w:r>
      <w:r>
        <w:rPr>
          <w:rFonts w:ascii="Times New Roman" w:hAnsi="Times New Roman" w:cs="Times New Roman"/>
          <w:sz w:val="24"/>
          <w:szCs w:val="24"/>
        </w:rPr>
      </w:r>
    </w:p>
    <w:p w14:paraId="4769F69B">
      <w:pPr>
        <w:numPr>
          <w:ilvl w:val="0"/>
          <w:numId w:val="36"/>
        </w:numPr>
        <w:pBdr/>
        <w:tabs>
          <w:tab w:val="clear" w:leader="none" w:pos="454"/>
        </w:tabs>
        <w:spacing w:line="360" w:lineRule="auto"/>
        <w:ind w:firstLine="6" w:left="-6"/>
        <w:contextualSpacing w:val="true"/>
        <w:jc w:val="both"/>
        <w:rPr>
          <w:rFonts w:ascii="Times New Roman" w:hAnsi="Times New Roman" w:cs="Times New Roman"/>
          <w:sz w:val="24"/>
          <w:szCs w:val="24"/>
        </w:rPr>
      </w:pPr>
      <w:r>
        <w:rPr>
          <w:rFonts w:ascii="Times New Roman" w:hAnsi="Times New Roman" w:cs="Times New Roman"/>
          <w:sz w:val="24"/>
          <w:szCs w:val="24"/>
        </w:rPr>
        <w:t xml:space="preserve">Participação de Em</w:t>
      </w:r>
      <w:r>
        <w:rPr>
          <w:rFonts w:ascii="Times New Roman" w:hAnsi="Times New Roman" w:cs="Times New Roman"/>
          <w:sz w:val="24"/>
          <w:szCs w:val="24"/>
        </w:rPr>
        <w:t xml:space="preserve">presas Estrangeiras As empresas estrangeiras poderão participar conforme as regras do Art. 17 da Lei nº 14.133/2021, desde que tenham representação legal no Brasil com poderes expressos para receber citação e responder administrativamente ou judicialmente.</w:t>
      </w:r>
      <w:r>
        <w:rPr>
          <w:rFonts w:ascii="Times New Roman" w:hAnsi="Times New Roman" w:cs="Times New Roman"/>
          <w:sz w:val="24"/>
          <w:szCs w:val="24"/>
        </w:rPr>
      </w:r>
      <w:r>
        <w:rPr>
          <w:rFonts w:ascii="Times New Roman" w:hAnsi="Times New Roman" w:cs="Times New Roman"/>
          <w:sz w:val="24"/>
          <w:szCs w:val="24"/>
        </w:rPr>
      </w:r>
    </w:p>
    <w:p w14:paraId="3A7B74E3">
      <w:pPr>
        <w:numPr>
          <w:ilvl w:val="0"/>
          <w:numId w:val="36"/>
        </w:numPr>
        <w:pBdr/>
        <w:tabs>
          <w:tab w:val="clear" w:leader="none" w:pos="454"/>
        </w:tabs>
        <w:spacing w:line="360" w:lineRule="auto"/>
        <w:ind w:firstLine="6" w:left="-6"/>
        <w:contextualSpacing w:val="true"/>
        <w:jc w:val="both"/>
        <w:rPr>
          <w:rFonts w:ascii="Times New Roman" w:hAnsi="Times New Roman" w:cs="Times New Roman"/>
          <w:sz w:val="24"/>
          <w:szCs w:val="24"/>
        </w:rPr>
      </w:pPr>
      <w:r>
        <w:rPr>
          <w:rFonts w:ascii="Times New Roman" w:hAnsi="Times New Roman" w:cs="Times New Roman"/>
          <w:sz w:val="24"/>
          <w:szCs w:val="24"/>
        </w:rPr>
        <w:t xml:space="preserve">Vedação à Participação Simultânea Conforme detalhado </w:t>
      </w:r>
      <w:r>
        <w:rPr>
          <w:rFonts w:ascii="Times New Roman" w:hAnsi="Times New Roman" w:cs="Times New Roman"/>
          <w:sz w:val="24"/>
          <w:szCs w:val="24"/>
        </w:rPr>
        <w:t xml:space="preserve">no tópico de consórcios, é vedada a participação de uma mesma empresa em mais de um consórcio ou, simultaneamente, de forma isolada e em consórcio, para o mesmo item ou lote, sob pena de desclassificação de todas as propostas vinculadas à referida empresa.</w:t>
      </w:r>
      <w:r>
        <w:rPr>
          <w:rFonts w:ascii="Times New Roman" w:hAnsi="Times New Roman" w:cs="Times New Roman"/>
          <w:sz w:val="24"/>
          <w:szCs w:val="24"/>
        </w:rPr>
      </w:r>
      <w:r>
        <w:rPr>
          <w:rFonts w:ascii="Times New Roman" w:hAnsi="Times New Roman" w:cs="Times New Roman"/>
          <w:sz w:val="24"/>
          <w:szCs w:val="24"/>
        </w:rPr>
      </w:r>
    </w:p>
    <w:p w14:paraId="2310A59F">
      <w:pPr>
        <w:numPr>
          <w:ilvl w:val="0"/>
          <w:numId w:val="36"/>
        </w:numPr>
        <w:pBdr/>
        <w:tabs>
          <w:tab w:val="clear" w:leader="none" w:pos="454"/>
        </w:tabs>
        <w:spacing w:line="360" w:lineRule="auto"/>
        <w:ind w:firstLine="6" w:left="-6"/>
        <w:contextualSpacing w:val="true"/>
        <w:jc w:val="both"/>
        <w:rPr>
          <w:rFonts w:ascii="Times New Roman" w:hAnsi="Times New Roman" w:cs="Times New Roman"/>
          <w:sz w:val="24"/>
          <w:szCs w:val="24"/>
        </w:rPr>
      </w:pPr>
      <w:r>
        <w:rPr>
          <w:rFonts w:ascii="Times New Roman" w:hAnsi="Times New Roman" w:cs="Times New Roman"/>
          <w:sz w:val="24"/>
          <w:szCs w:val="24"/>
        </w:rPr>
        <w:t xml:space="preserve">Manifestação de Interesse e Custos de Participação A participação no certame implica a aceitação plena e irretratável das condições est</w:t>
      </w:r>
      <w:r>
        <w:rPr>
          <w:rFonts w:ascii="Times New Roman" w:hAnsi="Times New Roman" w:cs="Times New Roman"/>
          <w:sz w:val="24"/>
          <w:szCs w:val="24"/>
        </w:rPr>
        <w:t xml:space="preserve">abelecidas neste estudo e no Edital. Todos os custos decorrentes da elaboração e apresentação das propostas, incluindo vistorias facultativas, serão de inteira responsabilidade dos licitantes, não cabendo ao Município de Sinop qualquer ônus ou indenização.</w:t>
      </w:r>
      <w:r>
        <w:rPr>
          <w:rFonts w:ascii="Times New Roman" w:hAnsi="Times New Roman" w:cs="Times New Roman"/>
          <w:sz w:val="24"/>
          <w:szCs w:val="24"/>
        </w:rPr>
      </w:r>
      <w:r>
        <w:rPr>
          <w:rFonts w:ascii="Times New Roman" w:hAnsi="Times New Roman" w:cs="Times New Roman"/>
          <w:sz w:val="24"/>
          <w:szCs w:val="24"/>
        </w:rPr>
      </w:r>
    </w:p>
    <w:p w14:paraId="50AE971B">
      <w:pPr>
        <w:pBdr/>
        <w:spacing w:line="360" w:lineRule="auto"/>
        <w:ind w:left="141"/>
        <w:contextualSpacing w:val="true"/>
        <w:jc w:val="both"/>
        <w:rPr>
          <w:rFonts w:ascii="Times New Roman" w:hAnsi="Times New Roman" w:cs="Times New Roman"/>
          <w:b/>
          <w:bCs/>
          <w:sz w:val="24"/>
          <w:szCs w:val="24"/>
        </w:rPr>
      </w:pPr>
      <w:r>
        <w:rPr>
          <w:rFonts w:ascii="Times New Roman" w:hAnsi="Times New Roman" w:cs="Times New Roman"/>
          <w:b/>
          <w:bCs/>
          <w:sz w:val="24"/>
          <w:szCs w:val="24"/>
        </w:rPr>
        <w:t xml:space="preserve"> DAS CONDIÇÕES PARA HABILITAÇÃO:</w:t>
      </w:r>
      <w:r>
        <w:rPr>
          <w:rFonts w:ascii="Times New Roman" w:hAnsi="Times New Roman" w:cs="Times New Roman"/>
          <w:b/>
          <w:bCs/>
          <w:sz w:val="24"/>
          <w:szCs w:val="24"/>
        </w:rPr>
      </w:r>
      <w:r>
        <w:rPr>
          <w:rFonts w:ascii="Times New Roman" w:hAnsi="Times New Roman" w:cs="Times New Roman"/>
          <w:b/>
          <w:bCs/>
          <w:sz w:val="24"/>
          <w:szCs w:val="24"/>
        </w:rPr>
      </w:r>
    </w:p>
    <w:p w14:paraId="12A84C8D">
      <w:pPr>
        <w:numPr>
          <w:ilvl w:val="0"/>
          <w:numId w:val="37"/>
        </w:numPr>
        <w:pBdr/>
        <w:tabs>
          <w:tab w:val="left" w:leader="none" w:pos="0"/>
          <w:tab w:val="clear" w:leader="none" w:pos="454"/>
        </w:tabs>
        <w:spacing w:line="360" w:lineRule="auto"/>
        <w:ind w:firstLine="0" w:left="0"/>
        <w:contextualSpacing w:val="true"/>
        <w:jc w:val="both"/>
        <w:rPr>
          <w:rFonts w:ascii="Times New Roman" w:hAnsi="Times New Roman" w:cs="Times New Roman"/>
          <w:sz w:val="24"/>
          <w:szCs w:val="24"/>
        </w:rPr>
      </w:pPr>
      <w:r>
        <w:rPr>
          <w:rFonts w:ascii="Times New Roman" w:hAnsi="Times New Roman" w:cs="Times New Roman"/>
          <w:sz w:val="24"/>
          <w:szCs w:val="24"/>
        </w:rPr>
        <w:t xml:space="preserve">Para a habilitação no presente certame, as licitantes deverão apresentar a documentação referente à qualificação técnica, jurídica, fiscal, social e trabalhista, conforme os seguintes requisitos:</w:t>
      </w:r>
      <w:r>
        <w:rPr>
          <w:rFonts w:ascii="Times New Roman" w:hAnsi="Times New Roman" w:cs="Times New Roman"/>
          <w:sz w:val="24"/>
          <w:szCs w:val="24"/>
        </w:rPr>
      </w:r>
      <w:r>
        <w:rPr>
          <w:rFonts w:ascii="Times New Roman" w:hAnsi="Times New Roman" w:cs="Times New Roman"/>
          <w:sz w:val="24"/>
          <w:szCs w:val="24"/>
        </w:rPr>
      </w:r>
    </w:p>
    <w:p w14:paraId="2B7A847B">
      <w:pPr>
        <w:numPr>
          <w:ilvl w:val="0"/>
          <w:numId w:val="38"/>
        </w:numPr>
        <w:pBdr/>
        <w:tabs>
          <w:tab w:val="clear" w:leader="none" w:pos="454"/>
        </w:tabs>
        <w:spacing w:line="360" w:lineRule="auto"/>
        <w:ind w:firstLine="1146" w:left="0"/>
        <w:contextualSpacing w:val="true"/>
        <w:jc w:val="both"/>
        <w:rPr>
          <w:rFonts w:ascii="Times New Roman" w:hAnsi="Times New Roman" w:cs="Times New Roman"/>
          <w:sz w:val="24"/>
          <w:szCs w:val="24"/>
        </w:rPr>
      </w:pPr>
      <w:r>
        <w:rPr>
          <w:rFonts w:ascii="Times New Roman" w:hAnsi="Times New Roman" w:cs="Times New Roman"/>
          <w:sz w:val="24"/>
          <w:szCs w:val="24"/>
        </w:rPr>
        <w:t xml:space="preserve">Habilitação Jurídi</w:t>
      </w:r>
      <w:r>
        <w:rPr>
          <w:rFonts w:ascii="Times New Roman" w:hAnsi="Times New Roman" w:cs="Times New Roman"/>
          <w:sz w:val="24"/>
          <w:szCs w:val="24"/>
        </w:rPr>
        <w:t xml:space="preserve">ca e Fiscal Deverão ser apresentados os documentos previstos nos Arts. 66 a 68 da Lei 14.133/2021, comprovando a existência legal da empresa e a regularidade perante as Fazendas Federal, Estadual e Municipal de Sinop, além do FGTS e da Justiça do Trabalho.</w:t>
      </w:r>
      <w:r>
        <w:rPr>
          <w:rFonts w:ascii="Times New Roman" w:hAnsi="Times New Roman" w:cs="Times New Roman"/>
          <w:sz w:val="24"/>
          <w:szCs w:val="24"/>
        </w:rPr>
      </w:r>
      <w:r>
        <w:rPr>
          <w:rFonts w:ascii="Times New Roman" w:hAnsi="Times New Roman" w:cs="Times New Roman"/>
          <w:sz w:val="24"/>
          <w:szCs w:val="24"/>
        </w:rPr>
      </w:r>
    </w:p>
    <w:p w14:paraId="5DFD3039">
      <w:pPr>
        <w:numPr>
          <w:ilvl w:val="0"/>
          <w:numId w:val="38"/>
        </w:numPr>
        <w:pBdr/>
        <w:tabs>
          <w:tab w:val="clear" w:leader="none" w:pos="454"/>
        </w:tabs>
        <w:spacing w:line="360" w:lineRule="auto"/>
        <w:ind w:firstLine="1146" w:left="0"/>
        <w:contextualSpacing w:val="true"/>
        <w:jc w:val="both"/>
        <w:rPr>
          <w:rFonts w:ascii="Times New Roman" w:hAnsi="Times New Roman" w:cs="Times New Roman"/>
          <w:sz w:val="24"/>
          <w:szCs w:val="24"/>
        </w:rPr>
      </w:pPr>
      <w:r>
        <w:rPr>
          <w:rFonts w:ascii="Times New Roman" w:hAnsi="Times New Roman" w:cs="Times New Roman"/>
          <w:sz w:val="24"/>
          <w:szCs w:val="24"/>
        </w:rPr>
        <w:t xml:space="preserve">Qualificação Econômico-Financeira Considerando o Art. 69 da Lei 14.133/2021, a empresa deverá demonstrar saúde financeira para suportar a execução por Registro de Preços:</w:t>
      </w:r>
      <w:r>
        <w:rPr>
          <w:rFonts w:ascii="Times New Roman" w:hAnsi="Times New Roman" w:cs="Times New Roman"/>
          <w:sz w:val="24"/>
          <w:szCs w:val="24"/>
        </w:rPr>
      </w:r>
      <w:r>
        <w:rPr>
          <w:rFonts w:ascii="Times New Roman" w:hAnsi="Times New Roman" w:cs="Times New Roman"/>
          <w:sz w:val="24"/>
          <w:szCs w:val="24"/>
        </w:rPr>
      </w:r>
    </w:p>
    <w:p w14:paraId="292FD259">
      <w:pPr>
        <w:numPr>
          <w:ilvl w:val="0"/>
          <w:numId w:val="39"/>
        </w:numPr>
        <w:pBdr/>
        <w:tabs>
          <w:tab w:val="left" w:leader="none" w:pos="0"/>
          <w:tab w:val="clear" w:leader="none" w:pos="454"/>
        </w:tabs>
        <w:spacing w:line="360" w:lineRule="auto"/>
        <w:ind w:firstLine="1600" w:left="0"/>
        <w:contextualSpacing w:val="true"/>
        <w:jc w:val="both"/>
        <w:rPr>
          <w:rFonts w:ascii="Times New Roman" w:hAnsi="Times New Roman" w:cs="Times New Roman"/>
          <w:sz w:val="24"/>
          <w:szCs w:val="24"/>
        </w:rPr>
      </w:pPr>
      <w:r>
        <w:rPr>
          <w:rFonts w:ascii="Times New Roman" w:hAnsi="Times New Roman" w:cs="Times New Roman"/>
          <w:sz w:val="24"/>
          <w:szCs w:val="24"/>
        </w:rPr>
        <w:t xml:space="preserve">Índices de Liquidez: Comprovação de índices de Liquidez Geral (LG), Solvência Geral (SG) e Liquidez Corrente (LC) superiores a 1 (um).</w:t>
      </w:r>
      <w:r>
        <w:rPr>
          <w:rFonts w:ascii="Times New Roman" w:hAnsi="Times New Roman" w:cs="Times New Roman"/>
          <w:sz w:val="24"/>
          <w:szCs w:val="24"/>
        </w:rPr>
      </w:r>
      <w:r>
        <w:rPr>
          <w:rFonts w:ascii="Times New Roman" w:hAnsi="Times New Roman" w:cs="Times New Roman"/>
          <w:sz w:val="24"/>
          <w:szCs w:val="24"/>
        </w:rPr>
      </w:r>
    </w:p>
    <w:p w14:paraId="2AE1D953">
      <w:pPr>
        <w:numPr>
          <w:ilvl w:val="0"/>
          <w:numId w:val="39"/>
        </w:numPr>
        <w:pBdr/>
        <w:tabs>
          <w:tab w:val="left" w:leader="none" w:pos="0"/>
          <w:tab w:val="clear" w:leader="none" w:pos="454"/>
        </w:tabs>
        <w:spacing w:line="360" w:lineRule="auto"/>
        <w:ind w:firstLine="1600" w:left="0"/>
        <w:contextualSpacing w:val="true"/>
        <w:jc w:val="both"/>
        <w:rPr>
          <w:rFonts w:ascii="Times New Roman" w:hAnsi="Times New Roman" w:cs="Times New Roman"/>
          <w:sz w:val="24"/>
          <w:szCs w:val="24"/>
        </w:rPr>
      </w:pPr>
      <w:r>
        <w:rPr>
          <w:rFonts w:ascii="Times New Roman" w:hAnsi="Times New Roman" w:cs="Times New Roman"/>
          <w:sz w:val="24"/>
          <w:szCs w:val="24"/>
        </w:rPr>
        <w:t xml:space="preserve">Capital Mínimo ou Patrimônio Líquido: Exigência de patrimônio líquido mínimo de até 10% (dez por cento) do valor estimado da contratação, visando garantir que a empresa possui fôlego financeiro para atender as demandas da Secretaria de Obras e de Trânsito.</w:t>
      </w:r>
      <w:r>
        <w:rPr>
          <w:rFonts w:ascii="Times New Roman" w:hAnsi="Times New Roman" w:cs="Times New Roman"/>
          <w:sz w:val="24"/>
          <w:szCs w:val="24"/>
        </w:rPr>
      </w:r>
      <w:r>
        <w:rPr>
          <w:rFonts w:ascii="Times New Roman" w:hAnsi="Times New Roman" w:cs="Times New Roman"/>
          <w:sz w:val="24"/>
          <w:szCs w:val="24"/>
        </w:rPr>
      </w:r>
    </w:p>
    <w:p w14:paraId="77A775B5">
      <w:pPr>
        <w:numPr>
          <w:ilvl w:val="0"/>
          <w:numId w:val="39"/>
        </w:numPr>
        <w:pBdr/>
        <w:tabs>
          <w:tab w:val="left" w:leader="none" w:pos="0"/>
          <w:tab w:val="clear" w:leader="none" w:pos="454"/>
        </w:tabs>
        <w:spacing w:line="360" w:lineRule="auto"/>
        <w:ind w:firstLine="1600" w:left="0"/>
        <w:contextualSpacing w:val="true"/>
        <w:jc w:val="both"/>
        <w:rPr>
          <w:rFonts w:ascii="Times New Roman" w:hAnsi="Times New Roman" w:cs="Times New Roman"/>
          <w:sz w:val="24"/>
          <w:szCs w:val="24"/>
        </w:rPr>
      </w:pPr>
      <w:r>
        <w:rPr>
          <w:rFonts w:ascii="Times New Roman" w:hAnsi="Times New Roman" w:cs="Times New Roman"/>
          <w:sz w:val="24"/>
          <w:szCs w:val="24"/>
        </w:rPr>
        <w:t xml:space="preserve"> Declaração de Inexistência de Fatos Impeditivos Conforme o Art. 92 da Lei 14.133/2021, a licitante deverá declarar, sob as penas da lei:</w:t>
      </w:r>
      <w:r>
        <w:rPr>
          <w:rFonts w:ascii="Times New Roman" w:hAnsi="Times New Roman" w:cs="Times New Roman"/>
          <w:sz w:val="24"/>
          <w:szCs w:val="24"/>
        </w:rPr>
      </w:r>
      <w:r>
        <w:rPr>
          <w:rFonts w:ascii="Times New Roman" w:hAnsi="Times New Roman" w:cs="Times New Roman"/>
          <w:sz w:val="24"/>
          <w:szCs w:val="24"/>
        </w:rPr>
      </w:r>
    </w:p>
    <w:p w14:paraId="6E5B939E">
      <w:pPr>
        <w:numPr>
          <w:ilvl w:val="0"/>
          <w:numId w:val="0"/>
        </w:numPr>
        <w:pBdr/>
        <w:spacing w:line="360" w:lineRule="auto"/>
        <w:ind w:firstLine="0" w:left="3000"/>
        <w:contextualSpacing w:val="true"/>
        <w:jc w:val="both"/>
        <w:rPr>
          <w:rFonts w:ascii="Times New Roman" w:hAnsi="Times New Roman" w:cs="Times New Roman"/>
          <w:i/>
          <w:iCs/>
          <w:sz w:val="24"/>
          <w:szCs w:val="24"/>
        </w:rPr>
      </w:pPr>
      <w:r>
        <w:rPr>
          <w:rFonts w:ascii="Times New Roman" w:hAnsi="Times New Roman" w:cs="Times New Roman"/>
          <w:i/>
          <w:iCs/>
          <w:sz w:val="24"/>
          <w:szCs w:val="24"/>
        </w:rPr>
        <w:t xml:space="preserve">"Que não possui em seu quadro de pessoal empregado menor de 18 (dezoito) anos em trabalho noturno, perigoso ou insalubre, e menor de 16 (dezesseis) anos em qualquer trabalho, salvo na condição de aprendiz, a partir de 14 (quatorze) anos."</w:t>
      </w:r>
      <w:r>
        <w:rPr>
          <w:rFonts w:ascii="Times New Roman" w:hAnsi="Times New Roman" w:cs="Times New Roman"/>
          <w:i/>
          <w:iCs/>
          <w:sz w:val="24"/>
          <w:szCs w:val="24"/>
        </w:rPr>
      </w:r>
      <w:r>
        <w:rPr>
          <w:rFonts w:ascii="Times New Roman" w:hAnsi="Times New Roman" w:cs="Times New Roman"/>
          <w:i/>
          <w:iCs/>
          <w:sz w:val="24"/>
          <w:szCs w:val="24"/>
        </w:rPr>
      </w:r>
    </w:p>
    <w:p w14:paraId="4A3AFFC5">
      <w:pPr>
        <w:numPr>
          <w:ilvl w:val="0"/>
          <w:numId w:val="40"/>
        </w:numPr>
        <w:pBdr/>
        <w:tabs>
          <w:tab w:val="clear" w:leader="none" w:pos="454"/>
        </w:tabs>
        <w:spacing w:line="360" w:lineRule="auto"/>
        <w:ind w:firstLine="799" w:left="0"/>
        <w:contextualSpacing w:val="true"/>
        <w:jc w:val="both"/>
        <w:rPr>
          <w:rFonts w:ascii="Times New Roman" w:hAnsi="Times New Roman" w:cs="Times New Roman"/>
          <w:sz w:val="24"/>
          <w:szCs w:val="24"/>
        </w:rPr>
      </w:pPr>
      <w:r>
        <w:rPr>
          <w:rFonts w:ascii="Times New Roman" w:hAnsi="Times New Roman" w:cs="Times New Roman"/>
          <w:sz w:val="24"/>
          <w:szCs w:val="24"/>
        </w:rPr>
        <w:t xml:space="preserve">Trecho Legal Específico (Decreto 359/2023) A habilitação também observará o disposto no Art. 97 do Decreto 359/2023, que exige que a empresa esteja apta a fornecer os dados para o controle sistêmico da Área Gestora de Sinop:</w:t>
      </w:r>
      <w:r>
        <w:rPr>
          <w:rFonts w:ascii="Times New Roman" w:hAnsi="Times New Roman" w:cs="Times New Roman"/>
          <w:sz w:val="24"/>
          <w:szCs w:val="24"/>
        </w:rPr>
      </w:r>
      <w:r>
        <w:rPr>
          <w:rFonts w:ascii="Times New Roman" w:hAnsi="Times New Roman" w:cs="Times New Roman"/>
          <w:sz w:val="24"/>
          <w:szCs w:val="24"/>
        </w:rPr>
      </w:r>
    </w:p>
    <w:p w14:paraId="54730DA5">
      <w:pPr>
        <w:pBdr/>
        <w:spacing w:line="360" w:lineRule="auto"/>
        <w:ind w:firstLine="0" w:left="3000"/>
        <w:contextualSpacing w:val="true"/>
        <w:jc w:val="both"/>
        <w:rPr>
          <w:rFonts w:ascii="Times New Roman" w:hAnsi="Times New Roman" w:cs="Times New Roman"/>
          <w:i/>
          <w:iCs/>
          <w:sz w:val="24"/>
          <w:szCs w:val="24"/>
        </w:rPr>
      </w:pPr>
      <w:r>
        <w:rPr>
          <w:rFonts w:ascii="Times New Roman" w:hAnsi="Times New Roman" w:cs="Times New Roman"/>
          <w:i/>
          <w:iCs/>
          <w:sz w:val="24"/>
          <w:szCs w:val="24"/>
        </w:rPr>
        <w:t xml:space="preserve">"Art. 97. O Documento de Formação de Demanda deverá conter, além dos requisitos do Estudo Técnico Preliminar, a indicação dos servidores que atuarão na fiscalização e gestão do contrato."</w:t>
      </w:r>
      <w:r>
        <w:rPr>
          <w:rFonts w:ascii="Times New Roman" w:hAnsi="Times New Roman" w:cs="Times New Roman"/>
          <w:i/>
          <w:iCs/>
          <w:sz w:val="24"/>
          <w:szCs w:val="24"/>
        </w:rPr>
      </w:r>
      <w:r>
        <w:rPr>
          <w:rFonts w:ascii="Times New Roman" w:hAnsi="Times New Roman" w:cs="Times New Roman"/>
          <w:i/>
          <w:iCs/>
          <w:sz w:val="24"/>
          <w:szCs w:val="24"/>
        </w:rPr>
      </w:r>
    </w:p>
    <w:p w14:paraId="5CDF4E0E">
      <w:pPr>
        <w:pBdr/>
        <w:spacing w:line="360" w:lineRule="auto"/>
        <w:ind w:firstLine="0" w:left="0"/>
        <w:contextualSpacing w:val="true"/>
        <w:jc w:val="both"/>
        <w:rPr>
          <w:rFonts w:ascii="Times New Roman" w:hAnsi="Times New Roman" w:cs="Times New Roman"/>
          <w:sz w:val="24"/>
          <w:szCs w:val="24"/>
        </w:rPr>
      </w:pPr>
      <w:r>
        <w:rPr>
          <w:rFonts w:ascii="Times New Roman" w:hAnsi="Times New Roman" w:cs="Times New Roman"/>
          <w:sz w:val="24"/>
          <w:szCs w:val="24"/>
        </w:rPr>
        <w:t xml:space="preserve">Nota: A empresa deverá indicar preposto capaz de dialogar tecnicamente com a fiscalização designada.</w:t>
      </w:r>
      <w:r>
        <w:rPr>
          <w:rFonts w:ascii="Times New Roman" w:hAnsi="Times New Roman" w:cs="Times New Roman"/>
          <w:sz w:val="24"/>
          <w:szCs w:val="24"/>
        </w:rPr>
      </w:r>
      <w:r>
        <w:rPr>
          <w:rFonts w:ascii="Times New Roman" w:hAnsi="Times New Roman" w:cs="Times New Roman"/>
          <w:sz w:val="24"/>
          <w:szCs w:val="24"/>
        </w:rPr>
      </w:r>
    </w:p>
    <w:p w14:paraId="4DEE6991">
      <w:pPr>
        <w:pBdr/>
        <w:spacing w:line="360" w:lineRule="auto"/>
        <w:ind w:firstLine="0" w:left="0"/>
        <w:contextualSpacing w:val="true"/>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14:paraId="7DC24420">
      <w:pPr>
        <w:pBdr/>
        <w:spacing w:line="360" w:lineRule="auto"/>
        <w:ind/>
        <w:contextualSpacing w:val="true"/>
        <w:jc w:val="both"/>
        <w:rPr>
          <w:rFonts w:ascii="Times New Roman" w:hAnsi="Times New Roman" w:cs="Times New Roman"/>
          <w:b/>
          <w:bCs/>
          <w:sz w:val="24"/>
          <w:szCs w:val="24"/>
        </w:rPr>
      </w:pPr>
      <w:r>
        <w:rPr>
          <w:rFonts w:ascii="Times New Roman" w:hAnsi="Times New Roman" w:cs="Times New Roman"/>
          <w:b/>
          <w:bCs/>
          <w:sz w:val="24"/>
          <w:szCs w:val="24"/>
        </w:rPr>
        <w:t xml:space="preserve">DA HABILITAÇÃO</w:t>
      </w:r>
      <w:r>
        <w:rPr>
          <w:rFonts w:ascii="Times New Roman" w:hAnsi="Times New Roman" w:cs="Times New Roman"/>
          <w:b/>
          <w:bCs/>
          <w:sz w:val="24"/>
          <w:szCs w:val="24"/>
        </w:rPr>
      </w:r>
      <w:r>
        <w:rPr>
          <w:rFonts w:ascii="Times New Roman" w:hAnsi="Times New Roman" w:cs="Times New Roman"/>
          <w:b/>
          <w:bCs/>
          <w:sz w:val="24"/>
          <w:szCs w:val="24"/>
        </w:rPr>
      </w:r>
    </w:p>
    <w:p w14:paraId="3A86085B">
      <w:pPr>
        <w:numPr>
          <w:ilvl w:val="0"/>
          <w:numId w:val="41"/>
        </w:numPr>
        <w:pBdr/>
        <w:tabs>
          <w:tab w:val="left" w:leader="none" w:pos="0"/>
          <w:tab w:val="clear" w:leader="none" w:pos="454"/>
        </w:tabs>
        <w:spacing w:line="360" w:lineRule="auto"/>
        <w:ind w:hanging="12" w:left="12"/>
        <w:contextualSpacing w:val="true"/>
        <w:jc w:val="both"/>
        <w:rPr>
          <w:rFonts w:ascii="Times New Roman" w:hAnsi="Times New Roman" w:cs="Times New Roman"/>
          <w:sz w:val="24"/>
          <w:szCs w:val="24"/>
        </w:rPr>
      </w:pPr>
      <w:r>
        <w:rPr>
          <w:rFonts w:ascii="Times New Roman" w:hAnsi="Times New Roman" w:cs="Times New Roman"/>
          <w:sz w:val="24"/>
          <w:szCs w:val="24"/>
        </w:rPr>
        <w:t xml:space="preserve">De acordo com o Art. 63, inciso II da Lei nº 14.133/2021, será exigida a apresentação dos documentos de habilitação apenas do licitante vencedor.</w:t>
      </w:r>
      <w:r>
        <w:rPr>
          <w:rFonts w:ascii="Times New Roman" w:hAnsi="Times New Roman" w:cs="Times New Roman"/>
          <w:sz w:val="24"/>
          <w:szCs w:val="24"/>
        </w:rPr>
      </w:r>
      <w:r>
        <w:rPr>
          <w:rFonts w:ascii="Times New Roman" w:hAnsi="Times New Roman" w:cs="Times New Roman"/>
          <w:sz w:val="24"/>
          <w:szCs w:val="24"/>
        </w:rPr>
      </w:r>
    </w:p>
    <w:p w14:paraId="5F97EAF1">
      <w:pPr>
        <w:numPr>
          <w:ilvl w:val="0"/>
          <w:numId w:val="41"/>
        </w:numPr>
        <w:pBdr/>
        <w:tabs>
          <w:tab w:val="left" w:leader="none" w:pos="0"/>
          <w:tab w:val="clear" w:leader="none" w:pos="454"/>
        </w:tabs>
        <w:spacing w:line="360" w:lineRule="auto"/>
        <w:ind w:hanging="12" w:left="12"/>
        <w:contextualSpacing w:val="true"/>
        <w:jc w:val="both"/>
        <w:rPr>
          <w:rFonts w:ascii="Times New Roman" w:hAnsi="Times New Roman" w:cs="Times New Roman"/>
          <w:sz w:val="24"/>
          <w:szCs w:val="24"/>
        </w:rPr>
      </w:pPr>
      <w:r>
        <w:rPr>
          <w:rFonts w:hint="default" w:ascii="Times New Roman" w:hAnsi="Times New Roman" w:cs="Times New Roman"/>
          <w:sz w:val="24"/>
          <w:szCs w:val="24"/>
          <w:lang w:val="pt-BR"/>
        </w:rPr>
        <w:t xml:space="preserve">P</w:t>
      </w:r>
      <w:r>
        <w:rPr>
          <w:rFonts w:ascii="Times New Roman" w:hAnsi="Times New Roman" w:cs="Times New Roman"/>
          <w:sz w:val="24"/>
          <w:szCs w:val="24"/>
        </w:rPr>
        <w:t xml:space="preserve">ara a habilitação, a empresa vencedora deverá apresentar uma via os documentos abaixo discriminados, inseridos no sistema, quando convocada pelo Agente de Contratação, no campo adequado para tal, disponível no site </w:t>
      </w:r>
      <w:r>
        <w:fldChar w:fldCharType="begin"/>
      </w:r>
      <w:r>
        <w:instrText xml:space="preserve"> HYPERLINK "http://www.portaldecompraspublicas.com.br" </w:instrText>
      </w:r>
      <w:r>
        <w:fldChar w:fldCharType="separate"/>
      </w:r>
      <w:r>
        <w:rPr>
          <w:rFonts w:ascii="Times New Roman" w:hAnsi="Times New Roman" w:cs="Times New Roman"/>
          <w:sz w:val="24"/>
          <w:szCs w:val="24"/>
        </w:rPr>
        <w:t xml:space="preserve">www.portaldecompraspublicas.com.br</w:t>
      </w:r>
      <w:r>
        <w:rPr>
          <w:rFonts w:ascii="Times New Roman" w:hAnsi="Times New Roman" w:cs="Times New Roman"/>
          <w:sz w:val="24"/>
          <w:szCs w:val="24"/>
        </w:rPr>
        <w:fldChar w:fldCharType="end"/>
      </w:r>
      <w:r>
        <w:rPr>
          <w:rFonts w:ascii="Times New Roman" w:hAnsi="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14:paraId="783A82FE">
      <w:pPr>
        <w:numPr>
          <w:ilvl w:val="0"/>
          <w:numId w:val="41"/>
        </w:numPr>
        <w:pBdr/>
        <w:tabs>
          <w:tab w:val="left" w:leader="none" w:pos="0"/>
          <w:tab w:val="clear" w:leader="none" w:pos="454"/>
        </w:tabs>
        <w:spacing w:line="360" w:lineRule="auto"/>
        <w:ind w:hanging="12" w:left="12"/>
        <w:contextualSpacing w:val="true"/>
        <w:jc w:val="both"/>
        <w:rPr>
          <w:rFonts w:ascii="Times New Roman" w:hAnsi="Times New Roman" w:cs="Times New Roman"/>
          <w:sz w:val="24"/>
          <w:szCs w:val="24"/>
        </w:rPr>
      </w:pPr>
      <w:r>
        <w:rPr>
          <w:rFonts w:ascii="Times New Roman" w:hAnsi="Times New Roman" w:cs="Times New Roman"/>
          <w:sz w:val="24"/>
          <w:szCs w:val="24"/>
        </w:rPr>
        <w:t xml:space="preserve">As licitantes deverão apresentar documentação a fim de suprir as exigências impostas pelo Edital, observado em relação às empresas enquadradas como ME/EPP o disposto no art. 43, §1º, da Lei Complementar nº 123/2006.</w:t>
      </w:r>
      <w:r>
        <w:rPr>
          <w:rFonts w:ascii="Times New Roman" w:hAnsi="Times New Roman" w:cs="Times New Roman"/>
          <w:sz w:val="24"/>
          <w:szCs w:val="24"/>
        </w:rPr>
      </w:r>
      <w:r>
        <w:rPr>
          <w:rFonts w:ascii="Times New Roman" w:hAnsi="Times New Roman" w:cs="Times New Roman"/>
          <w:sz w:val="24"/>
          <w:szCs w:val="24"/>
        </w:rPr>
      </w:r>
    </w:p>
    <w:p w14:paraId="77C02F80">
      <w:pPr>
        <w:pBdr/>
        <w:spacing w:line="360" w:lineRule="auto"/>
        <w:ind w:hanging="12" w:left="12"/>
        <w:contextualSpacing w:val="true"/>
        <w:jc w:val="both"/>
        <w:rPr>
          <w:rFonts w:ascii="Times New Roman" w:hAnsi="Times New Roman" w:cs="Times New Roman"/>
          <w:b/>
          <w:bCs/>
          <w:sz w:val="24"/>
          <w:szCs w:val="24"/>
        </w:rPr>
      </w:pPr>
      <w:r>
        <w:rPr>
          <w:rFonts w:ascii="Times New Roman" w:hAnsi="Times New Roman" w:cs="Times New Roman"/>
          <w:b/>
          <w:bCs/>
          <w:sz w:val="24"/>
          <w:szCs w:val="24"/>
        </w:rPr>
        <w:t xml:space="preserve">HABILITAÇÃO JURÍDICA:</w:t>
      </w:r>
      <w:r>
        <w:rPr>
          <w:rFonts w:ascii="Times New Roman" w:hAnsi="Times New Roman" w:cs="Times New Roman"/>
          <w:b/>
          <w:bCs/>
          <w:sz w:val="24"/>
          <w:szCs w:val="24"/>
        </w:rPr>
      </w:r>
      <w:r>
        <w:rPr>
          <w:rFonts w:ascii="Times New Roman" w:hAnsi="Times New Roman" w:cs="Times New Roman"/>
          <w:b/>
          <w:bCs/>
          <w:sz w:val="24"/>
          <w:szCs w:val="24"/>
        </w:rPr>
      </w:r>
    </w:p>
    <w:p w14:paraId="40E16AEF">
      <w:pPr>
        <w:numPr>
          <w:ilvl w:val="0"/>
          <w:numId w:val="42"/>
        </w:numPr>
        <w:pBdr/>
        <w:tabs>
          <w:tab w:val="clear" w:leader="none" w:pos="454"/>
        </w:tabs>
        <w:spacing w:line="360" w:lineRule="auto"/>
        <w:ind w:hanging="12" w:left="12"/>
        <w:contextualSpacing w:val="true"/>
        <w:jc w:val="both"/>
        <w:rPr>
          <w:rFonts w:ascii="Times New Roman" w:hAnsi="Times New Roman" w:cs="Times New Roman"/>
          <w:sz w:val="24"/>
          <w:szCs w:val="24"/>
        </w:rPr>
      </w:pPr>
      <w:r>
        <w:rPr>
          <w:rFonts w:ascii="Times New Roman" w:hAnsi="Times New Roman" w:cs="Times New Roman"/>
          <w:sz w:val="24"/>
          <w:szCs w:val="24"/>
        </w:rPr>
        <w:t xml:space="preserve">Empresário individual: inscrição no Registro Público de Empresas Mercantis, a cargo da Junta Comercial da respectiva sede;</w:t>
      </w:r>
      <w:r>
        <w:rPr>
          <w:rFonts w:ascii="Times New Roman" w:hAnsi="Times New Roman" w:cs="Times New Roman"/>
          <w:sz w:val="24"/>
          <w:szCs w:val="24"/>
        </w:rPr>
      </w:r>
      <w:r>
        <w:rPr>
          <w:rFonts w:ascii="Times New Roman" w:hAnsi="Times New Roman" w:cs="Times New Roman"/>
          <w:sz w:val="24"/>
          <w:szCs w:val="24"/>
        </w:rPr>
      </w:r>
    </w:p>
    <w:p w14:paraId="1F68CAF4">
      <w:pPr>
        <w:numPr>
          <w:ilvl w:val="0"/>
          <w:numId w:val="42"/>
        </w:numPr>
        <w:pBdr/>
        <w:tabs>
          <w:tab w:val="clear" w:leader="none" w:pos="454"/>
        </w:tabs>
        <w:spacing w:line="360" w:lineRule="auto"/>
        <w:ind w:hanging="12" w:left="12"/>
        <w:contextualSpacing w:val="true"/>
        <w:jc w:val="both"/>
        <w:rPr>
          <w:rFonts w:ascii="Times New Roman" w:hAnsi="Times New Roman" w:cs="Times New Roman"/>
          <w:sz w:val="24"/>
          <w:szCs w:val="24"/>
        </w:rPr>
      </w:pPr>
      <w:r>
        <w:rPr>
          <w:rFonts w:ascii="Times New Roman" w:hAnsi="Times New Roman" w:cs="Times New Roman"/>
          <w:sz w:val="24"/>
          <w:szCs w:val="24"/>
        </w:rPr>
        <w:t xml:space="preserve">Microempreendedor Individual - MEI: Certificado da Condição de Microempreendedor Individual - CCMEI, cuja aceitação ficará condicionada à verificação da autenticidade no sítio https://</w:t>
      </w:r>
      <w:r>
        <w:fldChar w:fldCharType="begin"/>
      </w:r>
      <w:r>
        <w:instrText xml:space="preserve"> HYPERLINK "http://www.gov.br/empresas-e-negocios/pt-" \h </w:instrText>
      </w:r>
      <w:r>
        <w:fldChar w:fldCharType="separate"/>
      </w:r>
      <w:r>
        <w:rPr>
          <w:rFonts w:ascii="Times New Roman" w:hAnsi="Times New Roman" w:cs="Times New Roman"/>
          <w:sz w:val="24"/>
          <w:szCs w:val="24"/>
        </w:rPr>
        <w:t xml:space="preserve">www.gov.br/empresas-e-negocios/pt-</w:t>
      </w:r>
      <w:r>
        <w:rPr>
          <w:rFonts w:ascii="Times New Roman" w:hAnsi="Times New Roman" w:cs="Times New Roman"/>
          <w:sz w:val="24"/>
          <w:szCs w:val="24"/>
        </w:rPr>
        <w:fldChar w:fldCharType="end"/>
      </w:r>
      <w:r>
        <w:rPr>
          <w:rFonts w:ascii="Times New Roman" w:hAnsi="Times New Roman" w:cs="Times New Roman"/>
          <w:sz w:val="24"/>
          <w:szCs w:val="24"/>
        </w:rPr>
        <w:t xml:space="preserve"> br/empreendedor;</w:t>
      </w:r>
      <w:r>
        <w:rPr>
          <w:rFonts w:ascii="Times New Roman" w:hAnsi="Times New Roman" w:cs="Times New Roman"/>
          <w:sz w:val="24"/>
          <w:szCs w:val="24"/>
        </w:rPr>
      </w:r>
      <w:r>
        <w:rPr>
          <w:rFonts w:ascii="Times New Roman" w:hAnsi="Times New Roman" w:cs="Times New Roman"/>
          <w:sz w:val="24"/>
          <w:szCs w:val="24"/>
        </w:rPr>
      </w:r>
    </w:p>
    <w:p w14:paraId="0D8FD1DA">
      <w:pPr>
        <w:numPr>
          <w:ilvl w:val="0"/>
          <w:numId w:val="42"/>
        </w:numPr>
        <w:pBdr/>
        <w:tabs>
          <w:tab w:val="clear" w:leader="none" w:pos="454"/>
        </w:tabs>
        <w:spacing w:line="360" w:lineRule="auto"/>
        <w:ind w:hanging="12" w:left="12"/>
        <w:contextualSpacing w:val="true"/>
        <w:jc w:val="both"/>
        <w:rPr>
          <w:rFonts w:ascii="Times New Roman" w:hAnsi="Times New Roman" w:cs="Times New Roman"/>
          <w:sz w:val="24"/>
          <w:szCs w:val="24"/>
        </w:rPr>
      </w:pPr>
      <w:r>
        <w:rPr>
          <w:rFonts w:ascii="Times New Roman" w:hAnsi="Times New Roman" w:cs="Times New Roman"/>
          <w:sz w:val="24"/>
          <w:szCs w:val="24"/>
        </w:rPr>
        <w:t xml:space="preserve">Sociedade empresária, sociedade limitada unipessoal – SLU ou sociedade identificada como empresa indivi</w:t>
      </w:r>
      <w:r>
        <w:rPr>
          <w:rFonts w:ascii="Times New Roman" w:hAnsi="Times New Roman" w:cs="Times New Roman"/>
          <w:sz w:val="24"/>
          <w:szCs w:val="24"/>
        </w:rPr>
        <w:t xml:space="preserve">dual de responsabilidade limitada - EIRELI: inscrição do ato constitutivo, estatuto ou contrato social no Registro Público de Empresas Mercantis, a cargo da Junta Comercial da respectiva sede, acompanhada de documento comprobatório de seus administradores;</w:t>
      </w:r>
      <w:r>
        <w:rPr>
          <w:rFonts w:ascii="Times New Roman" w:hAnsi="Times New Roman" w:cs="Times New Roman"/>
          <w:sz w:val="24"/>
          <w:szCs w:val="24"/>
        </w:rPr>
      </w:r>
      <w:r>
        <w:rPr>
          <w:rFonts w:ascii="Times New Roman" w:hAnsi="Times New Roman" w:cs="Times New Roman"/>
          <w:sz w:val="24"/>
          <w:szCs w:val="24"/>
        </w:rPr>
      </w:r>
    </w:p>
    <w:p w14:paraId="60E39018">
      <w:pPr>
        <w:numPr>
          <w:ilvl w:val="0"/>
          <w:numId w:val="42"/>
        </w:numPr>
        <w:pBdr/>
        <w:tabs>
          <w:tab w:val="clear" w:leader="none" w:pos="454"/>
        </w:tabs>
        <w:spacing w:line="360" w:lineRule="auto"/>
        <w:ind w:hanging="12" w:left="12"/>
        <w:contextualSpacing w:val="true"/>
        <w:jc w:val="both"/>
        <w:rPr>
          <w:rFonts w:ascii="Times New Roman" w:hAnsi="Times New Roman" w:cs="Times New Roman"/>
          <w:sz w:val="24"/>
          <w:szCs w:val="24"/>
        </w:rPr>
      </w:pPr>
      <w:r>
        <w:rPr>
          <w:rFonts w:ascii="Times New Roman" w:hAnsi="Times New Roman" w:cs="Times New Roman"/>
          <w:sz w:val="24"/>
          <w:szCs w:val="24"/>
        </w:rPr>
        <w:t xml:space="preserve">Sociedade empresária estrangeira: portaria de autorização de funcionamento no Brasil, public</w:t>
      </w:r>
      <w:r>
        <w:rPr>
          <w:rFonts w:ascii="Times New Roman" w:hAnsi="Times New Roman" w:cs="Times New Roman"/>
          <w:sz w:val="24"/>
          <w:szCs w:val="24"/>
        </w:rPr>
        <w:t xml:space="preserve">ada no Diário Oficial da União e arquivada na Junta Comercial da unidade federativa onde se localizar a filial, agência, sucursal ou estabelecimento, a qual será considerada como sua sede, conforme Instrução Normativa DREI/ME nº 77, de 18 de março de 2020;</w:t>
      </w:r>
      <w:r>
        <w:rPr>
          <w:rFonts w:ascii="Times New Roman" w:hAnsi="Times New Roman" w:cs="Times New Roman"/>
          <w:sz w:val="24"/>
          <w:szCs w:val="24"/>
        </w:rPr>
      </w:r>
      <w:r>
        <w:rPr>
          <w:rFonts w:ascii="Times New Roman" w:hAnsi="Times New Roman" w:cs="Times New Roman"/>
          <w:sz w:val="24"/>
          <w:szCs w:val="24"/>
        </w:rPr>
      </w:r>
    </w:p>
    <w:p w14:paraId="335C2504">
      <w:pPr>
        <w:numPr>
          <w:ilvl w:val="0"/>
          <w:numId w:val="42"/>
        </w:numPr>
        <w:pBdr/>
        <w:tabs>
          <w:tab w:val="clear" w:leader="none" w:pos="454"/>
        </w:tabs>
        <w:spacing w:line="360" w:lineRule="auto"/>
        <w:ind w:hanging="12" w:left="12"/>
        <w:contextualSpacing w:val="true"/>
        <w:jc w:val="both"/>
        <w:rPr>
          <w:rFonts w:ascii="Times New Roman" w:hAnsi="Times New Roman" w:cs="Times New Roman"/>
          <w:sz w:val="24"/>
          <w:szCs w:val="24"/>
        </w:rPr>
      </w:pPr>
      <w:r>
        <w:rPr>
          <w:rFonts w:ascii="Times New Roman" w:hAnsi="Times New Roman" w:cs="Times New Roman"/>
          <w:sz w:val="24"/>
          <w:szCs w:val="24"/>
        </w:rPr>
        <w:t xml:space="preserve">Sociedade simples: inscrição do ato constitutivo no Registro Civil de Pessoas Jurídicas do local de sua sede, acompanhada de documento comprobatório de seus administradores;</w:t>
      </w:r>
      <w:r>
        <w:rPr>
          <w:rFonts w:ascii="Times New Roman" w:hAnsi="Times New Roman" w:cs="Times New Roman"/>
          <w:sz w:val="24"/>
          <w:szCs w:val="24"/>
        </w:rPr>
      </w:r>
      <w:r>
        <w:rPr>
          <w:rFonts w:ascii="Times New Roman" w:hAnsi="Times New Roman" w:cs="Times New Roman"/>
          <w:sz w:val="24"/>
          <w:szCs w:val="24"/>
        </w:rPr>
      </w:r>
    </w:p>
    <w:p w14:paraId="531363F6">
      <w:pPr>
        <w:numPr>
          <w:ilvl w:val="0"/>
          <w:numId w:val="42"/>
        </w:numPr>
        <w:pBdr/>
        <w:tabs>
          <w:tab w:val="clear" w:leader="none" w:pos="454"/>
        </w:tabs>
        <w:spacing w:line="360" w:lineRule="auto"/>
        <w:ind w:hanging="12" w:left="12"/>
        <w:contextualSpacing w:val="true"/>
        <w:jc w:val="both"/>
        <w:rPr>
          <w:rFonts w:ascii="Times New Roman" w:hAnsi="Times New Roman" w:cs="Times New Roman"/>
          <w:sz w:val="24"/>
          <w:szCs w:val="24"/>
        </w:rPr>
      </w:pPr>
      <w:r>
        <w:rPr>
          <w:rFonts w:ascii="Times New Roman" w:hAnsi="Times New Roman" w:cs="Times New Roman"/>
          <w:sz w:val="24"/>
          <w:szCs w:val="24"/>
        </w:rPr>
        <w:t xml:space="preserve">Filial, sucursal ou agência de sociedade simples ou empresária: insc</w:t>
      </w:r>
      <w:r>
        <w:rPr>
          <w:rFonts w:ascii="Times New Roman" w:hAnsi="Times New Roman" w:cs="Times New Roman"/>
          <w:sz w:val="24"/>
          <w:szCs w:val="24"/>
        </w:rPr>
        <w:t xml:space="preserve">rição do ato constitutivo da filial, sucursal ou agência da sociedade simples ou empresária, respectivamente, no Registro Civil das Pessoas Jurídicas ou no Registro Público de Empresas Mercantis onde opera, com averbação no Registro onde tem sede a matriz;</w:t>
      </w:r>
      <w:r>
        <w:rPr>
          <w:rFonts w:ascii="Times New Roman" w:hAnsi="Times New Roman" w:cs="Times New Roman"/>
          <w:sz w:val="24"/>
          <w:szCs w:val="24"/>
        </w:rPr>
      </w:r>
      <w:r>
        <w:rPr>
          <w:rFonts w:ascii="Times New Roman" w:hAnsi="Times New Roman" w:cs="Times New Roman"/>
          <w:sz w:val="24"/>
          <w:szCs w:val="24"/>
        </w:rPr>
      </w:r>
    </w:p>
    <w:p w14:paraId="512DA3B9">
      <w:pPr>
        <w:numPr>
          <w:ilvl w:val="0"/>
          <w:numId w:val="43"/>
        </w:numPr>
        <w:pBdr/>
        <w:tabs>
          <w:tab w:val="clear" w:leader="none" w:pos="454"/>
        </w:tabs>
        <w:spacing w:line="360" w:lineRule="auto"/>
        <w:ind w:hanging="12" w:left="12"/>
        <w:contextualSpacing w:val="true"/>
        <w:jc w:val="both"/>
        <w:rPr>
          <w:rFonts w:ascii="Times New Roman" w:hAnsi="Times New Roman" w:cs="Times New Roman"/>
          <w:sz w:val="24"/>
          <w:szCs w:val="24"/>
        </w:rPr>
      </w:pPr>
      <w:r>
        <w:rPr>
          <w:rFonts w:ascii="Times New Roman" w:hAnsi="Times New Roman" w:cs="Times New Roman"/>
          <w:sz w:val="24"/>
          <w:szCs w:val="24"/>
        </w:rPr>
        <w:t xml:space="preserve">Sociedade cooperativa: ata de funda</w:t>
      </w:r>
      <w:r>
        <w:rPr>
          <w:rFonts w:ascii="Times New Roman" w:hAnsi="Times New Roman" w:cs="Times New Roman"/>
          <w:sz w:val="24"/>
          <w:szCs w:val="24"/>
        </w:rPr>
        <w:t xml:space="preserve">ção e estatuto social, com a ata da assembleia que o aprovou, devidamente arquivado na Junta Comercial ou inscrito no Registro Civil das Pessoas Jurídicas da respectiva sede, além do registro de que trata o art. 107 da Lei nº 5.764, de 16 de dezembro 1971.</w:t>
      </w:r>
      <w:r>
        <w:rPr>
          <w:rFonts w:ascii="Times New Roman" w:hAnsi="Times New Roman" w:cs="Times New Roman"/>
          <w:sz w:val="24"/>
          <w:szCs w:val="24"/>
        </w:rPr>
      </w:r>
      <w:r>
        <w:rPr>
          <w:rFonts w:ascii="Times New Roman" w:hAnsi="Times New Roman" w:cs="Times New Roman"/>
          <w:sz w:val="24"/>
          <w:szCs w:val="24"/>
        </w:rPr>
      </w:r>
    </w:p>
    <w:p w14:paraId="3C87767E">
      <w:pPr>
        <w:numPr>
          <w:ilvl w:val="0"/>
          <w:numId w:val="43"/>
        </w:numPr>
        <w:pBdr/>
        <w:tabs>
          <w:tab w:val="clear" w:leader="none" w:pos="454"/>
        </w:tabs>
        <w:spacing w:line="360" w:lineRule="auto"/>
        <w:ind w:hanging="12" w:left="12"/>
        <w:contextualSpacing w:val="true"/>
        <w:jc w:val="both"/>
        <w:rPr>
          <w:rFonts w:ascii="Times New Roman" w:hAnsi="Times New Roman" w:cs="Times New Roman"/>
          <w:sz w:val="24"/>
          <w:szCs w:val="24"/>
        </w:rPr>
      </w:pPr>
      <w:r>
        <w:rPr>
          <w:rFonts w:ascii="Times New Roman" w:hAnsi="Times New Roman" w:cs="Times New Roman"/>
          <w:sz w:val="24"/>
          <w:szCs w:val="24"/>
        </w:rPr>
        <w:t xml:space="preserve">No caso da alínea “a” acima, caso a empresa for identificada como EIRELI em seu</w:t>
      </w:r>
      <w:r>
        <w:rPr>
          <w:rFonts w:ascii="Times New Roman" w:hAnsi="Times New Roman" w:cs="Times New Roman"/>
          <w:sz w:val="24"/>
          <w:szCs w:val="24"/>
        </w:rPr>
        <w:t xml:space="preserve">s atos constitutivos, ela deverá ser considerada como convertida em SLU, automaticamente pelo agente de contratação, devendo os seus atos constitutivos serem considerados regulares como EIRELI, mas a empresa deverá se comportar na contratação como uma SLU.</w:t>
      </w:r>
      <w:r>
        <w:rPr>
          <w:rFonts w:ascii="Times New Roman" w:hAnsi="Times New Roman" w:cs="Times New Roman"/>
          <w:sz w:val="24"/>
          <w:szCs w:val="24"/>
        </w:rPr>
      </w:r>
      <w:r>
        <w:rPr>
          <w:rFonts w:ascii="Times New Roman" w:hAnsi="Times New Roman" w:cs="Times New Roman"/>
          <w:sz w:val="24"/>
          <w:szCs w:val="24"/>
        </w:rPr>
      </w:r>
    </w:p>
    <w:p w14:paraId="024E29D3">
      <w:pPr>
        <w:numPr>
          <w:ilvl w:val="0"/>
          <w:numId w:val="43"/>
        </w:numPr>
        <w:pBdr/>
        <w:tabs>
          <w:tab w:val="clear" w:leader="none" w:pos="454"/>
        </w:tabs>
        <w:spacing w:line="360" w:lineRule="auto"/>
        <w:ind w:hanging="12" w:left="12"/>
        <w:contextualSpacing w:val="true"/>
        <w:jc w:val="both"/>
        <w:rPr>
          <w:rFonts w:ascii="Times New Roman" w:hAnsi="Times New Roman" w:cs="Times New Roman"/>
          <w:sz w:val="24"/>
          <w:szCs w:val="24"/>
        </w:rPr>
      </w:pPr>
      <w:r>
        <w:rPr>
          <w:rFonts w:ascii="Times New Roman" w:hAnsi="Times New Roman" w:cs="Times New Roman"/>
          <w:sz w:val="24"/>
          <w:szCs w:val="24"/>
        </w:rPr>
        <w:t xml:space="preserve">Tratando-se de procurador, apresentar procuração por instrumento público ou particul</w:t>
      </w:r>
      <w:r>
        <w:rPr>
          <w:rFonts w:ascii="Times New Roman" w:hAnsi="Times New Roman" w:cs="Times New Roman"/>
          <w:sz w:val="24"/>
          <w:szCs w:val="24"/>
        </w:rPr>
        <w:t xml:space="preserve">ar, que comprove os poderes do mandante para a outorga, com firma reconhecida, da qual constem poderes específicos para formular lances, negociar preço, interpor recursos, desistir de sua interposição e praticar todos os demais atos pertinentes ao certame.</w:t>
      </w:r>
      <w:r>
        <w:rPr>
          <w:rFonts w:ascii="Times New Roman" w:hAnsi="Times New Roman" w:cs="Times New Roman"/>
          <w:sz w:val="24"/>
          <w:szCs w:val="24"/>
        </w:rPr>
      </w:r>
      <w:r>
        <w:rPr>
          <w:rFonts w:ascii="Times New Roman" w:hAnsi="Times New Roman" w:cs="Times New Roman"/>
          <w:sz w:val="24"/>
          <w:szCs w:val="24"/>
        </w:rPr>
      </w:r>
    </w:p>
    <w:p w14:paraId="0BA73B54">
      <w:pPr>
        <w:pBdr/>
        <w:spacing w:line="360" w:lineRule="auto"/>
        <w:ind w:hanging="12" w:left="12"/>
        <w:contextualSpacing w:val="true"/>
        <w:jc w:val="both"/>
        <w:rPr>
          <w:rFonts w:ascii="Times New Roman" w:hAnsi="Times New Roman" w:cs="Times New Roman"/>
          <w:b/>
          <w:bCs/>
          <w:sz w:val="24"/>
          <w:szCs w:val="24"/>
        </w:rPr>
      </w:pPr>
      <w:r>
        <w:rPr>
          <w:rFonts w:ascii="Times New Roman" w:hAnsi="Times New Roman" w:cs="Times New Roman"/>
          <w:b/>
          <w:bCs/>
          <w:sz w:val="24"/>
          <w:szCs w:val="24"/>
        </w:rPr>
        <w:t xml:space="preserve">HABILITAÇÃO FISCAL, SOCIAL E TRABALHISTA:</w:t>
      </w:r>
      <w:r>
        <w:rPr>
          <w:rFonts w:ascii="Times New Roman" w:hAnsi="Times New Roman" w:cs="Times New Roman"/>
          <w:b/>
          <w:bCs/>
          <w:sz w:val="24"/>
          <w:szCs w:val="24"/>
        </w:rPr>
      </w:r>
      <w:r>
        <w:rPr>
          <w:rFonts w:ascii="Times New Roman" w:hAnsi="Times New Roman" w:cs="Times New Roman"/>
          <w:b/>
          <w:bCs/>
          <w:sz w:val="24"/>
          <w:szCs w:val="24"/>
        </w:rPr>
      </w:r>
    </w:p>
    <w:p w14:paraId="4C5AA775">
      <w:pPr>
        <w:numPr>
          <w:ilvl w:val="0"/>
          <w:numId w:val="44"/>
        </w:numPr>
        <w:pBdr/>
        <w:tabs>
          <w:tab w:val="left" w:leader="none" w:pos="0"/>
          <w:tab w:val="clear" w:leader="none" w:pos="454"/>
        </w:tabs>
        <w:spacing w:line="360" w:lineRule="auto"/>
        <w:ind w:firstLine="0" w:left="-1"/>
        <w:contextualSpacing w:val="true"/>
        <w:jc w:val="both"/>
        <w:rPr>
          <w:rFonts w:ascii="Times New Roman" w:hAnsi="Times New Roman" w:cs="Times New Roman"/>
          <w:sz w:val="24"/>
          <w:szCs w:val="24"/>
        </w:rPr>
      </w:pPr>
      <w:r>
        <w:rPr>
          <w:rFonts w:ascii="Times New Roman" w:hAnsi="Times New Roman" w:cs="Times New Roman"/>
          <w:sz w:val="24"/>
          <w:szCs w:val="24"/>
        </w:rPr>
        <w:t xml:space="preserve">Inscrição no Cadastro Nacional de Pessoas Jurídicas (CNPJ);</w:t>
      </w:r>
      <w:r>
        <w:rPr>
          <w:rFonts w:ascii="Times New Roman" w:hAnsi="Times New Roman" w:cs="Times New Roman"/>
          <w:sz w:val="24"/>
          <w:szCs w:val="24"/>
        </w:rPr>
      </w:r>
      <w:r>
        <w:rPr>
          <w:rFonts w:ascii="Times New Roman" w:hAnsi="Times New Roman" w:cs="Times New Roman"/>
          <w:sz w:val="24"/>
          <w:szCs w:val="24"/>
        </w:rPr>
      </w:r>
    </w:p>
    <w:p w14:paraId="422F4C46">
      <w:pPr>
        <w:numPr>
          <w:ilvl w:val="0"/>
          <w:numId w:val="44"/>
        </w:numPr>
        <w:pBdr/>
        <w:tabs>
          <w:tab w:val="left" w:leader="none" w:pos="0"/>
          <w:tab w:val="clear" w:leader="none" w:pos="454"/>
        </w:tabs>
        <w:spacing w:line="360" w:lineRule="auto"/>
        <w:ind w:firstLine="0" w:left="-1"/>
        <w:contextualSpacing w:val="true"/>
        <w:jc w:val="both"/>
        <w:rPr>
          <w:rFonts w:ascii="Times New Roman" w:hAnsi="Times New Roman" w:cs="Times New Roman"/>
          <w:sz w:val="24"/>
          <w:szCs w:val="24"/>
        </w:rPr>
      </w:pPr>
      <w:r>
        <w:rPr>
          <w:rFonts w:ascii="Times New Roman" w:hAnsi="Times New Roman" w:cs="Times New Roman"/>
          <w:sz w:val="24"/>
          <w:szCs w:val="24"/>
        </w:rPr>
        <w:t xml:space="preserve">Inscrição no cadastro de contribuintes estadual e/ou municipal, se houver, relativo ao domicílio ou sede do licitante, pertinente ao seu ramo de atividade e compatível com o objeto contratual;</w:t>
      </w:r>
      <w:r>
        <w:rPr>
          <w:rFonts w:ascii="Times New Roman" w:hAnsi="Times New Roman" w:cs="Times New Roman"/>
          <w:sz w:val="24"/>
          <w:szCs w:val="24"/>
        </w:rPr>
      </w:r>
      <w:r>
        <w:rPr>
          <w:rFonts w:ascii="Times New Roman" w:hAnsi="Times New Roman" w:cs="Times New Roman"/>
          <w:sz w:val="24"/>
          <w:szCs w:val="24"/>
        </w:rPr>
      </w:r>
    </w:p>
    <w:p w14:paraId="7EED1154">
      <w:pPr>
        <w:numPr>
          <w:ilvl w:val="0"/>
          <w:numId w:val="44"/>
        </w:numPr>
        <w:pBdr/>
        <w:tabs>
          <w:tab w:val="left" w:leader="none" w:pos="0"/>
          <w:tab w:val="clear" w:leader="none" w:pos="454"/>
        </w:tabs>
        <w:spacing w:line="360" w:lineRule="auto"/>
        <w:ind w:firstLine="0" w:left="-1"/>
        <w:contextualSpacing w:val="true"/>
        <w:jc w:val="both"/>
        <w:rPr>
          <w:rFonts w:ascii="Times New Roman" w:hAnsi="Times New Roman" w:cs="Times New Roman"/>
          <w:sz w:val="24"/>
          <w:szCs w:val="24"/>
        </w:rPr>
      </w:pPr>
      <w:r>
        <w:rPr>
          <w:rFonts w:ascii="Times New Roman" w:hAnsi="Times New Roman" w:cs="Times New Roman"/>
          <w:sz w:val="24"/>
          <w:szCs w:val="24"/>
        </w:rPr>
        <w:t xml:space="preserve">Regulari</w:t>
      </w:r>
      <w:r>
        <w:rPr>
          <w:rFonts w:ascii="Times New Roman" w:hAnsi="Times New Roman" w:cs="Times New Roman"/>
          <w:sz w:val="24"/>
          <w:szCs w:val="24"/>
        </w:rPr>
        <w:t xml:space="preserve">dade fiscal perante a Fazenda Nacional, mediante apresentação de certidão expedida conjuntamente pela Secretaria da Receita Federal do Brasil (RFB) e pela Procuradoria-Geral da Fazenda Nacional (PGFN), referente a todos os créditos tributários federais e à</w:t>
      </w:r>
      <w:r>
        <w:rPr>
          <w:rFonts w:ascii="Times New Roman" w:hAnsi="Times New Roman" w:cs="Times New Roman"/>
          <w:sz w:val="24"/>
          <w:szCs w:val="24"/>
        </w:rPr>
        <w:t xml:space="preserve"> Dívida Ativa da União (DAU) por elas administrados, inclusive aqueles relativos à Seguridade Social, nos termos da Portaria Conjunta nº 1.751, de 02 de outubro de 2014, do Secretário da Receita Federal do Brasil e da Procuradora-Geral da Fazenda Nacional.</w:t>
      </w:r>
      <w:r>
        <w:rPr>
          <w:rFonts w:ascii="Times New Roman" w:hAnsi="Times New Roman" w:cs="Times New Roman"/>
          <w:sz w:val="24"/>
          <w:szCs w:val="24"/>
        </w:rPr>
      </w:r>
      <w:r>
        <w:rPr>
          <w:rFonts w:ascii="Times New Roman" w:hAnsi="Times New Roman" w:cs="Times New Roman"/>
          <w:sz w:val="24"/>
          <w:szCs w:val="24"/>
        </w:rPr>
      </w:r>
    </w:p>
    <w:p w14:paraId="2CCC4B68">
      <w:pPr>
        <w:numPr>
          <w:ilvl w:val="0"/>
          <w:numId w:val="44"/>
        </w:numPr>
        <w:pBdr/>
        <w:tabs>
          <w:tab w:val="left" w:leader="none" w:pos="0"/>
          <w:tab w:val="clear" w:leader="none" w:pos="454"/>
        </w:tabs>
        <w:spacing w:line="360" w:lineRule="auto"/>
        <w:ind w:firstLine="0" w:left="-1"/>
        <w:contextualSpacing w:val="true"/>
        <w:jc w:val="both"/>
        <w:rPr>
          <w:rFonts w:ascii="Times New Roman" w:hAnsi="Times New Roman" w:cs="Times New Roman"/>
          <w:sz w:val="24"/>
          <w:szCs w:val="24"/>
        </w:rPr>
      </w:pPr>
      <w:r>
        <w:rPr>
          <w:rFonts w:ascii="Times New Roman" w:hAnsi="Times New Roman" w:cs="Times New Roman"/>
          <w:sz w:val="24"/>
          <w:szCs w:val="24"/>
        </w:rPr>
        <w:t xml:space="preserve">Regularidade junto à Fazenda Estadual, emitida pela Secretaria da Fazenda Estadual onde a empresa for sediada, ou outra equivalente, na forma da lei;</w:t>
      </w:r>
      <w:r>
        <w:rPr>
          <w:rFonts w:ascii="Times New Roman" w:hAnsi="Times New Roman" w:cs="Times New Roman"/>
          <w:sz w:val="24"/>
          <w:szCs w:val="24"/>
        </w:rPr>
      </w:r>
      <w:r>
        <w:rPr>
          <w:rFonts w:ascii="Times New Roman" w:hAnsi="Times New Roman" w:cs="Times New Roman"/>
          <w:sz w:val="24"/>
          <w:szCs w:val="24"/>
        </w:rPr>
      </w:r>
    </w:p>
    <w:p w14:paraId="14B7BF4A">
      <w:pPr>
        <w:numPr>
          <w:ilvl w:val="0"/>
          <w:numId w:val="44"/>
        </w:numPr>
        <w:pBdr/>
        <w:tabs>
          <w:tab w:val="left" w:leader="none" w:pos="0"/>
          <w:tab w:val="clear" w:leader="none" w:pos="454"/>
        </w:tabs>
        <w:spacing w:line="360" w:lineRule="auto"/>
        <w:ind w:firstLine="0" w:left="-1"/>
        <w:contextualSpacing w:val="true"/>
        <w:jc w:val="both"/>
        <w:rPr>
          <w:rFonts w:ascii="Times New Roman" w:hAnsi="Times New Roman" w:cs="Times New Roman"/>
          <w:sz w:val="24"/>
          <w:szCs w:val="24"/>
        </w:rPr>
      </w:pPr>
      <w:r>
        <w:rPr>
          <w:rFonts w:ascii="Times New Roman" w:hAnsi="Times New Roman" w:cs="Times New Roman"/>
          <w:sz w:val="24"/>
          <w:szCs w:val="24"/>
        </w:rPr>
        <w:t xml:space="preserve">Regularidade junto à Fazenda Municipal, emitida pela Secretaria da Fazenda Municipal onde a empresa for sediada, ou outra equivalente, na forma da lei;</w:t>
      </w:r>
      <w:r>
        <w:rPr>
          <w:rFonts w:ascii="Times New Roman" w:hAnsi="Times New Roman" w:cs="Times New Roman"/>
          <w:sz w:val="24"/>
          <w:szCs w:val="24"/>
        </w:rPr>
      </w:r>
      <w:r>
        <w:rPr>
          <w:rFonts w:ascii="Times New Roman" w:hAnsi="Times New Roman" w:cs="Times New Roman"/>
          <w:sz w:val="24"/>
          <w:szCs w:val="24"/>
        </w:rPr>
      </w:r>
    </w:p>
    <w:p w14:paraId="70DE910C">
      <w:pPr>
        <w:numPr>
          <w:ilvl w:val="0"/>
          <w:numId w:val="44"/>
        </w:numPr>
        <w:pBdr/>
        <w:tabs>
          <w:tab w:val="left" w:leader="none" w:pos="0"/>
          <w:tab w:val="clear" w:leader="none" w:pos="454"/>
        </w:tabs>
        <w:spacing w:line="360" w:lineRule="auto"/>
        <w:ind w:firstLine="0" w:left="-1"/>
        <w:contextualSpacing w:val="true"/>
        <w:jc w:val="both"/>
        <w:rPr>
          <w:rFonts w:ascii="Times New Roman" w:hAnsi="Times New Roman" w:cs="Times New Roman"/>
          <w:sz w:val="24"/>
          <w:szCs w:val="24"/>
        </w:rPr>
      </w:pPr>
      <w:r>
        <w:rPr>
          <w:rFonts w:ascii="Times New Roman" w:hAnsi="Times New Roman" w:cs="Times New Roman"/>
          <w:sz w:val="24"/>
          <w:szCs w:val="24"/>
        </w:rPr>
        <w:t xml:space="preserve">Regularidade relativa ao Fundo de Garantia por Tempo de Serviço (FGTS), que demonstre cumprimento dos encargos sociais instituídos por lei;</w:t>
      </w:r>
      <w:r>
        <w:rPr>
          <w:rFonts w:ascii="Times New Roman" w:hAnsi="Times New Roman" w:cs="Times New Roman"/>
          <w:sz w:val="24"/>
          <w:szCs w:val="24"/>
        </w:rPr>
      </w:r>
      <w:r>
        <w:rPr>
          <w:rFonts w:ascii="Times New Roman" w:hAnsi="Times New Roman" w:cs="Times New Roman"/>
          <w:sz w:val="24"/>
          <w:szCs w:val="24"/>
        </w:rPr>
      </w:r>
    </w:p>
    <w:p w14:paraId="64068626">
      <w:pPr>
        <w:numPr>
          <w:ilvl w:val="0"/>
          <w:numId w:val="44"/>
        </w:numPr>
        <w:pBdr/>
        <w:tabs>
          <w:tab w:val="left" w:leader="none" w:pos="0"/>
          <w:tab w:val="clear" w:leader="none" w:pos="454"/>
        </w:tabs>
        <w:spacing w:line="360" w:lineRule="auto"/>
        <w:ind w:firstLine="0" w:left="-1"/>
        <w:contextualSpacing w:val="true"/>
        <w:jc w:val="both"/>
        <w:rPr>
          <w:rFonts w:ascii="Times New Roman" w:hAnsi="Times New Roman" w:cs="Times New Roman"/>
          <w:sz w:val="24"/>
          <w:szCs w:val="24"/>
        </w:rPr>
      </w:pPr>
      <w:r>
        <w:rPr>
          <w:rFonts w:ascii="Times New Roman" w:hAnsi="Times New Roman" w:cs="Times New Roman"/>
          <w:sz w:val="24"/>
          <w:szCs w:val="24"/>
        </w:rPr>
        <w:t xml:space="preserve">Regularidade perante a Justiça do Trabalho, mediante a apresentação de certidão negativa ou positiva com efeito de negativa, nos termos do Título VII-A da Consolidação das Leis do Trabalho, aprovada pelo Decreto-Lei nº 5.452, de 1º de maio de 1943;</w:t>
      </w:r>
      <w:r>
        <w:rPr>
          <w:rFonts w:ascii="Times New Roman" w:hAnsi="Times New Roman" w:cs="Times New Roman"/>
          <w:sz w:val="24"/>
          <w:szCs w:val="24"/>
        </w:rPr>
      </w:r>
      <w:r>
        <w:rPr>
          <w:rFonts w:ascii="Times New Roman" w:hAnsi="Times New Roman" w:cs="Times New Roman"/>
          <w:sz w:val="24"/>
          <w:szCs w:val="24"/>
        </w:rPr>
      </w:r>
    </w:p>
    <w:p w14:paraId="46BFC0EF">
      <w:pPr>
        <w:numPr>
          <w:ilvl w:val="0"/>
          <w:numId w:val="45"/>
        </w:numPr>
        <w:pBdr/>
        <w:tabs>
          <w:tab w:val="left" w:leader="none" w:pos="0"/>
          <w:tab w:val="clear" w:leader="none" w:pos="454"/>
        </w:tabs>
        <w:spacing w:line="360" w:lineRule="auto"/>
        <w:ind w:firstLine="0" w:left="-1"/>
        <w:contextualSpacing w:val="true"/>
        <w:jc w:val="both"/>
        <w:rPr>
          <w:rFonts w:ascii="Times New Roman" w:hAnsi="Times New Roman" w:cs="Times New Roman"/>
          <w:sz w:val="24"/>
          <w:szCs w:val="24"/>
        </w:rPr>
      </w:pPr>
      <w:r>
        <w:rPr>
          <w:rFonts w:ascii="Times New Roman" w:hAnsi="Times New Roman" w:cs="Times New Roman"/>
          <w:sz w:val="24"/>
          <w:szCs w:val="24"/>
        </w:rPr>
        <w:t xml:space="preserve">Cumprimento do disposto no art. 7º, XXXIII, da Constituição Federal, declarando que não emp</w:t>
      </w:r>
      <w:r>
        <w:rPr>
          <w:rFonts w:ascii="Times New Roman" w:hAnsi="Times New Roman" w:cs="Times New Roman"/>
          <w:sz w:val="24"/>
          <w:szCs w:val="24"/>
        </w:rPr>
        <w:t xml:space="preserve">rega menor de 18 (dezoito) anos em trabalho noturno, perigoso ou insalubre e não emprega menor de 16 (dezesseis) anos em qualquer trabalho, salvo na condição de aprendiz, a partir dos 14 (quatorze) anos, conforme Modelo de Declaração do Anexo VI do Edital.</w:t>
      </w:r>
      <w:r>
        <w:rPr>
          <w:rFonts w:ascii="Times New Roman" w:hAnsi="Times New Roman" w:cs="Times New Roman"/>
          <w:sz w:val="24"/>
          <w:szCs w:val="24"/>
        </w:rPr>
      </w:r>
      <w:r>
        <w:rPr>
          <w:rFonts w:ascii="Times New Roman" w:hAnsi="Times New Roman" w:cs="Times New Roman"/>
          <w:sz w:val="24"/>
          <w:szCs w:val="24"/>
        </w:rPr>
      </w:r>
    </w:p>
    <w:p w14:paraId="455972C1">
      <w:pPr>
        <w:pBdr/>
        <w:spacing w:line="360" w:lineRule="auto"/>
        <w:ind w:firstLine="0" w:left="-1"/>
        <w:contextualSpacing w:val="true"/>
        <w:jc w:val="both"/>
        <w:rPr>
          <w:rFonts w:ascii="Times New Roman" w:hAnsi="Times New Roman" w:cs="Times New Roman"/>
          <w:b/>
          <w:bCs/>
          <w:sz w:val="24"/>
          <w:szCs w:val="24"/>
        </w:rPr>
      </w:pPr>
      <w:r>
        <w:rPr>
          <w:rFonts w:ascii="Times New Roman" w:hAnsi="Times New Roman" w:cs="Times New Roman"/>
          <w:b/>
          <w:bCs/>
          <w:sz w:val="24"/>
          <w:szCs w:val="24"/>
        </w:rPr>
        <w:t xml:space="preserve"> QUALIFICAÇÃO ECONÔMICO-FINANCEIRA:</w:t>
      </w:r>
      <w:r>
        <w:rPr>
          <w:rFonts w:ascii="Times New Roman" w:hAnsi="Times New Roman" w:cs="Times New Roman"/>
          <w:b/>
          <w:bCs/>
          <w:sz w:val="24"/>
          <w:szCs w:val="24"/>
        </w:rPr>
      </w:r>
      <w:r>
        <w:rPr>
          <w:rFonts w:ascii="Times New Roman" w:hAnsi="Times New Roman" w:cs="Times New Roman"/>
          <w:b/>
          <w:bCs/>
          <w:sz w:val="24"/>
          <w:szCs w:val="24"/>
        </w:rPr>
      </w:r>
    </w:p>
    <w:p w14:paraId="23666854">
      <w:pPr>
        <w:numPr>
          <w:ilvl w:val="0"/>
          <w:numId w:val="46"/>
        </w:numPr>
        <w:pBdr/>
        <w:tabs>
          <w:tab w:val="left" w:leader="none" w:pos="0"/>
          <w:tab w:val="clear" w:leader="none" w:pos="454"/>
        </w:tabs>
        <w:spacing w:line="360" w:lineRule="auto"/>
        <w:ind w:firstLine="0" w:left="-1"/>
        <w:contextualSpacing w:val="true"/>
        <w:jc w:val="both"/>
        <w:rPr>
          <w:rFonts w:ascii="Times New Roman" w:hAnsi="Times New Roman" w:cs="Times New Roman"/>
          <w:sz w:val="24"/>
          <w:szCs w:val="24"/>
        </w:rPr>
      </w:pPr>
      <w:r>
        <w:rPr>
          <w:rFonts w:ascii="Times New Roman" w:hAnsi="Times New Roman" w:cs="Times New Roman"/>
          <w:sz w:val="24"/>
          <w:szCs w:val="24"/>
        </w:rPr>
        <w:t xml:space="preserve">Balanço patrimonial, demonstração de resultado de exercício e demais demonstrações contábeis dos 2 (dois) últimos exercícios sociais, exigidos na forma da lei;</w:t>
      </w:r>
      <w:r>
        <w:rPr>
          <w:rFonts w:ascii="Times New Roman" w:hAnsi="Times New Roman" w:cs="Times New Roman"/>
          <w:sz w:val="24"/>
          <w:szCs w:val="24"/>
        </w:rPr>
      </w:r>
      <w:r>
        <w:rPr>
          <w:rFonts w:ascii="Times New Roman" w:hAnsi="Times New Roman" w:cs="Times New Roman"/>
          <w:sz w:val="24"/>
          <w:szCs w:val="24"/>
        </w:rPr>
      </w:r>
    </w:p>
    <w:p w14:paraId="39537A8B">
      <w:pPr>
        <w:numPr>
          <w:ilvl w:val="0"/>
          <w:numId w:val="46"/>
        </w:numPr>
        <w:pBdr/>
        <w:tabs>
          <w:tab w:val="left" w:leader="none" w:pos="0"/>
          <w:tab w:val="clear" w:leader="none" w:pos="454"/>
        </w:tabs>
        <w:spacing w:line="360" w:lineRule="auto"/>
        <w:ind w:firstLine="0" w:left="-1"/>
        <w:contextualSpacing w:val="true"/>
        <w:jc w:val="both"/>
        <w:rPr>
          <w:rFonts w:ascii="Times New Roman" w:hAnsi="Times New Roman" w:cs="Times New Roman"/>
          <w:sz w:val="24"/>
          <w:szCs w:val="24"/>
        </w:rPr>
      </w:pPr>
      <w:r>
        <w:rPr>
          <w:rFonts w:ascii="Times New Roman" w:hAnsi="Times New Roman" w:cs="Times New Roman"/>
          <w:sz w:val="24"/>
          <w:szCs w:val="24"/>
        </w:rPr>
        <w:t xml:space="preserve">O atendimento dos índices econômicos deverá ser atestado mediante declaração</w:t>
      </w:r>
      <w:r>
        <w:rPr>
          <w:rFonts w:ascii="Times New Roman" w:hAnsi="Times New Roman" w:cs="Times New Roman"/>
          <w:sz w:val="24"/>
          <w:szCs w:val="24"/>
        </w:rPr>
        <w:t xml:space="preserve"> assinada por profissional habilitado da área contábil, apresentada pelo fornecedor, comprovando: Índices de Liquidez Geral (LG), Solvência Geral (SG) e Liquidez Corrente (LC), maiores ou iguais a um (≥1,0), resultantes da aplicação das seguintes fórmulas:</w:t>
      </w:r>
      <w:r>
        <w:rPr>
          <w:rFonts w:ascii="Times New Roman" w:hAnsi="Times New Roman" w:cs="Times New Roman"/>
          <w:sz w:val="24"/>
          <w:szCs w:val="24"/>
        </w:rPr>
      </w:r>
      <w:r>
        <w:rPr>
          <w:rFonts w:ascii="Times New Roman" w:hAnsi="Times New Roman" w:cs="Times New Roman"/>
          <w:sz w:val="24"/>
          <w:szCs w:val="24"/>
        </w:rPr>
      </w:r>
    </w:p>
    <w:p w14:paraId="5290F6D2">
      <w:pPr>
        <w:pBdr/>
        <w:spacing w:after="120" w:afterLines="50" w:before="120" w:beforeLines="50" w:line="360" w:lineRule="auto"/>
        <w:ind w:right="200" w:firstLine="0" w:left="-1"/>
        <w:rPr>
          <w:rFonts w:ascii="Arial" w:hAnsi="Arial" w:eastAsia="Cambria Math" w:cs="Arial"/>
          <w:sz w:val="17"/>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2585085</wp:posOffset>
                </wp:positionH>
                <wp:positionV relativeFrom="paragraph">
                  <wp:posOffset>198755</wp:posOffset>
                </wp:positionV>
                <wp:extent cx="2348230" cy="10160"/>
                <wp:effectExtent l="0" t="0" r="0" b="0"/>
                <wp:wrapNone/>
                <wp:docPr id="2" name="Retângulo 11"/>
                <wp:cNvGraphicFramePr/>
                <a:graphic xmlns:a="http://schemas.openxmlformats.org/drawingml/2006/main">
                  <a:graphicData uri="http://schemas.microsoft.com/office/word/2010/wordprocessingShape">
                    <wps:wsp>
                      <wps:cNvPr id="0" name=""/>
                      <wps:cNvSpPr/>
                      <wps:spPr bwMode="auto">
                        <a:xfrm>
                          <a:off x="0" y="0"/>
                          <a:ext cx="2348230" cy="10160"/>
                        </a:xfrm>
                        <a:prstGeom prst="rect">
                          <a:avLst/>
                        </a:prstGeom>
                        <a:solidFill>
                          <a:srgbClr val="000000"/>
                        </a:solidFill>
                        <a:ln>
                          <a:noFill/>
                        </a:ln>
                      </wps:spPr>
                      <wps:txbx>
                        <w:txbxContent>
                          <w:p w14:paraId="26F9DA42">
                            <w:pPr>
                              <w:pBdr/>
                              <w:spacing/>
                              <w:ind/>
                              <w:rPr/>
                            </w:pPr>
                            <w:r/>
                            <w:r/>
                          </w:p>
                        </w:txbxContent>
                      </wps:txbx>
                      <wps:bodyPr upright="1"/>
                    </wps:wsp>
                  </a:graphicData>
                </a:graphic>
              </wp:anchor>
            </w:drawing>
          </mc:Choice>
          <mc:Fallback>
            <w:pict>
              <v:shape id="shape 1" o:spid="_x0000_s1" o:spt="1" type="#_x0000_t1" style="position:absolute;z-index:-251660288;o:allowoverlap:true;o:allowincell:true;mso-position-horizontal-relative:page;margin-left:203.55pt;mso-position-horizontal:absolute;mso-position-vertical-relative:text;margin-top:15.65pt;mso-position-vertical:absolute;width:184.90pt;height:0.80pt;mso-wrap-distance-left:9.00pt;mso-wrap-distance-top:0.00pt;mso-wrap-distance-right:9.00pt;mso-wrap-distance-bottom:0.00pt;visibility:visible;" fillcolor="#000000" stroked="f">
                <v:textbox inset="0,0,0,0">
                  <w:txbxContent>
                    <w:p w14:paraId="26F9DA42">
                      <w:pPr>
                        <w:pBdr/>
                        <w:spacing/>
                        <w:ind/>
                        <w:rPr/>
                      </w:pPr>
                      <w:r/>
                      <w:r/>
                    </w:p>
                  </w:txbxContent>
                </v:textbox>
              </v:shape>
            </w:pict>
          </mc:Fallback>
        </mc:AlternateContent>
      </w:r>
      <w:r>
        <w:rPr>
          <w:rFonts w:ascii="Arial" w:cs="Arial"/>
          <w:position w:val="-13"/>
        </w:rPr>
        <w:t xml:space="preserve">Liquidez</w:t>
      </w:r>
      <w:r>
        <w:rPr>
          <w:rFonts w:ascii="Arial" w:cs="Arial"/>
          <w:spacing w:val="-8"/>
          <w:position w:val="-13"/>
        </w:rPr>
        <w:t xml:space="preserve"> </w:t>
      </w:r>
      <w:r>
        <w:rPr>
          <w:rFonts w:ascii="Arial" w:cs="Arial"/>
          <w:position w:val="-13"/>
        </w:rPr>
        <w:t xml:space="preserve">Geral</w:t>
      </w:r>
      <w:r>
        <w:rPr>
          <w:rFonts w:ascii="Arial" w:cs="Arial"/>
          <w:spacing w:val="-5"/>
          <w:position w:val="-13"/>
        </w:rPr>
        <w:t xml:space="preserve"> </w:t>
      </w:r>
      <w:r>
        <w:rPr>
          <w:rFonts w:ascii="Arial" w:cs="Arial"/>
          <w:position w:val="-13"/>
        </w:rPr>
        <w:t xml:space="preserve">(LG)</w:t>
      </w:r>
      <w:r>
        <w:rPr>
          <w:rFonts w:ascii="Arial" w:cs="Arial"/>
          <w:spacing w:val="-5"/>
          <w:position w:val="-13"/>
        </w:rPr>
        <w:t xml:space="preserve"> </w:t>
      </w:r>
      <w:r>
        <w:rPr>
          <w:rFonts w:ascii="Arial" w:cs="Arial"/>
          <w:position w:val="-13"/>
        </w:rPr>
        <w:t xml:space="preserve">=</w:t>
      </w:r>
      <w:r>
        <w:rPr>
          <w:rFonts w:ascii="Arial" w:cs="Arial"/>
          <w:spacing w:val="6"/>
          <w:position w:val="-13"/>
          <w:sz w:val="24"/>
        </w:rPr>
        <w:t xml:space="preserve">       </w:t>
      </w:r>
      <w:r>
        <w:rPr>
          <w:rFonts w:ascii="Cambria Math" w:hAnsi="Cambria Math" w:eastAsia="Cambria Math" w:cs="Cambria Math"/>
          <w:sz w:val="17"/>
        </w:rPr>
        <w:t xml:space="preserve">𝐴𝑡𝑖𝑣𝑜</w:t>
      </w:r>
      <w:r>
        <w:rPr>
          <w:rFonts w:ascii="Arial" w:hAnsi="Arial" w:eastAsia="Cambria Math" w:cs="Arial"/>
          <w:sz w:val="17"/>
        </w:rPr>
        <w:t xml:space="preserve"> </w:t>
      </w:r>
      <w:r>
        <w:rPr>
          <w:rFonts w:ascii="Cambria Math" w:hAnsi="Cambria Math" w:eastAsia="Cambria Math" w:cs="Cambria Math"/>
          <w:sz w:val="17"/>
        </w:rPr>
        <w:t xml:space="preserve">𝐶𝑖𝑟𝑐𝑢𝑙𝑎𝑛𝑡𝑒</w:t>
      </w:r>
      <w:r>
        <w:rPr>
          <w:rFonts w:ascii="Arial" w:hAnsi="Arial" w:eastAsia="Cambria Math" w:cs="Arial"/>
          <w:spacing w:val="2"/>
          <w:sz w:val="17"/>
        </w:rPr>
        <w:t xml:space="preserve"> </w:t>
      </w:r>
      <w:r>
        <w:rPr>
          <w:rFonts w:ascii="Arial" w:hAnsi="Arial" w:eastAsia="Cambria Math" w:cs="Arial"/>
          <w:sz w:val="17"/>
        </w:rPr>
        <w:t xml:space="preserve">+</w:t>
      </w:r>
      <w:r>
        <w:rPr>
          <w:rFonts w:ascii="Arial" w:hAnsi="Arial" w:eastAsia="Cambria Math" w:cs="Arial"/>
          <w:spacing w:val="-1"/>
          <w:sz w:val="17"/>
        </w:rPr>
        <w:t xml:space="preserve"> </w:t>
      </w:r>
      <w:r>
        <w:rPr>
          <w:rFonts w:ascii="Cambria Math" w:hAnsi="Cambria Math" w:eastAsia="Cambria Math" w:cs="Cambria Math"/>
          <w:sz w:val="17"/>
        </w:rPr>
        <w:t xml:space="preserve">𝑅𝑒𝑎𝑙𝑖𝑧</w:t>
      </w:r>
      <w:r>
        <w:rPr>
          <w:rFonts w:ascii="Arial" w:hAnsi="Arial" w:eastAsia="Cambria Math" w:cs="Arial"/>
          <w:sz w:val="17"/>
        </w:rPr>
        <w:t xml:space="preserve">á</w:t>
      </w:r>
      <w:r>
        <w:rPr>
          <w:rFonts w:ascii="Cambria Math" w:hAnsi="Cambria Math" w:eastAsia="Cambria Math" w:cs="Cambria Math"/>
          <w:sz w:val="17"/>
        </w:rPr>
        <w:t xml:space="preserve">𝑣𝑒𝑙</w:t>
      </w:r>
      <w:r>
        <w:rPr>
          <w:rFonts w:ascii="Arial" w:hAnsi="Arial" w:eastAsia="Cambria Math" w:cs="Arial"/>
          <w:sz w:val="17"/>
        </w:rPr>
        <w:t xml:space="preserve"> </w:t>
      </w:r>
      <w:r>
        <w:rPr>
          <w:rFonts w:ascii="Cambria Math" w:hAnsi="Cambria Math" w:eastAsia="Cambria Math" w:cs="Cambria Math"/>
          <w:sz w:val="17"/>
        </w:rPr>
        <w:t xml:space="preserve">𝑎</w:t>
      </w:r>
      <w:r>
        <w:rPr>
          <w:rFonts w:ascii="Arial" w:hAnsi="Arial" w:eastAsia="Cambria Math" w:cs="Arial"/>
          <w:spacing w:val="1"/>
          <w:sz w:val="17"/>
        </w:rPr>
        <w:t xml:space="preserve"> </w:t>
      </w:r>
      <w:r>
        <w:rPr>
          <w:rFonts w:ascii="Cambria Math" w:hAnsi="Cambria Math" w:eastAsia="Cambria Math" w:cs="Cambria Math"/>
          <w:sz w:val="17"/>
        </w:rPr>
        <w:t xml:space="preserve">𝐿𝑜𝑛𝑔𝑜</w:t>
      </w:r>
      <w:r>
        <w:rPr>
          <w:rFonts w:ascii="Arial" w:hAnsi="Arial" w:eastAsia="Cambria Math" w:cs="Arial"/>
          <w:sz w:val="17"/>
        </w:rPr>
        <w:t xml:space="preserve"> </w:t>
      </w:r>
      <w:r>
        <w:rPr>
          <w:rFonts w:ascii="Cambria Math" w:hAnsi="Cambria Math" w:eastAsia="Cambria Math" w:cs="Cambria Math"/>
          <w:sz w:val="17"/>
        </w:rPr>
        <w:t xml:space="preserve">𝑃𝑟𝑎𝑧𝑜</w:t>
      </w:r>
      <w:r>
        <w:rPr>
          <w:rFonts w:ascii="Arial" w:hAnsi="Arial" w:eastAsia="Cambria Math" w:cs="Arial"/>
          <w:sz w:val="17"/>
        </w:rPr>
      </w:r>
      <w:r>
        <w:rPr>
          <w:rFonts w:ascii="Arial" w:hAnsi="Arial" w:eastAsia="Cambria Math" w:cs="Arial"/>
          <w:sz w:val="17"/>
        </w:rPr>
      </w:r>
    </w:p>
    <w:p w14:paraId="1E59A557">
      <w:pPr>
        <w:pBdr/>
        <w:spacing w:after="120" w:afterLines="50" w:before="120" w:beforeLines="50" w:line="360" w:lineRule="auto"/>
        <w:ind w:right="200" w:firstLine="0" w:left="-1"/>
        <w:rPr>
          <w:rFonts w:ascii="Arial" w:hAnsi="Arial" w:eastAsia="Cambria Math" w:cs="Arial"/>
          <w:sz w:val="17"/>
        </w:rPr>
      </w:pPr>
      <w:r>
        <w:rPr>
          <w:rFonts w:ascii="Cambria Math" w:hAnsi="Cambria Math" w:eastAsia="Cambria Math" w:cs="Cambria Math"/>
          <w:spacing w:val="-1"/>
          <w:sz w:val="17"/>
        </w:rPr>
        <w:t xml:space="preserve">𝑃𝑎𝑠𝑠𝑖𝑣𝑜</w:t>
      </w:r>
      <w:r>
        <w:rPr>
          <w:rFonts w:ascii="Arial" w:hAnsi="Arial" w:eastAsia="Cambria Math" w:cs="Arial"/>
          <w:spacing w:val="-8"/>
          <w:sz w:val="17"/>
        </w:rPr>
        <w:t xml:space="preserve"> </w:t>
      </w:r>
      <w:r>
        <w:rPr>
          <w:rFonts w:ascii="Cambria Math" w:hAnsi="Cambria Math" w:eastAsia="Cambria Math" w:cs="Cambria Math"/>
          <w:spacing w:val="-1"/>
          <w:sz w:val="17"/>
        </w:rPr>
        <w:t xml:space="preserve">𝐶𝑖𝑟𝑐𝑢𝑙𝑎𝑛𝑡𝑒</w:t>
      </w:r>
      <w:r>
        <w:rPr>
          <w:rFonts w:ascii="Arial" w:hAnsi="Arial" w:eastAsia="Cambria Math" w:cs="Arial"/>
          <w:spacing w:val="-7"/>
          <w:sz w:val="17"/>
        </w:rPr>
        <w:t xml:space="preserve"> </w:t>
      </w:r>
      <w:r>
        <w:rPr>
          <w:rFonts w:ascii="Arial" w:hAnsi="Arial" w:eastAsia="Cambria Math" w:cs="Arial"/>
          <w:spacing w:val="-1"/>
          <w:sz w:val="17"/>
        </w:rPr>
        <w:t xml:space="preserve">+</w:t>
      </w:r>
      <w:r>
        <w:rPr>
          <w:rFonts w:ascii="Arial" w:hAnsi="Arial" w:eastAsia="Cambria Math" w:cs="Arial"/>
          <w:spacing w:val="-9"/>
          <w:sz w:val="17"/>
        </w:rPr>
        <w:t xml:space="preserve"> </w:t>
      </w:r>
      <w:r>
        <w:rPr>
          <w:rFonts w:ascii="Cambria Math" w:hAnsi="Cambria Math" w:eastAsia="Cambria Math" w:cs="Cambria Math"/>
          <w:spacing w:val="-1"/>
          <w:sz w:val="17"/>
        </w:rPr>
        <w:t xml:space="preserve">𝐸𝑥𝑖𝑔</w:t>
      </w:r>
      <w:r>
        <w:rPr>
          <w:rFonts w:ascii="Arial" w:hAnsi="Arial" w:eastAsia="Cambria Math" w:cs="Arial"/>
          <w:spacing w:val="-1"/>
          <w:sz w:val="17"/>
        </w:rPr>
        <w:t xml:space="preserve">í</w:t>
      </w:r>
      <w:r>
        <w:rPr>
          <w:rFonts w:ascii="Cambria Math" w:hAnsi="Cambria Math" w:eastAsia="Cambria Math" w:cs="Cambria Math"/>
          <w:spacing w:val="-1"/>
          <w:sz w:val="17"/>
        </w:rPr>
        <w:t xml:space="preserve">𝑣𝑒𝑙</w:t>
      </w:r>
      <w:r>
        <w:rPr>
          <w:rFonts w:ascii="Arial" w:hAnsi="Arial" w:eastAsia="Cambria Math" w:cs="Arial"/>
          <w:spacing w:val="-7"/>
          <w:sz w:val="17"/>
        </w:rPr>
        <w:t xml:space="preserve"> </w:t>
      </w:r>
      <w:r>
        <w:rPr>
          <w:rFonts w:ascii="Cambria Math" w:hAnsi="Cambria Math" w:eastAsia="Cambria Math" w:cs="Cambria Math"/>
          <w:sz w:val="17"/>
        </w:rPr>
        <w:t xml:space="preserve">𝑎</w:t>
      </w:r>
      <w:r>
        <w:rPr>
          <w:rFonts w:ascii="Arial" w:hAnsi="Arial" w:eastAsia="Cambria Math" w:cs="Arial"/>
          <w:spacing w:val="-9"/>
          <w:sz w:val="17"/>
        </w:rPr>
        <w:t xml:space="preserve"> </w:t>
      </w:r>
      <w:r>
        <w:rPr>
          <w:rFonts w:ascii="Cambria Math" w:hAnsi="Cambria Math" w:eastAsia="Cambria Math" w:cs="Cambria Math"/>
          <w:sz w:val="17"/>
        </w:rPr>
        <w:t xml:space="preserve">𝐿𝑜𝑛𝑔𝑜</w:t>
      </w:r>
      <w:r>
        <w:rPr>
          <w:rFonts w:ascii="Arial" w:hAnsi="Arial" w:eastAsia="Cambria Math" w:cs="Arial"/>
          <w:spacing w:val="-6"/>
          <w:sz w:val="17"/>
        </w:rPr>
        <w:t xml:space="preserve"> </w:t>
      </w:r>
      <w:r>
        <w:rPr>
          <w:rFonts w:ascii="Cambria Math" w:hAnsi="Cambria Math" w:eastAsia="Cambria Math" w:cs="Cambria Math"/>
          <w:sz w:val="17"/>
        </w:rPr>
        <w:t xml:space="preserve">𝑃𝑟𝑎𝑧𝑜</w:t>
      </w:r>
      <w:r>
        <w:rPr>
          <w:rFonts w:ascii="Arial" w:hAnsi="Arial" w:eastAsia="Cambria Math" w:cs="Arial"/>
          <w:sz w:val="17"/>
        </w:rPr>
      </w:r>
      <w:r>
        <w:rPr>
          <w:rFonts w:ascii="Arial" w:hAnsi="Arial" w:eastAsia="Cambria Math" w:cs="Arial"/>
          <w:sz w:val="17"/>
        </w:rPr>
      </w:r>
    </w:p>
    <w:p w14:paraId="7028C648">
      <w:pPr>
        <w:pStyle w:val="1099"/>
        <w:pBdr/>
        <w:tabs>
          <w:tab w:val="left" w:leader="none" w:pos="4024"/>
        </w:tabs>
        <w:spacing w:after="120" w:afterLines="50" w:before="120" w:beforeLines="50" w:line="360" w:lineRule="auto"/>
        <w:ind w:right="200" w:firstLine="0" w:left="-1"/>
        <w:rPr>
          <w:rFonts w:ascii="Arial" w:cs="Arial"/>
        </w:rPr>
      </w:pPr>
      <w:r>
        <w:rPr>
          <w:rFonts w:ascii="Arial" w:cs="Arial"/>
        </w:rPr>
      </w:r>
      <w:r>
        <w:rPr>
          <w:rFonts w:ascii="Arial" w:cs="Arial"/>
        </w:rPr>
      </w:r>
      <w:r>
        <w:rPr>
          <w:rFonts w:ascii="Arial" w:cs="Arial"/>
        </w:rPr>
      </w:r>
    </w:p>
    <w:p w14:paraId="674BA387">
      <w:pPr>
        <w:pStyle w:val="1099"/>
        <w:pBdr/>
        <w:tabs>
          <w:tab w:val="left" w:leader="none" w:pos="4024"/>
        </w:tabs>
        <w:spacing w:after="120" w:afterLines="50" w:before="120" w:beforeLines="50" w:line="360" w:lineRule="auto"/>
        <w:ind w:right="200" w:firstLine="0" w:left="-1"/>
        <w:rPr>
          <w:rFonts w:ascii="Arial" w:hAnsi="Arial" w:eastAsia="Cambria Math" w:cs="Arial"/>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2694940</wp:posOffset>
                </wp:positionH>
                <wp:positionV relativeFrom="paragraph">
                  <wp:posOffset>147955</wp:posOffset>
                </wp:positionV>
                <wp:extent cx="2348230" cy="10160"/>
                <wp:effectExtent l="0" t="0" r="0" b="0"/>
                <wp:wrapNone/>
                <wp:docPr id="3" name="Retângulo 12"/>
                <wp:cNvGraphicFramePr/>
                <a:graphic xmlns:a="http://schemas.openxmlformats.org/drawingml/2006/main">
                  <a:graphicData uri="http://schemas.microsoft.com/office/word/2010/wordprocessingShape">
                    <wps:wsp>
                      <wps:cNvPr id="0" name=""/>
                      <wps:cNvSpPr/>
                      <wps:spPr bwMode="auto">
                        <a:xfrm>
                          <a:off x="0" y="0"/>
                          <a:ext cx="2348230" cy="10160"/>
                        </a:xfrm>
                        <a:prstGeom prst="rect">
                          <a:avLst/>
                        </a:prstGeom>
                        <a:solidFill>
                          <a:srgbClr val="000000"/>
                        </a:solidFill>
                        <a:ln>
                          <a:noFill/>
                        </a:ln>
                      </wps:spPr>
                      <wps:txbx>
                        <w:txbxContent>
                          <w:p w14:paraId="085E9951">
                            <w:pPr>
                              <w:pBdr/>
                              <w:spacing/>
                              <w:ind/>
                              <w:rPr/>
                            </w:pPr>
                            <w:r/>
                            <w:r/>
                          </w:p>
                        </w:txbxContent>
                      </wps:txbx>
                      <wps:bodyPr upright="1"/>
                    </wps:wsp>
                  </a:graphicData>
                </a:graphic>
              </wp:anchor>
            </w:drawing>
          </mc:Choice>
          <mc:Fallback>
            <w:pict>
              <v:shape id="shape 2" o:spid="_x0000_s2" o:spt="1" type="#_x0000_t1" style="position:absolute;z-index:-251659264;o:allowoverlap:true;o:allowincell:true;mso-position-horizontal-relative:page;margin-left:212.20pt;mso-position-horizontal:absolute;mso-position-vertical-relative:text;margin-top:11.65pt;mso-position-vertical:absolute;width:184.90pt;height:0.80pt;mso-wrap-distance-left:9.00pt;mso-wrap-distance-top:0.00pt;mso-wrap-distance-right:9.00pt;mso-wrap-distance-bottom:0.00pt;visibility:visible;" fillcolor="#000000" stroked="f">
                <v:textbox inset="0,0,0,0">
                  <w:txbxContent>
                    <w:p w14:paraId="085E9951">
                      <w:pPr>
                        <w:pBdr/>
                        <w:spacing/>
                        <w:ind/>
                        <w:rPr/>
                      </w:pPr>
                      <w:r/>
                      <w:r/>
                    </w:p>
                  </w:txbxContent>
                </v:textbox>
              </v:shape>
            </w:pict>
          </mc:Fallback>
        </mc:AlternateContent>
      </w:r>
      <w:r>
        <w:rPr>
          <w:rFonts w:ascii="Arial" w:cs="Arial"/>
          <w:sz w:val="22"/>
          <w:szCs w:val="22"/>
        </w:rPr>
        <w:t xml:space="preserve">Solvência</w:t>
      </w:r>
      <w:r>
        <w:rPr>
          <w:rFonts w:ascii="Arial" w:cs="Arial"/>
          <w:spacing w:val="-2"/>
          <w:sz w:val="22"/>
          <w:szCs w:val="22"/>
        </w:rPr>
        <w:t xml:space="preserve"> </w:t>
      </w:r>
      <w:r>
        <w:rPr>
          <w:rFonts w:ascii="Arial" w:cs="Arial"/>
          <w:sz w:val="22"/>
          <w:szCs w:val="22"/>
        </w:rPr>
        <w:t xml:space="preserve">Geral (SG)</w:t>
      </w:r>
      <w:r>
        <w:rPr>
          <w:rFonts w:ascii="Arial" w:cs="Arial"/>
          <w:spacing w:val="-2"/>
          <w:sz w:val="22"/>
          <w:szCs w:val="22"/>
        </w:rPr>
        <w:t xml:space="preserve"> </w:t>
      </w:r>
      <w:r>
        <w:rPr>
          <w:rFonts w:ascii="Arial" w:cs="Arial"/>
          <w:sz w:val="22"/>
          <w:szCs w:val="22"/>
        </w:rPr>
        <w:t xml:space="preserve">=</w:t>
      </w:r>
      <w:r>
        <w:rPr>
          <w:rFonts w:ascii="Arial" w:cs="Arial"/>
        </w:rPr>
        <w:tab/>
      </w:r>
      <w:r>
        <w:rPr>
          <w:rFonts w:ascii="Cambria Math" w:hAnsi="Cambria Math" w:eastAsia="Cambria Math" w:cs="Cambria Math"/>
          <w:vertAlign w:val="superscript"/>
        </w:rPr>
        <w:t xml:space="preserve">𝐴𝑡𝑖𝑣𝑜</w:t>
      </w:r>
      <w:r>
        <w:rPr>
          <w:rFonts w:ascii="Arial" w:hAnsi="Arial" w:eastAsia="Cambria Math" w:cs="Arial"/>
          <w:spacing w:val="13"/>
        </w:rPr>
        <w:t xml:space="preserve"> </w:t>
      </w:r>
      <w:r>
        <w:rPr>
          <w:rFonts w:ascii="Cambria Math" w:hAnsi="Cambria Math" w:eastAsia="Cambria Math" w:cs="Cambria Math"/>
          <w:vertAlign w:val="superscript"/>
        </w:rPr>
        <w:t xml:space="preserve">𝑇𝑜𝑡𝑎𝑙</w:t>
      </w:r>
      <w:r>
        <w:rPr>
          <w:rFonts w:ascii="Arial" w:hAnsi="Arial" w:eastAsia="Cambria Math" w:cs="Arial"/>
        </w:rPr>
      </w:r>
      <w:r>
        <w:rPr>
          <w:rFonts w:ascii="Arial" w:hAnsi="Arial" w:eastAsia="Cambria Math" w:cs="Arial"/>
        </w:rPr>
      </w:r>
    </w:p>
    <w:p w14:paraId="5BCD571F">
      <w:pPr>
        <w:pBdr/>
        <w:spacing w:after="120" w:afterLines="50" w:before="120" w:beforeLines="50" w:line="360" w:lineRule="auto"/>
        <w:ind w:right="200" w:firstLine="0" w:left="-1"/>
        <w:jc w:val="both"/>
        <w:rPr>
          <w:rFonts w:ascii="Cambria Math" w:hAnsi="Cambria Math" w:eastAsia="Cambria Math" w:cs="Cambria Math"/>
          <w:sz w:val="17"/>
        </w:rPr>
      </w:pPr>
      <w:r>
        <w:rPr>
          <w:rFonts w:ascii="Cambria Math" w:hAnsi="Cambria Math" w:eastAsia="Cambria Math" w:cs="Cambria Math"/>
          <w:spacing w:val="-1"/>
          <w:sz w:val="17"/>
        </w:rPr>
        <w:t xml:space="preserve">𝑃𝑎𝑠𝑠𝑖𝑣𝑜</w:t>
      </w:r>
      <w:r>
        <w:rPr>
          <w:rFonts w:ascii="Arial" w:hAnsi="Arial" w:eastAsia="Cambria Math" w:cs="Arial"/>
          <w:spacing w:val="-8"/>
          <w:sz w:val="17"/>
        </w:rPr>
        <w:t xml:space="preserve"> </w:t>
      </w:r>
      <w:r>
        <w:rPr>
          <w:rFonts w:ascii="Cambria Math" w:hAnsi="Cambria Math" w:eastAsia="Cambria Math" w:cs="Cambria Math"/>
          <w:spacing w:val="-1"/>
          <w:sz w:val="17"/>
        </w:rPr>
        <w:t xml:space="preserve">𝐶𝑖𝑟𝑐𝑢𝑙𝑎𝑛𝑡𝑒</w:t>
      </w:r>
      <w:r>
        <w:rPr>
          <w:rFonts w:ascii="Arial" w:hAnsi="Arial" w:eastAsia="Cambria Math" w:cs="Arial"/>
          <w:spacing w:val="-6"/>
          <w:sz w:val="17"/>
        </w:rPr>
        <w:t xml:space="preserve"> </w:t>
      </w:r>
      <w:r>
        <w:rPr>
          <w:rFonts w:ascii="Arial" w:hAnsi="Arial" w:eastAsia="Cambria Math" w:cs="Arial"/>
          <w:sz w:val="17"/>
        </w:rPr>
        <w:t xml:space="preserve">+</w:t>
      </w:r>
      <w:r>
        <w:rPr>
          <w:rFonts w:ascii="Arial" w:hAnsi="Arial" w:eastAsia="Cambria Math" w:cs="Arial"/>
          <w:spacing w:val="-10"/>
          <w:sz w:val="17"/>
        </w:rPr>
        <w:t xml:space="preserve"> </w:t>
      </w:r>
      <w:r>
        <w:rPr>
          <w:rFonts w:ascii="Cambria Math" w:hAnsi="Cambria Math" w:eastAsia="Cambria Math" w:cs="Cambria Math"/>
          <w:sz w:val="17"/>
        </w:rPr>
        <w:t xml:space="preserve">𝐸𝑥𝑖𝑔</w:t>
      </w:r>
      <w:r>
        <w:rPr>
          <w:rFonts w:ascii="Arial" w:hAnsi="Arial" w:eastAsia="Cambria Math" w:cs="Arial"/>
          <w:sz w:val="17"/>
        </w:rPr>
        <w:t xml:space="preserve">í</w:t>
      </w:r>
      <w:r>
        <w:rPr>
          <w:rFonts w:ascii="Cambria Math" w:hAnsi="Cambria Math" w:eastAsia="Cambria Math" w:cs="Cambria Math"/>
          <w:sz w:val="17"/>
        </w:rPr>
        <w:t xml:space="preserve">𝑣𝑒𝑙</w:t>
      </w:r>
      <w:r>
        <w:rPr>
          <w:rFonts w:ascii="Arial" w:hAnsi="Arial" w:eastAsia="Cambria Math" w:cs="Arial"/>
          <w:spacing w:val="-7"/>
          <w:sz w:val="17"/>
        </w:rPr>
        <w:t xml:space="preserve"> </w:t>
      </w:r>
      <w:r>
        <w:rPr>
          <w:rFonts w:ascii="Cambria Math" w:hAnsi="Cambria Math" w:eastAsia="Cambria Math" w:cs="Cambria Math"/>
          <w:sz w:val="17"/>
        </w:rPr>
        <w:t xml:space="preserve">𝑎</w:t>
      </w:r>
      <w:r>
        <w:rPr>
          <w:rFonts w:ascii="Arial" w:hAnsi="Arial" w:eastAsia="Cambria Math" w:cs="Arial"/>
          <w:spacing w:val="-6"/>
          <w:sz w:val="17"/>
        </w:rPr>
        <w:t xml:space="preserve"> </w:t>
      </w:r>
      <w:r>
        <w:rPr>
          <w:rFonts w:ascii="Cambria Math" w:hAnsi="Cambria Math" w:eastAsia="Cambria Math" w:cs="Cambria Math"/>
          <w:sz w:val="17"/>
        </w:rPr>
        <w:t xml:space="preserve">𝐿𝑜𝑛𝑔𝑜</w:t>
      </w:r>
      <w:r>
        <w:rPr>
          <w:rFonts w:ascii="Arial" w:hAnsi="Arial" w:eastAsia="Cambria Math" w:cs="Arial"/>
          <w:spacing w:val="-8"/>
          <w:sz w:val="17"/>
        </w:rPr>
        <w:t xml:space="preserve"> </w:t>
      </w:r>
      <w:r>
        <w:rPr>
          <w:rFonts w:ascii="Cambria Math" w:hAnsi="Cambria Math" w:eastAsia="Cambria Math" w:cs="Cambria Math"/>
          <w:sz w:val="17"/>
        </w:rPr>
        <w:t xml:space="preserve">𝑃𝑟𝑎𝑧𝑜</w:t>
      </w:r>
      <w:r>
        <w:rPr>
          <w:rFonts w:ascii="Cambria Math" w:hAnsi="Cambria Math" w:eastAsia="Cambria Math" w:cs="Cambria Math"/>
          <w:sz w:val="17"/>
        </w:rPr>
      </w:r>
      <w:r>
        <w:rPr>
          <w:rFonts w:ascii="Cambria Math" w:hAnsi="Cambria Math" w:eastAsia="Cambria Math" w:cs="Cambria Math"/>
          <w:sz w:val="17"/>
        </w:rPr>
      </w:r>
    </w:p>
    <w:p w14:paraId="6F941B5F">
      <w:pPr>
        <w:pBdr/>
        <w:spacing w:after="120" w:afterLines="50" w:before="120" w:beforeLines="50" w:line="360" w:lineRule="auto"/>
        <w:ind w:right="200" w:firstLine="0" w:left="-1"/>
        <w:jc w:val="both"/>
        <w:rPr>
          <w:rFonts w:ascii="Cambria Math" w:hAnsi="Cambria Math" w:eastAsia="Cambria Math" w:cs="Cambria Math"/>
          <w:sz w:val="17"/>
        </w:rPr>
      </w:pPr>
      <w:r>
        <w:rPr>
          <w:rFonts w:ascii="Cambria Math" w:hAnsi="Cambria Math" w:eastAsia="Cambria Math" w:cs="Cambria Math"/>
          <w:sz w:val="17"/>
        </w:rPr>
      </w:r>
      <w:r>
        <w:rPr>
          <w:rFonts w:ascii="Cambria Math" w:hAnsi="Cambria Math" w:eastAsia="Cambria Math" w:cs="Cambria Math"/>
          <w:sz w:val="17"/>
        </w:rPr>
      </w:r>
      <w:r>
        <w:rPr>
          <w:rFonts w:ascii="Cambria Math" w:hAnsi="Cambria Math" w:eastAsia="Cambria Math" w:cs="Cambria Math"/>
          <w:sz w:val="17"/>
        </w:rPr>
      </w:r>
    </w:p>
    <w:p w14:paraId="1FEB06EC">
      <w:pPr>
        <w:pStyle w:val="1099"/>
        <w:pBdr/>
        <w:tabs>
          <w:tab w:val="left" w:leader="none" w:pos="4024"/>
        </w:tabs>
        <w:spacing w:after="120" w:afterLines="50" w:before="120" w:beforeLines="50" w:line="360" w:lineRule="auto"/>
        <w:ind w:right="200" w:firstLine="0" w:left="-1"/>
        <w:rPr>
          <w:rFonts w:ascii="Arial" w:hAnsi="Arial" w:eastAsia="Cambria Math" w:cs="Arial"/>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2703830</wp:posOffset>
                </wp:positionH>
                <wp:positionV relativeFrom="paragraph">
                  <wp:posOffset>147955</wp:posOffset>
                </wp:positionV>
                <wp:extent cx="2348230" cy="10160"/>
                <wp:effectExtent l="0" t="0" r="0" b="0"/>
                <wp:wrapNone/>
                <wp:docPr id="4" name="Retângulo 13"/>
                <wp:cNvGraphicFramePr/>
                <a:graphic xmlns:a="http://schemas.openxmlformats.org/drawingml/2006/main">
                  <a:graphicData uri="http://schemas.microsoft.com/office/word/2010/wordprocessingShape">
                    <wps:wsp>
                      <wps:cNvPr id="0" name=""/>
                      <wps:cNvSpPr/>
                      <wps:spPr bwMode="auto">
                        <a:xfrm>
                          <a:off x="0" y="0"/>
                          <a:ext cx="2348230" cy="10160"/>
                        </a:xfrm>
                        <a:prstGeom prst="rect">
                          <a:avLst/>
                        </a:prstGeom>
                        <a:solidFill>
                          <a:srgbClr val="000000"/>
                        </a:solidFill>
                        <a:ln>
                          <a:noFill/>
                        </a:ln>
                      </wps:spPr>
                      <wps:txbx>
                        <w:txbxContent>
                          <w:p w14:paraId="349B9E6D">
                            <w:pPr>
                              <w:pBdr/>
                              <w:spacing/>
                              <w:ind/>
                              <w:rPr/>
                            </w:pPr>
                            <w:r/>
                            <w:r/>
                          </w:p>
                        </w:txbxContent>
                      </wps:txbx>
                      <wps:bodyPr upright="1"/>
                    </wps:wsp>
                  </a:graphicData>
                </a:graphic>
              </wp:anchor>
            </w:drawing>
          </mc:Choice>
          <mc:Fallback>
            <w:pict>
              <v:shape id="shape 3" o:spid="_x0000_s3" o:spt="1" type="#_x0000_t1" style="position:absolute;z-index:-251661312;o:allowoverlap:true;o:allowincell:true;mso-position-horizontal-relative:page;margin-left:212.90pt;mso-position-horizontal:absolute;mso-position-vertical-relative:text;margin-top:11.65pt;mso-position-vertical:absolute;width:184.90pt;height:0.80pt;mso-wrap-distance-left:9.00pt;mso-wrap-distance-top:0.00pt;mso-wrap-distance-right:9.00pt;mso-wrap-distance-bottom:0.00pt;visibility:visible;" fillcolor="#000000" stroked="f">
                <v:textbox inset="0,0,0,0">
                  <w:txbxContent>
                    <w:p w14:paraId="349B9E6D">
                      <w:pPr>
                        <w:pBdr/>
                        <w:spacing/>
                        <w:ind/>
                        <w:rPr/>
                      </w:pPr>
                      <w:r/>
                      <w:r/>
                    </w:p>
                  </w:txbxContent>
                </v:textbox>
              </v:shape>
            </w:pict>
          </mc:Fallback>
        </mc:AlternateContent>
      </w:r>
      <w:r>
        <w:rPr>
          <w:rFonts w:ascii="Arial" w:cs="Arial"/>
          <w:sz w:val="22"/>
          <w:szCs w:val="22"/>
        </w:rPr>
        <w:t xml:space="preserve">Solvência</w:t>
      </w:r>
      <w:r>
        <w:rPr>
          <w:rFonts w:ascii="Arial" w:cs="Arial"/>
          <w:spacing w:val="-2"/>
          <w:sz w:val="22"/>
          <w:szCs w:val="22"/>
        </w:rPr>
        <w:t xml:space="preserve"> </w:t>
      </w:r>
      <w:r>
        <w:rPr>
          <w:rFonts w:ascii="Arial" w:cs="Arial"/>
          <w:sz w:val="22"/>
          <w:szCs w:val="22"/>
        </w:rPr>
        <w:t xml:space="preserve">Geral (SG)</w:t>
      </w:r>
      <w:r>
        <w:rPr>
          <w:rFonts w:ascii="Arial" w:cs="Arial"/>
          <w:spacing w:val="-2"/>
          <w:sz w:val="22"/>
          <w:szCs w:val="22"/>
        </w:rPr>
        <w:t xml:space="preserve"> </w:t>
      </w:r>
      <w:r>
        <w:rPr>
          <w:rFonts w:ascii="Arial" w:cs="Arial"/>
          <w:sz w:val="22"/>
          <w:szCs w:val="22"/>
        </w:rPr>
        <w:t xml:space="preserve">=</w:t>
      </w:r>
      <w:r>
        <w:rPr>
          <w:rFonts w:ascii="Arial" w:cs="Arial"/>
        </w:rPr>
        <w:tab/>
      </w:r>
      <w:r>
        <w:rPr>
          <w:rFonts w:ascii="Cambria Math" w:hAnsi="Cambria Math" w:eastAsia="Cambria Math" w:cs="Cambria Math"/>
          <w:vertAlign w:val="superscript"/>
        </w:rPr>
        <w:t xml:space="preserve">𝐴𝑡𝑖𝑣𝑜</w:t>
      </w:r>
      <w:r>
        <w:rPr>
          <w:rFonts w:ascii="Arial" w:hAnsi="Arial" w:eastAsia="Cambria Math" w:cs="Arial"/>
          <w:spacing w:val="13"/>
        </w:rPr>
        <w:t xml:space="preserve"> </w:t>
      </w:r>
      <w:r>
        <w:rPr>
          <w:rFonts w:ascii="Arial" w:hAnsi="Arial" w:eastAsia="Cambria Math" w:cs="Arial"/>
          <w:i/>
          <w:vertAlign w:val="superscript"/>
        </w:rPr>
        <w:t xml:space="preserve">Circulante</w:t>
      </w:r>
      <w:r>
        <w:rPr>
          <w:rFonts w:ascii="Arial" w:hAnsi="Arial" w:eastAsia="Cambria Math" w:cs="Arial"/>
        </w:rPr>
      </w:r>
      <w:r>
        <w:rPr>
          <w:rFonts w:ascii="Arial" w:hAnsi="Arial" w:eastAsia="Cambria Math" w:cs="Arial"/>
        </w:rPr>
      </w:r>
    </w:p>
    <w:p w14:paraId="16754582">
      <w:pPr>
        <w:pBdr/>
        <w:spacing w:after="120" w:afterLines="50" w:before="120" w:beforeLines="50" w:line="360" w:lineRule="auto"/>
        <w:ind w:right="200" w:firstLine="0" w:left="-1"/>
        <w:jc w:val="both"/>
        <w:rPr>
          <w:rFonts w:ascii="Cambria Math" w:hAnsi="Cambria Math" w:eastAsia="Cambria Math" w:cs="Cambria Math"/>
          <w:spacing w:val="-1"/>
          <w:sz w:val="17"/>
        </w:rPr>
      </w:pPr>
      <w:r>
        <w:rPr>
          <w:rFonts w:ascii="Cambria Math" w:hAnsi="Cambria Math" w:eastAsia="Cambria Math" w:cs="Cambria Math"/>
          <w:spacing w:val="-1"/>
          <w:sz w:val="17"/>
        </w:rPr>
        <w:t xml:space="preserve">𝑃𝑎𝑠𝑠𝑖𝑣𝑜</w:t>
      </w:r>
      <w:r>
        <w:rPr>
          <w:rFonts w:ascii="Arial" w:hAnsi="Arial" w:eastAsia="Cambria Math" w:cs="Arial"/>
          <w:spacing w:val="-8"/>
          <w:sz w:val="17"/>
        </w:rPr>
        <w:t xml:space="preserve"> </w:t>
      </w:r>
      <w:r>
        <w:rPr>
          <w:rFonts w:ascii="Cambria Math" w:hAnsi="Cambria Math" w:eastAsia="Cambria Math" w:cs="Cambria Math"/>
          <w:spacing w:val="-1"/>
          <w:sz w:val="17"/>
        </w:rPr>
        <w:t xml:space="preserve">𝐶𝑖𝑟𝑐𝑢𝑙𝑎𝑛𝑡𝑒</w:t>
      </w:r>
      <w:r>
        <w:rPr>
          <w:rFonts w:ascii="Cambria Math" w:hAnsi="Cambria Math" w:eastAsia="Cambria Math" w:cs="Cambria Math"/>
          <w:spacing w:val="-1"/>
          <w:sz w:val="17"/>
        </w:rPr>
      </w:r>
      <w:r>
        <w:rPr>
          <w:rFonts w:ascii="Cambria Math" w:hAnsi="Cambria Math" w:eastAsia="Cambria Math" w:cs="Cambria Math"/>
          <w:spacing w:val="-1"/>
          <w:sz w:val="17"/>
        </w:rPr>
      </w:r>
    </w:p>
    <w:p w14:paraId="2BF8416D">
      <w:pPr>
        <w:pBdr/>
        <w:spacing w:line="360" w:lineRule="auto"/>
        <w:ind w:firstLine="0" w:left="-1"/>
        <w:contextualSpacing w:val="true"/>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14:paraId="27AD3F4E">
      <w:pPr>
        <w:numPr>
          <w:ilvl w:val="0"/>
          <w:numId w:val="47"/>
        </w:numPr>
        <w:pBdr/>
        <w:tabs>
          <w:tab w:val="left" w:leader="none" w:pos="0"/>
          <w:tab w:val="clear" w:leader="none" w:pos="454"/>
        </w:tabs>
        <w:spacing w:line="360" w:lineRule="auto"/>
        <w:ind w:firstLine="0" w:left="-1"/>
        <w:contextualSpacing w:val="true"/>
        <w:jc w:val="both"/>
        <w:rPr>
          <w:rFonts w:ascii="Times New Roman" w:hAnsi="Times New Roman" w:cs="Times New Roman"/>
          <w:sz w:val="24"/>
          <w:szCs w:val="24"/>
        </w:rPr>
      </w:pPr>
      <w:r>
        <w:rPr>
          <w:rFonts w:ascii="Times New Roman" w:hAnsi="Times New Roman" w:cs="Times New Roman"/>
          <w:sz w:val="24"/>
          <w:szCs w:val="24"/>
        </w:rPr>
        <w:t xml:space="preserve">Comprovação de capital mínimo ou de patrimônio líquido mínimo equivalente a 10% (dez por cento) do valor estimado da contratação. (Lei nº 14.133, de 2021, art. 69, §4º).</w:t>
      </w:r>
      <w:r>
        <w:rPr>
          <w:rFonts w:ascii="Times New Roman" w:hAnsi="Times New Roman" w:cs="Times New Roman"/>
          <w:sz w:val="24"/>
          <w:szCs w:val="24"/>
        </w:rPr>
      </w:r>
      <w:r>
        <w:rPr>
          <w:rFonts w:ascii="Times New Roman" w:hAnsi="Times New Roman" w:cs="Times New Roman"/>
          <w:sz w:val="24"/>
          <w:szCs w:val="24"/>
        </w:rPr>
      </w:r>
    </w:p>
    <w:p w14:paraId="7DB166CE">
      <w:pPr>
        <w:numPr>
          <w:ilvl w:val="0"/>
          <w:numId w:val="47"/>
        </w:numPr>
        <w:pBdr/>
        <w:tabs>
          <w:tab w:val="left" w:leader="none" w:pos="0"/>
          <w:tab w:val="clear" w:leader="none" w:pos="454"/>
        </w:tabs>
        <w:spacing w:line="360" w:lineRule="auto"/>
        <w:ind w:firstLine="0" w:left="-1"/>
        <w:contextualSpacing w:val="true"/>
        <w:jc w:val="both"/>
        <w:rPr>
          <w:rFonts w:ascii="Times New Roman" w:hAnsi="Times New Roman" w:cs="Times New Roman"/>
          <w:sz w:val="24"/>
          <w:szCs w:val="24"/>
        </w:rPr>
      </w:pPr>
      <w:r>
        <w:rPr>
          <w:rFonts w:ascii="Times New Roman" w:hAnsi="Times New Roman" w:cs="Times New Roman"/>
          <w:sz w:val="24"/>
          <w:szCs w:val="24"/>
        </w:rPr>
        <w:t xml:space="preserve">As empresas criadas no exercício financeiro da licitação deverão atender a todas as exigências da habilitação e poderão substituir os demonstrativos contábeis pelo balanço de abertura. (Lei nº 14.133, de 2021, art. 69, §1º).</w:t>
      </w:r>
      <w:r>
        <w:rPr>
          <w:rFonts w:ascii="Times New Roman" w:hAnsi="Times New Roman" w:cs="Times New Roman"/>
          <w:sz w:val="24"/>
          <w:szCs w:val="24"/>
        </w:rPr>
      </w:r>
      <w:r>
        <w:rPr>
          <w:rFonts w:ascii="Times New Roman" w:hAnsi="Times New Roman" w:cs="Times New Roman"/>
          <w:sz w:val="24"/>
          <w:szCs w:val="24"/>
        </w:rPr>
      </w:r>
    </w:p>
    <w:p w14:paraId="48C55F98">
      <w:pPr>
        <w:numPr>
          <w:ilvl w:val="0"/>
          <w:numId w:val="47"/>
        </w:numPr>
        <w:pBdr/>
        <w:tabs>
          <w:tab w:val="left" w:leader="none" w:pos="0"/>
          <w:tab w:val="clear" w:leader="none" w:pos="454"/>
        </w:tabs>
        <w:spacing w:line="360" w:lineRule="auto"/>
        <w:ind w:firstLine="0" w:left="-1"/>
        <w:contextualSpacing w:val="true"/>
        <w:jc w:val="both"/>
        <w:rPr>
          <w:rFonts w:ascii="Times New Roman" w:hAnsi="Times New Roman" w:cs="Times New Roman"/>
          <w:sz w:val="24"/>
          <w:szCs w:val="24"/>
        </w:rPr>
      </w:pPr>
      <w:r>
        <w:rPr>
          <w:rFonts w:ascii="Times New Roman" w:hAnsi="Times New Roman" w:cs="Times New Roman"/>
          <w:sz w:val="24"/>
          <w:szCs w:val="24"/>
        </w:rPr>
        <w:t xml:space="preserve">Os documentos referidos acima limitar-se-ão ao último exercício no caso de a pessoa jurídica ter sido constituída há menos de 2 (dois) anos.</w:t>
      </w:r>
      <w:r>
        <w:rPr>
          <w:rFonts w:ascii="Times New Roman" w:hAnsi="Times New Roman" w:cs="Times New Roman"/>
          <w:sz w:val="24"/>
          <w:szCs w:val="24"/>
        </w:rPr>
      </w:r>
      <w:r>
        <w:rPr>
          <w:rFonts w:ascii="Times New Roman" w:hAnsi="Times New Roman" w:cs="Times New Roman"/>
          <w:sz w:val="24"/>
          <w:szCs w:val="24"/>
        </w:rPr>
      </w:r>
    </w:p>
    <w:p w14:paraId="5FB0AF25">
      <w:pPr>
        <w:numPr>
          <w:ilvl w:val="0"/>
          <w:numId w:val="47"/>
        </w:numPr>
        <w:pBdr/>
        <w:tabs>
          <w:tab w:val="left" w:leader="none" w:pos="0"/>
          <w:tab w:val="clear" w:leader="none" w:pos="454"/>
        </w:tabs>
        <w:spacing w:line="360" w:lineRule="auto"/>
        <w:ind w:firstLine="0" w:left="-1"/>
        <w:contextualSpacing w:val="true"/>
        <w:jc w:val="both"/>
        <w:rPr>
          <w:rFonts w:ascii="Times New Roman" w:hAnsi="Times New Roman" w:cs="Times New Roman"/>
          <w:sz w:val="24"/>
          <w:szCs w:val="24"/>
        </w:rPr>
      </w:pPr>
      <w:r>
        <w:rPr>
          <w:rFonts w:ascii="Times New Roman" w:hAnsi="Times New Roman" w:cs="Times New Roman"/>
          <w:sz w:val="24"/>
          <w:szCs w:val="24"/>
        </w:rPr>
        <w:t xml:space="preserve">Os documentos referidos acima deverão ser exigidos com base no limite definido pela Receita Federal do Brasil para transmissão da Escrituração Contábil Digital - ECD ao Sped.</w:t>
      </w:r>
      <w:r>
        <w:rPr>
          <w:rFonts w:ascii="Times New Roman" w:hAnsi="Times New Roman" w:cs="Times New Roman"/>
          <w:sz w:val="24"/>
          <w:szCs w:val="24"/>
        </w:rPr>
      </w:r>
      <w:r>
        <w:rPr>
          <w:rFonts w:ascii="Times New Roman" w:hAnsi="Times New Roman" w:cs="Times New Roman"/>
          <w:sz w:val="24"/>
          <w:szCs w:val="24"/>
        </w:rPr>
      </w:r>
    </w:p>
    <w:p w14:paraId="6C97D548">
      <w:pPr>
        <w:numPr>
          <w:ilvl w:val="0"/>
          <w:numId w:val="47"/>
        </w:numPr>
        <w:pBdr/>
        <w:tabs>
          <w:tab w:val="left" w:leader="none" w:pos="0"/>
          <w:tab w:val="clear" w:leader="none" w:pos="454"/>
        </w:tabs>
        <w:spacing w:line="360" w:lineRule="auto"/>
        <w:ind w:firstLine="0" w:left="-1"/>
        <w:contextualSpacing w:val="true"/>
        <w:jc w:val="both"/>
        <w:rPr>
          <w:rFonts w:ascii="Times New Roman" w:hAnsi="Times New Roman" w:cs="Times New Roman"/>
          <w:sz w:val="24"/>
          <w:szCs w:val="24"/>
        </w:rPr>
      </w:pPr>
      <w:r>
        <w:rPr>
          <w:rFonts w:ascii="Times New Roman" w:hAnsi="Times New Roman" w:cs="Times New Roman"/>
          <w:sz w:val="24"/>
          <w:szCs w:val="24"/>
        </w:rPr>
        <w:t xml:space="preserve">Certidão negativa de feitos sobre falência expedida pelo distribuidor da sede do licitante (Lei nº 14.133, de 2021, art. 69, inciso II).</w:t>
      </w:r>
      <w:r>
        <w:rPr>
          <w:rFonts w:ascii="Times New Roman" w:hAnsi="Times New Roman" w:cs="Times New Roman"/>
          <w:sz w:val="24"/>
          <w:szCs w:val="24"/>
        </w:rPr>
      </w:r>
      <w:r>
        <w:rPr>
          <w:rFonts w:ascii="Times New Roman" w:hAnsi="Times New Roman" w:cs="Times New Roman"/>
          <w:sz w:val="24"/>
          <w:szCs w:val="24"/>
        </w:rPr>
      </w:r>
    </w:p>
    <w:p w14:paraId="4234C460">
      <w:pPr>
        <w:numPr>
          <w:ilvl w:val="0"/>
          <w:numId w:val="47"/>
        </w:numPr>
        <w:pBdr/>
        <w:tabs>
          <w:tab w:val="left" w:leader="none" w:pos="0"/>
          <w:tab w:val="clear" w:leader="none" w:pos="454"/>
        </w:tabs>
        <w:spacing w:line="360" w:lineRule="auto"/>
        <w:ind w:firstLine="0" w:left="-1"/>
        <w:contextualSpacing w:val="true"/>
        <w:jc w:val="both"/>
        <w:rPr>
          <w:rFonts w:ascii="Times New Roman" w:hAnsi="Times New Roman" w:cs="Times New Roman"/>
          <w:sz w:val="24"/>
          <w:szCs w:val="24"/>
        </w:rPr>
      </w:pPr>
      <w:r>
        <w:rPr>
          <w:rFonts w:ascii="Times New Roman" w:hAnsi="Times New Roman" w:cs="Times New Roman"/>
          <w:sz w:val="24"/>
          <w:szCs w:val="24"/>
        </w:rPr>
        <w:t xml:space="preserve">De aco</w:t>
      </w:r>
      <w:r>
        <w:rPr>
          <w:rFonts w:ascii="Times New Roman" w:hAnsi="Times New Roman" w:cs="Times New Roman"/>
          <w:sz w:val="24"/>
          <w:szCs w:val="24"/>
        </w:rPr>
        <w:t xml:space="preserve">rdo com o Art. 63, inciso II da Lei nº 14.133/2021, será exigida a apresentação dos documentos de habilitação apenas do licitante vencedor, conforme documentos listados nos item 6 “Requisitos da contratação” itens: 6.1 a 6.30.17, neste Termo de Referência.</w:t>
      </w:r>
      <w:r>
        <w:rPr>
          <w:rFonts w:ascii="Times New Roman" w:hAnsi="Times New Roman" w:cs="Times New Roman"/>
          <w:sz w:val="24"/>
          <w:szCs w:val="24"/>
        </w:rPr>
      </w:r>
      <w:r>
        <w:rPr>
          <w:rFonts w:ascii="Times New Roman" w:hAnsi="Times New Roman" w:cs="Times New Roman"/>
          <w:sz w:val="24"/>
          <w:szCs w:val="24"/>
        </w:rPr>
      </w:r>
    </w:p>
    <w:p w14:paraId="7D5E7C66">
      <w:pPr>
        <w:pBdr/>
        <w:spacing w:line="360" w:lineRule="auto"/>
        <w:ind w:firstLine="0" w:left="-1"/>
        <w:contextualSpacing w:val="true"/>
        <w:jc w:val="both"/>
        <w:rPr>
          <w:rFonts w:ascii="Times New Roman" w:hAnsi="Times New Roman" w:cs="Times New Roman"/>
          <w:b/>
          <w:bCs/>
          <w:sz w:val="24"/>
          <w:szCs w:val="24"/>
        </w:rPr>
      </w:pPr>
      <w:r>
        <w:rPr>
          <w:rFonts w:ascii="Times New Roman" w:hAnsi="Times New Roman" w:cs="Times New Roman"/>
          <w:b/>
          <w:bCs/>
          <w:sz w:val="24"/>
          <w:szCs w:val="24"/>
        </w:rPr>
        <w:t xml:space="preserve">DA RESERVA DE VAGAS E PRIORIDADE SOCIAL (EQUIDADE E INCLUSÃO)</w:t>
      </w:r>
      <w:r>
        <w:rPr>
          <w:rFonts w:ascii="Times New Roman" w:hAnsi="Times New Roman" w:cs="Times New Roman"/>
          <w:b/>
          <w:bCs/>
          <w:sz w:val="24"/>
          <w:szCs w:val="24"/>
        </w:rPr>
      </w:r>
      <w:r>
        <w:rPr>
          <w:rFonts w:ascii="Times New Roman" w:hAnsi="Times New Roman" w:cs="Times New Roman"/>
          <w:b/>
          <w:bCs/>
          <w:sz w:val="24"/>
          <w:szCs w:val="24"/>
        </w:rPr>
      </w:r>
    </w:p>
    <w:p w14:paraId="2CD759FB">
      <w:pPr>
        <w:numPr>
          <w:ilvl w:val="0"/>
          <w:numId w:val="48"/>
        </w:numPr>
        <w:pBdr/>
        <w:tabs>
          <w:tab w:val="left" w:leader="none" w:pos="0"/>
          <w:tab w:val="clear" w:leader="none" w:pos="454"/>
        </w:tabs>
        <w:spacing w:line="360" w:lineRule="auto"/>
        <w:ind w:firstLine="0" w:left="-1"/>
        <w:contextualSpacing w:val="true"/>
        <w:jc w:val="both"/>
        <w:rPr>
          <w:rFonts w:ascii="Times New Roman" w:hAnsi="Times New Roman" w:cs="Times New Roman"/>
          <w:sz w:val="24"/>
          <w:szCs w:val="24"/>
        </w:rPr>
      </w:pPr>
      <w:r>
        <w:rPr>
          <w:rFonts w:ascii="Times New Roman" w:hAnsi="Times New Roman" w:cs="Times New Roman"/>
          <w:sz w:val="24"/>
          <w:szCs w:val="24"/>
        </w:rPr>
        <w:t xml:space="preserve">Fundamentação Legal Em cump</w:t>
      </w:r>
      <w:r>
        <w:rPr>
          <w:rFonts w:ascii="Times New Roman" w:hAnsi="Times New Roman" w:cs="Times New Roman"/>
          <w:sz w:val="24"/>
          <w:szCs w:val="24"/>
        </w:rPr>
        <w:t xml:space="preserve">rimento ao Art. 25, § 9º, inciso I, da Lei Federal nº 14.133/2021, a contratada deverá observar a reserva de vagas para mulheres vítimas de violência doméstica, egressos do sistema prisional e pessoas com deficiência (PcD), conforme regulamentação vigente:</w:t>
      </w:r>
      <w:r>
        <w:rPr>
          <w:rFonts w:ascii="Times New Roman" w:hAnsi="Times New Roman" w:cs="Times New Roman"/>
          <w:sz w:val="24"/>
          <w:szCs w:val="24"/>
        </w:rPr>
      </w:r>
      <w:r>
        <w:rPr>
          <w:rFonts w:ascii="Times New Roman" w:hAnsi="Times New Roman" w:cs="Times New Roman"/>
          <w:sz w:val="24"/>
          <w:szCs w:val="24"/>
        </w:rPr>
      </w:r>
    </w:p>
    <w:p w14:paraId="5CA3AEA6">
      <w:pPr>
        <w:pBdr/>
        <w:spacing w:line="360" w:lineRule="auto"/>
        <w:ind w:firstLine="0" w:left="3000"/>
        <w:contextualSpacing w:val="true"/>
        <w:jc w:val="both"/>
        <w:rPr>
          <w:rFonts w:ascii="Times New Roman" w:hAnsi="Times New Roman" w:cs="Times New Roman"/>
          <w:i/>
          <w:iCs/>
          <w:sz w:val="24"/>
          <w:szCs w:val="24"/>
        </w:rPr>
      </w:pPr>
      <w:r>
        <w:rPr>
          <w:rFonts w:ascii="Times New Roman" w:hAnsi="Times New Roman" w:cs="Times New Roman"/>
          <w:i/>
          <w:iCs/>
          <w:sz w:val="24"/>
          <w:szCs w:val="24"/>
        </w:rPr>
        <w:t xml:space="preserve">"Art. 25. [...] § 9º O edital poderá prever que a mão de obra empregada na execução do contrato deverá ser constituída por um percentual mínimo de: </w:t>
      </w:r>
      <w:r>
        <w:rPr>
          <w:rFonts w:ascii="Times New Roman" w:hAnsi="Times New Roman" w:cs="Times New Roman"/>
          <w:i/>
          <w:iCs/>
          <w:sz w:val="24"/>
          <w:szCs w:val="24"/>
        </w:rPr>
      </w:r>
      <w:r>
        <w:rPr>
          <w:rFonts w:ascii="Times New Roman" w:hAnsi="Times New Roman" w:cs="Times New Roman"/>
          <w:i/>
          <w:iCs/>
          <w:sz w:val="24"/>
          <w:szCs w:val="24"/>
        </w:rPr>
      </w:r>
    </w:p>
    <w:p w14:paraId="0E70068D">
      <w:pPr>
        <w:pBdr/>
        <w:spacing w:line="360" w:lineRule="auto"/>
        <w:ind w:firstLine="0" w:left="5200"/>
        <w:contextualSpacing w:val="true"/>
        <w:jc w:val="both"/>
        <w:rPr>
          <w:rFonts w:ascii="Times New Roman" w:hAnsi="Times New Roman" w:cs="Times New Roman"/>
          <w:i/>
          <w:iCs/>
          <w:sz w:val="24"/>
          <w:szCs w:val="24"/>
        </w:rPr>
      </w:pPr>
      <w:r>
        <w:rPr>
          <w:rFonts w:ascii="Times New Roman" w:hAnsi="Times New Roman" w:cs="Times New Roman"/>
          <w:i/>
          <w:iCs/>
          <w:sz w:val="24"/>
          <w:szCs w:val="24"/>
        </w:rPr>
        <w:t xml:space="preserve">I - mulheres vítimas de violência doméstica; </w:t>
      </w:r>
      <w:r>
        <w:rPr>
          <w:rFonts w:ascii="Times New Roman" w:hAnsi="Times New Roman" w:cs="Times New Roman"/>
          <w:i/>
          <w:iCs/>
          <w:sz w:val="24"/>
          <w:szCs w:val="24"/>
        </w:rPr>
      </w:r>
      <w:r>
        <w:rPr>
          <w:rFonts w:ascii="Times New Roman" w:hAnsi="Times New Roman" w:cs="Times New Roman"/>
          <w:i/>
          <w:iCs/>
          <w:sz w:val="24"/>
          <w:szCs w:val="24"/>
        </w:rPr>
      </w:r>
    </w:p>
    <w:p w14:paraId="7AB80671">
      <w:pPr>
        <w:pBdr/>
        <w:spacing w:line="360" w:lineRule="auto"/>
        <w:ind w:firstLine="0" w:left="5200"/>
        <w:contextualSpacing w:val="true"/>
        <w:jc w:val="both"/>
        <w:rPr>
          <w:rFonts w:ascii="Times New Roman" w:hAnsi="Times New Roman" w:cs="Times New Roman"/>
          <w:i/>
          <w:iCs/>
          <w:sz w:val="24"/>
          <w:szCs w:val="24"/>
        </w:rPr>
      </w:pPr>
      <w:r>
        <w:rPr>
          <w:rFonts w:ascii="Times New Roman" w:hAnsi="Times New Roman" w:cs="Times New Roman"/>
          <w:i/>
          <w:iCs/>
          <w:sz w:val="24"/>
          <w:szCs w:val="24"/>
        </w:rPr>
        <w:t xml:space="preserve">II - egressos do sistema prisional."</w:t>
      </w:r>
      <w:r>
        <w:rPr>
          <w:rFonts w:ascii="Times New Roman" w:hAnsi="Times New Roman" w:cs="Times New Roman"/>
          <w:i/>
          <w:iCs/>
          <w:sz w:val="24"/>
          <w:szCs w:val="24"/>
        </w:rPr>
      </w:r>
      <w:r>
        <w:rPr>
          <w:rFonts w:ascii="Times New Roman" w:hAnsi="Times New Roman" w:cs="Times New Roman"/>
          <w:i/>
          <w:iCs/>
          <w:sz w:val="24"/>
          <w:szCs w:val="24"/>
        </w:rPr>
      </w:r>
    </w:p>
    <w:p w14:paraId="00DC183D">
      <w:pPr>
        <w:pBdr/>
        <w:spacing w:line="360" w:lineRule="auto"/>
        <w:ind w:firstLine="0" w:left="-1"/>
        <w:contextualSpacing w:val="true"/>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14:paraId="169A80F4">
      <w:pPr>
        <w:numPr>
          <w:ilvl w:val="0"/>
          <w:numId w:val="49"/>
        </w:numPr>
        <w:pBdr/>
        <w:tabs>
          <w:tab w:val="left" w:leader="none" w:pos="0"/>
          <w:tab w:val="clear" w:leader="none" w:pos="454"/>
        </w:tabs>
        <w:spacing w:line="360" w:lineRule="auto"/>
        <w:ind w:firstLine="0" w:left="0"/>
        <w:contextualSpacing w:val="true"/>
        <w:jc w:val="both"/>
        <w:rPr>
          <w:rFonts w:ascii="Times New Roman" w:hAnsi="Times New Roman" w:cs="Times New Roman"/>
          <w:sz w:val="24"/>
          <w:szCs w:val="24"/>
        </w:rPr>
      </w:pPr>
      <w:r>
        <w:rPr>
          <w:rFonts w:ascii="Times New Roman" w:hAnsi="Times New Roman" w:cs="Times New Roman"/>
          <w:sz w:val="24"/>
          <w:szCs w:val="24"/>
        </w:rPr>
        <w:t xml:space="preserve">Do Percentual para Mulheres Vítimas</w:t>
      </w:r>
      <w:r>
        <w:rPr>
          <w:rFonts w:ascii="Times New Roman" w:hAnsi="Times New Roman" w:cs="Times New Roman"/>
          <w:sz w:val="24"/>
          <w:szCs w:val="24"/>
        </w:rPr>
        <w:t xml:space="preserve"> de Violência e Egressos Conforme as diretrizes do Decreto Federal nº 11.430/2023, que regulamenta a exigência de percentual mínimo de mão de obra constituída por mulheres vítimas de violência doméstica e egressos do sistema prisional, a contratada deverá:</w:t>
      </w:r>
      <w:r>
        <w:rPr>
          <w:rFonts w:ascii="Times New Roman" w:hAnsi="Times New Roman" w:cs="Times New Roman"/>
          <w:sz w:val="24"/>
          <w:szCs w:val="24"/>
        </w:rPr>
      </w:r>
      <w:r>
        <w:rPr>
          <w:rFonts w:ascii="Times New Roman" w:hAnsi="Times New Roman" w:cs="Times New Roman"/>
          <w:sz w:val="24"/>
          <w:szCs w:val="24"/>
        </w:rPr>
      </w:r>
    </w:p>
    <w:p w14:paraId="63E0A51A">
      <w:pPr>
        <w:numPr>
          <w:ilvl w:val="0"/>
          <w:numId w:val="50"/>
        </w:numPr>
        <w:pBdr/>
        <w:tabs>
          <w:tab w:val="left" w:leader="none" w:pos="0"/>
          <w:tab w:val="clear" w:leader="none" w:pos="425"/>
        </w:tabs>
        <w:spacing w:line="360" w:lineRule="auto"/>
        <w:ind w:firstLine="595" w:left="5"/>
        <w:contextualSpacing w:val="true"/>
        <w:jc w:val="both"/>
        <w:rPr>
          <w:rFonts w:ascii="Times New Roman" w:hAnsi="Times New Roman" w:cs="Times New Roman"/>
          <w:sz w:val="24"/>
          <w:szCs w:val="24"/>
        </w:rPr>
      </w:pPr>
      <w:r>
        <w:rPr>
          <w:rFonts w:ascii="Times New Roman" w:hAnsi="Times New Roman" w:cs="Times New Roman"/>
          <w:sz w:val="24"/>
          <w:szCs w:val="24"/>
        </w:rPr>
        <w:t xml:space="preserve">Reservar o percentual de 5% (cinco por cento) das vagas destinadas à execução contratual para mulheres em situação de violência doméstica e familiar, conforme os critérios de vulnerabilidade social estabelecidos.</w:t>
      </w:r>
      <w:r>
        <w:rPr>
          <w:rFonts w:ascii="Times New Roman" w:hAnsi="Times New Roman" w:cs="Times New Roman"/>
          <w:sz w:val="24"/>
          <w:szCs w:val="24"/>
        </w:rPr>
      </w:r>
      <w:r>
        <w:rPr>
          <w:rFonts w:ascii="Times New Roman" w:hAnsi="Times New Roman" w:cs="Times New Roman"/>
          <w:sz w:val="24"/>
          <w:szCs w:val="24"/>
        </w:rPr>
      </w:r>
    </w:p>
    <w:p w14:paraId="1A4F61A2">
      <w:pPr>
        <w:numPr>
          <w:ilvl w:val="0"/>
          <w:numId w:val="50"/>
        </w:numPr>
        <w:pBdr/>
        <w:tabs>
          <w:tab w:val="left" w:leader="none" w:pos="0"/>
          <w:tab w:val="clear" w:leader="none" w:pos="425"/>
        </w:tabs>
        <w:spacing w:line="360" w:lineRule="auto"/>
        <w:ind w:firstLine="595" w:left="5"/>
        <w:contextualSpacing w:val="true"/>
        <w:jc w:val="both"/>
        <w:rPr>
          <w:rFonts w:ascii="Times New Roman" w:hAnsi="Times New Roman" w:cs="Times New Roman"/>
          <w:sz w:val="24"/>
          <w:szCs w:val="24"/>
        </w:rPr>
      </w:pPr>
      <w:r>
        <w:rPr>
          <w:rFonts w:ascii="Times New Roman" w:hAnsi="Times New Roman" w:cs="Times New Roman"/>
          <w:sz w:val="24"/>
          <w:szCs w:val="24"/>
        </w:rPr>
        <w:t xml:space="preserve">Reservar o percentual de [definir percentual, ex: 3% a 5%] para egressos do sistema prisional, visando a ressocialização e a redução da reincidência criminal, em conformidade com as políticas de assistência social do Município de Sinop.</w:t>
      </w:r>
      <w:r>
        <w:rPr>
          <w:rFonts w:ascii="Times New Roman" w:hAnsi="Times New Roman" w:cs="Times New Roman"/>
          <w:sz w:val="24"/>
          <w:szCs w:val="24"/>
        </w:rPr>
      </w:r>
      <w:r>
        <w:rPr>
          <w:rFonts w:ascii="Times New Roman" w:hAnsi="Times New Roman" w:cs="Times New Roman"/>
          <w:sz w:val="24"/>
          <w:szCs w:val="24"/>
        </w:rPr>
      </w:r>
    </w:p>
    <w:p w14:paraId="0A0E363B">
      <w:pPr>
        <w:numPr>
          <w:ilvl w:val="0"/>
          <w:numId w:val="50"/>
        </w:numPr>
        <w:pBdr/>
        <w:tabs>
          <w:tab w:val="left" w:leader="none" w:pos="0"/>
          <w:tab w:val="clear" w:leader="none" w:pos="425"/>
        </w:tabs>
        <w:spacing w:line="360" w:lineRule="auto"/>
        <w:ind w:firstLine="595" w:left="5"/>
        <w:contextualSpacing w:val="true"/>
        <w:jc w:val="both"/>
        <w:rPr>
          <w:rFonts w:ascii="Times New Roman" w:hAnsi="Times New Roman" w:cs="Times New Roman"/>
          <w:sz w:val="24"/>
          <w:szCs w:val="24"/>
        </w:rPr>
      </w:pPr>
      <w:r>
        <w:rPr>
          <w:rFonts w:ascii="Times New Roman" w:hAnsi="Times New Roman" w:cs="Times New Roman"/>
          <w:sz w:val="24"/>
          <w:szCs w:val="24"/>
        </w:rPr>
        <w:t xml:space="preserve">Das Pessoas com Deficiência (PcD) A contratada deverá cumprir a reserva de cargos prevista na Lei </w:t>
      </w:r>
      <w:r>
        <w:rPr>
          <w:rFonts w:ascii="Times New Roman" w:hAnsi="Times New Roman" w:cs="Times New Roman"/>
          <w:sz w:val="24"/>
          <w:szCs w:val="24"/>
        </w:rPr>
        <w:t xml:space="preserve">nº 8.213/1991 (Lei de Cotas) e na Lei nº 13.146/2015 (Estatuto da Pessoa com Deficiência), garantindo a inclusão de profissionais com deficiência na execução dos serviços de adequação viária, especialmente em funções compatíveis com sua capacidade laboral.</w:t>
      </w:r>
      <w:r>
        <w:rPr>
          <w:rFonts w:ascii="Times New Roman" w:hAnsi="Times New Roman" w:cs="Times New Roman"/>
          <w:sz w:val="24"/>
          <w:szCs w:val="24"/>
        </w:rPr>
      </w:r>
      <w:r>
        <w:rPr>
          <w:rFonts w:ascii="Times New Roman" w:hAnsi="Times New Roman" w:cs="Times New Roman"/>
          <w:sz w:val="24"/>
          <w:szCs w:val="24"/>
        </w:rPr>
      </w:r>
    </w:p>
    <w:p w14:paraId="46A690F7">
      <w:pPr>
        <w:pBdr/>
        <w:spacing w:line="360" w:lineRule="auto"/>
        <w:ind w:firstLine="0" w:left="0"/>
        <w:contextualSpacing w:val="true"/>
        <w:jc w:val="both"/>
        <w:rPr>
          <w:rFonts w:ascii="Times New Roman" w:hAnsi="Times New Roman" w:cs="Times New Roman"/>
          <w:b/>
          <w:bCs/>
          <w:sz w:val="24"/>
          <w:szCs w:val="24"/>
        </w:rPr>
      </w:pPr>
      <w:r>
        <w:rPr>
          <w:rFonts w:ascii="Times New Roman" w:hAnsi="Times New Roman" w:cs="Times New Roman"/>
          <w:b/>
          <w:bCs/>
          <w:sz w:val="24"/>
          <w:szCs w:val="24"/>
        </w:rPr>
        <w:t xml:space="preserve"> Fiscalização e Sigilo</w:t>
      </w:r>
      <w:r>
        <w:rPr>
          <w:rFonts w:ascii="Times New Roman" w:hAnsi="Times New Roman" w:cs="Times New Roman"/>
          <w:b/>
          <w:bCs/>
          <w:sz w:val="24"/>
          <w:szCs w:val="24"/>
        </w:rPr>
      </w:r>
      <w:r>
        <w:rPr>
          <w:rFonts w:ascii="Times New Roman" w:hAnsi="Times New Roman" w:cs="Times New Roman"/>
          <w:b/>
          <w:bCs/>
          <w:sz w:val="24"/>
          <w:szCs w:val="24"/>
        </w:rPr>
      </w:r>
    </w:p>
    <w:p w14:paraId="4230FA96">
      <w:pPr>
        <w:numPr>
          <w:ilvl w:val="0"/>
          <w:numId w:val="51"/>
        </w:numPr>
        <w:pBdr/>
        <w:tabs>
          <w:tab w:val="left" w:leader="none" w:pos="0"/>
          <w:tab w:val="clear" w:leader="none" w:pos="454"/>
        </w:tabs>
        <w:spacing w:line="360" w:lineRule="auto"/>
        <w:ind w:firstLine="0" w:left="0"/>
        <w:contextualSpacing w:val="true"/>
        <w:jc w:val="both"/>
        <w:rPr>
          <w:rFonts w:ascii="Times New Roman" w:hAnsi="Times New Roman" w:cs="Times New Roman"/>
          <w:sz w:val="24"/>
          <w:szCs w:val="24"/>
        </w:rPr>
      </w:pPr>
      <w:r>
        <w:rPr>
          <w:rFonts w:ascii="Times New Roman" w:hAnsi="Times New Roman" w:cs="Times New Roman"/>
          <w:sz w:val="24"/>
          <w:szCs w:val="24"/>
        </w:rPr>
        <w:t xml:space="preserve">A comprovação do preenchimento das vagas deverá ocorrer no momento da assinatura do contrato e ser mantida durante toda a execução.</w:t>
      </w:r>
      <w:r>
        <w:rPr>
          <w:rFonts w:ascii="Times New Roman" w:hAnsi="Times New Roman" w:cs="Times New Roman"/>
          <w:sz w:val="24"/>
          <w:szCs w:val="24"/>
        </w:rPr>
      </w:r>
      <w:r>
        <w:rPr>
          <w:rFonts w:ascii="Times New Roman" w:hAnsi="Times New Roman" w:cs="Times New Roman"/>
          <w:sz w:val="24"/>
          <w:szCs w:val="24"/>
        </w:rPr>
      </w:r>
    </w:p>
    <w:p w14:paraId="1E1F8E19">
      <w:pPr>
        <w:numPr>
          <w:ilvl w:val="0"/>
          <w:numId w:val="51"/>
        </w:numPr>
        <w:pBdr/>
        <w:tabs>
          <w:tab w:val="left" w:leader="none" w:pos="0"/>
          <w:tab w:val="clear" w:leader="none" w:pos="454"/>
        </w:tabs>
        <w:spacing w:line="360" w:lineRule="auto"/>
        <w:ind w:firstLine="0" w:left="0"/>
        <w:contextualSpacing w:val="true"/>
        <w:jc w:val="both"/>
        <w:rPr>
          <w:rFonts w:ascii="Times New Roman" w:hAnsi="Times New Roman" w:cs="Times New Roman"/>
          <w:sz w:val="24"/>
          <w:szCs w:val="24"/>
        </w:rPr>
      </w:pPr>
      <w:r>
        <w:rPr>
          <w:rFonts w:ascii="Times New Roman" w:hAnsi="Times New Roman" w:cs="Times New Roman"/>
          <w:sz w:val="24"/>
          <w:szCs w:val="24"/>
        </w:rPr>
        <w:t xml:space="preserve">Em relação às mulheres vítimas de violência, a Administração e a Contratada deverão garantir o total sigilo da identidade das trabalhadoras, visando sua proteção e segurança, conforme as diretrizes da Lei Maria da Penha (Lei nº 11.340/2006).</w:t>
      </w:r>
      <w:r>
        <w:rPr>
          <w:rFonts w:ascii="Times New Roman" w:hAnsi="Times New Roman" w:cs="Times New Roman"/>
          <w:sz w:val="24"/>
          <w:szCs w:val="24"/>
        </w:rPr>
      </w:r>
      <w:r>
        <w:rPr>
          <w:rFonts w:ascii="Times New Roman" w:hAnsi="Times New Roman" w:cs="Times New Roman"/>
          <w:sz w:val="24"/>
          <w:szCs w:val="24"/>
        </w:rPr>
      </w:r>
    </w:p>
    <w:p w14:paraId="500C5928">
      <w:pPr>
        <w:numPr>
          <w:ilvl w:val="0"/>
          <w:numId w:val="51"/>
        </w:numPr>
        <w:pBdr/>
        <w:tabs>
          <w:tab w:val="left" w:leader="none" w:pos="0"/>
          <w:tab w:val="clear" w:leader="none" w:pos="454"/>
        </w:tabs>
        <w:spacing w:line="360" w:lineRule="auto"/>
        <w:ind w:firstLine="0" w:left="0"/>
        <w:contextualSpacing w:val="true"/>
        <w:jc w:val="both"/>
        <w:rPr>
          <w:rFonts w:ascii="Times New Roman" w:hAnsi="Times New Roman" w:cs="Times New Roman"/>
          <w:sz w:val="24"/>
          <w:szCs w:val="24"/>
        </w:rPr>
      </w:pPr>
      <w:r>
        <w:rPr>
          <w:rFonts w:ascii="Times New Roman" w:hAnsi="Times New Roman" w:cs="Times New Roman"/>
          <w:sz w:val="24"/>
          <w:szCs w:val="24"/>
        </w:rPr>
        <w:t xml:space="preserve">Critério de Desempate Ressalt</w:t>
      </w:r>
      <w:r>
        <w:rPr>
          <w:rFonts w:ascii="Times New Roman" w:hAnsi="Times New Roman" w:cs="Times New Roman"/>
          <w:sz w:val="24"/>
          <w:szCs w:val="24"/>
        </w:rPr>
        <w:t xml:space="preserve">e-se que, em caso de empate entre propostas, o Art. 60, inciso III, da Lei nº 14.133/2021 estabelece como critério de desempate o desenvolvimento, pelo licitante, de ações de equidade entre homens e mulheres no ambiente de trabalho e programas de inclusão.</w:t>
      </w:r>
      <w:r>
        <w:rPr>
          <w:rFonts w:ascii="Times New Roman" w:hAnsi="Times New Roman" w:cs="Times New Roman"/>
          <w:sz w:val="24"/>
          <w:szCs w:val="24"/>
        </w:rPr>
      </w:r>
      <w:r>
        <w:rPr>
          <w:rFonts w:ascii="Times New Roman" w:hAnsi="Times New Roman" w:cs="Times New Roman"/>
          <w:sz w:val="24"/>
          <w:szCs w:val="24"/>
        </w:rPr>
      </w:r>
    </w:p>
    <w:p w14:paraId="394841DC">
      <w:pPr>
        <w:pBdr/>
        <w:spacing w:line="360" w:lineRule="auto"/>
        <w:ind/>
        <w:contextualSpacing w:val="true"/>
        <w:jc w:val="both"/>
        <w:rPr>
          <w:rFonts w:ascii="Times New Roman" w:hAnsi="Times New Roman" w:cs="Times New Roman"/>
          <w:b/>
          <w:bCs/>
          <w:sz w:val="24"/>
          <w:szCs w:val="24"/>
        </w:rPr>
      </w:pPr>
      <w:r>
        <w:rPr>
          <w:rFonts w:ascii="Times New Roman" w:hAnsi="Times New Roman" w:cs="Times New Roman"/>
          <w:b/>
          <w:bCs/>
          <w:sz w:val="24"/>
          <w:szCs w:val="24"/>
        </w:rPr>
        <w:t xml:space="preserve">DA PARTICIPAÇÃO DE EMPRESAS EM CONSÓRCIO E COOPERATIVAS</w:t>
      </w:r>
      <w:r>
        <w:rPr>
          <w:rFonts w:ascii="Times New Roman" w:hAnsi="Times New Roman" w:cs="Times New Roman"/>
          <w:b/>
          <w:bCs/>
          <w:sz w:val="24"/>
          <w:szCs w:val="24"/>
        </w:rPr>
      </w:r>
      <w:r>
        <w:rPr>
          <w:rFonts w:ascii="Times New Roman" w:hAnsi="Times New Roman" w:cs="Times New Roman"/>
          <w:b/>
          <w:bCs/>
          <w:sz w:val="24"/>
          <w:szCs w:val="24"/>
        </w:rPr>
      </w:r>
    </w:p>
    <w:p w14:paraId="17ACCA9A">
      <w:pPr>
        <w:numPr>
          <w:ilvl w:val="0"/>
          <w:numId w:val="52"/>
        </w:numPr>
        <w:pBdr/>
        <w:tabs>
          <w:tab w:val="left" w:leader="none" w:pos="0"/>
          <w:tab w:val="clear" w:leader="none" w:pos="454"/>
        </w:tabs>
        <w:spacing w:line="360" w:lineRule="auto"/>
        <w:ind w:firstLine="0" w:left="0"/>
        <w:contextualSpacing w:val="true"/>
        <w:jc w:val="both"/>
        <w:rPr>
          <w:rFonts w:ascii="Times New Roman" w:hAnsi="Times New Roman" w:cs="Times New Roman"/>
          <w:sz w:val="24"/>
          <w:szCs w:val="24"/>
        </w:rPr>
      </w:pPr>
      <w:r>
        <w:rPr>
          <w:rFonts w:ascii="Times New Roman" w:hAnsi="Times New Roman" w:cs="Times New Roman"/>
          <w:sz w:val="24"/>
          <w:szCs w:val="24"/>
        </w:rPr>
        <w:t xml:space="preserve">Fundamentação Legal A análise da participação de consórcios e cooperativas observa o disposto nos Arts. 15 e 16 da Lei Federal nº 14.133/2021, visando ampliar a competitividade e garantir a segurança na execução do objeto.</w:t>
      </w:r>
      <w:r>
        <w:rPr>
          <w:rFonts w:ascii="Times New Roman" w:hAnsi="Times New Roman" w:cs="Times New Roman"/>
          <w:sz w:val="24"/>
          <w:szCs w:val="24"/>
        </w:rPr>
      </w:r>
      <w:r>
        <w:rPr>
          <w:rFonts w:ascii="Times New Roman" w:hAnsi="Times New Roman" w:cs="Times New Roman"/>
          <w:sz w:val="24"/>
          <w:szCs w:val="24"/>
        </w:rPr>
      </w:r>
    </w:p>
    <w:p w14:paraId="5AE53782">
      <w:pPr>
        <w:pBdr/>
        <w:spacing w:line="360" w:lineRule="auto"/>
        <w:ind/>
        <w:contextualSpacing w:val="true"/>
        <w:jc w:val="both"/>
        <w:rPr>
          <w:rFonts w:ascii="Times New Roman" w:hAnsi="Times New Roman" w:cs="Times New Roman"/>
          <w:b/>
          <w:bCs/>
          <w:sz w:val="24"/>
          <w:szCs w:val="24"/>
        </w:rPr>
      </w:pPr>
      <w:r>
        <w:rPr>
          <w:rFonts w:ascii="Times New Roman" w:hAnsi="Times New Roman" w:cs="Times New Roman"/>
          <w:b/>
          <w:bCs/>
          <w:sz w:val="24"/>
          <w:szCs w:val="24"/>
        </w:rPr>
        <w:t xml:space="preserve">Da Participação de Empresas em Consórcio </w:t>
      </w:r>
      <w:r>
        <w:rPr>
          <w:rFonts w:ascii="Times New Roman" w:hAnsi="Times New Roman" w:cs="Times New Roman"/>
          <w:b/>
          <w:bCs/>
          <w:sz w:val="24"/>
          <w:szCs w:val="24"/>
        </w:rPr>
      </w:r>
      <w:r>
        <w:rPr>
          <w:rFonts w:ascii="Times New Roman" w:hAnsi="Times New Roman" w:cs="Times New Roman"/>
          <w:b/>
          <w:bCs/>
          <w:sz w:val="24"/>
          <w:szCs w:val="24"/>
        </w:rPr>
      </w:r>
    </w:p>
    <w:p w14:paraId="053EFC6E">
      <w:pPr>
        <w:numPr>
          <w:ilvl w:val="0"/>
          <w:numId w:val="53"/>
        </w:numPr>
        <w:pBdr/>
        <w:spacing w:line="360" w:lineRule="auto"/>
        <w:ind w:hanging="454" w:left="454"/>
        <w:contextualSpacing w:val="true"/>
        <w:jc w:val="both"/>
        <w:rPr>
          <w:rFonts w:ascii="Times New Roman" w:hAnsi="Times New Roman" w:cs="Times New Roman"/>
          <w:sz w:val="24"/>
          <w:szCs w:val="24"/>
        </w:rPr>
      </w:pPr>
      <w:r>
        <w:rPr>
          <w:rFonts w:hint="default" w:ascii="Times New Roman" w:hAnsi="Times New Roman" w:cs="Times New Roman"/>
          <w:sz w:val="24"/>
          <w:szCs w:val="24"/>
          <w:lang w:val="pt-BR"/>
        </w:rPr>
        <w:t xml:space="preserve">F</w:t>
      </w:r>
      <w:r>
        <w:rPr>
          <w:rFonts w:ascii="Times New Roman" w:hAnsi="Times New Roman" w:cs="Times New Roman"/>
          <w:sz w:val="24"/>
          <w:szCs w:val="24"/>
        </w:rPr>
        <w:t xml:space="preserve">ica ADMITIDA a participação de empresas em consórcio para a presente licitação.</w:t>
      </w:r>
      <w:r>
        <w:rPr>
          <w:rFonts w:ascii="Times New Roman" w:hAnsi="Times New Roman" w:cs="Times New Roman"/>
          <w:sz w:val="24"/>
          <w:szCs w:val="24"/>
        </w:rPr>
      </w:r>
      <w:r>
        <w:rPr>
          <w:rFonts w:ascii="Times New Roman" w:hAnsi="Times New Roman" w:cs="Times New Roman"/>
          <w:sz w:val="24"/>
          <w:szCs w:val="24"/>
        </w:rPr>
      </w:r>
    </w:p>
    <w:p w14:paraId="6EF26DA5">
      <w:pPr>
        <w:numPr>
          <w:ilvl w:val="0"/>
          <w:numId w:val="0"/>
        </w:numPr>
        <w:pBdr/>
        <w:tabs>
          <w:tab w:val="left" w:leader="none" w:pos="0"/>
        </w:tabs>
        <w:spacing w:line="360" w:lineRule="auto"/>
        <w:ind/>
        <w:contextualSpacing w:val="true"/>
        <w:jc w:val="both"/>
        <w:rPr>
          <w:rFonts w:ascii="Times New Roman" w:hAnsi="Times New Roman" w:cs="Times New Roman"/>
          <w:sz w:val="24"/>
          <w:szCs w:val="24"/>
        </w:rPr>
      </w:pPr>
      <w:r>
        <w:rPr>
          <w:rFonts w:ascii="Times New Roman" w:hAnsi="Times New Roman" w:cs="Times New Roman"/>
          <w:sz w:val="24"/>
          <w:szCs w:val="24"/>
        </w:rPr>
        <w:t xml:space="preserve">Justificativa: A natureza dos serviços exige competências distintas (engenharia civil, sinalização viária e topografia). A admissão d</w:t>
      </w:r>
      <w:r>
        <w:rPr>
          <w:rFonts w:ascii="Times New Roman" w:hAnsi="Times New Roman" w:cs="Times New Roman"/>
          <w:sz w:val="24"/>
          <w:szCs w:val="24"/>
        </w:rPr>
        <w:t xml:space="preserve">e consórcios permite que empresas menores se unam para atender aos requisitos de qualificação técnica e capacidade financeira, aumentando o número de licitantes e, consequentemente, a probabilidade de obter preços mais vantajosos para o Município de Sinop.</w:t>
      </w:r>
      <w:r>
        <w:rPr>
          <w:rFonts w:ascii="Times New Roman" w:hAnsi="Times New Roman" w:cs="Times New Roman"/>
          <w:sz w:val="24"/>
          <w:szCs w:val="24"/>
        </w:rPr>
      </w:r>
      <w:r>
        <w:rPr>
          <w:rFonts w:ascii="Times New Roman" w:hAnsi="Times New Roman" w:cs="Times New Roman"/>
          <w:sz w:val="24"/>
          <w:szCs w:val="24"/>
        </w:rPr>
      </w:r>
    </w:p>
    <w:p w14:paraId="315A00D4">
      <w:pPr>
        <w:numPr>
          <w:ilvl w:val="0"/>
          <w:numId w:val="54"/>
        </w:numPr>
        <w:pBdr/>
        <w:tabs>
          <w:tab w:val="left" w:leader="none" w:pos="0"/>
          <w:tab w:val="clear" w:leader="none" w:pos="454"/>
        </w:tabs>
        <w:spacing w:line="360" w:lineRule="auto"/>
        <w:ind w:firstLine="0" w:left="0"/>
        <w:contextualSpacing w:val="true"/>
        <w:jc w:val="both"/>
        <w:rPr>
          <w:rFonts w:ascii="Times New Roman" w:hAnsi="Times New Roman" w:cs="Times New Roman"/>
          <w:sz w:val="24"/>
          <w:szCs w:val="24"/>
        </w:rPr>
      </w:pPr>
      <w:r>
        <w:rPr>
          <w:rFonts w:ascii="Times New Roman" w:hAnsi="Times New Roman" w:cs="Times New Roman"/>
          <w:sz w:val="24"/>
          <w:szCs w:val="24"/>
        </w:rPr>
        <w:t xml:space="preserve">Vantagem de Admitir Consórcios (Aumento de Robustez)</w:t>
      </w:r>
      <w:r>
        <w:rPr>
          <w:rFonts w:ascii="Times New Roman" w:hAnsi="Times New Roman" w:cs="Times New Roman"/>
          <w:sz w:val="24"/>
          <w:szCs w:val="24"/>
        </w:rPr>
      </w:r>
      <w:r>
        <w:rPr>
          <w:rFonts w:ascii="Times New Roman" w:hAnsi="Times New Roman" w:cs="Times New Roman"/>
          <w:sz w:val="24"/>
          <w:szCs w:val="24"/>
        </w:rPr>
      </w:r>
    </w:p>
    <w:p w14:paraId="2F171405">
      <w:pPr>
        <w:numPr>
          <w:ilvl w:val="0"/>
          <w:numId w:val="54"/>
        </w:numPr>
        <w:pBdr/>
        <w:tabs>
          <w:tab w:val="left" w:leader="none" w:pos="0"/>
          <w:tab w:val="clear" w:leader="none" w:pos="454"/>
        </w:tabs>
        <w:spacing w:line="360" w:lineRule="auto"/>
        <w:ind w:firstLine="0" w:left="0"/>
        <w:contextualSpacing w:val="true"/>
        <w:jc w:val="both"/>
        <w:rPr>
          <w:rFonts w:ascii="Times New Roman" w:hAnsi="Times New Roman" w:cs="Times New Roman"/>
          <w:sz w:val="24"/>
          <w:szCs w:val="24"/>
        </w:rPr>
      </w:pPr>
      <w:r>
        <w:rPr>
          <w:rFonts w:ascii="Times New Roman" w:hAnsi="Times New Roman" w:cs="Times New Roman"/>
          <w:sz w:val="24"/>
          <w:szCs w:val="24"/>
        </w:rPr>
        <w:t xml:space="preserve">Em serviços de engenharia viária, é comum que uma empresa seja muito boa em pavimentação (obra bruta), mas não tenha a mesma expertise ou equipamentos para sinalização viária de precisão ou topografia complexa.</w:t>
      </w:r>
      <w:r>
        <w:rPr>
          <w:rFonts w:ascii="Times New Roman" w:hAnsi="Times New Roman" w:cs="Times New Roman"/>
          <w:sz w:val="24"/>
          <w:szCs w:val="24"/>
        </w:rPr>
      </w:r>
      <w:r>
        <w:rPr>
          <w:rFonts w:ascii="Times New Roman" w:hAnsi="Times New Roman" w:cs="Times New Roman"/>
          <w:sz w:val="24"/>
          <w:szCs w:val="24"/>
        </w:rPr>
      </w:r>
    </w:p>
    <w:p w14:paraId="31467FE0">
      <w:pPr>
        <w:numPr>
          <w:ilvl w:val="0"/>
          <w:numId w:val="54"/>
        </w:numPr>
        <w:pBdr/>
        <w:tabs>
          <w:tab w:val="left" w:leader="none" w:pos="0"/>
          <w:tab w:val="clear" w:leader="none" w:pos="454"/>
        </w:tabs>
        <w:spacing w:line="360" w:lineRule="auto"/>
        <w:ind w:firstLine="0" w:left="0"/>
        <w:contextualSpacing w:val="true"/>
        <w:jc w:val="both"/>
        <w:rPr>
          <w:rFonts w:ascii="Times New Roman" w:hAnsi="Times New Roman" w:cs="Times New Roman"/>
          <w:sz w:val="24"/>
          <w:szCs w:val="24"/>
        </w:rPr>
      </w:pPr>
      <w:r>
        <w:rPr>
          <w:rFonts w:ascii="Times New Roman" w:hAnsi="Times New Roman" w:cs="Times New Roman"/>
          <w:sz w:val="24"/>
          <w:szCs w:val="24"/>
        </w:rPr>
        <w:t xml:space="preserve">Complementaridade: O consórcio permite que duas empresas especialistas se unam. Isso garante para a Prefeitura de Sinop que cada etapa da obra será feita por quem realmente entende do assunto.</w:t>
      </w:r>
      <w:r>
        <w:rPr>
          <w:rFonts w:ascii="Times New Roman" w:hAnsi="Times New Roman" w:cs="Times New Roman"/>
          <w:sz w:val="24"/>
          <w:szCs w:val="24"/>
        </w:rPr>
      </w:r>
      <w:r>
        <w:rPr>
          <w:rFonts w:ascii="Times New Roman" w:hAnsi="Times New Roman" w:cs="Times New Roman"/>
          <w:sz w:val="24"/>
          <w:szCs w:val="24"/>
        </w:rPr>
      </w:r>
    </w:p>
    <w:p w14:paraId="744BBB15">
      <w:pPr>
        <w:numPr>
          <w:ilvl w:val="0"/>
          <w:numId w:val="55"/>
        </w:numPr>
        <w:pBdr/>
        <w:tabs>
          <w:tab w:val="left" w:leader="none" w:pos="0"/>
          <w:tab w:val="clear" w:leader="none" w:pos="454"/>
        </w:tabs>
        <w:spacing w:line="360" w:lineRule="auto"/>
        <w:ind w:firstLine="0" w:left="0"/>
        <w:contextualSpacing w:val="true"/>
        <w:jc w:val="both"/>
        <w:rPr>
          <w:rFonts w:ascii="Times New Roman" w:hAnsi="Times New Roman" w:cs="Times New Roman"/>
          <w:sz w:val="24"/>
          <w:szCs w:val="24"/>
        </w:rPr>
      </w:pPr>
      <w:r>
        <w:rPr>
          <w:rFonts w:ascii="Times New Roman" w:hAnsi="Times New Roman" w:cs="Times New Roman"/>
          <w:sz w:val="24"/>
          <w:szCs w:val="24"/>
        </w:rPr>
        <w:t xml:space="preserve">Capacidade Financeira: Como o SRP pode gerar demandas grandes e simultâneas (várias secretarias pedindo ao mesmo tempo), o consórcio soma o patrimônio líquido das empresas, dando mais segurança de que elas não "quebrarão" durante a execução.</w:t>
      </w:r>
      <w:r>
        <w:rPr>
          <w:rFonts w:ascii="Times New Roman" w:hAnsi="Times New Roman" w:cs="Times New Roman"/>
          <w:sz w:val="24"/>
          <w:szCs w:val="24"/>
        </w:rPr>
      </w:r>
      <w:r>
        <w:rPr>
          <w:rFonts w:ascii="Times New Roman" w:hAnsi="Times New Roman" w:cs="Times New Roman"/>
          <w:sz w:val="24"/>
          <w:szCs w:val="24"/>
        </w:rPr>
      </w:r>
    </w:p>
    <w:p w14:paraId="2323ECDD">
      <w:pPr>
        <w:numPr>
          <w:ilvl w:val="0"/>
          <w:numId w:val="55"/>
        </w:numPr>
        <w:pBdr/>
        <w:tabs>
          <w:tab w:val="left" w:leader="none" w:pos="0"/>
          <w:tab w:val="clear" w:leader="none" w:pos="454"/>
        </w:tabs>
        <w:spacing w:line="360" w:lineRule="auto"/>
        <w:ind w:firstLine="0" w:left="0"/>
        <w:contextualSpacing w:val="true"/>
        <w:jc w:val="both"/>
        <w:rPr>
          <w:rFonts w:ascii="Times New Roman" w:hAnsi="Times New Roman" w:cs="Times New Roman"/>
          <w:sz w:val="24"/>
          <w:szCs w:val="24"/>
        </w:rPr>
      </w:pPr>
      <w:r>
        <w:rPr>
          <w:rFonts w:ascii="Times New Roman" w:hAnsi="Times New Roman" w:cs="Times New Roman"/>
          <w:sz w:val="24"/>
          <w:szCs w:val="24"/>
        </w:rPr>
        <w:t xml:space="preserve">Competitividade: Atrai empresas de fora que, sozinhas, teriam custo logístico alto, mas consorciadas com uma empresa local, conseguem preços melhores.</w:t>
      </w:r>
      <w:r>
        <w:rPr>
          <w:rFonts w:ascii="Times New Roman" w:hAnsi="Times New Roman" w:cs="Times New Roman"/>
          <w:sz w:val="24"/>
          <w:szCs w:val="24"/>
        </w:rPr>
      </w:r>
      <w:r>
        <w:rPr>
          <w:rFonts w:ascii="Times New Roman" w:hAnsi="Times New Roman" w:cs="Times New Roman"/>
          <w:sz w:val="24"/>
          <w:szCs w:val="24"/>
        </w:rPr>
      </w:r>
    </w:p>
    <w:p w14:paraId="5AA9D7C9">
      <w:pPr>
        <w:numPr>
          <w:ilvl w:val="0"/>
          <w:numId w:val="55"/>
        </w:numPr>
        <w:pBdr/>
        <w:tabs>
          <w:tab w:val="left" w:leader="none" w:pos="0"/>
          <w:tab w:val="clear" w:leader="none" w:pos="454"/>
        </w:tabs>
        <w:spacing w:line="360" w:lineRule="auto"/>
        <w:ind w:firstLine="0" w:left="0"/>
        <w:contextualSpacing w:val="true"/>
        <w:jc w:val="both"/>
        <w:rPr>
          <w:rFonts w:ascii="Times New Roman" w:hAnsi="Times New Roman" w:cs="Times New Roman"/>
          <w:sz w:val="24"/>
          <w:szCs w:val="24"/>
        </w:rPr>
      </w:pPr>
      <w:r>
        <w:rPr>
          <w:rFonts w:ascii="Times New Roman" w:hAnsi="Times New Roman" w:cs="Times New Roman"/>
          <w:sz w:val="24"/>
          <w:szCs w:val="24"/>
        </w:rPr>
        <w:t xml:space="preserve">Regras de Habilitação: Os licitantes em consórcio deverão apresentar o compromisso de constituição, indicação da empresa líder e observar o acréscimo de 30% os valores de qualificação econômica, conforme o Art. 15, § 1º da Lei.</w:t>
      </w:r>
      <w:r>
        <w:rPr>
          <w:rFonts w:ascii="Times New Roman" w:hAnsi="Times New Roman" w:cs="Times New Roman"/>
          <w:sz w:val="24"/>
          <w:szCs w:val="24"/>
        </w:rPr>
      </w:r>
      <w:r>
        <w:rPr>
          <w:rFonts w:ascii="Times New Roman" w:hAnsi="Times New Roman" w:cs="Times New Roman"/>
          <w:sz w:val="24"/>
          <w:szCs w:val="24"/>
        </w:rPr>
      </w:r>
    </w:p>
    <w:p w14:paraId="40C8294A">
      <w:pPr>
        <w:pBdr/>
        <w:spacing w:line="360" w:lineRule="auto"/>
        <w:ind/>
        <w:contextualSpacing w:val="true"/>
        <w:jc w:val="both"/>
        <w:rPr>
          <w:rFonts w:ascii="Times New Roman" w:hAnsi="Times New Roman" w:cs="Times New Roman"/>
          <w:b/>
          <w:bCs/>
          <w:sz w:val="24"/>
          <w:szCs w:val="24"/>
        </w:rPr>
      </w:pPr>
      <w:r>
        <w:rPr>
          <w:rFonts w:ascii="Times New Roman" w:hAnsi="Times New Roman" w:cs="Times New Roman"/>
          <w:b/>
          <w:bCs/>
          <w:sz w:val="24"/>
          <w:szCs w:val="24"/>
        </w:rPr>
        <w:t xml:space="preserve">Da Participação de Cooperativas </w:t>
      </w:r>
      <w:r>
        <w:rPr>
          <w:rFonts w:ascii="Times New Roman" w:hAnsi="Times New Roman" w:cs="Times New Roman"/>
          <w:b/>
          <w:bCs/>
          <w:sz w:val="24"/>
          <w:szCs w:val="24"/>
        </w:rPr>
      </w:r>
      <w:r>
        <w:rPr>
          <w:rFonts w:ascii="Times New Roman" w:hAnsi="Times New Roman" w:cs="Times New Roman"/>
          <w:b/>
          <w:bCs/>
          <w:sz w:val="24"/>
          <w:szCs w:val="24"/>
        </w:rPr>
      </w:r>
    </w:p>
    <w:p w14:paraId="0998408B">
      <w:pPr>
        <w:numPr>
          <w:ilvl w:val="0"/>
          <w:numId w:val="56"/>
        </w:numPr>
        <w:pBdr/>
        <w:tabs>
          <w:tab w:val="left" w:leader="none" w:pos="0"/>
          <w:tab w:val="clear" w:leader="none" w:pos="454"/>
        </w:tabs>
        <w:spacing w:line="360" w:lineRule="auto"/>
        <w:ind w:firstLine="0" w:left="0"/>
        <w:contextualSpacing w:val="true"/>
        <w:jc w:val="both"/>
        <w:rPr>
          <w:rFonts w:ascii="Times New Roman" w:hAnsi="Times New Roman" w:cs="Times New Roman"/>
          <w:sz w:val="24"/>
          <w:szCs w:val="24"/>
        </w:rPr>
      </w:pPr>
      <w:r>
        <w:rPr>
          <w:rFonts w:ascii="Times New Roman" w:hAnsi="Times New Roman" w:cs="Times New Roman"/>
          <w:sz w:val="24"/>
          <w:szCs w:val="24"/>
        </w:rPr>
        <w:t xml:space="preserve">Fica ADMITIDA a participação de cooperativas, desde que observados os requisitos do Art. 16 da Lei nº 14.133/2021, especificamente:</w:t>
      </w:r>
      <w:r>
        <w:rPr>
          <w:rFonts w:ascii="Times New Roman" w:hAnsi="Times New Roman" w:cs="Times New Roman"/>
          <w:sz w:val="24"/>
          <w:szCs w:val="24"/>
        </w:rPr>
      </w:r>
      <w:r>
        <w:rPr>
          <w:rFonts w:ascii="Times New Roman" w:hAnsi="Times New Roman" w:cs="Times New Roman"/>
          <w:sz w:val="24"/>
          <w:szCs w:val="24"/>
        </w:rPr>
      </w:r>
    </w:p>
    <w:p w14:paraId="54FCBC48">
      <w:pPr>
        <w:numPr>
          <w:ilvl w:val="0"/>
          <w:numId w:val="56"/>
        </w:numPr>
        <w:pBdr/>
        <w:tabs>
          <w:tab w:val="left" w:leader="none" w:pos="0"/>
          <w:tab w:val="clear" w:leader="none" w:pos="454"/>
        </w:tabs>
        <w:spacing w:line="360" w:lineRule="auto"/>
        <w:ind w:firstLine="0" w:left="0"/>
        <w:contextualSpacing w:val="true"/>
        <w:jc w:val="both"/>
        <w:rPr>
          <w:rFonts w:ascii="Times New Roman" w:hAnsi="Times New Roman" w:cs="Times New Roman"/>
          <w:sz w:val="24"/>
          <w:szCs w:val="24"/>
        </w:rPr>
      </w:pPr>
      <w:r>
        <w:rPr>
          <w:rFonts w:ascii="Times New Roman" w:hAnsi="Times New Roman" w:cs="Times New Roman"/>
          <w:sz w:val="24"/>
          <w:szCs w:val="24"/>
        </w:rPr>
        <w:t xml:space="preserve">Justificativa para a admissão: Vantagem de Admitir Cooperativas (Inclusão e Preço)</w:t>
      </w:r>
      <w:r>
        <w:rPr>
          <w:rFonts w:ascii="Times New Roman" w:hAnsi="Times New Roman" w:cs="Times New Roman"/>
          <w:sz w:val="24"/>
          <w:szCs w:val="24"/>
        </w:rPr>
      </w:r>
      <w:r>
        <w:rPr>
          <w:rFonts w:ascii="Times New Roman" w:hAnsi="Times New Roman" w:cs="Times New Roman"/>
          <w:sz w:val="24"/>
          <w:szCs w:val="24"/>
        </w:rPr>
      </w:r>
    </w:p>
    <w:p w14:paraId="352598BE">
      <w:pPr>
        <w:numPr>
          <w:ilvl w:val="0"/>
          <w:numId w:val="56"/>
        </w:numPr>
        <w:pBdr/>
        <w:tabs>
          <w:tab w:val="left" w:leader="none" w:pos="0"/>
          <w:tab w:val="clear" w:leader="none" w:pos="454"/>
        </w:tabs>
        <w:spacing w:line="360" w:lineRule="auto"/>
        <w:ind w:firstLine="0" w:left="0"/>
        <w:contextualSpacing w:val="true"/>
        <w:jc w:val="both"/>
        <w:rPr>
          <w:rFonts w:ascii="Times New Roman" w:hAnsi="Times New Roman" w:cs="Times New Roman"/>
          <w:sz w:val="24"/>
          <w:szCs w:val="24"/>
        </w:rPr>
      </w:pPr>
      <w:r>
        <w:rPr>
          <w:rFonts w:ascii="Times New Roman" w:hAnsi="Times New Roman" w:cs="Times New Roman"/>
          <w:sz w:val="24"/>
          <w:szCs w:val="24"/>
        </w:rPr>
        <w:t xml:space="preserve">Embora menos comuns em grandes obras de engenharia "pesada", as cooperativas de trabalho são muito fortes em serviços de mão de obra especializada e manutenção.</w:t>
      </w:r>
      <w:r>
        <w:rPr>
          <w:rFonts w:ascii="Times New Roman" w:hAnsi="Times New Roman" w:cs="Times New Roman"/>
          <w:sz w:val="24"/>
          <w:szCs w:val="24"/>
        </w:rPr>
      </w:r>
      <w:r>
        <w:rPr>
          <w:rFonts w:ascii="Times New Roman" w:hAnsi="Times New Roman" w:cs="Times New Roman"/>
          <w:sz w:val="24"/>
          <w:szCs w:val="24"/>
        </w:rPr>
      </w:r>
    </w:p>
    <w:p w14:paraId="3ACA3687">
      <w:pPr>
        <w:numPr>
          <w:ilvl w:val="0"/>
          <w:numId w:val="56"/>
        </w:numPr>
        <w:pBdr/>
        <w:tabs>
          <w:tab w:val="left" w:leader="none" w:pos="0"/>
          <w:tab w:val="clear" w:leader="none" w:pos="454"/>
        </w:tabs>
        <w:spacing w:line="360" w:lineRule="auto"/>
        <w:ind w:firstLine="0" w:left="0"/>
        <w:contextualSpacing w:val="true"/>
        <w:jc w:val="both"/>
        <w:rPr>
          <w:rFonts w:ascii="Times New Roman" w:hAnsi="Times New Roman" w:cs="Times New Roman"/>
          <w:sz w:val="24"/>
          <w:szCs w:val="24"/>
        </w:rPr>
      </w:pPr>
      <w:r>
        <w:rPr>
          <w:rFonts w:ascii="Times New Roman" w:hAnsi="Times New Roman" w:cs="Times New Roman"/>
          <w:sz w:val="24"/>
          <w:szCs w:val="24"/>
        </w:rPr>
        <w:t xml:space="preserve">Custo Operacional: Cooperativas podem apresentar preços mais competitivos em itens de mão de obra (como pedreiros para calçadas e pintores para sinalização), pois possuem um regime tributário e assistencial diferenciado.</w:t>
      </w:r>
      <w:r>
        <w:rPr>
          <w:rFonts w:ascii="Times New Roman" w:hAnsi="Times New Roman" w:cs="Times New Roman"/>
          <w:sz w:val="24"/>
          <w:szCs w:val="24"/>
        </w:rPr>
      </w:r>
      <w:r>
        <w:rPr>
          <w:rFonts w:ascii="Times New Roman" w:hAnsi="Times New Roman" w:cs="Times New Roman"/>
          <w:sz w:val="24"/>
          <w:szCs w:val="24"/>
        </w:rPr>
      </w:r>
    </w:p>
    <w:p w14:paraId="43959EC0">
      <w:pPr>
        <w:numPr>
          <w:ilvl w:val="0"/>
          <w:numId w:val="56"/>
        </w:numPr>
        <w:pBdr/>
        <w:tabs>
          <w:tab w:val="left" w:leader="none" w:pos="0"/>
          <w:tab w:val="clear" w:leader="none" w:pos="454"/>
        </w:tabs>
        <w:spacing w:line="360" w:lineRule="auto"/>
        <w:ind w:firstLine="0" w:left="0"/>
        <w:contextualSpacing w:val="true"/>
        <w:jc w:val="both"/>
        <w:rPr>
          <w:rFonts w:ascii="Times New Roman" w:hAnsi="Times New Roman" w:cs="Times New Roman"/>
          <w:sz w:val="24"/>
          <w:szCs w:val="24"/>
        </w:rPr>
      </w:pPr>
      <w:r>
        <w:rPr>
          <w:rFonts w:ascii="Times New Roman" w:hAnsi="Times New Roman" w:cs="Times New Roman"/>
          <w:sz w:val="24"/>
          <w:szCs w:val="24"/>
        </w:rPr>
        <w:t xml:space="preserve">Fomento Local: Admite que grupos de profissionais organizados participem do certame, o que está alinhado com o princípio do desenvolvimento nacional sustentável da Lei 14.133/2021.</w:t>
      </w:r>
      <w:r>
        <w:rPr>
          <w:rFonts w:ascii="Times New Roman" w:hAnsi="Times New Roman" w:cs="Times New Roman"/>
          <w:sz w:val="24"/>
          <w:szCs w:val="24"/>
        </w:rPr>
      </w:r>
      <w:r>
        <w:rPr>
          <w:rFonts w:ascii="Times New Roman" w:hAnsi="Times New Roman" w:cs="Times New Roman"/>
          <w:sz w:val="24"/>
          <w:szCs w:val="24"/>
        </w:rPr>
      </w:r>
    </w:p>
    <w:p w14:paraId="3711596B">
      <w:pPr>
        <w:numPr>
          <w:ilvl w:val="0"/>
          <w:numId w:val="56"/>
        </w:numPr>
        <w:pBdr/>
        <w:tabs>
          <w:tab w:val="left" w:leader="none" w:pos="0"/>
          <w:tab w:val="clear" w:leader="none" w:pos="454"/>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sz w:val="24"/>
          <w:szCs w:val="24"/>
        </w:rPr>
        <w:t xml:space="preserve">A demonstração de que o estatuto social da cooperativa é compatível com o objeto do certame;</w:t>
      </w:r>
      <w:r>
        <w:rPr>
          <w:rFonts w:ascii="Times New Roman" w:hAnsi="Times New Roman" w:cs="Times New Roman"/>
          <w:color w:val="000000"/>
          <w:sz w:val="24"/>
          <w:szCs w:val="24"/>
        </w:rPr>
      </w:r>
      <w:r>
        <w:rPr>
          <w:rFonts w:ascii="Times New Roman" w:hAnsi="Times New Roman" w:cs="Times New Roman"/>
          <w:color w:val="000000"/>
          <w:sz w:val="24"/>
          <w:szCs w:val="24"/>
        </w:rPr>
      </w:r>
    </w:p>
    <w:p w14:paraId="1AF6B101">
      <w:pPr>
        <w:numPr>
          <w:ilvl w:val="0"/>
          <w:numId w:val="56"/>
        </w:numPr>
        <w:pBdr/>
        <w:tabs>
          <w:tab w:val="left" w:leader="none" w:pos="0"/>
          <w:tab w:val="clear" w:leader="none" w:pos="454"/>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sz w:val="24"/>
          <w:szCs w:val="24"/>
        </w:rPr>
        <w:t xml:space="preserve">A comprovação de que a cooperativa possui a estrutura necessária para a execução técnica dos serviços de engenharia, sem que haja a configuração de intermediação irregular de mão de obra.</w:t>
      </w:r>
      <w:r>
        <w:rPr>
          <w:rFonts w:ascii="Times New Roman" w:hAnsi="Times New Roman" w:cs="Times New Roman"/>
          <w:color w:val="000000"/>
          <w:sz w:val="24"/>
          <w:szCs w:val="24"/>
        </w:rPr>
      </w:r>
      <w:r>
        <w:rPr>
          <w:rFonts w:ascii="Times New Roman" w:hAnsi="Times New Roman" w:cs="Times New Roman"/>
          <w:color w:val="000000"/>
          <w:sz w:val="24"/>
          <w:szCs w:val="24"/>
        </w:rPr>
      </w:r>
    </w:p>
    <w:p w14:paraId="3FE5B2F7">
      <w:pPr>
        <w:numPr>
          <w:ilvl w:val="0"/>
          <w:numId w:val="57"/>
        </w:numPr>
        <w:pBdr/>
        <w:tabs>
          <w:tab w:val="left" w:leader="none" w:pos="0"/>
          <w:tab w:val="clear" w:leader="none" w:pos="454"/>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sz w:val="24"/>
          <w:szCs w:val="24"/>
        </w:rPr>
        <w:t xml:space="preserve">Vedação à Participação de uma mesma Empresa em mais de um Consórcio Para preservar a isonomia e a competitividade, nenhuma empresa poderá participar de mais de um consórcio ou atuar simultaneamente de forma isolada e em consórcio no mesmo item do certame.</w:t>
      </w:r>
      <w:r>
        <w:rPr>
          <w:rFonts w:ascii="Times New Roman" w:hAnsi="Times New Roman" w:cs="Times New Roman"/>
          <w:color w:val="000000"/>
          <w:sz w:val="24"/>
          <w:szCs w:val="24"/>
        </w:rPr>
      </w:r>
      <w:r>
        <w:rPr>
          <w:rFonts w:ascii="Times New Roman" w:hAnsi="Times New Roman" w:cs="Times New Roman"/>
          <w:color w:val="000000"/>
          <w:sz w:val="24"/>
          <w:szCs w:val="24"/>
        </w:rPr>
      </w:r>
    </w:p>
    <w:p w14:paraId="0F44E176">
      <w:pPr>
        <w:pBdr/>
        <w:spacing w:line="360" w:lineRule="auto"/>
        <w:ind/>
        <w:contextualSpacing w:val="true"/>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DA CAPACIDADE E QUALIFICAÇÃO T</w:t>
      </w:r>
      <w:r>
        <w:rPr>
          <w:rFonts w:hint="default" w:ascii="Times New Roman" w:hAnsi="Times New Roman" w:cs="Times New Roman"/>
          <w:b/>
          <w:bCs/>
          <w:color w:val="000000"/>
          <w:sz w:val="24"/>
          <w:szCs w:val="24"/>
          <w:lang w:val="pt-BR"/>
        </w:rPr>
        <w:t xml:space="preserve">É</w:t>
      </w:r>
      <w:r>
        <w:rPr>
          <w:rFonts w:ascii="Times New Roman" w:hAnsi="Times New Roman" w:cs="Times New Roman"/>
          <w:b/>
          <w:bCs/>
          <w:color w:val="000000"/>
          <w:sz w:val="24"/>
          <w:szCs w:val="24"/>
        </w:rPr>
        <w:t xml:space="preserve">CNICA:</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14:paraId="16A5895E">
      <w:pPr>
        <w:numPr>
          <w:ilvl w:val="0"/>
          <w:numId w:val="0"/>
        </w:numPr>
        <w:pBdr/>
        <w:shd w:val="clear" w:color="auto"/>
        <w:spacing w:line="360" w:lineRule="auto"/>
        <w:ind/>
        <w:contextualSpacing w:val="true"/>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CAPACIDADE TÉCNICA</w:t>
      </w:r>
      <w:r>
        <w:rPr>
          <w:rFonts w:hint="default" w:ascii="Times New Roman" w:hAnsi="Times New Roman" w:cs="Times New Roman"/>
          <w:b/>
          <w:bCs/>
          <w:color w:val="000000"/>
          <w:sz w:val="24"/>
          <w:szCs w:val="24"/>
          <w:lang w:val="pt-BR"/>
        </w:rPr>
        <w:t xml:space="preserve"> OPERACIONAL</w:t>
      </w:r>
      <w:r>
        <w:rPr>
          <w:rFonts w:ascii="Times New Roman" w:hAnsi="Times New Roman" w:cs="Times New Roman"/>
          <w:b/>
          <w:bCs/>
          <w:color w:val="000000"/>
          <w:sz w:val="24"/>
          <w:szCs w:val="24"/>
        </w:rPr>
        <w:t xml:space="preserve">:</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14:paraId="191BA58E">
      <w:pPr>
        <w:numPr>
          <w:ilvl w:val="0"/>
          <w:numId w:val="58"/>
        </w:numPr>
        <w:pBdr/>
        <w:shd w:val="clear" w:color="auto"/>
        <w:tabs>
          <w:tab w:val="left" w:leader="none" w:pos="0"/>
          <w:tab w:val="clear" w:leader="none" w:pos="425"/>
        </w:tabs>
        <w:spacing w:line="360" w:lineRule="auto"/>
        <w:ind w:firstLine="0" w:left="0"/>
        <w:contextualSpacing w:val="true"/>
        <w:jc w:val="both"/>
        <w:rPr>
          <w:rFonts w:hint="default" w:ascii="Times New Roman" w:hAnsi="Times New Roman" w:cs="Times New Roman"/>
          <w:color w:val="000000"/>
          <w:sz w:val="24"/>
          <w:szCs w:val="24"/>
          <w:lang w:val="pt-BR"/>
        </w:rPr>
      </w:pPr>
      <w:r>
        <w:rPr>
          <w:rFonts w:ascii="Times New Roman" w:hAnsi="Times New Roman" w:cs="Times New Roman"/>
          <w:color w:val="000000"/>
          <w:sz w:val="24"/>
          <w:szCs w:val="24"/>
        </w:rPr>
        <w:t xml:space="preserve">Certidão de Registro de Pessoa Jurídica, no Conselho Regional de Engenharia e Agronomia (CREA) ou no Conselho Regional de Arquitetura e Urbanismo (CAU), da empresa licitante, onde constem seus responsáveis técnicos, da região a que estiverem vinculados</w:t>
      </w:r>
      <w:r>
        <w:rPr>
          <w:rFonts w:hint="default" w:ascii="Times New Roman" w:hAnsi="Times New Roman" w:cs="Times New Roman"/>
          <w:color w:val="000000"/>
          <w:sz w:val="24"/>
          <w:szCs w:val="24"/>
          <w:lang w:val="pt-BR"/>
        </w:rPr>
        <w:t xml:space="preserve">:</w:t>
      </w:r>
      <w:r>
        <w:rPr>
          <w:rFonts w:hint="default" w:ascii="Times New Roman" w:hAnsi="Times New Roman" w:cs="Times New Roman"/>
          <w:color w:val="000000"/>
          <w:sz w:val="24"/>
          <w:szCs w:val="24"/>
          <w:lang w:val="pt-BR"/>
        </w:rPr>
      </w:r>
      <w:r>
        <w:rPr>
          <w:rFonts w:hint="default" w:ascii="Times New Roman" w:hAnsi="Times New Roman" w:cs="Times New Roman"/>
          <w:color w:val="000000"/>
          <w:sz w:val="24"/>
          <w:szCs w:val="24"/>
          <w:lang w:val="pt-BR"/>
        </w:rPr>
      </w:r>
    </w:p>
    <w:p w14:paraId="74D7E8C6">
      <w:pPr>
        <w:numPr>
          <w:ilvl w:val="0"/>
          <w:numId w:val="0"/>
        </w:numPr>
        <w:pBdr/>
        <w:shd w:val="clear" w:color="auto"/>
        <w:spacing w:line="360" w:lineRule="auto"/>
        <w:ind/>
        <w:contextualSpacing w:val="true"/>
        <w:jc w:val="both"/>
        <w:rPr>
          <w:rFonts w:hint="default" w:ascii="Times New Roman" w:hAnsi="Times New Roman" w:cs="Times New Roman"/>
          <w:color w:val="000000"/>
          <w:sz w:val="24"/>
          <w:szCs w:val="24"/>
          <w:lang w:val="pt-BR"/>
        </w:rPr>
      </w:pPr>
      <w:r>
        <w:rPr>
          <w:rFonts w:hint="default" w:ascii="Times New Roman" w:hAnsi="Times New Roman" w:cs="Times New Roman"/>
          <w:color w:val="000000"/>
          <w:sz w:val="24"/>
          <w:szCs w:val="24"/>
          <w:lang w:val="pt-BR"/>
        </w:rPr>
      </w:r>
      <w:r>
        <w:rPr>
          <w:rFonts w:hint="default" w:ascii="Times New Roman" w:hAnsi="Times New Roman" w:cs="Times New Roman"/>
          <w:color w:val="000000"/>
          <w:sz w:val="24"/>
          <w:szCs w:val="24"/>
          <w:lang w:val="pt-BR"/>
        </w:rPr>
      </w:r>
      <w:r>
        <w:rPr>
          <w:rFonts w:hint="default" w:ascii="Times New Roman" w:hAnsi="Times New Roman" w:cs="Times New Roman"/>
          <w:color w:val="000000"/>
          <w:sz w:val="24"/>
          <w:szCs w:val="24"/>
          <w:lang w:val="pt-BR"/>
        </w:rPr>
      </w:r>
    </w:p>
    <w:p w14:paraId="1FD0A020">
      <w:pPr>
        <w:pBdr/>
        <w:shd w:val="clear" w:color="auto"/>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a.1) No caso de a empresa licitante e/ou os responsáveis técnicos não serem registrados ou inscritos no CREA ou CAU do Mato Grosso, somente serão exigidos os respectivos vistos no CREA-MT ou CAU-MT na ocasião da assinatura do Contrato.</w:t>
      </w:r>
      <w:r>
        <w:rPr>
          <w:rFonts w:ascii="Times New Roman" w:hAnsi="Times New Roman" w:cs="Times New Roman"/>
          <w:color w:val="000000"/>
          <w:sz w:val="24"/>
          <w:szCs w:val="24"/>
        </w:rPr>
      </w:r>
      <w:r>
        <w:rPr>
          <w:rFonts w:ascii="Times New Roman" w:hAnsi="Times New Roman" w:cs="Times New Roman"/>
          <w:color w:val="000000"/>
          <w:sz w:val="24"/>
          <w:szCs w:val="24"/>
        </w:rPr>
      </w:r>
    </w:p>
    <w:p w14:paraId="7FD28C7F">
      <w:pPr>
        <w:numPr>
          <w:ilvl w:val="0"/>
          <w:numId w:val="0"/>
        </w:numPr>
        <w:pBdr/>
        <w:shd w:val="clear" w:color="auto"/>
        <w:tabs>
          <w:tab w:val="left" w:leader="none" w:pos="200"/>
        </w:tabs>
        <w:spacing w:line="360" w:lineRule="auto"/>
        <w:ind w:left="195"/>
        <w:contextualSpacing w:val="true"/>
        <w:jc w:val="both"/>
        <w:rPr>
          <w:rFonts w:ascii="Times New Roman" w:hAnsi="Times New Roman" w:cs="Times New Roman"/>
          <w:color w:val="000000"/>
          <w:sz w:val="24"/>
          <w:szCs w:val="24"/>
        </w:rPr>
      </w:pPr>
      <w:r>
        <w:rPr>
          <w:rFonts w:hint="default" w:ascii="Times New Roman" w:hAnsi="Times New Roman" w:cs="Times New Roman"/>
          <w:color w:val="000000"/>
          <w:sz w:val="24"/>
          <w:szCs w:val="24"/>
          <w:lang w:val="pt-BR"/>
        </w:rPr>
        <w:t xml:space="preserve">A </w:t>
      </w:r>
      <w:r>
        <w:rPr>
          <w:rFonts w:ascii="Times New Roman" w:hAnsi="Times New Roman" w:cs="Times New Roman"/>
          <w:color w:val="000000"/>
          <w:sz w:val="24"/>
          <w:szCs w:val="24"/>
        </w:rPr>
        <w:t xml:space="preserve">Apresentação de pelo menos 01 (um) atestado emitido em nome da licitante, devendo estar devidam</w:t>
      </w:r>
      <w:r>
        <w:rPr>
          <w:rFonts w:ascii="Times New Roman" w:hAnsi="Times New Roman" w:cs="Times New Roman"/>
          <w:color w:val="000000"/>
          <w:sz w:val="24"/>
          <w:szCs w:val="24"/>
        </w:rPr>
        <w:t xml:space="preserve">ente acompanhado da certidão de acervo técnico (CAT) emitida pelo conselho de fiscalização profissional competente em nome dos profissionais vinculados aos referidos atestados, como forma de conferir autenticidade e veracidade às informações constantes nos</w:t>
      </w:r>
      <w:r>
        <w:rPr>
          <w:rFonts w:ascii="Times New Roman" w:hAnsi="Times New Roman" w:cs="Times New Roman"/>
          <w:color w:val="000000"/>
          <w:sz w:val="24"/>
          <w:szCs w:val="24"/>
        </w:rPr>
        <w:t xml:space="preserve"> documentos emitidos em nome das licitantes (Acórdão 3298/2022 Segunda Câmara – TCU), onde fique comprovada a execução de obra/serviços com características semelhantes ao objeto da licitação, as quais não precisam constar simultaneamente do mesmo atestado:</w:t>
      </w:r>
      <w:r>
        <w:rPr>
          <w:rFonts w:ascii="Times New Roman" w:hAnsi="Times New Roman" w:cs="Times New Roman"/>
          <w:color w:val="000000"/>
          <w:sz w:val="24"/>
          <w:szCs w:val="24"/>
        </w:rPr>
      </w:r>
      <w:r>
        <w:rPr>
          <w:rFonts w:ascii="Times New Roman" w:hAnsi="Times New Roman" w:cs="Times New Roman"/>
          <w:color w:val="000000"/>
          <w:sz w:val="24"/>
          <w:szCs w:val="24"/>
        </w:rPr>
      </w:r>
    </w:p>
    <w:p w14:paraId="1A167D76">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p w14:paraId="7152A3EA">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Item I - Maior relevância global mínimo a ser comprovada (subitem “I” e “II”)</w:t>
      </w:r>
      <w:r>
        <w:rPr>
          <w:rFonts w:ascii="Times New Roman" w:hAnsi="Times New Roman" w:cs="Times New Roman"/>
          <w:color w:val="000000"/>
          <w:sz w:val="24"/>
          <w:szCs w:val="24"/>
        </w:rPr>
      </w:r>
      <w:r>
        <w:rPr>
          <w:rFonts w:ascii="Times New Roman" w:hAnsi="Times New Roman" w:cs="Times New Roman"/>
          <w:color w:val="000000"/>
          <w:sz w:val="24"/>
          <w:szCs w:val="24"/>
        </w:rPr>
      </w:r>
    </w:p>
    <w:p w14:paraId="7BA70693">
      <w:pPr>
        <w:pStyle w:val="1104"/>
        <w:pBdr/>
        <w:spacing w:line="360" w:lineRule="auto"/>
        <w:ind/>
        <w:jc w:val="both"/>
        <w:rPr>
          <w:b/>
          <w:bCs/>
          <w:sz w:val="24"/>
          <w:lang w:val="pt-BR" w:eastAsia="zh-CN"/>
        </w:rPr>
      </w:pPr>
      <w:r>
        <w:rPr>
          <w:b/>
          <w:bCs/>
          <w:sz w:val="24"/>
          <w:lang w:eastAsia="zh-CN"/>
        </w:rPr>
        <w:t xml:space="preserve">execução de obras </w:t>
      </w:r>
      <w:r>
        <w:rPr>
          <w:b/>
          <w:bCs/>
          <w:sz w:val="24"/>
          <w:lang w:eastAsia="zh-CN"/>
        </w:rPr>
        <w:t xml:space="preserve">e serviços de engenharia voltados à infraestrutura urbana e acessibilidade, englobando a implantação e reforma de passeios públicos (calçadas e calçadões), assentamento de guias e sarjetas, estruturação de pátios de estacionamento e serviços de paisagismo.</w:t>
      </w:r>
      <w:r>
        <w:rPr>
          <w:b/>
          <w:bCs/>
          <w:sz w:val="24"/>
          <w:lang w:val="pt-BR" w:eastAsia="zh-CN"/>
        </w:rPr>
      </w:r>
      <w:r>
        <w:rPr>
          <w:b/>
          <w:bCs/>
          <w:sz w:val="24"/>
          <w:lang w:val="pt-BR" w:eastAsia="zh-CN"/>
        </w:rPr>
      </w:r>
    </w:p>
    <w:p w14:paraId="6EB61807">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p w14:paraId="00A597DD">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Item II - Parcelas de maior relevância técnica a ser comprovada:</w:t>
      </w:r>
      <w:r>
        <w:rPr>
          <w:rFonts w:ascii="Times New Roman" w:hAnsi="Times New Roman" w:cs="Times New Roman"/>
          <w:color w:val="000000"/>
          <w:sz w:val="24"/>
          <w:szCs w:val="24"/>
        </w:rPr>
      </w:r>
      <w:r>
        <w:rPr>
          <w:rFonts w:ascii="Times New Roman" w:hAnsi="Times New Roman" w:cs="Times New Roman"/>
          <w:color w:val="000000"/>
          <w:sz w:val="24"/>
          <w:szCs w:val="24"/>
        </w:rPr>
      </w:r>
    </w:p>
    <w:p w14:paraId="2C440861">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p w14:paraId="296CD406">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b.1) será permitido somatório de atestados, para atendimento dos itens de “maior relevância global” </w:t>
      </w:r>
      <w:r>
        <w:rPr>
          <w:rFonts w:ascii="Times New Roman" w:hAnsi="Times New Roman" w:cs="Times New Roman"/>
          <w:color w:val="000000"/>
          <w:sz w:val="24"/>
          <w:szCs w:val="24"/>
        </w:rPr>
      </w:r>
      <w:r>
        <w:rPr>
          <w:rFonts w:ascii="Times New Roman" w:hAnsi="Times New Roman" w:cs="Times New Roman"/>
          <w:color w:val="000000"/>
          <w:sz w:val="24"/>
          <w:szCs w:val="24"/>
        </w:rPr>
      </w:r>
    </w:p>
    <w:tbl>
      <w:tblPr>
        <w:tblStyle w:val="1096"/>
        <w:tblInd w:w="-8" w:type="dxa"/>
        <w:tblW w:w="0" w:type="auto"/>
        <w:tblCellMar>
          <w:left w:w="0" w:type="dxa"/>
          <w:top w:w="0" w:type="dxa"/>
          <w:right w:w="0"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Spacing w:w="15" w:type="dxa"/>
        <w:tblLook w:val="04A0" w:firstRow="1" w:lastRow="0" w:firstColumn="1" w:lastColumn="0" w:noHBand="0" w:noVBand="1"/>
      </w:tblPr>
      <w:tblGrid>
        <w:gridCol w:w="882"/>
        <w:gridCol w:w="2691"/>
        <w:gridCol w:w="891"/>
        <w:gridCol w:w="1693"/>
        <w:gridCol w:w="1490"/>
        <w:gridCol w:w="1514"/>
      </w:tblGrid>
      <w:tr>
        <w:trPr>
          <w:tblCellSpacing w:w="15" w:type="dxa"/>
          <w:tblHeader/>
        </w:trPr>
        <w:tc>
          <w:tcPr>
            <w:tcBorders/>
            <w:tcMar>
              <w:left w:w="0" w:type="dxa"/>
              <w:top w:w="240" w:type="dxa"/>
              <w:right w:w="180" w:type="dxa"/>
              <w:bottom w:w="240" w:type="dxa"/>
            </w:tcMar>
            <w:tcW w:w="837" w:type="dxa"/>
            <w:vAlign w:val="center"/>
          </w:tcPr>
          <w:p w14:paraId="5B3F2373">
            <w:pPr>
              <w:pBdr/>
              <w:spacing w:line="360" w:lineRule="auto"/>
              <w:ind w:left="141"/>
              <w:contextualSpacing w:val="true"/>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Item</w:t>
            </w:r>
            <w:r>
              <w:rPr>
                <w:rFonts w:ascii="Times New Roman" w:hAnsi="Times New Roman" w:cs="Times New Roman"/>
                <w:b/>
                <w:bCs/>
                <w:color w:val="000000"/>
                <w:sz w:val="18"/>
                <w:szCs w:val="18"/>
              </w:rPr>
            </w:r>
            <w:r>
              <w:rPr>
                <w:rFonts w:ascii="Times New Roman" w:hAnsi="Times New Roman" w:cs="Times New Roman"/>
                <w:b/>
                <w:bCs/>
                <w:color w:val="000000"/>
                <w:sz w:val="18"/>
                <w:szCs w:val="18"/>
              </w:rPr>
            </w:r>
          </w:p>
        </w:tc>
        <w:tc>
          <w:tcPr>
            <w:tcBorders/>
            <w:tcMar>
              <w:left w:w="0" w:type="dxa"/>
              <w:top w:w="240" w:type="dxa"/>
              <w:right w:w="180" w:type="dxa"/>
              <w:bottom w:w="240" w:type="dxa"/>
            </w:tcMar>
            <w:tcW w:w="2661" w:type="dxa"/>
            <w:vAlign w:val="center"/>
          </w:tcPr>
          <w:p w14:paraId="2801B234">
            <w:pPr>
              <w:pBdr/>
              <w:spacing w:line="360" w:lineRule="auto"/>
              <w:ind w:left="141"/>
              <w:contextualSpacing w:val="true"/>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Serviço</w:t>
            </w:r>
            <w:r>
              <w:rPr>
                <w:rFonts w:ascii="Times New Roman" w:hAnsi="Times New Roman" w:cs="Times New Roman"/>
                <w:b/>
                <w:bCs/>
                <w:color w:val="000000"/>
                <w:sz w:val="18"/>
                <w:szCs w:val="18"/>
              </w:rPr>
            </w:r>
            <w:r>
              <w:rPr>
                <w:rFonts w:ascii="Times New Roman" w:hAnsi="Times New Roman" w:cs="Times New Roman"/>
                <w:b/>
                <w:bCs/>
                <w:color w:val="000000"/>
                <w:sz w:val="18"/>
                <w:szCs w:val="18"/>
              </w:rPr>
            </w:r>
          </w:p>
        </w:tc>
        <w:tc>
          <w:tcPr>
            <w:tcBorders/>
            <w:tcMar>
              <w:left w:w="0" w:type="dxa"/>
              <w:top w:w="240" w:type="dxa"/>
              <w:right w:w="180" w:type="dxa"/>
              <w:bottom w:w="240" w:type="dxa"/>
            </w:tcMar>
            <w:tcW w:w="861" w:type="dxa"/>
            <w:vAlign w:val="center"/>
          </w:tcPr>
          <w:p w14:paraId="3241C282">
            <w:pPr>
              <w:pBdr/>
              <w:spacing w:line="360" w:lineRule="auto"/>
              <w:ind w:left="141"/>
              <w:contextualSpacing w:val="true"/>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Unid</w:t>
            </w:r>
            <w:r>
              <w:rPr>
                <w:rFonts w:ascii="Times New Roman" w:hAnsi="Times New Roman" w:cs="Times New Roman"/>
                <w:b/>
                <w:bCs/>
                <w:color w:val="000000"/>
                <w:sz w:val="18"/>
                <w:szCs w:val="18"/>
              </w:rPr>
            </w:r>
            <w:r>
              <w:rPr>
                <w:rFonts w:ascii="Times New Roman" w:hAnsi="Times New Roman" w:cs="Times New Roman"/>
                <w:b/>
                <w:bCs/>
                <w:color w:val="000000"/>
                <w:sz w:val="18"/>
                <w:szCs w:val="18"/>
              </w:rPr>
            </w:r>
          </w:p>
        </w:tc>
        <w:tc>
          <w:tcPr>
            <w:tcBorders/>
            <w:tcMar>
              <w:left w:w="0" w:type="dxa"/>
              <w:top w:w="240" w:type="dxa"/>
              <w:right w:w="180" w:type="dxa"/>
              <w:bottom w:w="240" w:type="dxa"/>
            </w:tcMar>
            <w:tcW w:w="1663" w:type="dxa"/>
            <w:vAlign w:val="center"/>
          </w:tcPr>
          <w:p w14:paraId="6E388D14">
            <w:pPr>
              <w:pBdr/>
              <w:spacing w:line="360" w:lineRule="auto"/>
              <w:ind w:left="141"/>
              <w:contextualSpacing w:val="true"/>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Quantitativo orçado</w:t>
            </w:r>
            <w:r>
              <w:rPr>
                <w:rFonts w:ascii="Times New Roman" w:hAnsi="Times New Roman" w:cs="Times New Roman"/>
                <w:b/>
                <w:bCs/>
                <w:color w:val="000000"/>
                <w:sz w:val="18"/>
                <w:szCs w:val="18"/>
              </w:rPr>
            </w:r>
            <w:r>
              <w:rPr>
                <w:rFonts w:ascii="Times New Roman" w:hAnsi="Times New Roman" w:cs="Times New Roman"/>
                <w:b/>
                <w:bCs/>
                <w:color w:val="000000"/>
                <w:sz w:val="18"/>
                <w:szCs w:val="18"/>
              </w:rPr>
            </w:r>
          </w:p>
        </w:tc>
        <w:tc>
          <w:tcPr>
            <w:tcBorders/>
            <w:tcMar>
              <w:left w:w="0" w:type="dxa"/>
              <w:top w:w="240" w:type="dxa"/>
              <w:right w:w="180" w:type="dxa"/>
              <w:bottom w:w="240" w:type="dxa"/>
            </w:tcMar>
            <w:tcW w:w="1460" w:type="dxa"/>
            <w:vAlign w:val="center"/>
          </w:tcPr>
          <w:p w14:paraId="3B85E1D8">
            <w:pPr>
              <w:pBdr/>
              <w:spacing w:line="360" w:lineRule="auto"/>
              <w:ind w:left="141"/>
              <w:contextualSpacing w:val="true"/>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Quantitativo a ser comprovado</w:t>
            </w:r>
            <w:r>
              <w:rPr>
                <w:rFonts w:ascii="Times New Roman" w:hAnsi="Times New Roman" w:cs="Times New Roman"/>
                <w:b/>
                <w:bCs/>
                <w:color w:val="000000"/>
                <w:sz w:val="18"/>
                <w:szCs w:val="18"/>
              </w:rPr>
            </w:r>
            <w:r>
              <w:rPr>
                <w:rFonts w:ascii="Times New Roman" w:hAnsi="Times New Roman" w:cs="Times New Roman"/>
                <w:b/>
                <w:bCs/>
                <w:color w:val="000000"/>
                <w:sz w:val="18"/>
                <w:szCs w:val="18"/>
              </w:rPr>
            </w:r>
          </w:p>
        </w:tc>
        <w:tc>
          <w:tcPr>
            <w:tcBorders/>
            <w:tcMar>
              <w:left w:w="0" w:type="dxa"/>
              <w:top w:w="240" w:type="dxa"/>
              <w:right w:w="0" w:type="dxa"/>
              <w:bottom w:w="240" w:type="dxa"/>
            </w:tcMar>
            <w:tcW w:w="1469" w:type="dxa"/>
            <w:vAlign w:val="center"/>
          </w:tcPr>
          <w:p w14:paraId="418A896E">
            <w:pPr>
              <w:pBdr/>
              <w:spacing w:line="360" w:lineRule="auto"/>
              <w:ind w:left="141"/>
              <w:contextualSpacing w:val="true"/>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Relevância</w:t>
            </w:r>
            <w:r>
              <w:rPr>
                <w:rFonts w:ascii="Times New Roman" w:hAnsi="Times New Roman" w:cs="Times New Roman"/>
                <w:b/>
                <w:bCs/>
                <w:color w:val="000000"/>
                <w:sz w:val="18"/>
                <w:szCs w:val="18"/>
              </w:rPr>
            </w:r>
            <w:r>
              <w:rPr>
                <w:rFonts w:ascii="Times New Roman" w:hAnsi="Times New Roman" w:cs="Times New Roman"/>
                <w:b/>
                <w:bCs/>
                <w:color w:val="000000"/>
                <w:sz w:val="18"/>
                <w:szCs w:val="18"/>
              </w:rPr>
            </w:r>
          </w:p>
        </w:tc>
      </w:tr>
      <w:tr>
        <w:trPr>
          <w:tblCellSpacing w:w="15" w:type="dxa"/>
          <w:trHeight w:val="2246"/>
        </w:trPr>
        <w:tc>
          <w:tcPr>
            <w:tcBorders/>
            <w:tcMar>
              <w:left w:w="0" w:type="dxa"/>
              <w:top w:w="240" w:type="dxa"/>
              <w:right w:w="180" w:type="dxa"/>
              <w:bottom w:w="240" w:type="dxa"/>
            </w:tcMar>
            <w:tcW w:w="837" w:type="dxa"/>
            <w:vAlign w:val="center"/>
          </w:tcPr>
          <w:p w14:paraId="122FA1BB">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01</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2661" w:type="dxa"/>
            <w:vAlign w:val="center"/>
          </w:tcPr>
          <w:p w14:paraId="75DF93D8">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EXECUÇÃO DE PAVIMENTO EM PISO INTERTRAVADO, COM BLOCO RETANGULAR COR NATURAL DE 20 X 10 CM, ESPESSURA 6 CM. AF_10/2022</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861" w:type="dxa"/>
            <w:vAlign w:val="center"/>
          </w:tcPr>
          <w:p w14:paraId="54570B91">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m²</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1663" w:type="dxa"/>
            <w:vAlign w:val="center"/>
          </w:tcPr>
          <w:p w14:paraId="1BF5837E">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12.000,00</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1460" w:type="dxa"/>
            <w:vAlign w:val="center"/>
          </w:tcPr>
          <w:p w14:paraId="35DF5ED9">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6.000,00</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0" w:type="dxa"/>
              <w:bottom w:w="240" w:type="dxa"/>
            </w:tcMar>
            <w:tcW w:w="1469" w:type="dxa"/>
            <w:vAlign w:val="center"/>
          </w:tcPr>
          <w:p w14:paraId="283C8393">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50%</w:t>
            </w: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blCellSpacing w:w="15" w:type="dxa"/>
        </w:trPr>
        <w:tc>
          <w:tcPr>
            <w:tcBorders/>
            <w:tcMar>
              <w:left w:w="0" w:type="dxa"/>
              <w:top w:w="240" w:type="dxa"/>
              <w:right w:w="180" w:type="dxa"/>
              <w:bottom w:w="240" w:type="dxa"/>
            </w:tcMar>
            <w:tcW w:w="837" w:type="dxa"/>
            <w:vAlign w:val="center"/>
          </w:tcPr>
          <w:p w14:paraId="43C95060">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02</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2661" w:type="dxa"/>
            <w:vAlign w:val="center"/>
          </w:tcPr>
          <w:p w14:paraId="3E49A9E7">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GUIA (MEIO-FIO) CONCRETO, MOLDADA IN LOCO EM TRECHO RETO COM EXTRUSORA, 15 CM BASE X 30 CM ALTURA. AF_01/2024</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861" w:type="dxa"/>
            <w:vAlign w:val="center"/>
          </w:tcPr>
          <w:p w14:paraId="38F873B7">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M</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1663" w:type="dxa"/>
            <w:vAlign w:val="center"/>
          </w:tcPr>
          <w:p w14:paraId="7CC2540A">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10.000,00</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1460" w:type="dxa"/>
            <w:vAlign w:val="center"/>
          </w:tcPr>
          <w:p w14:paraId="2E36BB10">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5.000,00</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0" w:type="dxa"/>
              <w:bottom w:w="240" w:type="dxa"/>
            </w:tcMar>
            <w:tcW w:w="1469" w:type="dxa"/>
            <w:vAlign w:val="center"/>
          </w:tcPr>
          <w:p w14:paraId="3CE340AC">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50%</w:t>
            </w: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blCellSpacing w:w="15" w:type="dxa"/>
        </w:trPr>
        <w:tc>
          <w:tcPr>
            <w:tcBorders/>
            <w:tcMar>
              <w:left w:w="0" w:type="dxa"/>
              <w:top w:w="240" w:type="dxa"/>
              <w:right w:w="180" w:type="dxa"/>
              <w:bottom w:w="240" w:type="dxa"/>
            </w:tcMar>
            <w:tcW w:w="837" w:type="dxa"/>
            <w:vAlign w:val="center"/>
          </w:tcPr>
          <w:p w14:paraId="2B7ABE20">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03</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2661" w:type="dxa"/>
            <w:vAlign w:val="center"/>
          </w:tcPr>
          <w:p w14:paraId="6D5340E1">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CANALETA MEIA CANA D = 0,40 M ASSENTE SOBRE LASTRO DE AREIA - AREIA E BRITA COMERCIAIS - FORNECIMENTO E INSTALAÇÃO</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861" w:type="dxa"/>
            <w:vAlign w:val="center"/>
          </w:tcPr>
          <w:p w14:paraId="73ADBF13">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m</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1663" w:type="dxa"/>
            <w:vAlign w:val="center"/>
          </w:tcPr>
          <w:p w14:paraId="2BC842E5">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5.000,00</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1460" w:type="dxa"/>
            <w:vAlign w:val="center"/>
          </w:tcPr>
          <w:p w14:paraId="04A0E1FF">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2.500,00</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0" w:type="dxa"/>
              <w:bottom w:w="240" w:type="dxa"/>
            </w:tcMar>
            <w:tcW w:w="1469" w:type="dxa"/>
            <w:vAlign w:val="center"/>
          </w:tcPr>
          <w:p w14:paraId="6F92F74C">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50%</w:t>
            </w: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blCellSpacing w:w="15" w:type="dxa"/>
        </w:trPr>
        <w:tc>
          <w:tcPr>
            <w:tcBorders/>
            <w:tcMar>
              <w:left w:w="0" w:type="dxa"/>
              <w:top w:w="240" w:type="dxa"/>
              <w:right w:w="180" w:type="dxa"/>
              <w:bottom w:w="240" w:type="dxa"/>
            </w:tcMar>
            <w:tcW w:w="837" w:type="dxa"/>
            <w:vAlign w:val="center"/>
          </w:tcPr>
          <w:p w14:paraId="60D92BC2">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04</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2661" w:type="dxa"/>
            <w:vAlign w:val="center"/>
          </w:tcPr>
          <w:p w14:paraId="2F3D92D9">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PLANTIO DE GRAMA ESMERALDA OU SÃO CARLOS OU CURITIBANA, EM PLACAS. AF_07/2024</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861" w:type="dxa"/>
            <w:vAlign w:val="center"/>
          </w:tcPr>
          <w:p w14:paraId="15FB90C6">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m²</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1663" w:type="dxa"/>
            <w:vAlign w:val="center"/>
          </w:tcPr>
          <w:p w14:paraId="602BFFBE">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20.000,00</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1460" w:type="dxa"/>
            <w:vAlign w:val="center"/>
          </w:tcPr>
          <w:p w14:paraId="7D56BCBD">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10.000,00</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0" w:type="dxa"/>
              <w:bottom w:w="240" w:type="dxa"/>
            </w:tcMar>
            <w:tcW w:w="1469" w:type="dxa"/>
            <w:vAlign w:val="center"/>
          </w:tcPr>
          <w:p w14:paraId="4EEB9180">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50%</w:t>
            </w: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blCellSpacing w:w="15" w:type="dxa"/>
        </w:trPr>
        <w:tc>
          <w:tcPr>
            <w:tcBorders/>
            <w:tcMar>
              <w:left w:w="0" w:type="dxa"/>
              <w:top w:w="240" w:type="dxa"/>
              <w:right w:w="180" w:type="dxa"/>
              <w:bottom w:w="240" w:type="dxa"/>
            </w:tcMar>
            <w:tcW w:w="837" w:type="dxa"/>
            <w:vAlign w:val="center"/>
          </w:tcPr>
          <w:p w14:paraId="2570EEA6">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05</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2661" w:type="dxa"/>
            <w:vAlign w:val="center"/>
          </w:tcPr>
          <w:p w14:paraId="492B79DF">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MEIO-FIO DE CONCRETO - MFC 03 - AREIA E BRITA COMERCIAIS - FÔRMA DE MADEIRA (MANUTENÇÃO)</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861" w:type="dxa"/>
            <w:vAlign w:val="center"/>
          </w:tcPr>
          <w:p w14:paraId="66215228">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m</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1663" w:type="dxa"/>
            <w:vAlign w:val="center"/>
          </w:tcPr>
          <w:p w14:paraId="427E35FC">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5.000,00</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1460" w:type="dxa"/>
            <w:vAlign w:val="center"/>
          </w:tcPr>
          <w:p w14:paraId="57516D59">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2.500,00</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0" w:type="dxa"/>
              <w:bottom w:w="240" w:type="dxa"/>
            </w:tcMar>
            <w:tcW w:w="1469" w:type="dxa"/>
            <w:vAlign w:val="center"/>
          </w:tcPr>
          <w:p w14:paraId="6B65A1E2">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50%</w:t>
            </w: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blCellSpacing w:w="15" w:type="dxa"/>
        </w:trPr>
        <w:tc>
          <w:tcPr>
            <w:tcBorders/>
            <w:tcMar>
              <w:left w:w="0" w:type="dxa"/>
              <w:top w:w="240" w:type="dxa"/>
              <w:right w:w="180" w:type="dxa"/>
              <w:bottom w:w="240" w:type="dxa"/>
            </w:tcMar>
            <w:tcW w:w="837" w:type="dxa"/>
            <w:vAlign w:val="center"/>
          </w:tcPr>
          <w:p w14:paraId="5F0D0E24">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06</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2661" w:type="dxa"/>
            <w:vAlign w:val="center"/>
          </w:tcPr>
          <w:p w14:paraId="62772494">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EXECUÇÃO DE PASSEIO (CALÇADA) OU PISO DE CONCRETO COM CONCRETO MOLDADO IN LOCO, USINADO, ACABAMENTO CONVENCIONAL, ESPESSURA 6 CM, ( NÃO ARMADO). AF_08/2022</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861" w:type="dxa"/>
            <w:vAlign w:val="center"/>
          </w:tcPr>
          <w:p w14:paraId="799120C6">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m²</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1663" w:type="dxa"/>
            <w:vAlign w:val="center"/>
          </w:tcPr>
          <w:p w14:paraId="531EF968">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5.000,00</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1460" w:type="dxa"/>
            <w:vAlign w:val="center"/>
          </w:tcPr>
          <w:p w14:paraId="2A69B03A">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2.500,00</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0" w:type="dxa"/>
              <w:bottom w:w="240" w:type="dxa"/>
            </w:tcMar>
            <w:tcW w:w="1469" w:type="dxa"/>
            <w:vAlign w:val="center"/>
          </w:tcPr>
          <w:p w14:paraId="5A5658CA">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50%</w:t>
            </w: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blCellSpacing w:w="15" w:type="dxa"/>
        </w:trPr>
        <w:tc>
          <w:tcPr>
            <w:tcBorders/>
            <w:tcMar>
              <w:left w:w="0" w:type="dxa"/>
              <w:top w:w="240" w:type="dxa"/>
              <w:right w:w="180" w:type="dxa"/>
              <w:bottom w:w="240" w:type="dxa"/>
            </w:tcMar>
            <w:tcW w:w="837" w:type="dxa"/>
            <w:vAlign w:val="center"/>
          </w:tcPr>
          <w:p w14:paraId="0174271B">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07</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2661" w:type="dxa"/>
            <w:vAlign w:val="center"/>
          </w:tcPr>
          <w:p w14:paraId="35CE18ED">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EXECUÇÃO DE PAVIMENTO EM PISO INTERTRAVADO, COM BLOCO RETANGULAR COR NATURAL DE 20 X 10 CM, ESPESSURA 6 CM. (MÃO DE OBRA)</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861" w:type="dxa"/>
            <w:vAlign w:val="center"/>
          </w:tcPr>
          <w:p w14:paraId="19086B51">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m²</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1663" w:type="dxa"/>
            <w:vAlign w:val="center"/>
          </w:tcPr>
          <w:p w14:paraId="7FAD972E">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10.000,00</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1460" w:type="dxa"/>
            <w:vAlign w:val="center"/>
          </w:tcPr>
          <w:p w14:paraId="1DC97B52">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5.000,00</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0" w:type="dxa"/>
              <w:bottom w:w="240" w:type="dxa"/>
            </w:tcMar>
            <w:tcW w:w="1469" w:type="dxa"/>
            <w:vAlign w:val="center"/>
          </w:tcPr>
          <w:p w14:paraId="6F20DCCE">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50%</w:t>
            </w: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blCellSpacing w:w="15" w:type="dxa"/>
        </w:trPr>
        <w:tc>
          <w:tcPr>
            <w:tcBorders/>
            <w:tcMar>
              <w:left w:w="0" w:type="dxa"/>
              <w:top w:w="240" w:type="dxa"/>
              <w:right w:w="180" w:type="dxa"/>
              <w:bottom w:w="240" w:type="dxa"/>
            </w:tcMar>
            <w:tcW w:w="837" w:type="dxa"/>
            <w:vAlign w:val="center"/>
          </w:tcPr>
          <w:p w14:paraId="02F5C143">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08</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2661" w:type="dxa"/>
            <w:vAlign w:val="center"/>
          </w:tcPr>
          <w:p w14:paraId="7D6A20F8">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EXECUÇÃO DE PASSEIO (CALÇADA) OU PISO DE CONCRETO COM CONCRETO MOLDADO IN LOCO, USINADO, ACABAMENTO CONVENCIONAL, ESPESSURA 8 CM, ARMADO. AF_08/2022</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861" w:type="dxa"/>
            <w:vAlign w:val="center"/>
          </w:tcPr>
          <w:p w14:paraId="289EA441">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m²</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1663" w:type="dxa"/>
            <w:vAlign w:val="center"/>
          </w:tcPr>
          <w:p w14:paraId="7CF938D5">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1.500,00</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180" w:type="dxa"/>
              <w:bottom w:w="240" w:type="dxa"/>
            </w:tcMar>
            <w:tcW w:w="1460" w:type="dxa"/>
            <w:vAlign w:val="center"/>
          </w:tcPr>
          <w:p w14:paraId="3E3AE198">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750,00</w:t>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cMar>
              <w:left w:w="0" w:type="dxa"/>
              <w:top w:w="240" w:type="dxa"/>
              <w:right w:w="0" w:type="dxa"/>
              <w:bottom w:w="240" w:type="dxa"/>
            </w:tcMar>
            <w:tcW w:w="1469" w:type="dxa"/>
            <w:vAlign w:val="center"/>
          </w:tcPr>
          <w:p w14:paraId="2C7D14FD">
            <w:pPr>
              <w:pBdr/>
              <w:spacing w:line="360" w:lineRule="auto"/>
              <w:ind w:left="141"/>
              <w:contextualSpacing w:val="true"/>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50%</w:t>
            </w:r>
            <w:r>
              <w:rPr>
                <w:rFonts w:ascii="Times New Roman" w:hAnsi="Times New Roman" w:cs="Times New Roman"/>
                <w:color w:val="000000"/>
                <w:sz w:val="18"/>
                <w:szCs w:val="18"/>
              </w:rPr>
            </w:r>
            <w:r>
              <w:rPr>
                <w:rFonts w:ascii="Times New Roman" w:hAnsi="Times New Roman" w:cs="Times New Roman"/>
                <w:color w:val="000000"/>
                <w:sz w:val="18"/>
                <w:szCs w:val="18"/>
              </w:rPr>
            </w:r>
          </w:p>
        </w:tc>
      </w:tr>
    </w:tbl>
    <w:p w14:paraId="473600F0">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p w14:paraId="34841CAC">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e/ou aos de “maior relevância técnica contidas no objeto a ser licitado” para atendimento ao quantitativo mínimo.</w:t>
      </w:r>
      <w:r>
        <w:rPr>
          <w:rFonts w:ascii="Times New Roman" w:hAnsi="Times New Roman" w:cs="Times New Roman"/>
          <w:color w:val="000000"/>
          <w:sz w:val="24"/>
          <w:szCs w:val="24"/>
        </w:rPr>
      </w:r>
      <w:r>
        <w:rPr>
          <w:rFonts w:ascii="Times New Roman" w:hAnsi="Times New Roman" w:cs="Times New Roman"/>
          <w:color w:val="000000"/>
          <w:sz w:val="24"/>
          <w:szCs w:val="24"/>
        </w:rPr>
      </w:r>
    </w:p>
    <w:p w14:paraId="0AAB8B6C">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p w14:paraId="7251F5AE">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b.2) Caso seja necessário e mediante solicitação formal do Agente de Contratação, as licitantes deverão disponibilizar todas as informações e documentos que eventualm</w:t>
      </w:r>
      <w:r>
        <w:rPr>
          <w:rFonts w:ascii="Times New Roman" w:hAnsi="Times New Roman" w:cs="Times New Roman"/>
          <w:color w:val="000000"/>
          <w:sz w:val="24"/>
          <w:szCs w:val="24"/>
        </w:rPr>
        <w:t xml:space="preserve">ente se façam necessários à comprovação da legitimidade dos atestados apresentados, como cópia do contrato que deu suporte à contratação, relatórios técnicos e documentos complementares necessários à compreensão das características dos serviços executados.</w:t>
      </w:r>
      <w:r>
        <w:rPr>
          <w:rFonts w:ascii="Times New Roman" w:hAnsi="Times New Roman" w:cs="Times New Roman"/>
          <w:color w:val="000000"/>
          <w:sz w:val="24"/>
          <w:szCs w:val="24"/>
        </w:rPr>
      </w:r>
      <w:r>
        <w:rPr>
          <w:rFonts w:ascii="Times New Roman" w:hAnsi="Times New Roman" w:cs="Times New Roman"/>
          <w:color w:val="000000"/>
          <w:sz w:val="24"/>
          <w:szCs w:val="24"/>
        </w:rPr>
      </w:r>
    </w:p>
    <w:p w14:paraId="0FCE6552">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p w14:paraId="20C112F9">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b.3) Termo de Vistoria ou a Declaração de Dispensa de Vistoria, observado o disposto no subtópico 3.1 deste edital. (No anexo ao edital)</w:t>
      </w:r>
      <w:r>
        <w:rPr>
          <w:rFonts w:ascii="Times New Roman" w:hAnsi="Times New Roman" w:cs="Times New Roman"/>
          <w:color w:val="000000"/>
          <w:sz w:val="24"/>
          <w:szCs w:val="24"/>
        </w:rPr>
      </w:r>
      <w:r>
        <w:rPr>
          <w:rFonts w:ascii="Times New Roman" w:hAnsi="Times New Roman" w:cs="Times New Roman"/>
          <w:color w:val="000000"/>
          <w:sz w:val="24"/>
          <w:szCs w:val="24"/>
        </w:rPr>
      </w:r>
    </w:p>
    <w:p w14:paraId="52B11FFB">
      <w:pPr>
        <w:pBdr/>
        <w:spacing w:line="360" w:lineRule="auto"/>
        <w:ind/>
        <w:contextualSpacing w:val="true"/>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Capacidade Técnico-profissional:</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14:paraId="23AF308D">
      <w:pPr>
        <w:numPr>
          <w:ilvl w:val="0"/>
          <w:numId w:val="59"/>
        </w:numPr>
        <w:pBdr/>
        <w:tabs>
          <w:tab w:val="left" w:leader="none" w:pos="0"/>
          <w:tab w:val="clear" w:leader="none" w:pos="425"/>
        </w:tabs>
        <w:spacing w:line="360" w:lineRule="auto"/>
        <w:ind w:hanging="5" w:left="5"/>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Deverão ser apresentadas as Certidões de Registro do(s) Responsável(is) Técnico(s) junto ao CREA ou CAU da região a que estiver(em) vinculado(s).</w:t>
      </w:r>
      <w:r>
        <w:rPr>
          <w:rFonts w:ascii="Times New Roman" w:hAnsi="Times New Roman" w:cs="Times New Roman"/>
          <w:color w:val="000000"/>
          <w:sz w:val="24"/>
          <w:szCs w:val="24"/>
        </w:rPr>
      </w:r>
      <w:r>
        <w:rPr>
          <w:rFonts w:ascii="Times New Roman" w:hAnsi="Times New Roman" w:cs="Times New Roman"/>
          <w:color w:val="000000"/>
          <w:sz w:val="24"/>
          <w:szCs w:val="24"/>
        </w:rPr>
      </w:r>
    </w:p>
    <w:p w14:paraId="22BAC946">
      <w:pPr>
        <w:numPr>
          <w:ilvl w:val="0"/>
          <w:numId w:val="59"/>
        </w:numPr>
        <w:pBdr/>
        <w:tabs>
          <w:tab w:val="left" w:leader="none" w:pos="0"/>
          <w:tab w:val="clear" w:leader="none" w:pos="425"/>
        </w:tabs>
        <w:spacing w:line="360" w:lineRule="auto"/>
        <w:ind w:hanging="5" w:left="5"/>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 licitante deverá apresentar declaração indicando o nome, CPF e número do regi</w:t>
      </w:r>
      <w:r>
        <w:rPr>
          <w:rFonts w:ascii="Times New Roman" w:hAnsi="Times New Roman" w:cs="Times New Roman"/>
          <w:color w:val="000000"/>
          <w:sz w:val="24"/>
          <w:szCs w:val="24"/>
        </w:rPr>
        <w:t xml:space="preserve">stro no CREA ou CAU do responsável técnico que acompanhará a execução dos serviços de que trata o objeto deste Edital, devendo referir-se a profissional de nível superior e formação em Engenharia ou Arquitetura, e que tenha vínculo com a empresa licitante.</w:t>
      </w:r>
      <w:r>
        <w:rPr>
          <w:rFonts w:ascii="Times New Roman" w:hAnsi="Times New Roman" w:cs="Times New Roman"/>
          <w:color w:val="000000"/>
          <w:sz w:val="24"/>
          <w:szCs w:val="24"/>
        </w:rPr>
      </w:r>
      <w:r>
        <w:rPr>
          <w:rFonts w:ascii="Times New Roman" w:hAnsi="Times New Roman" w:cs="Times New Roman"/>
          <w:color w:val="000000"/>
          <w:sz w:val="24"/>
          <w:szCs w:val="24"/>
        </w:rPr>
      </w:r>
    </w:p>
    <w:p w14:paraId="120C7B2A">
      <w:pPr>
        <w:numPr>
          <w:ilvl w:val="0"/>
          <w:numId w:val="59"/>
        </w:numPr>
        <w:pBdr/>
        <w:tabs>
          <w:tab w:val="left" w:leader="none" w:pos="0"/>
          <w:tab w:val="clear" w:leader="none" w:pos="425"/>
        </w:tabs>
        <w:spacing w:line="360" w:lineRule="auto"/>
        <w:ind w:hanging="5" w:left="5"/>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 comprovação do vínculo se fará com a apresentação de cópia dos seguintes documentos: contrato social da licitante em que conste o(a) profissional como sócio(a); carteira de trabalho (CTPS), </w:t>
      </w:r>
      <w:r>
        <w:rPr>
          <w:rFonts w:ascii="Times New Roman" w:hAnsi="Times New Roman" w:cs="Times New Roman"/>
          <w:color w:val="000000"/>
          <w:sz w:val="24"/>
          <w:szCs w:val="24"/>
        </w:rPr>
        <w:t xml:space="preserve">ficha de registro de empregado ou contrato de prestação de serviço, em que conste a licitante como contratante; ou, ainda, de declaração de contratação futura do(a) responsável técnico(a), desde que acompanhada de declaração de anuência do(a) profissional.</w:t>
      </w:r>
      <w:r>
        <w:rPr>
          <w:rFonts w:ascii="Times New Roman" w:hAnsi="Times New Roman" w:cs="Times New Roman"/>
          <w:color w:val="000000"/>
          <w:sz w:val="24"/>
          <w:szCs w:val="24"/>
        </w:rPr>
      </w:r>
      <w:r>
        <w:rPr>
          <w:rFonts w:ascii="Times New Roman" w:hAnsi="Times New Roman" w:cs="Times New Roman"/>
          <w:color w:val="000000"/>
          <w:sz w:val="24"/>
          <w:szCs w:val="24"/>
        </w:rPr>
      </w:r>
    </w:p>
    <w:p w14:paraId="029A8D3F">
      <w:pPr>
        <w:numPr>
          <w:ilvl w:val="0"/>
          <w:numId w:val="59"/>
        </w:numPr>
        <w:pBdr/>
        <w:tabs>
          <w:tab w:val="left" w:leader="none" w:pos="0"/>
          <w:tab w:val="clear" w:leader="none" w:pos="425"/>
        </w:tabs>
        <w:spacing w:line="360" w:lineRule="auto"/>
        <w:ind w:hanging="5" w:left="5"/>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Serão aceitos profissionais com habilitação equivalente, conforme normativa específica do CONFEA.</w:t>
      </w:r>
      <w:r>
        <w:rPr>
          <w:rFonts w:ascii="Times New Roman" w:hAnsi="Times New Roman" w:cs="Times New Roman"/>
          <w:color w:val="000000"/>
          <w:sz w:val="24"/>
          <w:szCs w:val="24"/>
        </w:rPr>
      </w:r>
      <w:r>
        <w:rPr>
          <w:rFonts w:ascii="Times New Roman" w:hAnsi="Times New Roman" w:cs="Times New Roman"/>
          <w:color w:val="000000"/>
          <w:sz w:val="24"/>
          <w:szCs w:val="24"/>
        </w:rPr>
      </w:r>
    </w:p>
    <w:p w14:paraId="595961F1">
      <w:pPr>
        <w:numPr>
          <w:ilvl w:val="0"/>
          <w:numId w:val="59"/>
        </w:numPr>
        <w:pBdr/>
        <w:tabs>
          <w:tab w:val="left" w:leader="none" w:pos="0"/>
          <w:tab w:val="clear" w:leader="none" w:pos="425"/>
        </w:tabs>
        <w:spacing w:line="360" w:lineRule="auto"/>
        <w:ind w:hanging="5" w:left="5"/>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Atestado(s) de Capacidade Técnico-Pr</w:t>
      </w:r>
      <w:r>
        <w:rPr>
          <w:rFonts w:ascii="Times New Roman" w:hAnsi="Times New Roman" w:cs="Times New Roman"/>
          <w:color w:val="000000"/>
          <w:sz w:val="24"/>
          <w:szCs w:val="24"/>
        </w:rPr>
        <w:t xml:space="preserve">ofissional, expedido(s) por pessoa jurídica de direito público ou privado, devidamente registrado(s) no CREA ou CAU da região onde os serviços foram executados, acompanhado(s) da(s) respectiva(s) certidão(ões) de Acervo Técnico (CAT) (ou documento equivale</w:t>
      </w:r>
      <w:r>
        <w:rPr>
          <w:rFonts w:ascii="Times New Roman" w:hAnsi="Times New Roman" w:cs="Times New Roman"/>
          <w:color w:val="000000"/>
          <w:sz w:val="24"/>
          <w:szCs w:val="24"/>
        </w:rPr>
        <w:t xml:space="preserve">nte no conselho respectivo), comprovando que o(s) profissional(is) indicado(s) pela empresa licitante atuou(aram) como responsável(is) técnico(s) na execução de serviços compatíveis em quantidade e características com o objeto licitado, assim considerados:</w:t>
      </w:r>
      <w:r>
        <w:rPr>
          <w:rFonts w:ascii="Times New Roman" w:hAnsi="Times New Roman" w:cs="Times New Roman"/>
          <w:color w:val="000000"/>
          <w:sz w:val="24"/>
          <w:szCs w:val="24"/>
        </w:rPr>
      </w:r>
      <w:r>
        <w:rPr>
          <w:rFonts w:ascii="Times New Roman" w:hAnsi="Times New Roman" w:cs="Times New Roman"/>
          <w:color w:val="000000"/>
          <w:sz w:val="24"/>
          <w:szCs w:val="24"/>
        </w:rPr>
      </w:r>
    </w:p>
    <w:tbl>
      <w:tblPr>
        <w:tblStyle w:val="1096"/>
        <w:tblInd w:w="0" w:type="dxa"/>
        <w:tblW w:w="0" w:type="auto"/>
        <w:tblCellMar>
          <w:left w:w="0" w:type="dxa"/>
          <w:top w:w="0" w:type="dxa"/>
          <w:right w:w="0" w:type="dxa"/>
          <w:bottom w:w="0" w:type="dxa"/>
        </w:tblCellMar>
        <w:tblBorders/>
        <w:tblLayout w:type="fixed"/>
        <w:tblCellSpacing w:w="15" w:type="dxa"/>
        <w:tblLook w:val="04A0" w:firstRow="1" w:lastRow="0" w:firstColumn="1" w:lastColumn="0" w:noHBand="0" w:noVBand="1"/>
      </w:tblPr>
      <w:tblGrid>
        <w:gridCol w:w="9161"/>
      </w:tblGrid>
      <w:tr>
        <w:trPr>
          <w:tblCellSpacing w:w="15" w:type="dxa"/>
          <w:tblHeader/>
        </w:trPr>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9101" w:type="dxa"/>
            <w:vAlign w:val="center"/>
          </w:tcPr>
          <w:p w14:paraId="2C0DE5DE">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 RELATIVO AO OBJETO/ITEM LICITADO</w:t>
            </w:r>
            <w:r>
              <w:rPr>
                <w:rFonts w:ascii="Times New Roman" w:hAnsi="Times New Roman" w:cs="Times New Roman"/>
                <w:color w:val="000000"/>
                <w:sz w:val="24"/>
                <w:szCs w:val="24"/>
              </w:rPr>
            </w:r>
            <w:r>
              <w:rPr>
                <w:rFonts w:ascii="Times New Roman" w:hAnsi="Times New Roman" w:cs="Times New Roman"/>
                <w:color w:val="000000"/>
                <w:sz w:val="24"/>
                <w:szCs w:val="24"/>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9101" w:type="dxa"/>
            <w:vAlign w:val="center"/>
          </w:tcPr>
          <w:p w14:paraId="2BA79A7C">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DESCRITIVO/MATERIAL/SERVIÇO</w:t>
            </w:r>
            <w:r>
              <w:rPr>
                <w:rFonts w:ascii="Times New Roman" w:hAnsi="Times New Roman" w:cs="Times New Roman"/>
                <w:color w:val="000000"/>
                <w:sz w:val="24"/>
                <w:szCs w:val="24"/>
              </w:rPr>
            </w:r>
            <w:r>
              <w:rPr>
                <w:rFonts w:ascii="Times New Roman" w:hAnsi="Times New Roman" w:cs="Times New Roman"/>
                <w:color w:val="000000"/>
                <w:sz w:val="24"/>
                <w:szCs w:val="24"/>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9101" w:type="dxa"/>
            <w:vAlign w:val="center"/>
          </w:tcPr>
          <w:p w14:paraId="066C85C4">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EXECUÇÃO DE PAVIMENTO EM PISO INTERTRAVADO, COM BLOCO RETANGULAR COR NATURAL DE 20 X 10 CM, ESPESSURA 6 CM. AF_10/2022</w:t>
            </w:r>
            <w:r>
              <w:rPr>
                <w:rFonts w:ascii="Times New Roman" w:hAnsi="Times New Roman" w:cs="Times New Roman"/>
                <w:color w:val="000000"/>
                <w:sz w:val="24"/>
                <w:szCs w:val="24"/>
              </w:rPr>
            </w:r>
            <w:r>
              <w:rPr>
                <w:rFonts w:ascii="Times New Roman" w:hAnsi="Times New Roman" w:cs="Times New Roman"/>
                <w:color w:val="000000"/>
                <w:sz w:val="24"/>
                <w:szCs w:val="24"/>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9101" w:type="dxa"/>
            <w:vAlign w:val="center"/>
          </w:tcPr>
          <w:p w14:paraId="468BDA75">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GUIA (MEIO-FIO) CONCRETO, MOLDADA IN LOCO EM TRECHO RETO COM EXTRUSORA, 15 CM BASE X 30 CM ALTURA. AF_01/2024</w:t>
            </w:r>
            <w:r>
              <w:rPr>
                <w:rFonts w:ascii="Times New Roman" w:hAnsi="Times New Roman" w:cs="Times New Roman"/>
                <w:color w:val="000000"/>
                <w:sz w:val="24"/>
                <w:szCs w:val="24"/>
              </w:rPr>
            </w:r>
            <w:r>
              <w:rPr>
                <w:rFonts w:ascii="Times New Roman" w:hAnsi="Times New Roman" w:cs="Times New Roman"/>
                <w:color w:val="000000"/>
                <w:sz w:val="24"/>
                <w:szCs w:val="24"/>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9101" w:type="dxa"/>
            <w:vAlign w:val="center"/>
          </w:tcPr>
          <w:p w14:paraId="66FC88AD">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CANALETA MEIA CANA D = 0,40 M ASSENTE SOBRE LASTRO DE AREIA - AREIA E BRITA COMERCIAIS - FORNECIMENTO E INSTALAÇÃO</w:t>
            </w:r>
            <w:r>
              <w:rPr>
                <w:rFonts w:ascii="Times New Roman" w:hAnsi="Times New Roman" w:cs="Times New Roman"/>
                <w:color w:val="000000"/>
                <w:sz w:val="24"/>
                <w:szCs w:val="24"/>
              </w:rPr>
            </w:r>
            <w:r>
              <w:rPr>
                <w:rFonts w:ascii="Times New Roman" w:hAnsi="Times New Roman" w:cs="Times New Roman"/>
                <w:color w:val="000000"/>
                <w:sz w:val="24"/>
                <w:szCs w:val="24"/>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9101" w:type="dxa"/>
            <w:vAlign w:val="center"/>
          </w:tcPr>
          <w:p w14:paraId="4DE7E1C8">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PLANTIO DE GRAMA ESMERALDA OU SÃO CARLOS OU CURITIBANA, EM PLACAS. AF_07/2024</w:t>
            </w:r>
            <w:r>
              <w:rPr>
                <w:rFonts w:ascii="Times New Roman" w:hAnsi="Times New Roman" w:cs="Times New Roman"/>
                <w:color w:val="000000"/>
                <w:sz w:val="24"/>
                <w:szCs w:val="24"/>
              </w:rPr>
            </w:r>
            <w:r>
              <w:rPr>
                <w:rFonts w:ascii="Times New Roman" w:hAnsi="Times New Roman" w:cs="Times New Roman"/>
                <w:color w:val="000000"/>
                <w:sz w:val="24"/>
                <w:szCs w:val="24"/>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9101" w:type="dxa"/>
            <w:vAlign w:val="center"/>
          </w:tcPr>
          <w:p w14:paraId="3A062119">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MEIO-FIO DE CONCRETO - MFC 03 - AREIA E BRITA COMERCIAIS - FÔRMA DE MADEIRA (MANUTENÇÃO)</w:t>
            </w:r>
            <w:r>
              <w:rPr>
                <w:rFonts w:ascii="Times New Roman" w:hAnsi="Times New Roman" w:cs="Times New Roman"/>
                <w:color w:val="000000"/>
                <w:sz w:val="24"/>
                <w:szCs w:val="24"/>
              </w:rPr>
            </w:r>
            <w:r>
              <w:rPr>
                <w:rFonts w:ascii="Times New Roman" w:hAnsi="Times New Roman" w:cs="Times New Roman"/>
                <w:color w:val="000000"/>
                <w:sz w:val="24"/>
                <w:szCs w:val="24"/>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9101" w:type="dxa"/>
            <w:vAlign w:val="center"/>
          </w:tcPr>
          <w:p w14:paraId="41831F95">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EXECUÇÃO DE PASSEIO (CALÇADA) OU PISO DE CONCRETO COM CONCRETO MOLDADO IN LOCO, USINADO, ACABAMENTO CONVENCIONAL, ESPESSURA 6 CM, ( NÃO ARMADO). AF_08/2022</w:t>
            </w:r>
            <w:r>
              <w:rPr>
                <w:rFonts w:ascii="Times New Roman" w:hAnsi="Times New Roman" w:cs="Times New Roman"/>
                <w:color w:val="000000"/>
                <w:sz w:val="24"/>
                <w:szCs w:val="24"/>
              </w:rPr>
            </w:r>
            <w:r>
              <w:rPr>
                <w:rFonts w:ascii="Times New Roman" w:hAnsi="Times New Roman" w:cs="Times New Roman"/>
                <w:color w:val="000000"/>
                <w:sz w:val="24"/>
                <w:szCs w:val="24"/>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9101" w:type="dxa"/>
            <w:vAlign w:val="center"/>
          </w:tcPr>
          <w:p w14:paraId="0FC77FBD">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EXECUÇÃO DE PAVIMENTO EM PISO INTERTRAVADO, COM BLOCO RETANGULAR COR NATURAL DE 20 X 10 CM, ESPESSURA 6 CM. (MÃO DE OBRA)</w:t>
            </w:r>
            <w:r>
              <w:rPr>
                <w:rFonts w:ascii="Times New Roman" w:hAnsi="Times New Roman" w:cs="Times New Roman"/>
                <w:color w:val="000000"/>
                <w:sz w:val="24"/>
                <w:szCs w:val="24"/>
              </w:rPr>
            </w:r>
            <w:r>
              <w:rPr>
                <w:rFonts w:ascii="Times New Roman" w:hAnsi="Times New Roman" w:cs="Times New Roman"/>
                <w:color w:val="000000"/>
                <w:sz w:val="24"/>
                <w:szCs w:val="24"/>
              </w:rPr>
            </w:r>
          </w:p>
        </w:tc>
      </w:tr>
      <w:tr>
        <w:trPr>
          <w:tblCellSpacing w:w="15" w:type="dxa"/>
        </w:trPr>
        <w:tc>
          <w:tcPr>
            <w:tcBorders>
              <w:top w:val="single" w:color="auto" w:sz="6" w:space="0"/>
              <w:left w:val="single" w:color="auto" w:sz="6" w:space="0"/>
              <w:bottom w:val="single" w:color="auto" w:sz="6" w:space="0"/>
              <w:right w:val="single" w:color="auto" w:sz="6" w:space="0"/>
            </w:tcBorders>
            <w:tcMar>
              <w:left w:w="0" w:type="dxa"/>
              <w:top w:w="240" w:type="dxa"/>
              <w:right w:w="0" w:type="dxa"/>
              <w:bottom w:w="240" w:type="dxa"/>
            </w:tcMar>
            <w:tcW w:w="9101" w:type="dxa"/>
            <w:vAlign w:val="center"/>
          </w:tcPr>
          <w:p w14:paraId="046FC73A">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EXECUÇÃO DE PASSEIO (CALÇADA) OU PISO DE CONCRETO COM CONCRETO MOLDADO IN LOCO, USINADO, ACABAMENTO CONVENCIONAL, ESPESSURA 8 CM, ARMADO. AF_08/2022</w:t>
            </w:r>
            <w:r>
              <w:rPr>
                <w:rFonts w:ascii="Times New Roman" w:hAnsi="Times New Roman" w:cs="Times New Roman"/>
                <w:color w:val="000000"/>
                <w:sz w:val="24"/>
                <w:szCs w:val="24"/>
              </w:rPr>
            </w:r>
            <w:r>
              <w:rPr>
                <w:rFonts w:ascii="Times New Roman" w:hAnsi="Times New Roman" w:cs="Times New Roman"/>
                <w:color w:val="000000"/>
                <w:sz w:val="24"/>
                <w:szCs w:val="24"/>
              </w:rPr>
            </w:r>
          </w:p>
        </w:tc>
      </w:tr>
    </w:tbl>
    <w:p w14:paraId="17445B24">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p w14:paraId="3973B8FD">
      <w:pPr>
        <w:numPr>
          <w:ilvl w:val="0"/>
          <w:numId w:val="60"/>
        </w:numPr>
        <w:pBdr/>
        <w:tabs>
          <w:tab w:val="left" w:leader="none" w:pos="0"/>
          <w:tab w:val="left" w:leader="none" w:pos="200"/>
          <w:tab w:val="clear" w:leader="none" w:pos="425"/>
        </w:tabs>
        <w:spacing w:line="360" w:lineRule="auto"/>
        <w:ind w:hanging="5" w:left="5"/>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Mediante solicitação formal do Agente de Contratação, as licitantes deverão disponibilizar todas as informações e documentos que eventualm</w:t>
      </w:r>
      <w:r>
        <w:rPr>
          <w:rFonts w:ascii="Times New Roman" w:hAnsi="Times New Roman" w:cs="Times New Roman"/>
          <w:color w:val="000000"/>
          <w:sz w:val="24"/>
          <w:szCs w:val="24"/>
        </w:rPr>
        <w:t xml:space="preserve">ente se façam necessários à comprovação da legitimidade dos atestados apresentados, como cópia do contrato que deu suporte à contratação, relatórios técnicos e documentos complementares necessários à compreensão das características dos serviços executados.</w:t>
      </w:r>
      <w:r>
        <w:rPr>
          <w:rFonts w:ascii="Times New Roman" w:hAnsi="Times New Roman" w:cs="Times New Roman"/>
          <w:color w:val="000000"/>
          <w:sz w:val="24"/>
          <w:szCs w:val="24"/>
        </w:rPr>
      </w:r>
      <w:r>
        <w:rPr>
          <w:rFonts w:ascii="Times New Roman" w:hAnsi="Times New Roman" w:cs="Times New Roman"/>
          <w:color w:val="000000"/>
          <w:sz w:val="24"/>
          <w:szCs w:val="24"/>
        </w:rPr>
      </w:r>
    </w:p>
    <w:p w14:paraId="7DE1C79C">
      <w:pPr>
        <w:numPr>
          <w:ilvl w:val="0"/>
          <w:numId w:val="60"/>
        </w:numPr>
        <w:pBdr/>
        <w:tabs>
          <w:tab w:val="left" w:leader="none" w:pos="0"/>
          <w:tab w:val="left" w:leader="none" w:pos="200"/>
          <w:tab w:val="clear" w:leader="none" w:pos="425"/>
        </w:tabs>
        <w:spacing w:line="360" w:lineRule="auto"/>
        <w:ind w:hanging="5" w:left="5"/>
        <w:contextualSpacing w:val="true"/>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Diário de Obra Digital/Físico:</w:t>
      </w:r>
      <w:r>
        <w:rPr>
          <w:rFonts w:ascii="Times New Roman" w:hAnsi="Times New Roman" w:cs="Times New Roman"/>
          <w:color w:val="000000"/>
          <w:sz w:val="24"/>
          <w:szCs w:val="24"/>
        </w:rPr>
        <w:t xml:space="preserve"> Obrigatoriedade de manutenção de registro diário contendo as condições climáticas, efetivo de pessoal, equipamentos em operação e eventuais intercorrências. Este é o principal instrumento de fiscalização conforme o TCE/MT.</w:t>
      </w:r>
      <w:r>
        <w:rPr>
          <w:rFonts w:ascii="Times New Roman" w:hAnsi="Times New Roman" w:cs="Times New Roman"/>
          <w:color w:val="000000"/>
          <w:sz w:val="24"/>
          <w:szCs w:val="24"/>
        </w:rPr>
      </w:r>
      <w:r>
        <w:rPr>
          <w:rFonts w:ascii="Times New Roman" w:hAnsi="Times New Roman" w:cs="Times New Roman"/>
          <w:color w:val="000000"/>
          <w:sz w:val="24"/>
          <w:szCs w:val="24"/>
        </w:rPr>
      </w:r>
    </w:p>
    <w:p w14:paraId="27E2F2CC">
      <w:pPr>
        <w:numPr>
          <w:ilvl w:val="0"/>
          <w:numId w:val="60"/>
        </w:numPr>
        <w:pBdr/>
        <w:tabs>
          <w:tab w:val="left" w:leader="none" w:pos="0"/>
          <w:tab w:val="left" w:leader="none" w:pos="200"/>
          <w:tab w:val="clear" w:leader="none" w:pos="425"/>
        </w:tabs>
        <w:spacing w:line="360" w:lineRule="auto"/>
        <w:ind w:hanging="5" w:left="5"/>
        <w:contextualSpacing w:val="true"/>
        <w:jc w:val="both"/>
        <w:rPr>
          <w:rFonts w:ascii="Times New Roman" w:hAnsi="Times New Roman" w:cs="Times New Roman"/>
          <w:color w:val="000000"/>
          <w:sz w:val="24"/>
          <w:szCs w:val="24"/>
        </w:rPr>
      </w:pPr>
      <w:r>
        <w:rPr>
          <w:rFonts w:hint="default" w:ascii="Times New Roman" w:hAnsi="Times New Roman" w:cs="Times New Roman"/>
          <w:color w:val="000000"/>
          <w:sz w:val="24"/>
          <w:szCs w:val="24"/>
          <w:lang w:val="pt-BR"/>
        </w:rPr>
        <w:t xml:space="preserve">Todas as informações deverão estar diariamente alimentadas no diário da obra e de livre acesso à fiscalização da contratante.</w:t>
      </w:r>
      <w:r>
        <w:rPr>
          <w:rFonts w:ascii="Times New Roman" w:hAnsi="Times New Roman" w:cs="Times New Roman"/>
          <w:color w:val="000000"/>
          <w:sz w:val="24"/>
          <w:szCs w:val="24"/>
        </w:rPr>
      </w:r>
      <w:r>
        <w:rPr>
          <w:rFonts w:ascii="Times New Roman" w:hAnsi="Times New Roman" w:cs="Times New Roman"/>
          <w:color w:val="000000"/>
          <w:sz w:val="24"/>
          <w:szCs w:val="24"/>
        </w:rPr>
      </w:r>
    </w:p>
    <w:p w14:paraId="291DCE81">
      <w:pPr>
        <w:numPr>
          <w:ilvl w:val="0"/>
          <w:numId w:val="0"/>
        </w:numPr>
        <w:pBdr/>
        <w:spacing w:line="360" w:lineRule="auto"/>
        <w:ind/>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Pr>
          <w:rFonts w:ascii="Times New Roman" w:hAnsi="Times New Roman" w:cs="Times New Roman"/>
          <w:b/>
          <w:bCs/>
          <w:color w:val="000000"/>
          <w:sz w:val="24"/>
          <w:szCs w:val="24"/>
        </w:rPr>
        <w:t xml:space="preserve">Cronograma Físico-Financeiro:</w:t>
      </w:r>
      <w:r>
        <w:rPr>
          <w:rFonts w:ascii="Times New Roman" w:hAnsi="Times New Roman" w:cs="Times New Roman"/>
          <w:color w:val="000000"/>
          <w:sz w:val="24"/>
          <w:szCs w:val="24"/>
        </w:rPr>
      </w:r>
      <w:r>
        <w:rPr>
          <w:rFonts w:ascii="Times New Roman" w:hAnsi="Times New Roman" w:cs="Times New Roman"/>
          <w:color w:val="000000"/>
          <w:sz w:val="24"/>
          <w:szCs w:val="24"/>
        </w:rPr>
      </w:r>
    </w:p>
    <w:p w14:paraId="7916547E">
      <w:pPr>
        <w:numPr>
          <w:ilvl w:val="0"/>
          <w:numId w:val="61"/>
        </w:numPr>
        <w:pBdr/>
        <w:tabs>
          <w:tab w:val="left" w:leader="none" w:pos="0"/>
          <w:tab w:val="clear" w:leader="none" w:pos="454"/>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 empresa deverá apresentar, após a emissão da Nota de Empenho, um cronograma detalhado para cada intervenção solicitada, permitindo o acompanhamento de metas e prazos.</w:t>
      </w:r>
      <w:r>
        <w:rPr>
          <w:rFonts w:ascii="Times New Roman" w:hAnsi="Times New Roman" w:cs="Times New Roman"/>
          <w:color w:val="000000"/>
          <w:sz w:val="24"/>
          <w:szCs w:val="24"/>
        </w:rPr>
      </w:r>
      <w:r>
        <w:rPr>
          <w:rFonts w:ascii="Times New Roman" w:hAnsi="Times New Roman" w:cs="Times New Roman"/>
          <w:color w:val="000000"/>
          <w:sz w:val="24"/>
          <w:szCs w:val="24"/>
        </w:rPr>
      </w:r>
    </w:p>
    <w:p w14:paraId="1C8FD605">
      <w:pPr>
        <w:numPr>
          <w:ilvl w:val="0"/>
          <w:numId w:val="61"/>
        </w:numPr>
        <w:pBdr/>
        <w:tabs>
          <w:tab w:val="left" w:leader="none" w:pos="0"/>
          <w:tab w:val="clear" w:leader="none" w:pos="454"/>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Ensaios Tecnológicos: Sempre que solicitado pela fiscalização, a contratada deverá realizar ensaios de resistência do concreto (Fck) e compactação de solo, sob suas expensas, para garantir a conformidade com as normas da ABNT (NBR 9050 e NBR 12255).</w:t>
      </w:r>
      <w:r>
        <w:rPr>
          <w:rFonts w:ascii="Times New Roman" w:hAnsi="Times New Roman" w:cs="Times New Roman"/>
          <w:color w:val="000000"/>
          <w:sz w:val="24"/>
          <w:szCs w:val="24"/>
        </w:rPr>
      </w:r>
      <w:r>
        <w:rPr>
          <w:rFonts w:ascii="Times New Roman" w:hAnsi="Times New Roman" w:cs="Times New Roman"/>
          <w:color w:val="000000"/>
          <w:sz w:val="24"/>
          <w:szCs w:val="24"/>
        </w:rPr>
      </w:r>
    </w:p>
    <w:p w14:paraId="48C54A62">
      <w:pPr>
        <w:numPr>
          <w:ilvl w:val="0"/>
          <w:numId w:val="61"/>
        </w:numPr>
        <w:pBdr/>
        <w:tabs>
          <w:tab w:val="left" w:leader="none" w:pos="0"/>
          <w:tab w:val="clear" w:leader="none" w:pos="454"/>
        </w:tabs>
        <w:spacing w:line="360" w:lineRule="auto"/>
        <w:ind w:firstLine="0" w:left="0"/>
        <w:contextualSpacing w:val="true"/>
        <w:jc w:val="both"/>
        <w:rPr>
          <w:rFonts w:ascii="Times New Roman" w:hAnsi="Times New Roman" w:cs="Times New Roman"/>
          <w:b/>
          <w:bCs/>
          <w:color w:val="000000"/>
          <w:sz w:val="24"/>
          <w:szCs w:val="24"/>
        </w:rPr>
      </w:pPr>
      <w:r>
        <w:rPr>
          <w:rFonts w:ascii="Times New Roman" w:hAnsi="Times New Roman" w:cs="Times New Roman"/>
          <w:color w:val="000000"/>
          <w:sz w:val="24"/>
          <w:szCs w:val="24"/>
        </w:rPr>
        <w:t xml:space="preserve">Requisitos de Sustentabilidade e Impacto Ambiental</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14:paraId="7ACFEF83">
      <w:pPr>
        <w:numPr>
          <w:ilvl w:val="0"/>
          <w:numId w:val="61"/>
        </w:numPr>
        <w:pBdr/>
        <w:tabs>
          <w:tab w:val="left" w:leader="none" w:pos="0"/>
          <w:tab w:val="clear" w:leader="none" w:pos="454"/>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 presente contratação pauta-se no Princípio do Desenvolvimento Nacional Sustentável, observando critérios que transcendem a execução técnica e visam a preservação ambiental e a responsabilidade social, conforme os seguintes fundamentos:</w:t>
      </w:r>
      <w:r>
        <w:rPr>
          <w:rFonts w:ascii="Times New Roman" w:hAnsi="Times New Roman" w:cs="Times New Roman"/>
          <w:color w:val="000000"/>
          <w:sz w:val="24"/>
          <w:szCs w:val="24"/>
        </w:rPr>
      </w:r>
      <w:r>
        <w:rPr>
          <w:rFonts w:ascii="Times New Roman" w:hAnsi="Times New Roman" w:cs="Times New Roman"/>
          <w:color w:val="000000"/>
          <w:sz w:val="24"/>
          <w:szCs w:val="24"/>
        </w:rPr>
      </w:r>
    </w:p>
    <w:p w14:paraId="621E5FA0">
      <w:pPr>
        <w:numPr>
          <w:ilvl w:val="0"/>
          <w:numId w:val="0"/>
        </w:numPr>
        <w:pBdr/>
        <w:tabs>
          <w:tab w:val="left" w:leader="none" w:pos="0"/>
        </w:tabs>
        <w:spacing w:line="360" w:lineRule="auto"/>
        <w:ind/>
        <w:contextualSpacing w:val="true"/>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Gestão de Resíduos Sólidos da Construção Civil (RCC)</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14:paraId="5906F5F3">
      <w:pPr>
        <w:numPr>
          <w:ilvl w:val="0"/>
          <w:numId w:val="61"/>
        </w:numPr>
        <w:pBdr/>
        <w:tabs>
          <w:tab w:val="left" w:leader="none" w:pos="0"/>
          <w:tab w:val="clear" w:leader="none" w:pos="454"/>
        </w:tabs>
        <w:spacing w:line="360" w:lineRule="auto"/>
        <w:ind w:firstLine="0" w:left="0"/>
        <w:contextualSpacing w:val="true"/>
        <w:jc w:val="both"/>
        <w:rPr>
          <w:rFonts w:ascii="Times New Roman" w:hAnsi="Times New Roman" w:cs="Times New Roman"/>
          <w:b/>
          <w:bCs/>
          <w:color w:val="000000"/>
          <w:sz w:val="24"/>
          <w:szCs w:val="24"/>
        </w:rPr>
      </w:pPr>
      <w:r>
        <w:rPr>
          <w:rFonts w:ascii="Times New Roman" w:hAnsi="Times New Roman" w:cs="Times New Roman"/>
          <w:color w:val="000000"/>
          <w:sz w:val="24"/>
          <w:szCs w:val="24"/>
        </w:rPr>
        <w:t xml:space="preserve">Fundamentação: Em observância à Resolução CONAMA nº 307/2002 e ao Art. 100 do Decreto Municipal nº 359/2023, a contratada será integralmente responsável pelo Plano de Gerenciamento de Resíduos.</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14:paraId="16618237">
      <w:pPr>
        <w:numPr>
          <w:ilvl w:val="0"/>
          <w:numId w:val="61"/>
        </w:numPr>
        <w:pBdr/>
        <w:tabs>
          <w:tab w:val="left" w:leader="none" w:pos="0"/>
          <w:tab w:val="clear" w:leader="none" w:pos="454"/>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Obrigação: Toda a remoção de camada vegetal, entulhos de demolição de calçadas e</w:t>
      </w:r>
      <w:r>
        <w:rPr>
          <w:rFonts w:ascii="Times New Roman" w:hAnsi="Times New Roman" w:cs="Times New Roman"/>
          <w:color w:val="000000"/>
          <w:sz w:val="24"/>
          <w:szCs w:val="24"/>
        </w:rPr>
        <w:t xml:space="preserve"> restos de pavimentação deverá ser destinada a aterros de inertes devidamente licenciados pelo órgão ambiental competente, sendo obrigatória a apresentação das Guias de Transporte de Resíduos (GTR) ou comprovantes de descarte para a liberação das medições.</w:t>
      </w:r>
      <w:r>
        <w:rPr>
          <w:rFonts w:ascii="Times New Roman" w:hAnsi="Times New Roman" w:cs="Times New Roman"/>
          <w:color w:val="000000"/>
          <w:sz w:val="24"/>
          <w:szCs w:val="24"/>
        </w:rPr>
      </w:r>
      <w:r>
        <w:rPr>
          <w:rFonts w:ascii="Times New Roman" w:hAnsi="Times New Roman" w:cs="Times New Roman"/>
          <w:color w:val="000000"/>
          <w:sz w:val="24"/>
          <w:szCs w:val="24"/>
        </w:rPr>
      </w:r>
    </w:p>
    <w:p w14:paraId="3C641BF4">
      <w:pPr>
        <w:numPr>
          <w:ilvl w:val="0"/>
          <w:numId w:val="0"/>
        </w:numPr>
        <w:pBdr/>
        <w:tabs>
          <w:tab w:val="left" w:leader="none" w:pos="0"/>
        </w:tabs>
        <w:spacing w:line="360" w:lineRule="auto"/>
        <w:ind/>
        <w:contextualSpacing w:val="true"/>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Critérios de Sustentabilidade nos Materiais e Execução</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14:paraId="1A6E0B8A">
      <w:pPr>
        <w:numPr>
          <w:ilvl w:val="0"/>
          <w:numId w:val="61"/>
        </w:numPr>
        <w:pBdr/>
        <w:tabs>
          <w:tab w:val="left" w:leader="none" w:pos="0"/>
          <w:tab w:val="clear" w:leader="none" w:pos="454"/>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Eficiência de Recursos: A escolha de Pisos Intertravados</w:t>
      </w:r>
      <w:r>
        <w:rPr>
          <w:rFonts w:ascii="Times New Roman" w:hAnsi="Times New Roman" w:cs="Times New Roman"/>
          <w:b/>
          <w:bCs/>
          <w:color w:val="000000"/>
          <w:sz w:val="24"/>
          <w:szCs w:val="24"/>
        </w:rPr>
        <w:t xml:space="preserve"> </w:t>
      </w:r>
      <w:r>
        <w:rPr>
          <w:rFonts w:ascii="Times New Roman" w:hAnsi="Times New Roman" w:cs="Times New Roman"/>
          <w:color w:val="000000"/>
          <w:sz w:val="24"/>
          <w:szCs w:val="24"/>
        </w:rPr>
        <w:t xml:space="preserve">(Itens 1.5 e 2.1) justifica-se tecnicamente por serem soluções que permitem maior permeabilidade do solo em comparação ao asfalto convencional, auxiliando na drenagem urbana e mitigando ilhas de calor.</w:t>
      </w:r>
      <w:r>
        <w:rPr>
          <w:rFonts w:ascii="Times New Roman" w:hAnsi="Times New Roman" w:cs="Times New Roman"/>
          <w:color w:val="000000"/>
          <w:sz w:val="24"/>
          <w:szCs w:val="24"/>
        </w:rPr>
      </w:r>
      <w:r>
        <w:rPr>
          <w:rFonts w:ascii="Times New Roman" w:hAnsi="Times New Roman" w:cs="Times New Roman"/>
          <w:color w:val="000000"/>
          <w:sz w:val="24"/>
          <w:szCs w:val="24"/>
        </w:rPr>
      </w:r>
    </w:p>
    <w:p w14:paraId="7D8E61B4">
      <w:pPr>
        <w:numPr>
          <w:ilvl w:val="0"/>
          <w:numId w:val="61"/>
        </w:numPr>
        <w:pBdr/>
        <w:tabs>
          <w:tab w:val="left" w:leader="none" w:pos="0"/>
          <w:tab w:val="clear" w:leader="none" w:pos="454"/>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Baixa Toxicidade: Para o</w:t>
      </w:r>
      <w:r>
        <w:rPr>
          <w:rFonts w:ascii="Times New Roman" w:hAnsi="Times New Roman" w:cs="Times New Roman"/>
          <w:color w:val="000000"/>
          <w:sz w:val="24"/>
          <w:szCs w:val="24"/>
        </w:rPr>
        <w:t xml:space="preserve">s itens de pintura (1.1 e 1.6), deverá ser priorizada a utilização de tintas com baixos teores de Compostos Orgânicos Voláteis (VOC), reduzindo o impacto à saúde dos operários e ao meio ambiente, conforme recomendações do Guia de Contratações Sustentáveis.</w:t>
      </w:r>
      <w:r>
        <w:rPr>
          <w:rFonts w:ascii="Times New Roman" w:hAnsi="Times New Roman" w:cs="Times New Roman"/>
          <w:color w:val="000000"/>
          <w:sz w:val="24"/>
          <w:szCs w:val="24"/>
        </w:rPr>
      </w:r>
      <w:r>
        <w:rPr>
          <w:rFonts w:ascii="Times New Roman" w:hAnsi="Times New Roman" w:cs="Times New Roman"/>
          <w:color w:val="000000"/>
          <w:sz w:val="24"/>
          <w:szCs w:val="24"/>
        </w:rPr>
      </w:r>
    </w:p>
    <w:p w14:paraId="21D9256B">
      <w:pPr>
        <w:pBdr/>
        <w:spacing w:line="360" w:lineRule="auto"/>
        <w:ind/>
        <w:contextualSpacing w:val="true"/>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Responsabilidade Social e Dignidade Humana</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14:paraId="572BD9A2">
      <w:pPr>
        <w:numPr>
          <w:ilvl w:val="0"/>
          <w:numId w:val="61"/>
        </w:numPr>
        <w:pBdr/>
        <w:tabs>
          <w:tab w:val="left" w:leader="none" w:pos="0"/>
          <w:tab w:val="clear" w:leader="none" w:pos="454"/>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Acessibilidade Universal: A execução rigorosa das normas de acessibilidade (LBI - Lei 13.146/2015) é, em si, um pilar de sustentabilidade social, garantindo a inclusão de pessoas com deficiência e idosos no espaço urbano de Sinop.</w:t>
      </w:r>
      <w:r>
        <w:rPr>
          <w:rFonts w:ascii="Times New Roman" w:hAnsi="Times New Roman" w:cs="Times New Roman"/>
          <w:color w:val="000000"/>
          <w:sz w:val="24"/>
          <w:szCs w:val="24"/>
        </w:rPr>
      </w:r>
      <w:r>
        <w:rPr>
          <w:rFonts w:ascii="Times New Roman" w:hAnsi="Times New Roman" w:cs="Times New Roman"/>
          <w:color w:val="000000"/>
          <w:sz w:val="24"/>
          <w:szCs w:val="24"/>
        </w:rPr>
      </w:r>
    </w:p>
    <w:p w14:paraId="6CB6B807">
      <w:pPr>
        <w:numPr>
          <w:ilvl w:val="0"/>
          <w:numId w:val="62"/>
        </w:numPr>
        <w:pBdr/>
        <w:tabs>
          <w:tab w:val="left" w:leader="none" w:pos="0"/>
          <w:tab w:val="clear" w:leader="none" w:pos="454"/>
        </w:tabs>
        <w:spacing w:line="360" w:lineRule="auto"/>
        <w:ind w:hanging="14" w:left="14"/>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Conformidade Trabalhista: A fiscalização exigirá a comprovação de que a contratada adota medidas de segurança do trabalho (EPIs e EPCs) e respeita as normas de saúde ocupacional, evitando a precarização da mão de obra em serviços de engenharia.</w:t>
      </w:r>
      <w:r>
        <w:rPr>
          <w:rFonts w:ascii="Times New Roman" w:hAnsi="Times New Roman" w:cs="Times New Roman"/>
          <w:color w:val="000000"/>
          <w:sz w:val="24"/>
          <w:szCs w:val="24"/>
        </w:rPr>
      </w:r>
      <w:r>
        <w:rPr>
          <w:rFonts w:ascii="Times New Roman" w:hAnsi="Times New Roman" w:cs="Times New Roman"/>
          <w:color w:val="000000"/>
          <w:sz w:val="24"/>
          <w:szCs w:val="24"/>
        </w:rPr>
      </w:r>
    </w:p>
    <w:p w14:paraId="07F1AE8E">
      <w:pPr>
        <w:numPr>
          <w:ilvl w:val="0"/>
          <w:numId w:val="62"/>
        </w:numPr>
        <w:pBdr/>
        <w:tabs>
          <w:tab w:val="left" w:leader="none" w:pos="0"/>
          <w:tab w:val="clear" w:leader="none" w:pos="454"/>
        </w:tabs>
        <w:spacing w:line="360" w:lineRule="auto"/>
        <w:ind w:hanging="14" w:left="14"/>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Dimensão Econômica e Durabilidade</w:t>
      </w:r>
      <w:r>
        <w:rPr>
          <w:rFonts w:ascii="Times New Roman" w:hAnsi="Times New Roman" w:cs="Times New Roman"/>
          <w:color w:val="000000"/>
          <w:sz w:val="24"/>
          <w:szCs w:val="24"/>
        </w:rPr>
      </w:r>
      <w:r>
        <w:rPr>
          <w:rFonts w:ascii="Times New Roman" w:hAnsi="Times New Roman" w:cs="Times New Roman"/>
          <w:color w:val="000000"/>
          <w:sz w:val="24"/>
          <w:szCs w:val="24"/>
        </w:rPr>
      </w:r>
    </w:p>
    <w:p w14:paraId="74C2AA17">
      <w:pPr>
        <w:numPr>
          <w:ilvl w:val="0"/>
          <w:numId w:val="62"/>
        </w:numPr>
        <w:pBdr/>
        <w:tabs>
          <w:tab w:val="left" w:leader="none" w:pos="0"/>
          <w:tab w:val="clear" w:leader="none" w:pos="454"/>
        </w:tabs>
        <w:spacing w:line="360" w:lineRule="auto"/>
        <w:ind w:hanging="14" w:left="14"/>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Ciclo de Vida do Objeto: Conforme o Art. 18, §1º, inciso XII da Lei 14.133/2021, a solução escolhida pr</w:t>
      </w:r>
      <w:r>
        <w:rPr>
          <w:rFonts w:ascii="Times New Roman" w:hAnsi="Times New Roman" w:cs="Times New Roman"/>
          <w:color w:val="000000"/>
          <w:sz w:val="24"/>
          <w:szCs w:val="24"/>
        </w:rPr>
        <w:t xml:space="preserve">ioriza a durabilidade. A execução de calçadas em concreto armado e meios-fios moldados in loco (com extrusora) reduz a necessidade de manutenções precoces, otimizando o gasto público e minimizando a extração de novos recursos naturais para reparos futuros.</w:t>
      </w:r>
      <w:r>
        <w:rPr>
          <w:rFonts w:ascii="Times New Roman" w:hAnsi="Times New Roman" w:cs="Times New Roman"/>
          <w:color w:val="000000"/>
          <w:sz w:val="24"/>
          <w:szCs w:val="24"/>
        </w:rPr>
      </w:r>
      <w:r>
        <w:rPr>
          <w:rFonts w:ascii="Times New Roman" w:hAnsi="Times New Roman" w:cs="Times New Roman"/>
          <w:color w:val="000000"/>
          <w:sz w:val="24"/>
          <w:szCs w:val="24"/>
        </w:rPr>
      </w:r>
    </w:p>
    <w:p w14:paraId="6B04353B">
      <w:pPr>
        <w:pBdr/>
        <w:spacing w:line="360" w:lineRule="auto"/>
        <w:ind/>
        <w:contextualSpacing w:val="true"/>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REQUISITOS PARA O REGISTRO DE PREÇOS E GESTÃO DE DEMANDAS</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14:paraId="2DC30B4C">
      <w:pPr>
        <w:numPr>
          <w:ilvl w:val="0"/>
          <w:numId w:val="63"/>
        </w:numPr>
        <w:pBdr/>
        <w:tabs>
          <w:tab w:val="left" w:leader="none" w:pos="0"/>
          <w:tab w:val="clear" w:leader="none" w:pos="454"/>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Capacidade de Atendimento Multi-Secretarias: A e</w:t>
      </w:r>
      <w:r>
        <w:rPr>
          <w:rFonts w:ascii="Times New Roman" w:hAnsi="Times New Roman" w:cs="Times New Roman"/>
          <w:color w:val="000000"/>
          <w:sz w:val="24"/>
          <w:szCs w:val="24"/>
        </w:rPr>
        <w:t xml:space="preserve">mpresa detentora da Ata deverá demonstrar capacidade logística e operacional para o atendimento simultâneo ou sucessivo das demandas provenientes da Secretaria Municipal de Obras e Serviços Urbanos e da Secretaria Municipal de Trânsito e Transporte Urbano.</w:t>
      </w:r>
      <w:r>
        <w:rPr>
          <w:rFonts w:ascii="Times New Roman" w:hAnsi="Times New Roman" w:cs="Times New Roman"/>
          <w:color w:val="000000"/>
          <w:sz w:val="24"/>
          <w:szCs w:val="24"/>
        </w:rPr>
      </w:r>
      <w:r>
        <w:rPr>
          <w:rFonts w:ascii="Times New Roman" w:hAnsi="Times New Roman" w:cs="Times New Roman"/>
          <w:color w:val="000000"/>
          <w:sz w:val="24"/>
          <w:szCs w:val="24"/>
        </w:rPr>
      </w:r>
    </w:p>
    <w:p w14:paraId="17F110BF">
      <w:pPr>
        <w:numPr>
          <w:ilvl w:val="0"/>
          <w:numId w:val="63"/>
        </w:numPr>
        <w:pBdr/>
        <w:tabs>
          <w:tab w:val="left" w:leader="none" w:pos="0"/>
          <w:tab w:val="clear" w:leader="none" w:pos="454"/>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Coordenação Logística: A </w:t>
      </w:r>
      <w:r>
        <w:rPr>
          <w:rFonts w:ascii="Times New Roman" w:hAnsi="Times New Roman" w:cs="Times New Roman"/>
          <w:color w:val="000000"/>
          <w:sz w:val="24"/>
          <w:szCs w:val="24"/>
        </w:rPr>
        <w:t xml:space="preserve">contratada deve manter canal de comunicação eficiente com os fiscais de ambas as secretarias, garantindo que o deslocamento de equipes e equipamentos priorize os pontos críticos de infraestrutura e sinalização viária conforme as ordens de serviço emitidas.</w:t>
      </w:r>
      <w:r>
        <w:rPr>
          <w:rFonts w:ascii="Times New Roman" w:hAnsi="Times New Roman" w:cs="Times New Roman"/>
          <w:color w:val="000000"/>
          <w:sz w:val="24"/>
          <w:szCs w:val="24"/>
        </w:rPr>
      </w:r>
      <w:r>
        <w:rPr>
          <w:rFonts w:ascii="Times New Roman" w:hAnsi="Times New Roman" w:cs="Times New Roman"/>
          <w:color w:val="000000"/>
          <w:sz w:val="24"/>
          <w:szCs w:val="24"/>
        </w:rPr>
      </w:r>
    </w:p>
    <w:p w14:paraId="1518E819">
      <w:pPr>
        <w:numPr>
          <w:ilvl w:val="0"/>
          <w:numId w:val="63"/>
        </w:numPr>
        <w:pBdr/>
        <w:tabs>
          <w:tab w:val="left" w:leader="none" w:pos="0"/>
          <w:tab w:val="clear" w:leader="none" w:pos="454"/>
        </w:tabs>
        <w:spacing w:line="360" w:lineRule="auto"/>
        <w:ind w:firstLine="0" w:left="0"/>
        <w:contextualSpacing w:val="true"/>
        <w:jc w:val="both"/>
        <w:rPr>
          <w:rFonts w:ascii="Times New Roman" w:hAnsi="Times New Roman" w:cs="Times New Roman"/>
          <w:b/>
          <w:bCs/>
          <w:color w:val="000000"/>
          <w:sz w:val="24"/>
          <w:szCs w:val="24"/>
        </w:rPr>
      </w:pPr>
      <w:r>
        <w:rPr>
          <w:rFonts w:ascii="Times New Roman" w:hAnsi="Times New Roman" w:cs="Times New Roman"/>
          <w:color w:val="000000"/>
          <w:sz w:val="24"/>
          <w:szCs w:val="24"/>
        </w:rPr>
        <w:t xml:space="preserve">Segreg</w:t>
      </w:r>
      <w:r>
        <w:rPr>
          <w:rFonts w:ascii="Times New Roman" w:hAnsi="Times New Roman" w:cs="Times New Roman"/>
          <w:color w:val="000000"/>
          <w:sz w:val="24"/>
          <w:szCs w:val="24"/>
        </w:rPr>
        <w:t xml:space="preserve">ação de Medições: Para fins de transparência e controle orçamentário, as medições de serviços deverão ser realizadas de forma individualizada por Secretaria demandante, permitindo a correta apropriação dos custos em suas respectivas dotações orçamentárias.</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14:paraId="74F237FA">
      <w:pPr>
        <w:numPr>
          <w:ilvl w:val="0"/>
          <w:numId w:val="63"/>
        </w:numPr>
        <w:pBdr/>
        <w:tabs>
          <w:tab w:val="left" w:leader="none" w:pos="0"/>
          <w:tab w:val="clear" w:leader="none" w:pos="454"/>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Manutenção de Preços: Os preços registrados deverão permanecer válidos pelo período de vigência da Ata, ressalvadas as hipóteses de reequilíbrio econômico-financeiro devidamente comprovadas e autorizadas pela Área Gestora, nos termos da legislação vigente.</w:t>
      </w:r>
      <w:r>
        <w:rPr>
          <w:rFonts w:ascii="Times New Roman" w:hAnsi="Times New Roman" w:cs="Times New Roman"/>
          <w:color w:val="000000"/>
          <w:sz w:val="24"/>
          <w:szCs w:val="24"/>
        </w:rPr>
      </w:r>
      <w:r>
        <w:rPr>
          <w:rFonts w:ascii="Times New Roman" w:hAnsi="Times New Roman" w:cs="Times New Roman"/>
          <w:color w:val="000000"/>
          <w:sz w:val="24"/>
          <w:szCs w:val="24"/>
        </w:rPr>
      </w:r>
    </w:p>
    <w:p w14:paraId="427DEDC1">
      <w:pPr>
        <w:pBdr/>
        <w:spacing w:line="360" w:lineRule="auto"/>
        <w:ind/>
        <w:contextualSpacing w:val="true"/>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CRITÉRIOS DE VISTORIA E CONHECIMENTO DO LOCAL</w:t>
      </w:r>
      <w:r>
        <w:rPr>
          <w:rFonts w:ascii="Times New Roman" w:hAnsi="Times New Roman" w:cs="Times New Roman"/>
          <w:color w:val="000000"/>
          <w:sz w:val="24"/>
          <w:szCs w:val="24"/>
        </w:rPr>
      </w:r>
      <w:r>
        <w:rPr>
          <w:rFonts w:ascii="Times New Roman" w:hAnsi="Times New Roman" w:cs="Times New Roman"/>
          <w:color w:val="000000"/>
          <w:sz w:val="24"/>
          <w:szCs w:val="24"/>
        </w:rPr>
      </w:r>
    </w:p>
    <w:p w14:paraId="2696F2F9">
      <w:pPr>
        <w:numPr>
          <w:ilvl w:val="0"/>
          <w:numId w:val="63"/>
        </w:numPr>
        <w:pBdr/>
        <w:tabs>
          <w:tab w:val="left" w:leader="none" w:pos="0"/>
          <w:tab w:val="clear" w:leader="none" w:pos="454"/>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 vistoria técnica constitui etapa fundamental para que os licitantes tomem pleno conhecimento das condições das vias, logradouros e áreas onde os serviços serão executados, conforme os seguintes parâmetros:</w:t>
      </w:r>
      <w:r>
        <w:rPr>
          <w:rFonts w:ascii="Times New Roman" w:hAnsi="Times New Roman" w:cs="Times New Roman"/>
          <w:color w:val="000000"/>
          <w:sz w:val="24"/>
          <w:szCs w:val="24"/>
        </w:rPr>
      </w:r>
      <w:r>
        <w:rPr>
          <w:rFonts w:ascii="Times New Roman" w:hAnsi="Times New Roman" w:cs="Times New Roman"/>
          <w:color w:val="000000"/>
          <w:sz w:val="24"/>
          <w:szCs w:val="24"/>
        </w:rPr>
      </w:r>
    </w:p>
    <w:p w14:paraId="07F3F55B">
      <w:pPr>
        <w:numPr>
          <w:ilvl w:val="0"/>
          <w:numId w:val="0"/>
        </w:numPr>
        <w:pBdr/>
        <w:spacing w:line="360" w:lineRule="auto"/>
        <w:ind/>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Conforme estabelece o Art. 63, §2º da Lei Federal nº 14.133/2021, a Administração Municipal de Sinop faculta aos licitantes a realização de vistoria prévia. O referido dispositivo legal determina que:</w:t>
      </w:r>
      <w:r>
        <w:rPr>
          <w:rFonts w:ascii="Times New Roman" w:hAnsi="Times New Roman" w:cs="Times New Roman"/>
          <w:color w:val="000000"/>
          <w:sz w:val="24"/>
          <w:szCs w:val="24"/>
        </w:rPr>
      </w:r>
      <w:r>
        <w:rPr>
          <w:rFonts w:ascii="Times New Roman" w:hAnsi="Times New Roman" w:cs="Times New Roman"/>
          <w:color w:val="000000"/>
          <w:sz w:val="24"/>
          <w:szCs w:val="24"/>
        </w:rPr>
      </w:r>
    </w:p>
    <w:p w14:paraId="35184EB2">
      <w:pPr>
        <w:pBdr/>
        <w:spacing w:line="360" w:lineRule="auto"/>
        <w:ind w:firstLine="0" w:left="3000"/>
        <w:contextualSpacing w:val="true"/>
        <w:jc w:val="both"/>
        <w:rPr>
          <w:rFonts w:ascii="Times New Roman" w:hAnsi="Times New Roman" w:cs="Times New Roman"/>
          <w:i/>
          <w:iCs/>
          <w:color w:val="000000"/>
          <w:sz w:val="24"/>
          <w:szCs w:val="24"/>
        </w:rPr>
      </w:pPr>
      <w:r>
        <w:rPr>
          <w:rFonts w:ascii="Times New Roman" w:hAnsi="Times New Roman" w:cs="Times New Roman"/>
          <w:i/>
          <w:iCs/>
          <w:color w:val="000000"/>
          <w:sz w:val="24"/>
          <w:szCs w:val="24"/>
        </w:rPr>
        <w:t xml:space="preserve">"§ 2</w:t>
      </w:r>
      <w:r>
        <w:rPr>
          <w:rFonts w:ascii="Times New Roman" w:hAnsi="Times New Roman" w:cs="Times New Roman"/>
          <w:i/>
          <w:iCs/>
          <w:color w:val="000000"/>
          <w:sz w:val="24"/>
          <w:szCs w:val="24"/>
        </w:rPr>
        <w:t xml:space="preserve">º Quando a avaliação prévia do objeto for necessária para a elaboração da proposta, o edital poderá prever a possibilidade de vistoria, situação em que a Administração deverá oferecer datas e horários diferentes para que os interessados possam realizá-la."</w:t>
      </w:r>
      <w:r>
        <w:rPr>
          <w:rFonts w:ascii="Times New Roman" w:hAnsi="Times New Roman" w:cs="Times New Roman"/>
          <w:i/>
          <w:iCs/>
          <w:color w:val="000000"/>
          <w:sz w:val="24"/>
          <w:szCs w:val="24"/>
        </w:rPr>
      </w:r>
      <w:r>
        <w:rPr>
          <w:rFonts w:ascii="Times New Roman" w:hAnsi="Times New Roman" w:cs="Times New Roman"/>
          <w:i/>
          <w:iCs/>
          <w:color w:val="000000"/>
          <w:sz w:val="24"/>
          <w:szCs w:val="24"/>
        </w:rPr>
      </w:r>
    </w:p>
    <w:p w14:paraId="008FC3B5">
      <w:pPr>
        <w:pBdr/>
        <w:spacing w:line="360" w:lineRule="auto"/>
        <w:ind w:left="141"/>
        <w:contextualSpacing w:val="true"/>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Natureza da Vistoria</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14:paraId="26539D58">
      <w:pPr>
        <w:numPr>
          <w:ilvl w:val="0"/>
          <w:numId w:val="64"/>
        </w:numPr>
        <w:pBdr/>
        <w:tabs>
          <w:tab w:val="left" w:leader="none" w:pos="0"/>
          <w:tab w:val="clear" w:leader="none" w:pos="454"/>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Facultatividade com Declaração: Em regra, a vistoria será facultativa. Caso a licita</w:t>
      </w:r>
      <w:r>
        <w:rPr>
          <w:rFonts w:ascii="Times New Roman" w:hAnsi="Times New Roman" w:cs="Times New Roman"/>
          <w:color w:val="000000"/>
          <w:sz w:val="24"/>
          <w:szCs w:val="24"/>
        </w:rPr>
        <w:t xml:space="preserve">nte opte por não realizá-la, deverá apresentar, na fase de habilitação, uma Declaração de Pleno Conhecimento do Objeto, assumindo total responsabilidade por eventuais dificuldades técnicas que venham a surgir e que seriam identificáveis em vistoria prévia.</w:t>
      </w:r>
      <w:r>
        <w:rPr>
          <w:rFonts w:ascii="Times New Roman" w:hAnsi="Times New Roman" w:cs="Times New Roman"/>
          <w:color w:val="000000"/>
          <w:sz w:val="24"/>
          <w:szCs w:val="24"/>
        </w:rPr>
      </w:r>
      <w:r>
        <w:rPr>
          <w:rFonts w:ascii="Times New Roman" w:hAnsi="Times New Roman" w:cs="Times New Roman"/>
          <w:color w:val="000000"/>
          <w:sz w:val="24"/>
          <w:szCs w:val="24"/>
        </w:rPr>
      </w:r>
    </w:p>
    <w:p w14:paraId="70C80159">
      <w:pPr>
        <w:numPr>
          <w:ilvl w:val="0"/>
          <w:numId w:val="0"/>
        </w:numPr>
        <w:pBdr/>
        <w:spacing w:line="360" w:lineRule="auto"/>
        <w:ind/>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Em observância ao princípio da competitividade e ao Art. 63, §3º da Lei 14.133/2021, caso o licitante opte por não realizar a visita técnica, deverá apresentar termo de declaração formal:</w:t>
      </w:r>
      <w:r>
        <w:rPr>
          <w:rFonts w:ascii="Times New Roman" w:hAnsi="Times New Roman" w:cs="Times New Roman"/>
          <w:color w:val="000000"/>
          <w:sz w:val="24"/>
          <w:szCs w:val="24"/>
        </w:rPr>
      </w:r>
      <w:r>
        <w:rPr>
          <w:rFonts w:ascii="Times New Roman" w:hAnsi="Times New Roman" w:cs="Times New Roman"/>
          <w:color w:val="000000"/>
          <w:sz w:val="24"/>
          <w:szCs w:val="24"/>
        </w:rPr>
      </w:r>
    </w:p>
    <w:p w14:paraId="43E8AA81">
      <w:pPr>
        <w:pBdr/>
        <w:spacing w:line="360" w:lineRule="auto"/>
        <w:ind w:firstLine="0" w:left="3000"/>
        <w:contextualSpacing w:val="true"/>
        <w:jc w:val="both"/>
        <w:rPr>
          <w:rFonts w:ascii="Times New Roman" w:hAnsi="Times New Roman" w:cs="Times New Roman"/>
          <w:i/>
          <w:iCs/>
          <w:color w:val="000000"/>
          <w:sz w:val="24"/>
          <w:szCs w:val="24"/>
        </w:rPr>
      </w:pPr>
      <w:r>
        <w:rPr>
          <w:rFonts w:ascii="Times New Roman" w:hAnsi="Times New Roman" w:cs="Times New Roman"/>
          <w:i/>
          <w:iCs/>
          <w:color w:val="000000"/>
          <w:sz w:val="24"/>
          <w:szCs w:val="24"/>
        </w:rPr>
        <w:t xml:space="preserve">"§ 3º Para os fins do § 2º deste artigo, o edital poderá prever que o licitante declare que conhece as condições locais para a execução do objeto."</w:t>
      </w:r>
      <w:r>
        <w:rPr>
          <w:rFonts w:ascii="Times New Roman" w:hAnsi="Times New Roman" w:cs="Times New Roman"/>
          <w:i/>
          <w:iCs/>
          <w:color w:val="000000"/>
          <w:sz w:val="24"/>
          <w:szCs w:val="24"/>
        </w:rPr>
      </w:r>
      <w:r>
        <w:rPr>
          <w:rFonts w:ascii="Times New Roman" w:hAnsi="Times New Roman" w:cs="Times New Roman"/>
          <w:i/>
          <w:iCs/>
          <w:color w:val="000000"/>
          <w:sz w:val="24"/>
          <w:szCs w:val="24"/>
        </w:rPr>
      </w:r>
    </w:p>
    <w:p w14:paraId="5D48F8A4">
      <w:pPr>
        <w:numPr>
          <w:ilvl w:val="0"/>
          <w:numId w:val="65"/>
        </w:numPr>
        <w:pBdr/>
        <w:tabs>
          <w:tab w:val="clear" w:leader="none" w:pos="454"/>
        </w:tabs>
        <w:spacing w:line="360" w:lineRule="auto"/>
        <w:ind w:firstLine="0" w:left="0"/>
        <w:contextualSpacing w:val="true"/>
        <w:jc w:val="both"/>
        <w:rPr>
          <w:rFonts w:ascii="Times New Roman" w:hAnsi="Times New Roman" w:cs="Times New Roman"/>
          <w:color w:val="000000"/>
          <w:sz w:val="24"/>
          <w:szCs w:val="24"/>
          <w:highlight w:val="yellow"/>
        </w:rPr>
      </w:pPr>
      <w:r>
        <w:rPr>
          <w:rFonts w:ascii="Times New Roman" w:hAnsi="Times New Roman" w:cs="Times New Roman"/>
          <w:color w:val="000000"/>
          <w:sz w:val="24"/>
          <w:szCs w:val="24"/>
          <w:highlight w:val="yellow"/>
        </w:rPr>
        <w:t xml:space="preserve">Agendamento: Caso a licitante opte pela vistoria, esta deverá ser agendada junto à Secretaria Municipal de Obras e Serviços Urbanos, conforme a especificidade do item de interesse.</w:t>
      </w:r>
      <w:r>
        <w:rPr>
          <w:rFonts w:ascii="Times New Roman" w:hAnsi="Times New Roman" w:cs="Times New Roman"/>
          <w:color w:val="000000"/>
          <w:sz w:val="24"/>
          <w:szCs w:val="24"/>
          <w:highlight w:val="yellow"/>
        </w:rPr>
      </w:r>
      <w:r>
        <w:rPr>
          <w:rFonts w:ascii="Times New Roman" w:hAnsi="Times New Roman" w:cs="Times New Roman"/>
          <w:color w:val="000000"/>
          <w:sz w:val="24"/>
          <w:szCs w:val="24"/>
          <w:highlight w:val="yellow"/>
        </w:rPr>
      </w:r>
    </w:p>
    <w:p w14:paraId="2C2C206C">
      <w:pPr>
        <w:numPr>
          <w:ilvl w:val="0"/>
          <w:numId w:val="66"/>
        </w:numPr>
        <w:pBdr/>
        <w:tabs>
          <w:tab w:val="left" w:leader="none" w:pos="0"/>
          <w:tab w:val="clear" w:leader="none" w:pos="454"/>
        </w:tabs>
        <w:spacing w:line="360" w:lineRule="auto"/>
        <w:ind w:hanging="14" w:left="14"/>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Elementos a serem Observados na Vistoria A empresa deverá avaliar, para fins de elaboração de sua proposta:</w:t>
      </w:r>
      <w:r>
        <w:rPr>
          <w:rFonts w:ascii="Times New Roman" w:hAnsi="Times New Roman" w:cs="Times New Roman"/>
          <w:color w:val="000000"/>
          <w:sz w:val="24"/>
          <w:szCs w:val="24"/>
        </w:rPr>
      </w:r>
      <w:r>
        <w:rPr>
          <w:rFonts w:ascii="Times New Roman" w:hAnsi="Times New Roman" w:cs="Times New Roman"/>
          <w:color w:val="000000"/>
          <w:sz w:val="24"/>
          <w:szCs w:val="24"/>
        </w:rPr>
      </w:r>
    </w:p>
    <w:p w14:paraId="3D840C86">
      <w:pPr>
        <w:numPr>
          <w:ilvl w:val="0"/>
          <w:numId w:val="67"/>
        </w:numPr>
        <w:pBdr/>
        <w:tabs>
          <w:tab w:val="left" w:leader="none" w:pos="0"/>
          <w:tab w:val="clear" w:leader="none" w:pos="425"/>
        </w:tabs>
        <w:spacing w:line="360" w:lineRule="auto"/>
        <w:ind w:firstLine="260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Condições Geográficas e Geológicas: Existência de solos instáveis ou necessidade de remoção de camada vegetal (Itens 1.11 e 1.12 da memória de cálculo).</w:t>
      </w:r>
      <w:r>
        <w:rPr>
          <w:rFonts w:ascii="Times New Roman" w:hAnsi="Times New Roman" w:cs="Times New Roman"/>
          <w:color w:val="000000"/>
          <w:sz w:val="24"/>
          <w:szCs w:val="24"/>
        </w:rPr>
      </w:r>
      <w:r>
        <w:rPr>
          <w:rFonts w:ascii="Times New Roman" w:hAnsi="Times New Roman" w:cs="Times New Roman"/>
          <w:color w:val="000000"/>
          <w:sz w:val="24"/>
          <w:szCs w:val="24"/>
        </w:rPr>
      </w:r>
    </w:p>
    <w:p w14:paraId="2AF50B1F">
      <w:pPr>
        <w:numPr>
          <w:ilvl w:val="0"/>
          <w:numId w:val="67"/>
        </w:numPr>
        <w:pBdr/>
        <w:tabs>
          <w:tab w:val="left" w:leader="none" w:pos="0"/>
          <w:tab w:val="clear" w:leader="none" w:pos="425"/>
        </w:tabs>
        <w:spacing w:line="360" w:lineRule="auto"/>
        <w:ind w:firstLine="260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Interferências Urbanas: Presença de redes de concessionárias (água, esgoto, energia), árvores ou mobiliário urbano que demandem cuidados especiais na execução de calçadas e meios-fios (NBR 9050:2020).</w:t>
      </w:r>
      <w:r>
        <w:rPr>
          <w:rFonts w:ascii="Times New Roman" w:hAnsi="Times New Roman" w:cs="Times New Roman"/>
          <w:color w:val="000000"/>
          <w:sz w:val="24"/>
          <w:szCs w:val="24"/>
        </w:rPr>
      </w:r>
      <w:r>
        <w:rPr>
          <w:rFonts w:ascii="Times New Roman" w:hAnsi="Times New Roman" w:cs="Times New Roman"/>
          <w:color w:val="000000"/>
          <w:sz w:val="24"/>
          <w:szCs w:val="24"/>
        </w:rPr>
      </w:r>
    </w:p>
    <w:p w14:paraId="658F8BA9">
      <w:pPr>
        <w:numPr>
          <w:ilvl w:val="0"/>
          <w:numId w:val="67"/>
        </w:numPr>
        <w:pBdr/>
        <w:tabs>
          <w:tab w:val="left" w:leader="none" w:pos="0"/>
          <w:tab w:val="clear" w:leader="none" w:pos="425"/>
        </w:tabs>
        <w:spacing w:line="360" w:lineRule="auto"/>
        <w:ind w:firstLine="260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Logística de Transporte: Distância média de transporte (DMT) para o descarte de resíduos e fornecimento de materiais, validando a adequação aos itens de transporte previstos (Item 1.11)</w:t>
      </w:r>
      <w:r>
        <w:rPr>
          <w:rFonts w:ascii="Times New Roman" w:hAnsi="Times New Roman" w:cs="Times New Roman"/>
          <w:color w:val="000000"/>
          <w:sz w:val="24"/>
          <w:szCs w:val="24"/>
        </w:rPr>
      </w:r>
      <w:r>
        <w:rPr>
          <w:rFonts w:ascii="Times New Roman" w:hAnsi="Times New Roman" w:cs="Times New Roman"/>
          <w:color w:val="000000"/>
          <w:sz w:val="24"/>
          <w:szCs w:val="24"/>
        </w:rPr>
      </w:r>
    </w:p>
    <w:p w14:paraId="4EEDD25F">
      <w:pPr>
        <w:pBdr/>
        <w:spacing w:line="360" w:lineRule="auto"/>
        <w:ind/>
        <w:contextualSpacing w:val="true"/>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DA RESPONSABILIDADE TÉCNICA E INEXISTÊNCIA DE ADITIVOS</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r>
      <w:r>
        <w:rPr>
          <w:rFonts w:ascii="Times New Roman" w:hAnsi="Times New Roman" w:cs="Times New Roman"/>
          <w:color w:val="000000"/>
          <w:sz w:val="24"/>
          <w:szCs w:val="24"/>
        </w:rPr>
      </w:r>
    </w:p>
    <w:p w14:paraId="4A55E543">
      <w:pPr>
        <w:numPr>
          <w:ilvl w:val="0"/>
          <w:numId w:val="68"/>
        </w:numPr>
        <w:pBdr/>
        <w:tabs>
          <w:tab w:val="left" w:leader="none" w:pos="0"/>
          <w:tab w:val="clear" w:leader="none" w:pos="454"/>
        </w:tabs>
        <w:spacing w:line="360" w:lineRule="auto"/>
        <w:ind w:hanging="14" w:left="14"/>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 exigência de conhecimento do local visa atender ao Art. 18, §1º, inciso III da Lei 14.133/2021 (Requisitos da Contratação) e ao Art. 91 do Decreto Municipal nº 359/2023, que exige a localização e natureza exata dos serviços de engenharia.</w:t>
      </w:r>
      <w:r>
        <w:rPr>
          <w:rFonts w:ascii="Times New Roman" w:hAnsi="Times New Roman" w:cs="Times New Roman"/>
          <w:color w:val="000000"/>
          <w:sz w:val="24"/>
          <w:szCs w:val="24"/>
        </w:rPr>
      </w:r>
      <w:r>
        <w:rPr>
          <w:rFonts w:ascii="Times New Roman" w:hAnsi="Times New Roman" w:cs="Times New Roman"/>
          <w:color w:val="000000"/>
          <w:sz w:val="24"/>
          <w:szCs w:val="24"/>
        </w:rPr>
      </w:r>
    </w:p>
    <w:p w14:paraId="355D9E55">
      <w:pPr>
        <w:numPr>
          <w:ilvl w:val="0"/>
          <w:numId w:val="68"/>
        </w:numPr>
        <w:pBdr/>
        <w:tabs>
          <w:tab w:val="left" w:leader="none" w:pos="0"/>
          <w:tab w:val="clear" w:leader="none" w:pos="454"/>
        </w:tabs>
        <w:spacing w:line="360" w:lineRule="auto"/>
        <w:ind w:hanging="14" w:left="14"/>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 contratada não poderá alegar desconhecimento de interferências (redes</w:t>
      </w:r>
      <w:r>
        <w:rPr>
          <w:rFonts w:ascii="Times New Roman" w:hAnsi="Times New Roman" w:cs="Times New Roman"/>
          <w:color w:val="000000"/>
          <w:sz w:val="24"/>
          <w:szCs w:val="24"/>
        </w:rPr>
        <w:t xml:space="preserve"> elétricas, drenagem, raízes de árvores) ou condições geológicas do solo de Sinop para pleitear reequilíbrio econômico-financeiro, uma vez que o Art. 92 do Decreto 359/2023 impõe que o ETP considere todas as dificuldades de execução na composição do custo.</w:t>
      </w:r>
      <w:r>
        <w:rPr>
          <w:rFonts w:ascii="Times New Roman" w:hAnsi="Times New Roman" w:cs="Times New Roman"/>
          <w:color w:val="000000"/>
          <w:sz w:val="24"/>
          <w:szCs w:val="24"/>
        </w:rPr>
      </w:r>
      <w:r>
        <w:rPr>
          <w:rFonts w:ascii="Times New Roman" w:hAnsi="Times New Roman" w:cs="Times New Roman"/>
          <w:color w:val="000000"/>
          <w:sz w:val="24"/>
          <w:szCs w:val="24"/>
        </w:rPr>
      </w:r>
    </w:p>
    <w:p w14:paraId="638FEFFA">
      <w:pPr>
        <w:pBdr/>
        <w:spacing w:line="360" w:lineRule="auto"/>
        <w:ind/>
        <w:contextualSpacing w:val="true"/>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Responsabilidade do licitante</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14:paraId="4B20C164">
      <w:pPr>
        <w:numPr>
          <w:ilvl w:val="0"/>
          <w:numId w:val="69"/>
        </w:numPr>
        <w:pBdr/>
        <w:tabs>
          <w:tab w:val="left" w:leader="none" w:pos="0"/>
          <w:tab w:val="clear" w:leader="none" w:pos="454"/>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 Administração Municipal não aceitará, sob hipótese alguma, pleitos de reequilíbrio econômico-financeiro ou prorrogação de prazos baseados em desconhecimento de características locais que poderiam ter sido constatadas durante a vistoria técnica.</w:t>
      </w:r>
      <w:r>
        <w:rPr>
          <w:rFonts w:ascii="Times New Roman" w:hAnsi="Times New Roman" w:cs="Times New Roman"/>
          <w:color w:val="000000"/>
          <w:sz w:val="24"/>
          <w:szCs w:val="24"/>
        </w:rPr>
      </w:r>
      <w:r>
        <w:rPr>
          <w:rFonts w:ascii="Times New Roman" w:hAnsi="Times New Roman" w:cs="Times New Roman"/>
          <w:color w:val="000000"/>
          <w:sz w:val="24"/>
          <w:szCs w:val="24"/>
        </w:rPr>
      </w:r>
    </w:p>
    <w:p w14:paraId="23D774C1">
      <w:pPr>
        <w:numPr>
          <w:ilvl w:val="0"/>
          <w:numId w:val="69"/>
        </w:numPr>
        <w:pBdr/>
        <w:tabs>
          <w:tab w:val="left" w:leader="none" w:pos="0"/>
          <w:tab w:val="clear" w:leader="none" w:pos="454"/>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 empresa deve certificar-se de que possui o maquinário compatível com as vias de Sinop (ex: uso de extrusora para meio-fio moldado in loco conforme Item 1.10).</w:t>
      </w:r>
      <w:r>
        <w:rPr>
          <w:rFonts w:ascii="Times New Roman" w:hAnsi="Times New Roman" w:cs="Times New Roman"/>
          <w:color w:val="000000"/>
          <w:sz w:val="24"/>
          <w:szCs w:val="24"/>
        </w:rPr>
      </w:r>
      <w:r>
        <w:rPr>
          <w:rFonts w:ascii="Times New Roman" w:hAnsi="Times New Roman" w:cs="Times New Roman"/>
          <w:color w:val="000000"/>
          <w:sz w:val="24"/>
          <w:szCs w:val="24"/>
        </w:rPr>
      </w:r>
    </w:p>
    <w:p w14:paraId="2DDF4E69">
      <w:pPr>
        <w:numPr>
          <w:ilvl w:val="0"/>
          <w:numId w:val="69"/>
        </w:numPr>
        <w:pBdr/>
        <w:tabs>
          <w:tab w:val="left" w:leader="none" w:pos="0"/>
          <w:tab w:val="clear" w:leader="none" w:pos="454"/>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Fundamentação Legal Este critério está em consonância com o Art. 63, §2º da Lei nº 14.133/2021, que permite a substituição da vistoria pela declaração de conhecimento, visando não restringir a competitividade, mas mantendo a segurança jurídica do contrato.</w:t>
      </w:r>
      <w:r>
        <w:rPr>
          <w:rFonts w:ascii="Times New Roman" w:hAnsi="Times New Roman" w:cs="Times New Roman"/>
          <w:color w:val="000000"/>
          <w:sz w:val="24"/>
          <w:szCs w:val="24"/>
        </w:rPr>
      </w:r>
      <w:r>
        <w:rPr>
          <w:rFonts w:ascii="Times New Roman" w:hAnsi="Times New Roman" w:cs="Times New Roman"/>
          <w:color w:val="000000"/>
          <w:sz w:val="24"/>
          <w:szCs w:val="24"/>
        </w:rPr>
      </w:r>
    </w:p>
    <w:p w14:paraId="23C0A430">
      <w:pPr>
        <w:numPr>
          <w:ilvl w:val="0"/>
          <w:numId w:val="69"/>
        </w:numPr>
        <w:pBdr/>
        <w:tabs>
          <w:tab w:val="left" w:leader="none" w:pos="0"/>
          <w:tab w:val="clear" w:leader="none" w:pos="454"/>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Verificação das Condições Operacionais Durante a vistoria ou na elaboração da proposta, a empresa deve atestar a compatibilidade de sua estrutura com o Art. 100 do Decreto 359/2023, que trata da sustentabilidade e gestão de resíduos:</w:t>
      </w:r>
      <w:r>
        <w:rPr>
          <w:rFonts w:ascii="Times New Roman" w:hAnsi="Times New Roman" w:cs="Times New Roman"/>
          <w:color w:val="000000"/>
          <w:sz w:val="24"/>
          <w:szCs w:val="24"/>
        </w:rPr>
      </w:r>
      <w:r>
        <w:rPr>
          <w:rFonts w:ascii="Times New Roman" w:hAnsi="Times New Roman" w:cs="Times New Roman"/>
          <w:color w:val="000000"/>
          <w:sz w:val="24"/>
          <w:szCs w:val="24"/>
        </w:rPr>
      </w:r>
    </w:p>
    <w:p w14:paraId="3365123B">
      <w:pPr>
        <w:pBdr/>
        <w:spacing w:line="360" w:lineRule="auto"/>
        <w:ind w:firstLine="0" w:left="3000"/>
        <w:contextualSpacing w:val="true"/>
        <w:jc w:val="both"/>
        <w:rPr>
          <w:rFonts w:ascii="Times New Roman" w:hAnsi="Times New Roman" w:cs="Times New Roman"/>
          <w:i/>
          <w:iCs/>
          <w:color w:val="000000"/>
          <w:sz w:val="24"/>
          <w:szCs w:val="24"/>
        </w:rPr>
      </w:pPr>
      <w:r>
        <w:rPr>
          <w:rFonts w:ascii="Times New Roman" w:hAnsi="Times New Roman" w:cs="Times New Roman"/>
          <w:i/>
          <w:iCs/>
          <w:color w:val="000000"/>
          <w:sz w:val="24"/>
          <w:szCs w:val="24"/>
        </w:rPr>
        <w:t xml:space="preserve">"Art. 100. A Administração Municipal, sempre que possível, deverá estabelecer critérios de sustentabilidade ambiental, social e econômica no Estudo Técnico Preliminar..."</w:t>
      </w:r>
      <w:r>
        <w:rPr>
          <w:rFonts w:ascii="Times New Roman" w:hAnsi="Times New Roman" w:cs="Times New Roman"/>
          <w:i/>
          <w:iCs/>
          <w:color w:val="000000"/>
          <w:sz w:val="24"/>
          <w:szCs w:val="24"/>
        </w:rPr>
      </w:r>
      <w:r>
        <w:rPr>
          <w:rFonts w:ascii="Times New Roman" w:hAnsi="Times New Roman" w:cs="Times New Roman"/>
          <w:i/>
          <w:iCs/>
          <w:color w:val="000000"/>
          <w:sz w:val="24"/>
          <w:szCs w:val="24"/>
        </w:rPr>
      </w:r>
    </w:p>
    <w:p w14:paraId="696FCEE5">
      <w:pPr>
        <w:numPr>
          <w:ilvl w:val="0"/>
          <w:numId w:val="0"/>
        </w:numPr>
        <w:pBdr/>
        <w:spacing w:line="360" w:lineRule="auto"/>
        <w:ind/>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Isso inclui a verificação de rotas para o transporte de materiais e bota-fora (Item 1.11 da Memória de Cálculo), garantindo que a logística orçada seja exequível.</w:t>
      </w:r>
      <w:r>
        <w:rPr>
          <w:rFonts w:ascii="Times New Roman" w:hAnsi="Times New Roman" w:cs="Times New Roman"/>
          <w:color w:val="000000"/>
          <w:sz w:val="24"/>
          <w:szCs w:val="24"/>
        </w:rPr>
      </w:r>
      <w:r>
        <w:rPr>
          <w:rFonts w:ascii="Times New Roman" w:hAnsi="Times New Roman" w:cs="Times New Roman"/>
          <w:color w:val="000000"/>
          <w:sz w:val="24"/>
          <w:szCs w:val="24"/>
        </w:rPr>
      </w:r>
    </w:p>
    <w:p w14:paraId="1D2D8A7C">
      <w:pPr>
        <w:pBdr/>
        <w:spacing w:line="360" w:lineRule="auto"/>
        <w:ind/>
        <w:contextualSpacing w:val="true"/>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OUTROS DOCUMENTOS:</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14:paraId="5D512F2D">
      <w:pPr>
        <w:numPr>
          <w:ilvl w:val="0"/>
          <w:numId w:val="70"/>
        </w:numPr>
        <w:pBdr/>
        <w:tabs>
          <w:tab w:val="left" w:leader="none" w:pos="0"/>
          <w:tab w:val="clear" w:leader="none" w:pos="425"/>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 licitante deverá preencher em campo próprio do sistema, sob pena de inabilitação, as seguintes declarações:</w:t>
      </w:r>
      <w:r>
        <w:rPr>
          <w:rFonts w:ascii="Times New Roman" w:hAnsi="Times New Roman" w:cs="Times New Roman"/>
          <w:color w:val="000000"/>
          <w:sz w:val="24"/>
          <w:szCs w:val="24"/>
        </w:rPr>
      </w:r>
      <w:r>
        <w:rPr>
          <w:rFonts w:ascii="Times New Roman" w:hAnsi="Times New Roman" w:cs="Times New Roman"/>
          <w:color w:val="000000"/>
          <w:sz w:val="24"/>
          <w:szCs w:val="24"/>
        </w:rPr>
      </w:r>
    </w:p>
    <w:p w14:paraId="0E8BA9B1">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a.1) Declaração de Enquadramento ME/EPP;</w:t>
      </w:r>
      <w:r>
        <w:rPr>
          <w:rFonts w:ascii="Times New Roman" w:hAnsi="Times New Roman" w:cs="Times New Roman"/>
          <w:color w:val="000000"/>
          <w:sz w:val="24"/>
          <w:szCs w:val="24"/>
        </w:rPr>
      </w:r>
      <w:r>
        <w:rPr>
          <w:rFonts w:ascii="Times New Roman" w:hAnsi="Times New Roman" w:cs="Times New Roman"/>
          <w:color w:val="000000"/>
          <w:sz w:val="24"/>
          <w:szCs w:val="24"/>
        </w:rPr>
      </w:r>
    </w:p>
    <w:p w14:paraId="1EF9A4B3">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a.2) Declaração de Reserva de Cargos;</w:t>
      </w:r>
      <w:r>
        <w:rPr>
          <w:rFonts w:ascii="Times New Roman" w:hAnsi="Times New Roman" w:cs="Times New Roman"/>
          <w:color w:val="000000"/>
          <w:sz w:val="24"/>
          <w:szCs w:val="24"/>
        </w:rPr>
      </w:r>
      <w:r>
        <w:rPr>
          <w:rFonts w:ascii="Times New Roman" w:hAnsi="Times New Roman" w:cs="Times New Roman"/>
          <w:color w:val="000000"/>
          <w:sz w:val="24"/>
          <w:szCs w:val="24"/>
        </w:rPr>
      </w:r>
    </w:p>
    <w:p w14:paraId="6A301FBF">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a.3) Declaração de Não-Emprego de menores;</w:t>
      </w:r>
      <w:r>
        <w:rPr>
          <w:rFonts w:ascii="Times New Roman" w:hAnsi="Times New Roman" w:cs="Times New Roman"/>
          <w:color w:val="000000"/>
          <w:sz w:val="24"/>
          <w:szCs w:val="24"/>
        </w:rPr>
      </w:r>
      <w:r>
        <w:rPr>
          <w:rFonts w:ascii="Times New Roman" w:hAnsi="Times New Roman" w:cs="Times New Roman"/>
          <w:color w:val="000000"/>
          <w:sz w:val="24"/>
          <w:szCs w:val="24"/>
        </w:rPr>
      </w:r>
    </w:p>
    <w:p w14:paraId="533ECF7B">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a.4) Declaração de Acessibilidade;</w:t>
      </w:r>
      <w:r>
        <w:rPr>
          <w:rFonts w:ascii="Times New Roman" w:hAnsi="Times New Roman" w:cs="Times New Roman"/>
          <w:color w:val="000000"/>
          <w:sz w:val="24"/>
          <w:szCs w:val="24"/>
        </w:rPr>
      </w:r>
      <w:r>
        <w:rPr>
          <w:rFonts w:ascii="Times New Roman" w:hAnsi="Times New Roman" w:cs="Times New Roman"/>
          <w:color w:val="000000"/>
          <w:sz w:val="24"/>
          <w:szCs w:val="24"/>
        </w:rPr>
      </w:r>
    </w:p>
    <w:p w14:paraId="2BAA8D82">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a.5) Declaração de conhecimento do Edital;</w:t>
      </w:r>
      <w:r>
        <w:rPr>
          <w:rFonts w:ascii="Times New Roman" w:hAnsi="Times New Roman" w:cs="Times New Roman"/>
          <w:color w:val="000000"/>
          <w:sz w:val="24"/>
          <w:szCs w:val="24"/>
        </w:rPr>
      </w:r>
      <w:r>
        <w:rPr>
          <w:rFonts w:ascii="Times New Roman" w:hAnsi="Times New Roman" w:cs="Times New Roman"/>
          <w:color w:val="000000"/>
          <w:sz w:val="24"/>
          <w:szCs w:val="24"/>
        </w:rPr>
      </w:r>
    </w:p>
    <w:p w14:paraId="49037650">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a.6) Declaração de proposta econômica;</w:t>
      </w:r>
      <w:r>
        <w:rPr>
          <w:rFonts w:ascii="Times New Roman" w:hAnsi="Times New Roman" w:cs="Times New Roman"/>
          <w:color w:val="000000"/>
          <w:sz w:val="24"/>
          <w:szCs w:val="24"/>
        </w:rPr>
      </w:r>
      <w:r>
        <w:rPr>
          <w:rFonts w:ascii="Times New Roman" w:hAnsi="Times New Roman" w:cs="Times New Roman"/>
          <w:color w:val="000000"/>
          <w:sz w:val="24"/>
          <w:szCs w:val="24"/>
        </w:rPr>
      </w:r>
    </w:p>
    <w:p w14:paraId="24DEBCD9">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a.7) Declaração de Não-Emprego de trabalho degradante;</w:t>
      </w:r>
      <w:r>
        <w:rPr>
          <w:rFonts w:ascii="Times New Roman" w:hAnsi="Times New Roman" w:cs="Times New Roman"/>
          <w:color w:val="000000"/>
          <w:sz w:val="24"/>
          <w:szCs w:val="24"/>
        </w:rPr>
      </w:r>
      <w:r>
        <w:rPr>
          <w:rFonts w:ascii="Times New Roman" w:hAnsi="Times New Roman" w:cs="Times New Roman"/>
          <w:color w:val="000000"/>
          <w:sz w:val="24"/>
          <w:szCs w:val="24"/>
        </w:rPr>
      </w:r>
    </w:p>
    <w:p w14:paraId="0FFF85E2">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a.8) Declaração de Inexistência de Fato Superveniente.</w:t>
      </w:r>
      <w:r>
        <w:rPr>
          <w:rFonts w:ascii="Times New Roman" w:hAnsi="Times New Roman" w:cs="Times New Roman"/>
          <w:color w:val="000000"/>
          <w:sz w:val="24"/>
          <w:szCs w:val="24"/>
        </w:rPr>
      </w:r>
      <w:r>
        <w:rPr>
          <w:rFonts w:ascii="Times New Roman" w:hAnsi="Times New Roman" w:cs="Times New Roman"/>
          <w:color w:val="000000"/>
          <w:sz w:val="24"/>
          <w:szCs w:val="24"/>
        </w:rPr>
      </w:r>
    </w:p>
    <w:p w14:paraId="33DD792D">
      <w:pPr>
        <w:numPr>
          <w:ilvl w:val="0"/>
          <w:numId w:val="71"/>
        </w:numPr>
        <w:pBdr/>
        <w:tabs>
          <w:tab w:val="left" w:leader="none" w:pos="0"/>
          <w:tab w:val="clear" w:leader="none" w:pos="425"/>
        </w:tabs>
        <w:spacing w:line="360" w:lineRule="auto"/>
        <w:ind w:hanging="5" w:left="5"/>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Os documentos exigidos neste Capítulo deverão ser enviados por meio do sistema, quando solicitado pelo Agente de Contratação, até a conclusão da fase de habilitação.</w:t>
      </w:r>
      <w:r>
        <w:rPr>
          <w:rFonts w:ascii="Times New Roman" w:hAnsi="Times New Roman" w:cs="Times New Roman"/>
          <w:color w:val="000000"/>
          <w:sz w:val="24"/>
          <w:szCs w:val="24"/>
        </w:rPr>
      </w:r>
      <w:r>
        <w:rPr>
          <w:rFonts w:ascii="Times New Roman" w:hAnsi="Times New Roman" w:cs="Times New Roman"/>
          <w:color w:val="000000"/>
          <w:sz w:val="24"/>
          <w:szCs w:val="24"/>
        </w:rPr>
      </w:r>
    </w:p>
    <w:p w14:paraId="0B37E77D">
      <w:pPr>
        <w:numPr>
          <w:ilvl w:val="0"/>
          <w:numId w:val="72"/>
        </w:numPr>
        <w:pBdr/>
        <w:tabs>
          <w:tab w:val="left" w:leader="none" w:pos="0"/>
          <w:tab w:val="clear" w:leader="none" w:pos="425"/>
        </w:tabs>
        <w:spacing w:line="360" w:lineRule="auto"/>
        <w:ind w:hanging="5" w:left="5"/>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 prazo para envio dos documentos de que trata o item 4.5.7. é de, no míni</w:t>
      </w:r>
      <w:r>
        <w:rPr>
          <w:rFonts w:ascii="Times New Roman" w:hAnsi="Times New Roman" w:cs="Times New Roman"/>
          <w:color w:val="000000"/>
          <w:sz w:val="24"/>
          <w:szCs w:val="24"/>
        </w:rPr>
        <w:t xml:space="preserve">mo, 2h (duas horas), a contar da convocação pelo sistema, podendo tal prazo ser alargado conforme motivado pelo Agente de Contratação a depender das circunstâncias ou, havendo justo motivo, mediante solicitação formal de prorrogação por parte da licitante.</w:t>
      </w:r>
      <w:r>
        <w:rPr>
          <w:rFonts w:ascii="Times New Roman" w:hAnsi="Times New Roman" w:cs="Times New Roman"/>
          <w:color w:val="000000"/>
          <w:sz w:val="24"/>
          <w:szCs w:val="24"/>
        </w:rPr>
      </w:r>
      <w:r>
        <w:rPr>
          <w:rFonts w:ascii="Times New Roman" w:hAnsi="Times New Roman" w:cs="Times New Roman"/>
          <w:color w:val="000000"/>
          <w:sz w:val="24"/>
          <w:szCs w:val="24"/>
        </w:rPr>
      </w:r>
    </w:p>
    <w:p w14:paraId="355D9BC3">
      <w:pPr>
        <w:numPr>
          <w:ilvl w:val="0"/>
          <w:numId w:val="73"/>
        </w:numPr>
        <w:pBdr/>
        <w:tabs>
          <w:tab w:val="left" w:leader="none" w:pos="0"/>
          <w:tab w:val="clear" w:leader="none" w:pos="425"/>
        </w:tabs>
        <w:spacing w:line="360" w:lineRule="auto"/>
        <w:ind w:hanging="5" w:left="5"/>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Para a contagem do prazo de que trata o item anterior, não será considerado o tempo de suspensão da sessão realizada pelo Agente de Contratação.</w:t>
      </w:r>
      <w:r>
        <w:rPr>
          <w:rFonts w:ascii="Times New Roman" w:hAnsi="Times New Roman" w:cs="Times New Roman"/>
          <w:color w:val="000000"/>
          <w:sz w:val="24"/>
          <w:szCs w:val="24"/>
        </w:rPr>
      </w:r>
      <w:r>
        <w:rPr>
          <w:rFonts w:ascii="Times New Roman" w:hAnsi="Times New Roman" w:cs="Times New Roman"/>
          <w:color w:val="000000"/>
          <w:sz w:val="24"/>
          <w:szCs w:val="24"/>
        </w:rPr>
      </w:r>
    </w:p>
    <w:p w14:paraId="06601D5B">
      <w:pPr>
        <w:numPr>
          <w:ilvl w:val="0"/>
          <w:numId w:val="73"/>
        </w:numPr>
        <w:pBdr/>
        <w:tabs>
          <w:tab w:val="left" w:leader="none" w:pos="0"/>
          <w:tab w:val="clear" w:leader="none" w:pos="425"/>
        </w:tabs>
        <w:spacing w:line="360" w:lineRule="auto"/>
        <w:ind w:hanging="5" w:left="5"/>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Em caso de não envio dos documentos complementares no prazo indicado ou expirada eventual prorrogação concedida pelo Agente de Contratação, a licitante será inabilitada e sujeitar-se-á às sanções previstas neste edital.</w:t>
      </w:r>
      <w:r>
        <w:rPr>
          <w:rFonts w:ascii="Times New Roman" w:hAnsi="Times New Roman" w:cs="Times New Roman"/>
          <w:color w:val="000000"/>
          <w:sz w:val="24"/>
          <w:szCs w:val="24"/>
        </w:rPr>
      </w:r>
      <w:r>
        <w:rPr>
          <w:rFonts w:ascii="Times New Roman" w:hAnsi="Times New Roman" w:cs="Times New Roman"/>
          <w:color w:val="000000"/>
          <w:sz w:val="24"/>
          <w:szCs w:val="24"/>
        </w:rPr>
      </w:r>
    </w:p>
    <w:p w14:paraId="78D247D3">
      <w:pPr>
        <w:numPr>
          <w:ilvl w:val="0"/>
          <w:numId w:val="73"/>
        </w:numPr>
        <w:pBdr/>
        <w:tabs>
          <w:tab w:val="left" w:leader="none" w:pos="0"/>
          <w:tab w:val="clear" w:leader="none" w:pos="425"/>
        </w:tabs>
        <w:spacing w:line="360" w:lineRule="auto"/>
        <w:ind w:hanging="5" w:left="5"/>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 licitante se responsabiliza pela veracidade e autenticidade dos documentos por ele encaminhados.</w:t>
      </w:r>
      <w:r>
        <w:rPr>
          <w:rFonts w:ascii="Times New Roman" w:hAnsi="Times New Roman" w:cs="Times New Roman"/>
          <w:color w:val="000000"/>
          <w:sz w:val="24"/>
          <w:szCs w:val="24"/>
        </w:rPr>
      </w:r>
      <w:r>
        <w:rPr>
          <w:rFonts w:ascii="Times New Roman" w:hAnsi="Times New Roman" w:cs="Times New Roman"/>
          <w:color w:val="000000"/>
          <w:sz w:val="24"/>
          <w:szCs w:val="24"/>
        </w:rPr>
      </w:r>
    </w:p>
    <w:p w14:paraId="2298A249">
      <w:pPr>
        <w:numPr>
          <w:ilvl w:val="0"/>
          <w:numId w:val="73"/>
        </w:numPr>
        <w:pBdr/>
        <w:tabs>
          <w:tab w:val="left" w:leader="none" w:pos="0"/>
          <w:tab w:val="clear" w:leader="none" w:pos="425"/>
        </w:tabs>
        <w:spacing w:line="360" w:lineRule="auto"/>
        <w:ind w:hanging="5" w:left="5"/>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Havendo dúvida razo</w:t>
      </w:r>
      <w:r>
        <w:rPr>
          <w:rFonts w:ascii="Times New Roman" w:hAnsi="Times New Roman" w:cs="Times New Roman"/>
          <w:color w:val="000000"/>
          <w:sz w:val="24"/>
          <w:szCs w:val="24"/>
        </w:rPr>
        <w:t xml:space="preserve">ável quanto à autenticidade ou em razão de outro motivo devidamente justificado, o Agente de Contratação, a qualquer momento, poderá solicitar ao licitante o envio, em original ou por cópia autenticada, dos documentos remetidos nos termos do item anterior.</w:t>
      </w:r>
      <w:r>
        <w:rPr>
          <w:rFonts w:ascii="Times New Roman" w:hAnsi="Times New Roman" w:cs="Times New Roman"/>
          <w:color w:val="000000"/>
          <w:sz w:val="24"/>
          <w:szCs w:val="24"/>
        </w:rPr>
      </w:r>
      <w:r>
        <w:rPr>
          <w:rFonts w:ascii="Times New Roman" w:hAnsi="Times New Roman" w:cs="Times New Roman"/>
          <w:color w:val="000000"/>
          <w:sz w:val="24"/>
          <w:szCs w:val="24"/>
        </w:rPr>
      </w:r>
    </w:p>
    <w:p w14:paraId="0B322CB2">
      <w:pPr>
        <w:numPr>
          <w:ilvl w:val="0"/>
          <w:numId w:val="73"/>
        </w:numPr>
        <w:pBdr/>
        <w:tabs>
          <w:tab w:val="left" w:leader="none" w:pos="0"/>
          <w:tab w:val="clear" w:leader="none" w:pos="425"/>
        </w:tabs>
        <w:spacing w:line="360" w:lineRule="auto"/>
        <w:ind w:hanging="5" w:left="5"/>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Os originais ou cópias autenticadas, caso sejam solicitados, deverão ser encaminhados à Prefeitura Municipal de Sinop, situada na Avenida das Embaúbas, 1.386, Setor Comercial, CEP 78.550-206, Sinop-MT, no prazo estipulado pelo Agente de Contratação.</w:t>
      </w:r>
      <w:r>
        <w:rPr>
          <w:rFonts w:ascii="Times New Roman" w:hAnsi="Times New Roman" w:cs="Times New Roman"/>
          <w:color w:val="000000"/>
          <w:sz w:val="24"/>
          <w:szCs w:val="24"/>
        </w:rPr>
      </w:r>
      <w:r>
        <w:rPr>
          <w:rFonts w:ascii="Times New Roman" w:hAnsi="Times New Roman" w:cs="Times New Roman"/>
          <w:color w:val="000000"/>
          <w:sz w:val="24"/>
          <w:szCs w:val="24"/>
        </w:rPr>
      </w:r>
    </w:p>
    <w:p w14:paraId="25757BDD">
      <w:pPr>
        <w:numPr>
          <w:ilvl w:val="0"/>
          <w:numId w:val="73"/>
        </w:numPr>
        <w:pBdr/>
        <w:tabs>
          <w:tab w:val="left" w:leader="none" w:pos="0"/>
          <w:tab w:val="clear" w:leader="none" w:pos="425"/>
        </w:tabs>
        <w:spacing w:line="360" w:lineRule="auto"/>
        <w:ind w:hanging="5" w:left="5"/>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Encerrado o prazo para envio da documentação de que trata o item 12.7.1, poderá ser admitida, mediante decisão fundamentada do Agente de Contratação, a apresentação de novos documentos de habilitação para:</w:t>
      </w:r>
      <w:r>
        <w:rPr>
          <w:rFonts w:ascii="Times New Roman" w:hAnsi="Times New Roman" w:cs="Times New Roman"/>
          <w:color w:val="000000"/>
          <w:sz w:val="24"/>
          <w:szCs w:val="24"/>
        </w:rPr>
      </w:r>
      <w:r>
        <w:rPr>
          <w:rFonts w:ascii="Times New Roman" w:hAnsi="Times New Roman" w:cs="Times New Roman"/>
          <w:color w:val="000000"/>
          <w:sz w:val="24"/>
          <w:szCs w:val="24"/>
        </w:rPr>
      </w:r>
    </w:p>
    <w:p w14:paraId="4E47C387">
      <w:pPr>
        <w:numPr>
          <w:ilvl w:val="0"/>
          <w:numId w:val="74"/>
        </w:numPr>
        <w:pBdr/>
        <w:tabs>
          <w:tab w:val="clear" w:leader="none" w:pos="425"/>
          <w:tab w:val="left" w:leader="none" w:pos="2800"/>
        </w:tabs>
        <w:spacing w:line="360" w:lineRule="auto"/>
        <w:ind w:firstLine="300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 aferição das condições de habilitação da licitante decorrentes de fatos existentes à época da abertura do certame;</w:t>
      </w:r>
      <w:r>
        <w:rPr>
          <w:rFonts w:ascii="Times New Roman" w:hAnsi="Times New Roman" w:cs="Times New Roman"/>
          <w:color w:val="000000"/>
          <w:sz w:val="24"/>
          <w:szCs w:val="24"/>
        </w:rPr>
      </w:r>
      <w:r>
        <w:rPr>
          <w:rFonts w:ascii="Times New Roman" w:hAnsi="Times New Roman" w:cs="Times New Roman"/>
          <w:color w:val="000000"/>
          <w:sz w:val="24"/>
          <w:szCs w:val="24"/>
        </w:rPr>
      </w:r>
    </w:p>
    <w:p w14:paraId="163917D4">
      <w:pPr>
        <w:numPr>
          <w:ilvl w:val="0"/>
          <w:numId w:val="74"/>
        </w:numPr>
        <w:pBdr/>
        <w:tabs>
          <w:tab w:val="clear" w:leader="none" w:pos="425"/>
          <w:tab w:val="left" w:leader="none" w:pos="2800"/>
        </w:tabs>
        <w:spacing w:line="360" w:lineRule="auto"/>
        <w:ind w:firstLine="300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atualização de documentos cuja validade tenha expirado após a data de recebimento das propostas;</w:t>
      </w:r>
      <w:r>
        <w:rPr>
          <w:rFonts w:ascii="Times New Roman" w:hAnsi="Times New Roman" w:cs="Times New Roman"/>
          <w:color w:val="000000"/>
          <w:sz w:val="24"/>
          <w:szCs w:val="24"/>
        </w:rPr>
      </w:r>
      <w:r>
        <w:rPr>
          <w:rFonts w:ascii="Times New Roman" w:hAnsi="Times New Roman" w:cs="Times New Roman"/>
          <w:color w:val="000000"/>
          <w:sz w:val="24"/>
          <w:szCs w:val="24"/>
        </w:rPr>
      </w:r>
    </w:p>
    <w:p w14:paraId="2E063C46">
      <w:pPr>
        <w:numPr>
          <w:ilvl w:val="0"/>
          <w:numId w:val="74"/>
        </w:numPr>
        <w:pBdr/>
        <w:tabs>
          <w:tab w:val="clear" w:leader="none" w:pos="425"/>
          <w:tab w:val="left" w:leader="none" w:pos="2800"/>
        </w:tabs>
        <w:spacing w:line="360" w:lineRule="auto"/>
        <w:ind w:firstLine="300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 apresentação de documentos de cunho declaratório emitidos unilateralmente pela licitante.</w:t>
      </w:r>
      <w:r>
        <w:rPr>
          <w:rFonts w:ascii="Times New Roman" w:hAnsi="Times New Roman" w:cs="Times New Roman"/>
          <w:color w:val="000000"/>
          <w:sz w:val="24"/>
          <w:szCs w:val="24"/>
        </w:rPr>
      </w:r>
      <w:r>
        <w:rPr>
          <w:rFonts w:ascii="Times New Roman" w:hAnsi="Times New Roman" w:cs="Times New Roman"/>
          <w:color w:val="000000"/>
          <w:sz w:val="24"/>
          <w:szCs w:val="24"/>
        </w:rPr>
      </w:r>
    </w:p>
    <w:p w14:paraId="66071FD9">
      <w:pPr>
        <w:numPr>
          <w:ilvl w:val="0"/>
          <w:numId w:val="75"/>
        </w:numPr>
        <w:pBdr/>
        <w:tabs>
          <w:tab w:val="left" w:leader="none" w:pos="0"/>
          <w:tab w:val="clear" w:leader="none" w:pos="425"/>
        </w:tabs>
        <w:spacing w:line="360" w:lineRule="auto"/>
        <w:ind w:hanging="5" w:left="5"/>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 apresentação de documentos complementares ou substitutivos será realizada nos termos do item 12.7 e, findo o prazo assinalado sem o envio da nova documentação, restará preclusa essa oportunidade conferida ao licitante, implicando sua inabilitação.</w:t>
      </w:r>
      <w:r>
        <w:rPr>
          <w:rFonts w:ascii="Times New Roman" w:hAnsi="Times New Roman" w:cs="Times New Roman"/>
          <w:color w:val="000000"/>
          <w:sz w:val="24"/>
          <w:szCs w:val="24"/>
        </w:rPr>
      </w:r>
      <w:r>
        <w:rPr>
          <w:rFonts w:ascii="Times New Roman" w:hAnsi="Times New Roman" w:cs="Times New Roman"/>
          <w:color w:val="000000"/>
          <w:sz w:val="24"/>
          <w:szCs w:val="24"/>
        </w:rPr>
      </w:r>
    </w:p>
    <w:p w14:paraId="3FBD3A66">
      <w:pPr>
        <w:numPr>
          <w:ilvl w:val="0"/>
          <w:numId w:val="75"/>
        </w:numPr>
        <w:pBdr/>
        <w:tabs>
          <w:tab w:val="left" w:leader="none" w:pos="0"/>
          <w:tab w:val="clear" w:leader="none" w:pos="425"/>
        </w:tabs>
        <w:spacing w:line="360" w:lineRule="auto"/>
        <w:ind w:hanging="5" w:left="5"/>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Caso seja necessário, para fins de confirmação, complementação, esclarecimento </w:t>
      </w:r>
      <w:r>
        <w:rPr>
          <w:rFonts w:ascii="Times New Roman" w:hAnsi="Times New Roman" w:cs="Times New Roman"/>
          <w:color w:val="000000"/>
          <w:sz w:val="24"/>
          <w:szCs w:val="24"/>
        </w:rPr>
        <w:t xml:space="preserve">ou saneamento da documentação de habilitação, ou, ainda, nas hipóteses admitidas no item 12.8, o Agente de Contratação, a título de diligência, poderá solicitar à licitante o envio de documentação complementar, por meio do campo de “diligência” do sistema.</w:t>
      </w:r>
      <w:r>
        <w:rPr>
          <w:rFonts w:ascii="Times New Roman" w:hAnsi="Times New Roman" w:cs="Times New Roman"/>
          <w:color w:val="000000"/>
          <w:sz w:val="24"/>
          <w:szCs w:val="24"/>
        </w:rPr>
      </w:r>
      <w:r>
        <w:rPr>
          <w:rFonts w:ascii="Times New Roman" w:hAnsi="Times New Roman" w:cs="Times New Roman"/>
          <w:color w:val="000000"/>
          <w:sz w:val="24"/>
          <w:szCs w:val="24"/>
        </w:rPr>
      </w:r>
    </w:p>
    <w:p w14:paraId="587B5E99">
      <w:pPr>
        <w:numPr>
          <w:ilvl w:val="0"/>
          <w:numId w:val="75"/>
        </w:numPr>
        <w:pBdr/>
        <w:tabs>
          <w:tab w:val="left" w:leader="none" w:pos="0"/>
          <w:tab w:val="clear" w:leader="none" w:pos="425"/>
        </w:tabs>
        <w:spacing w:line="360" w:lineRule="auto"/>
        <w:ind w:hanging="5" w:left="5"/>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Em caso de problemas técnicos ou operacionais que inviabilizem o envio pelo sistema, será admitido o envio dos respectivos documentos para o e-mail </w:t>
      </w:r>
      <w:r>
        <w:fldChar w:fldCharType="begin"/>
      </w:r>
      <w:r>
        <w:instrText xml:space="preserve"> HYPERLINK "mailto:licitacao@sinop.mt.gov.br" </w:instrText>
      </w:r>
      <w:r>
        <w:fldChar w:fldCharType="separate"/>
      </w:r>
      <w:r>
        <w:rPr>
          <w:rFonts w:ascii="Times New Roman" w:hAnsi="Times New Roman" w:cs="Times New Roman"/>
          <w:color w:val="000000"/>
          <w:sz w:val="24"/>
          <w:szCs w:val="24"/>
        </w:rPr>
        <w:t xml:space="preserve">licitacao@sinop.mt.gov.br</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t xml:space="preserve"> devendo o Agente de Contratação, nessa hipótese, informar no “chat” a data e o horário do recebimento e disponibilizar o conteúdo para os demais licitantes interessados.</w:t>
      </w:r>
      <w:r>
        <w:rPr>
          <w:rFonts w:ascii="Times New Roman" w:hAnsi="Times New Roman" w:cs="Times New Roman"/>
          <w:color w:val="000000"/>
          <w:sz w:val="24"/>
          <w:szCs w:val="24"/>
        </w:rPr>
      </w:r>
      <w:r>
        <w:rPr>
          <w:rFonts w:ascii="Times New Roman" w:hAnsi="Times New Roman" w:cs="Times New Roman"/>
          <w:color w:val="000000"/>
          <w:sz w:val="24"/>
          <w:szCs w:val="24"/>
        </w:rPr>
      </w:r>
    </w:p>
    <w:p w14:paraId="181ABB6D">
      <w:pPr>
        <w:numPr>
          <w:ilvl w:val="0"/>
          <w:numId w:val="76"/>
        </w:numPr>
        <w:pBdr/>
        <w:tabs>
          <w:tab w:val="left" w:leader="none" w:pos="0"/>
          <w:tab w:val="clear" w:leader="none" w:pos="425"/>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 prazo para envio dos documentos é de, no </w:t>
      </w:r>
      <w:r>
        <w:rPr>
          <w:rFonts w:ascii="Times New Roman" w:hAnsi="Times New Roman" w:cs="Times New Roman"/>
          <w:color w:val="000000"/>
          <w:sz w:val="24"/>
          <w:szCs w:val="24"/>
        </w:rPr>
        <w:t xml:space="preserve">mínimo, 2h (duas horas), a contar da convocação pelo sistema, podendo tal prazo ser alargado motivadamente pelo Agente de Contratação a depender das circunstâncias ou, havendo justo motivo, mediante solicitação formal de prorrogação por parte da licitante.</w:t>
      </w:r>
      <w:r>
        <w:rPr>
          <w:rFonts w:ascii="Times New Roman" w:hAnsi="Times New Roman" w:cs="Times New Roman"/>
          <w:color w:val="000000"/>
          <w:sz w:val="24"/>
          <w:szCs w:val="24"/>
        </w:rPr>
      </w:r>
      <w:r>
        <w:rPr>
          <w:rFonts w:ascii="Times New Roman" w:hAnsi="Times New Roman" w:cs="Times New Roman"/>
          <w:color w:val="000000"/>
          <w:sz w:val="24"/>
          <w:szCs w:val="24"/>
        </w:rPr>
      </w:r>
    </w:p>
    <w:p w14:paraId="1792379E">
      <w:pPr>
        <w:numPr>
          <w:ilvl w:val="0"/>
          <w:numId w:val="77"/>
        </w:numPr>
        <w:pBdr/>
        <w:tabs>
          <w:tab w:val="left" w:leader="none" w:pos="0"/>
          <w:tab w:val="clear" w:leader="none" w:pos="425"/>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Para a contagem do prazo de que trata o item anterior, não será considerado o tempo de suspensão da sessão realizada pelo Agente de Contratação.</w:t>
      </w:r>
      <w:r>
        <w:rPr>
          <w:rFonts w:ascii="Times New Roman" w:hAnsi="Times New Roman" w:cs="Times New Roman"/>
          <w:color w:val="000000"/>
          <w:sz w:val="24"/>
          <w:szCs w:val="24"/>
        </w:rPr>
      </w:r>
      <w:r>
        <w:rPr>
          <w:rFonts w:ascii="Times New Roman" w:hAnsi="Times New Roman" w:cs="Times New Roman"/>
          <w:color w:val="000000"/>
          <w:sz w:val="24"/>
          <w:szCs w:val="24"/>
        </w:rPr>
      </w:r>
    </w:p>
    <w:p w14:paraId="3592086D">
      <w:pPr>
        <w:numPr>
          <w:ilvl w:val="0"/>
          <w:numId w:val="77"/>
        </w:numPr>
        <w:pBdr/>
        <w:tabs>
          <w:tab w:val="left" w:leader="none" w:pos="0"/>
          <w:tab w:val="clear" w:leader="none" w:pos="425"/>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Em caso de não envio dos documentos complementares no prazo indicado ou expirada eventual prorrogação concedida pelo Agente de Contratação, a licitante será inabilitada e sujeitar-se-á às sanções previstas neste edital.</w:t>
      </w:r>
      <w:r>
        <w:rPr>
          <w:rFonts w:ascii="Times New Roman" w:hAnsi="Times New Roman" w:cs="Times New Roman"/>
          <w:color w:val="000000"/>
          <w:sz w:val="24"/>
          <w:szCs w:val="24"/>
        </w:rPr>
      </w:r>
      <w:r>
        <w:rPr>
          <w:rFonts w:ascii="Times New Roman" w:hAnsi="Times New Roman" w:cs="Times New Roman"/>
          <w:color w:val="000000"/>
          <w:sz w:val="24"/>
          <w:szCs w:val="24"/>
        </w:rPr>
      </w:r>
    </w:p>
    <w:p w14:paraId="57AE469F">
      <w:pPr>
        <w:numPr>
          <w:ilvl w:val="0"/>
          <w:numId w:val="77"/>
        </w:numPr>
        <w:pBdr/>
        <w:tabs>
          <w:tab w:val="left" w:leader="none" w:pos="0"/>
          <w:tab w:val="clear" w:leader="none" w:pos="425"/>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Os documentos de habilitação deverão se referir à empresa licitante, salvo quando, comprovadamente, após a data de emissão dos respectivos documentos, haja superveniente alteração contratual ou transferência de acervo técnico.</w:t>
      </w:r>
      <w:r>
        <w:rPr>
          <w:rFonts w:ascii="Times New Roman" w:hAnsi="Times New Roman" w:cs="Times New Roman"/>
          <w:color w:val="000000"/>
          <w:sz w:val="24"/>
          <w:szCs w:val="24"/>
        </w:rPr>
      </w:r>
      <w:r>
        <w:rPr>
          <w:rFonts w:ascii="Times New Roman" w:hAnsi="Times New Roman" w:cs="Times New Roman"/>
          <w:color w:val="000000"/>
          <w:sz w:val="24"/>
          <w:szCs w:val="24"/>
        </w:rPr>
      </w:r>
    </w:p>
    <w:p w14:paraId="323BDEDA">
      <w:pPr>
        <w:numPr>
          <w:ilvl w:val="0"/>
          <w:numId w:val="77"/>
        </w:numPr>
        <w:pBdr/>
        <w:tabs>
          <w:tab w:val="left" w:leader="none" w:pos="0"/>
          <w:tab w:val="clear" w:leader="none" w:pos="425"/>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Em se tratando de filial, os documentos de habilitação jurídica e de regularidade fiscal e trabalhista deverão estar em nome da filial, exceto aqueles que, pela própria natureza, são emitidos somente em nome da matriz.</w:t>
      </w:r>
      <w:r>
        <w:rPr>
          <w:rFonts w:ascii="Times New Roman" w:hAnsi="Times New Roman" w:cs="Times New Roman"/>
          <w:color w:val="000000"/>
          <w:sz w:val="24"/>
          <w:szCs w:val="24"/>
        </w:rPr>
      </w:r>
      <w:r>
        <w:rPr>
          <w:rFonts w:ascii="Times New Roman" w:hAnsi="Times New Roman" w:cs="Times New Roman"/>
          <w:color w:val="000000"/>
          <w:sz w:val="24"/>
          <w:szCs w:val="24"/>
        </w:rPr>
      </w:r>
    </w:p>
    <w:p w14:paraId="22A87A62">
      <w:pPr>
        <w:numPr>
          <w:ilvl w:val="0"/>
          <w:numId w:val="77"/>
        </w:numPr>
        <w:pBdr/>
        <w:tabs>
          <w:tab w:val="left" w:leader="none" w:pos="0"/>
          <w:tab w:val="clear" w:leader="none" w:pos="425"/>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Os documentos relativos à habilitação técnica e econômico-financeira poderão ser apresentados em nome da matriz ou da filial.</w:t>
      </w:r>
      <w:r>
        <w:rPr>
          <w:rFonts w:ascii="Times New Roman" w:hAnsi="Times New Roman" w:cs="Times New Roman"/>
          <w:color w:val="000000"/>
          <w:sz w:val="24"/>
          <w:szCs w:val="24"/>
        </w:rPr>
      </w:r>
      <w:r>
        <w:rPr>
          <w:rFonts w:ascii="Times New Roman" w:hAnsi="Times New Roman" w:cs="Times New Roman"/>
          <w:color w:val="000000"/>
          <w:sz w:val="24"/>
          <w:szCs w:val="24"/>
        </w:rPr>
      </w:r>
    </w:p>
    <w:p w14:paraId="30E77375">
      <w:pPr>
        <w:numPr>
          <w:ilvl w:val="0"/>
          <w:numId w:val="77"/>
        </w:numPr>
        <w:pBdr/>
        <w:tabs>
          <w:tab w:val="left" w:leader="none" w:pos="0"/>
          <w:tab w:val="clear" w:leader="none" w:pos="425"/>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Para fins de verifica</w:t>
      </w:r>
      <w:r>
        <w:rPr>
          <w:rFonts w:ascii="Times New Roman" w:hAnsi="Times New Roman" w:cs="Times New Roman"/>
          <w:color w:val="000000"/>
          <w:sz w:val="24"/>
          <w:szCs w:val="24"/>
        </w:rPr>
        <w:t xml:space="preserve">ção das condições de habilitação, o Agente de Contratação poderá, diretamente, realizar consulta em sítios oficiais de órgãos e entidades cujos atos gozem de presunção de veracidade e fé pública, constituindo os documentos obtidos como meio legal de prova.</w:t>
      </w:r>
      <w:r>
        <w:rPr>
          <w:rFonts w:ascii="Times New Roman" w:hAnsi="Times New Roman" w:cs="Times New Roman"/>
          <w:color w:val="000000"/>
          <w:sz w:val="24"/>
          <w:szCs w:val="24"/>
        </w:rPr>
      </w:r>
      <w:r>
        <w:rPr>
          <w:rFonts w:ascii="Times New Roman" w:hAnsi="Times New Roman" w:cs="Times New Roman"/>
          <w:color w:val="000000"/>
          <w:sz w:val="24"/>
          <w:szCs w:val="24"/>
        </w:rPr>
      </w:r>
    </w:p>
    <w:p w14:paraId="3469CDD1">
      <w:pPr>
        <w:numPr>
          <w:ilvl w:val="0"/>
          <w:numId w:val="77"/>
        </w:numPr>
        <w:pBdr/>
        <w:tabs>
          <w:tab w:val="left" w:leader="none" w:pos="0"/>
          <w:tab w:val="clear" w:leader="none" w:pos="425"/>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 doc</w:t>
      </w:r>
      <w:r>
        <w:rPr>
          <w:rFonts w:ascii="Times New Roman" w:hAnsi="Times New Roman" w:cs="Times New Roman"/>
          <w:color w:val="000000"/>
          <w:sz w:val="24"/>
          <w:szCs w:val="24"/>
        </w:rPr>
        <w:t xml:space="preserve">umento que não tiver prazo de vigência estabelecido pelo órgão expedidor não será habilitante, quando o intervalo entre a sua data de expedição ou de revalidação e a data de abertura da presente licitação for superior a 180 (cento e oitenta) dias corridos.</w:t>
      </w:r>
      <w:r>
        <w:rPr>
          <w:rFonts w:ascii="Times New Roman" w:hAnsi="Times New Roman" w:cs="Times New Roman"/>
          <w:color w:val="000000"/>
          <w:sz w:val="24"/>
          <w:szCs w:val="24"/>
        </w:rPr>
      </w:r>
      <w:r>
        <w:rPr>
          <w:rFonts w:ascii="Times New Roman" w:hAnsi="Times New Roman" w:cs="Times New Roman"/>
          <w:color w:val="000000"/>
          <w:sz w:val="24"/>
          <w:szCs w:val="24"/>
        </w:rPr>
      </w:r>
    </w:p>
    <w:p w14:paraId="40A86AFB">
      <w:pPr>
        <w:numPr>
          <w:ilvl w:val="0"/>
          <w:numId w:val="77"/>
        </w:numPr>
        <w:pBdr/>
        <w:tabs>
          <w:tab w:val="left" w:leader="none" w:pos="0"/>
          <w:tab w:val="clear" w:leader="none" w:pos="425"/>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Excetua-se o documento que, por imposição legal, tenha prazo de vigência indeterminado.</w:t>
      </w:r>
      <w:r>
        <w:rPr>
          <w:rFonts w:ascii="Times New Roman" w:hAnsi="Times New Roman" w:cs="Times New Roman"/>
          <w:color w:val="000000"/>
          <w:sz w:val="24"/>
          <w:szCs w:val="24"/>
        </w:rPr>
      </w:r>
      <w:r>
        <w:rPr>
          <w:rFonts w:ascii="Times New Roman" w:hAnsi="Times New Roman" w:cs="Times New Roman"/>
          <w:color w:val="000000"/>
          <w:sz w:val="24"/>
          <w:szCs w:val="24"/>
        </w:rPr>
      </w:r>
    </w:p>
    <w:p w14:paraId="2943549C">
      <w:pPr>
        <w:numPr>
          <w:ilvl w:val="0"/>
          <w:numId w:val="77"/>
        </w:numPr>
        <w:pBdr/>
        <w:tabs>
          <w:tab w:val="left" w:leader="none" w:pos="0"/>
          <w:tab w:val="clear" w:leader="none" w:pos="425"/>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Na fase de habilitaç</w:t>
      </w:r>
      <w:r>
        <w:rPr>
          <w:rFonts w:ascii="Times New Roman" w:hAnsi="Times New Roman" w:cs="Times New Roman"/>
          <w:color w:val="000000"/>
          <w:sz w:val="24"/>
          <w:szCs w:val="24"/>
        </w:rPr>
        <w:t xml:space="preserve">ão, caso conste a existência de “Ocorrências Impeditivas Indiretas” em relação à primeira classificada no certame, com fundamento no art. 160 da Lei nº 14.133/2021, o Agente de Contratação deverá promover diligências para o levantamento de conjunto de indí</w:t>
      </w:r>
      <w:r>
        <w:rPr>
          <w:rFonts w:ascii="Times New Roman" w:hAnsi="Times New Roman" w:cs="Times New Roman"/>
          <w:color w:val="000000"/>
          <w:sz w:val="24"/>
          <w:szCs w:val="24"/>
        </w:rPr>
        <w:t xml:space="preserve">cios no sentido de analisar a configuração da tentativa de fraude ou burla aos princípios estabelecidos no art. 5º da Lei nº 14.133/2021 ou da configuração das hipóteses previstas no art. 5º, IV, “e”, e no art. 14 da Lei nº 12.846/2013 (Lei Anticorrupção).</w:t>
      </w:r>
      <w:r>
        <w:rPr>
          <w:rFonts w:ascii="Times New Roman" w:hAnsi="Times New Roman" w:cs="Times New Roman"/>
          <w:color w:val="000000"/>
          <w:sz w:val="24"/>
          <w:szCs w:val="24"/>
        </w:rPr>
      </w:r>
      <w:r>
        <w:rPr>
          <w:rFonts w:ascii="Times New Roman" w:hAnsi="Times New Roman" w:cs="Times New Roman"/>
          <w:color w:val="000000"/>
          <w:sz w:val="24"/>
          <w:szCs w:val="24"/>
        </w:rPr>
      </w:r>
    </w:p>
    <w:p w14:paraId="415B6786">
      <w:pPr>
        <w:numPr>
          <w:ilvl w:val="0"/>
          <w:numId w:val="78"/>
        </w:numPr>
        <w:pBdr/>
        <w:tabs>
          <w:tab w:val="left" w:leader="none" w:pos="0"/>
          <w:tab w:val="clear" w:leader="none" w:pos="454"/>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Constituem indícios para a configuração da tentativa de fraude ou burla a confusão societária e/ou o compartilhamento de estrutura humana e física entre as pessoas jurídicas envolvidas, em especial as seguintes características:</w:t>
      </w:r>
      <w:r>
        <w:rPr>
          <w:rFonts w:ascii="Times New Roman" w:hAnsi="Times New Roman" w:cs="Times New Roman"/>
          <w:color w:val="000000"/>
          <w:sz w:val="24"/>
          <w:szCs w:val="24"/>
        </w:rPr>
      </w:r>
      <w:r>
        <w:rPr>
          <w:rFonts w:ascii="Times New Roman" w:hAnsi="Times New Roman" w:cs="Times New Roman"/>
          <w:color w:val="000000"/>
          <w:sz w:val="24"/>
          <w:szCs w:val="24"/>
        </w:rPr>
      </w:r>
    </w:p>
    <w:p w14:paraId="6A9F455C">
      <w:pPr>
        <w:numPr>
          <w:ilvl w:val="0"/>
          <w:numId w:val="79"/>
        </w:numPr>
        <w:pBdr/>
        <w:tabs>
          <w:tab w:val="clear" w:leader="none" w:pos="425"/>
        </w:tabs>
        <w:spacing w:line="360" w:lineRule="auto"/>
        <w:ind w:firstLine="300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identidade dos sócios;</w:t>
      </w:r>
      <w:r>
        <w:rPr>
          <w:rFonts w:ascii="Times New Roman" w:hAnsi="Times New Roman" w:cs="Times New Roman"/>
          <w:color w:val="000000"/>
          <w:sz w:val="24"/>
          <w:szCs w:val="24"/>
        </w:rPr>
      </w:r>
      <w:r>
        <w:rPr>
          <w:rFonts w:ascii="Times New Roman" w:hAnsi="Times New Roman" w:cs="Times New Roman"/>
          <w:color w:val="000000"/>
          <w:sz w:val="24"/>
          <w:szCs w:val="24"/>
        </w:rPr>
      </w:r>
    </w:p>
    <w:p w14:paraId="71CFBD24">
      <w:pPr>
        <w:numPr>
          <w:ilvl w:val="0"/>
          <w:numId w:val="79"/>
        </w:numPr>
        <w:pBdr/>
        <w:tabs>
          <w:tab w:val="clear" w:leader="none" w:pos="425"/>
        </w:tabs>
        <w:spacing w:line="360" w:lineRule="auto"/>
        <w:ind w:firstLine="300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atuação no mesmo ramo de atividades;</w:t>
      </w:r>
      <w:r>
        <w:rPr>
          <w:rFonts w:ascii="Times New Roman" w:hAnsi="Times New Roman" w:cs="Times New Roman"/>
          <w:color w:val="000000"/>
          <w:sz w:val="24"/>
          <w:szCs w:val="24"/>
        </w:rPr>
      </w:r>
      <w:r>
        <w:rPr>
          <w:rFonts w:ascii="Times New Roman" w:hAnsi="Times New Roman" w:cs="Times New Roman"/>
          <w:color w:val="000000"/>
          <w:sz w:val="24"/>
          <w:szCs w:val="24"/>
        </w:rPr>
      </w:r>
    </w:p>
    <w:p w14:paraId="73261EA4">
      <w:pPr>
        <w:numPr>
          <w:ilvl w:val="0"/>
          <w:numId w:val="79"/>
        </w:numPr>
        <w:pBdr/>
        <w:tabs>
          <w:tab w:val="clear" w:leader="none" w:pos="425"/>
        </w:tabs>
        <w:spacing w:line="360" w:lineRule="auto"/>
        <w:ind w:firstLine="300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data de constituição da nova empresa posterior à data de aplicação da sanção de suspensão/impedimento ou declaração de inidoneidade;</w:t>
      </w:r>
      <w:r>
        <w:rPr>
          <w:rFonts w:ascii="Times New Roman" w:hAnsi="Times New Roman" w:cs="Times New Roman"/>
          <w:color w:val="000000"/>
          <w:sz w:val="24"/>
          <w:szCs w:val="24"/>
        </w:rPr>
      </w:r>
      <w:r>
        <w:rPr>
          <w:rFonts w:ascii="Times New Roman" w:hAnsi="Times New Roman" w:cs="Times New Roman"/>
          <w:color w:val="000000"/>
          <w:sz w:val="24"/>
          <w:szCs w:val="24"/>
        </w:rPr>
      </w:r>
    </w:p>
    <w:p w14:paraId="4A4FDDB7">
      <w:pPr>
        <w:numPr>
          <w:ilvl w:val="0"/>
          <w:numId w:val="79"/>
        </w:numPr>
        <w:pBdr/>
        <w:tabs>
          <w:tab w:val="clear" w:leader="none" w:pos="425"/>
        </w:tabs>
        <w:spacing w:line="360" w:lineRule="auto"/>
        <w:ind w:firstLine="300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compartilhamento ou transferência da mesma estrutura física, técnica e/ou de recursos humanos;</w:t>
      </w:r>
      <w:r>
        <w:rPr>
          <w:rFonts w:ascii="Times New Roman" w:hAnsi="Times New Roman" w:cs="Times New Roman"/>
          <w:color w:val="000000"/>
          <w:sz w:val="24"/>
          <w:szCs w:val="24"/>
        </w:rPr>
      </w:r>
      <w:r>
        <w:rPr>
          <w:rFonts w:ascii="Times New Roman" w:hAnsi="Times New Roman" w:cs="Times New Roman"/>
          <w:color w:val="000000"/>
          <w:sz w:val="24"/>
          <w:szCs w:val="24"/>
        </w:rPr>
      </w:r>
    </w:p>
    <w:p w14:paraId="4C37E55B">
      <w:pPr>
        <w:numPr>
          <w:ilvl w:val="0"/>
          <w:numId w:val="79"/>
        </w:numPr>
        <w:pBdr/>
        <w:tabs>
          <w:tab w:val="clear" w:leader="none" w:pos="425"/>
        </w:tabs>
        <w:spacing w:line="360" w:lineRule="auto"/>
        <w:ind w:firstLine="300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identidade (ou proximidade) de endereço dos estabelecimentos;</w:t>
      </w:r>
      <w:r>
        <w:rPr>
          <w:rFonts w:ascii="Times New Roman" w:hAnsi="Times New Roman" w:cs="Times New Roman"/>
          <w:color w:val="000000"/>
          <w:sz w:val="24"/>
          <w:szCs w:val="24"/>
        </w:rPr>
      </w:r>
      <w:r>
        <w:rPr>
          <w:rFonts w:ascii="Times New Roman" w:hAnsi="Times New Roman" w:cs="Times New Roman"/>
          <w:color w:val="000000"/>
          <w:sz w:val="24"/>
          <w:szCs w:val="24"/>
        </w:rPr>
      </w:r>
    </w:p>
    <w:p w14:paraId="22913374">
      <w:pPr>
        <w:numPr>
          <w:ilvl w:val="0"/>
          <w:numId w:val="79"/>
        </w:numPr>
        <w:pBdr/>
        <w:tabs>
          <w:tab w:val="clear" w:leader="none" w:pos="425"/>
        </w:tabs>
        <w:spacing w:line="360" w:lineRule="auto"/>
        <w:ind w:firstLine="300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identidade de telefones, e-mails e demais informações de contato.</w:t>
      </w:r>
      <w:r>
        <w:rPr>
          <w:rFonts w:ascii="Times New Roman" w:hAnsi="Times New Roman" w:cs="Times New Roman"/>
          <w:color w:val="000000"/>
          <w:sz w:val="24"/>
          <w:szCs w:val="24"/>
        </w:rPr>
      </w:r>
      <w:r>
        <w:rPr>
          <w:rFonts w:ascii="Times New Roman" w:hAnsi="Times New Roman" w:cs="Times New Roman"/>
          <w:color w:val="000000"/>
          <w:sz w:val="24"/>
          <w:szCs w:val="24"/>
        </w:rPr>
      </w:r>
    </w:p>
    <w:p w14:paraId="5259E3B0">
      <w:pPr>
        <w:numPr>
          <w:ilvl w:val="0"/>
          <w:numId w:val="80"/>
        </w:numPr>
        <w:pBdr/>
        <w:tabs>
          <w:tab w:val="left" w:leader="none" w:pos="0"/>
          <w:tab w:val="clear" w:leader="none" w:pos="425"/>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Diante da presença de um conjunto convergente de indícios referidos no subitem anterior, o Agente de Contratação registrará, no “chat”, as ocorrências levantadas, suspenderá o certame e oportunizar</w:t>
      </w:r>
      <w:r>
        <w:rPr>
          <w:rFonts w:ascii="Times New Roman" w:hAnsi="Times New Roman" w:cs="Times New Roman"/>
          <w:color w:val="000000"/>
          <w:sz w:val="24"/>
          <w:szCs w:val="24"/>
        </w:rPr>
        <w:t xml:space="preserve">á à licitante o exercício do contraditório e da ampla defesa, em campo próprio do sistema, no prazo de 5 (cinco) dias, devendo a licitante apresentar todos os esclarecimentos e documentação tendentes a ilidir a suspeita da prática de comportamento ilícito.</w:t>
      </w:r>
      <w:r>
        <w:rPr>
          <w:rFonts w:ascii="Times New Roman" w:hAnsi="Times New Roman" w:cs="Times New Roman"/>
          <w:color w:val="000000"/>
          <w:sz w:val="24"/>
          <w:szCs w:val="24"/>
        </w:rPr>
      </w:r>
      <w:r>
        <w:rPr>
          <w:rFonts w:ascii="Times New Roman" w:hAnsi="Times New Roman" w:cs="Times New Roman"/>
          <w:color w:val="000000"/>
          <w:sz w:val="24"/>
          <w:szCs w:val="24"/>
        </w:rPr>
      </w:r>
    </w:p>
    <w:p w14:paraId="5236AFC8">
      <w:pPr>
        <w:numPr>
          <w:ilvl w:val="0"/>
          <w:numId w:val="80"/>
        </w:numPr>
        <w:pBdr/>
        <w:tabs>
          <w:tab w:val="left" w:leader="none" w:pos="0"/>
          <w:tab w:val="clear" w:leader="none" w:pos="425"/>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Constatada a tentativa de fraudar ou burlar os </w:t>
      </w:r>
      <w:r>
        <w:rPr>
          <w:rFonts w:ascii="Times New Roman" w:hAnsi="Times New Roman" w:cs="Times New Roman"/>
          <w:color w:val="000000"/>
          <w:sz w:val="24"/>
          <w:szCs w:val="24"/>
        </w:rPr>
        <w:t xml:space="preserve">efeitos da sanção aplicada a outra empresa, com esteio no §1º do art. 14 c/c art. 160 da Lei nº 14.133/2021, o Agente de Contratação, ao estender à licitante os efeitos das sanções que acarretem a impossibilidade de licitar e contratar com a Administração:</w:t>
      </w:r>
      <w:r>
        <w:rPr>
          <w:rFonts w:ascii="Times New Roman" w:hAnsi="Times New Roman" w:cs="Times New Roman"/>
          <w:color w:val="000000"/>
          <w:sz w:val="24"/>
          <w:szCs w:val="24"/>
        </w:rPr>
      </w:r>
      <w:r>
        <w:rPr>
          <w:rFonts w:ascii="Times New Roman" w:hAnsi="Times New Roman" w:cs="Times New Roman"/>
          <w:color w:val="000000"/>
          <w:sz w:val="24"/>
          <w:szCs w:val="24"/>
        </w:rPr>
      </w:r>
    </w:p>
    <w:p w14:paraId="523485E9">
      <w:pPr>
        <w:numPr>
          <w:ilvl w:val="0"/>
          <w:numId w:val="81"/>
        </w:numPr>
        <w:pBdr/>
        <w:tabs>
          <w:tab w:val="clear" w:leader="none" w:pos="425"/>
        </w:tabs>
        <w:spacing w:line="360" w:lineRule="auto"/>
        <w:ind w:firstLine="300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inabilitará a licitante por inaptidão jurídica para assumir obrigações com a Administração;</w:t>
      </w:r>
      <w:r>
        <w:rPr>
          <w:rFonts w:ascii="Times New Roman" w:hAnsi="Times New Roman" w:cs="Times New Roman"/>
          <w:color w:val="000000"/>
          <w:sz w:val="24"/>
          <w:szCs w:val="24"/>
        </w:rPr>
      </w:r>
      <w:r>
        <w:rPr>
          <w:rFonts w:ascii="Times New Roman" w:hAnsi="Times New Roman" w:cs="Times New Roman"/>
          <w:color w:val="000000"/>
          <w:sz w:val="24"/>
          <w:szCs w:val="24"/>
        </w:rPr>
      </w:r>
    </w:p>
    <w:p w14:paraId="53D6D578">
      <w:pPr>
        <w:numPr>
          <w:ilvl w:val="0"/>
          <w:numId w:val="81"/>
        </w:numPr>
        <w:pBdr/>
        <w:tabs>
          <w:tab w:val="clear" w:leader="none" w:pos="425"/>
        </w:tabs>
        <w:spacing w:line="360" w:lineRule="auto"/>
        <w:ind w:firstLine="300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relatará o fato à autoridade superior para a instauração de procedimento administrativo específico objetivando a apuração exauriente acerca dos fatos e a eventual responsabilização da licitante pela prática de comportamento inidôneo.</w:t>
      </w:r>
      <w:r>
        <w:rPr>
          <w:rFonts w:ascii="Times New Roman" w:hAnsi="Times New Roman" w:cs="Times New Roman"/>
          <w:color w:val="000000"/>
          <w:sz w:val="24"/>
          <w:szCs w:val="24"/>
        </w:rPr>
      </w:r>
      <w:r>
        <w:rPr>
          <w:rFonts w:ascii="Times New Roman" w:hAnsi="Times New Roman" w:cs="Times New Roman"/>
          <w:color w:val="000000"/>
          <w:sz w:val="24"/>
          <w:szCs w:val="24"/>
        </w:rPr>
      </w:r>
    </w:p>
    <w:p w14:paraId="64612089">
      <w:pPr>
        <w:numPr>
          <w:ilvl w:val="0"/>
          <w:numId w:val="82"/>
        </w:numPr>
        <w:pBdr/>
        <w:tabs>
          <w:tab w:val="clear" w:leader="none" w:pos="425"/>
        </w:tabs>
        <w:spacing w:line="360" w:lineRule="auto"/>
        <w:ind w:firstLine="0" w:left="0"/>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 processo de contratação, a construção de calçadas e meio-fio, e as adequações urbanas devem seguir rigorosamente as legislações e normas técnicas vigentes, como a Lei nº 14.133/2021 (Nova Lei de Licitaçõ</w:t>
      </w:r>
      <w:r>
        <w:rPr>
          <w:rFonts w:ascii="Times New Roman" w:hAnsi="Times New Roman" w:cs="Times New Roman"/>
          <w:color w:val="000000"/>
          <w:sz w:val="24"/>
          <w:szCs w:val="24"/>
        </w:rPr>
        <w:t xml:space="preserve">es) para contratações, a NBR 9050 (Acessibilidade) para calçadas e adequações urbanas, e as normas técnicas municipais, garantindo a boa técnica na execução dos serviços, a acessibilidade universal, a segurança, a durabilidade e a qualidade de vida urbana.</w:t>
      </w:r>
      <w:r>
        <w:rPr>
          <w:rFonts w:ascii="Times New Roman" w:hAnsi="Times New Roman" w:cs="Times New Roman"/>
          <w:color w:val="000000"/>
          <w:sz w:val="24"/>
          <w:szCs w:val="24"/>
        </w:rPr>
      </w:r>
      <w:r>
        <w:rPr>
          <w:rFonts w:ascii="Times New Roman" w:hAnsi="Times New Roman" w:cs="Times New Roman"/>
          <w:color w:val="000000"/>
          <w:sz w:val="24"/>
          <w:szCs w:val="24"/>
        </w:rPr>
      </w:r>
    </w:p>
    <w:p w14:paraId="343C5A82">
      <w:pPr>
        <w:numPr>
          <w:ilvl w:val="0"/>
          <w:numId w:val="0"/>
        </w:numPr>
        <w:pBdr/>
        <w:spacing w:line="360" w:lineRule="auto"/>
        <w:ind/>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tbl>
      <w:tblPr>
        <w:tblStyle w:val="1103"/>
        <w:tblInd w:w="0" w:type="dxa"/>
        <w:tblW w:w="8877"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8d8d8" w:themeFill="background1" w:themeFillShade="D9"/>
        <w:tblLayout w:type="autofit"/>
        <w:tblLook w:val="04A0" w:firstRow="1" w:lastRow="0" w:firstColumn="1" w:lastColumn="0" w:noHBand="0" w:noVBand="1"/>
      </w:tblPr>
      <w:tblGrid>
        <w:gridCol w:w="8877"/>
      </w:tblGrid>
      <w:tr>
        <w:trPr/>
        <w:tc>
          <w:tcPr>
            <w:shd w:val="clear" w:color="auto" w:fill="d8d8d8" w:themeFill="background1" w:themeFillShade="D9"/>
            <w:tcBorders/>
            <w:tcW w:w="8877" w:type="dxa"/>
          </w:tcPr>
          <w:p w14:paraId="7D2A1456">
            <w:pPr>
              <w:pBdr/>
              <w:tabs>
                <w:tab w:val="left" w:leader="none" w:pos="220"/>
              </w:tabs>
              <w:spacing w:line="360" w:lineRule="auto"/>
              <w:ind/>
              <w:contextualSpacing w:val="true"/>
              <w:jc w:val="center"/>
              <w:rPr>
                <w:rFonts w:ascii="Times New Roman" w:hAnsi="Times New Roman" w:cs="Times New Roman"/>
                <w:b/>
                <w:bCs/>
                <w:sz w:val="24"/>
                <w:szCs w:val="24"/>
              </w:rPr>
            </w:pPr>
            <w:r>
              <w:rPr>
                <w:rFonts w:ascii="Times New Roman" w:hAnsi="Times New Roman" w:cs="Times New Roman"/>
                <w:b/>
                <w:bCs/>
                <w:sz w:val="24"/>
                <w:szCs w:val="24"/>
              </w:rPr>
              <w:t xml:space="preserve">10. DO CADASTRO RESERVA</w:t>
            </w:r>
            <w:r>
              <w:rPr>
                <w:rFonts w:ascii="Times New Roman" w:hAnsi="Times New Roman" w:cs="Times New Roman"/>
                <w:b/>
                <w:bCs/>
                <w:sz w:val="24"/>
                <w:szCs w:val="24"/>
              </w:rPr>
            </w:r>
            <w:r>
              <w:rPr>
                <w:rFonts w:ascii="Times New Roman" w:hAnsi="Times New Roman" w:cs="Times New Roman"/>
                <w:b/>
                <w:bCs/>
                <w:sz w:val="24"/>
                <w:szCs w:val="24"/>
              </w:rPr>
            </w:r>
          </w:p>
        </w:tc>
      </w:tr>
    </w:tbl>
    <w:p w14:paraId="0F276507">
      <w:pPr>
        <w:pBdr/>
        <w:tabs>
          <w:tab w:val="left" w:leader="none" w:pos="220"/>
        </w:tabs>
        <w:spacing w:line="360" w:lineRule="auto"/>
        <w:ind/>
        <w:contextualSpacing w:val="true"/>
        <w:jc w:val="both"/>
        <w:rPr>
          <w:rFonts w:ascii="Times New Roman" w:hAnsi="Times New Roman" w:cs="Times New Roman"/>
          <w:sz w:val="24"/>
          <w:szCs w:val="24"/>
        </w:rPr>
      </w:pPr>
      <w:r>
        <w:rPr>
          <w:rFonts w:ascii="Times New Roman" w:hAnsi="Times New Roman" w:cs="Times New Roman"/>
          <w:b/>
          <w:bCs/>
          <w:sz w:val="24"/>
          <w:szCs w:val="24"/>
        </w:rPr>
        <w:t xml:space="preserve">10.1</w:t>
      </w:r>
      <w:r>
        <w:rPr>
          <w:rFonts w:ascii="Times New Roman" w:hAnsi="Times New Roman" w:cs="Times New Roman"/>
          <w:sz w:val="24"/>
          <w:szCs w:val="24"/>
        </w:rPr>
        <w:t xml:space="preserve"> Após a homologação da licitação, será incluído na ata, na forma de anexo, o registro:</w:t>
      </w:r>
      <w:r>
        <w:rPr>
          <w:rFonts w:ascii="Times New Roman" w:hAnsi="Times New Roman" w:cs="Times New Roman"/>
          <w:sz w:val="24"/>
          <w:szCs w:val="24"/>
        </w:rPr>
      </w:r>
      <w:r>
        <w:rPr>
          <w:rFonts w:ascii="Times New Roman" w:hAnsi="Times New Roman" w:cs="Times New Roman"/>
          <w:sz w:val="24"/>
          <w:szCs w:val="24"/>
        </w:rPr>
      </w:r>
    </w:p>
    <w:p w14:paraId="755B7656">
      <w:pPr>
        <w:pBdr/>
        <w:tabs>
          <w:tab w:val="left" w:leader="none" w:pos="220"/>
        </w:tabs>
        <w:spacing w:line="360" w:lineRule="auto"/>
        <w:ind/>
        <w:contextualSpacing w:val="true"/>
        <w:jc w:val="both"/>
        <w:rPr>
          <w:rFonts w:ascii="Times New Roman" w:hAnsi="Times New Roman" w:cs="Times New Roman"/>
          <w:sz w:val="24"/>
          <w:szCs w:val="24"/>
        </w:rPr>
      </w:pPr>
      <w:r>
        <w:rPr>
          <w:rFonts w:ascii="Times New Roman" w:hAnsi="Times New Roman" w:cs="Times New Roman"/>
          <w:sz w:val="24"/>
          <w:szCs w:val="24"/>
        </w:rPr>
        <w:t xml:space="preserve">a) dos licitantes que aceitarem cotar o objeto com preço igual ao do adjudicatário,</w:t>
      </w:r>
      <w:r>
        <w:rPr>
          <w:rFonts w:ascii="Times New Roman" w:hAnsi="Times New Roman" w:cs="Times New Roman"/>
          <w:sz w:val="24"/>
          <w:szCs w:val="24"/>
        </w:rPr>
      </w:r>
      <w:r>
        <w:rPr>
          <w:rFonts w:ascii="Times New Roman" w:hAnsi="Times New Roman" w:cs="Times New Roman"/>
          <w:sz w:val="24"/>
          <w:szCs w:val="24"/>
        </w:rPr>
      </w:r>
    </w:p>
    <w:p w14:paraId="50D7B54E">
      <w:pPr>
        <w:pBdr/>
        <w:tabs>
          <w:tab w:val="left" w:leader="none" w:pos="220"/>
        </w:tabs>
        <w:spacing w:line="360" w:lineRule="auto"/>
        <w:ind/>
        <w:contextualSpacing w:val="true"/>
        <w:jc w:val="both"/>
        <w:rPr>
          <w:rFonts w:ascii="Times New Roman" w:hAnsi="Times New Roman" w:cs="Times New Roman"/>
          <w:sz w:val="24"/>
          <w:szCs w:val="24"/>
        </w:rPr>
      </w:pPr>
      <w:r>
        <w:rPr>
          <w:rFonts w:ascii="Times New Roman" w:hAnsi="Times New Roman" w:cs="Times New Roman"/>
          <w:sz w:val="24"/>
          <w:szCs w:val="24"/>
        </w:rPr>
        <w:t xml:space="preserve">observada a classificação na licitação; </w:t>
      </w:r>
      <w:r>
        <w:rPr>
          <w:rFonts w:ascii="Times New Roman" w:hAnsi="Times New Roman" w:cs="Times New Roman"/>
          <w:sz w:val="24"/>
          <w:szCs w:val="24"/>
        </w:rPr>
      </w:r>
      <w:r>
        <w:rPr>
          <w:rFonts w:ascii="Times New Roman" w:hAnsi="Times New Roman" w:cs="Times New Roman"/>
          <w:sz w:val="24"/>
          <w:szCs w:val="24"/>
        </w:rPr>
      </w:r>
    </w:p>
    <w:p w14:paraId="7E53591C">
      <w:pPr>
        <w:pBdr/>
        <w:tabs>
          <w:tab w:val="left" w:leader="none" w:pos="220"/>
        </w:tabs>
        <w:spacing w:line="360" w:lineRule="auto"/>
        <w:ind/>
        <w:contextualSpacing w:val="true"/>
        <w:jc w:val="both"/>
        <w:rPr>
          <w:rFonts w:ascii="Times New Roman" w:hAnsi="Times New Roman" w:cs="Times New Roman"/>
          <w:sz w:val="24"/>
          <w:szCs w:val="24"/>
        </w:rPr>
      </w:pPr>
      <w:r>
        <w:rPr>
          <w:rFonts w:ascii="Times New Roman" w:hAnsi="Times New Roman" w:cs="Times New Roman"/>
          <w:sz w:val="24"/>
          <w:szCs w:val="24"/>
        </w:rPr>
        <w:t xml:space="preserve">b) dos licitantes que mantiverem sua proposta original.</w:t>
      </w:r>
      <w:r>
        <w:rPr>
          <w:rFonts w:ascii="Times New Roman" w:hAnsi="Times New Roman" w:cs="Times New Roman"/>
          <w:sz w:val="24"/>
          <w:szCs w:val="24"/>
        </w:rPr>
      </w:r>
      <w:r>
        <w:rPr>
          <w:rFonts w:ascii="Times New Roman" w:hAnsi="Times New Roman" w:cs="Times New Roman"/>
          <w:sz w:val="24"/>
          <w:szCs w:val="24"/>
        </w:rPr>
      </w:r>
    </w:p>
    <w:p w14:paraId="5E8E76F7">
      <w:pPr>
        <w:pBdr/>
        <w:tabs>
          <w:tab w:val="left" w:leader="none" w:pos="220"/>
        </w:tabs>
        <w:spacing w:line="360" w:lineRule="auto"/>
        <w:ind/>
        <w:contextualSpacing w:val="true"/>
        <w:jc w:val="both"/>
        <w:rPr>
          <w:rFonts w:ascii="Times New Roman" w:hAnsi="Times New Roman" w:cs="Times New Roman"/>
          <w:sz w:val="24"/>
          <w:szCs w:val="24"/>
        </w:rPr>
      </w:pPr>
      <w:r>
        <w:rPr>
          <w:rFonts w:ascii="Times New Roman" w:hAnsi="Times New Roman" w:cs="Times New Roman"/>
          <w:b/>
          <w:bCs/>
          <w:sz w:val="24"/>
          <w:szCs w:val="24"/>
        </w:rPr>
        <w:t xml:space="preserve">10.2</w:t>
      </w:r>
      <w:r>
        <w:rPr>
          <w:rFonts w:ascii="Times New Roman" w:hAnsi="Times New Roman" w:cs="Times New Roman"/>
          <w:sz w:val="24"/>
          <w:szCs w:val="24"/>
        </w:rPr>
        <w:t xml:space="preserve">. Será respeitada, nas contratações, a ordem de classificação dos licitantes ou fornecedores registrados na ata:</w:t>
      </w:r>
      <w:r>
        <w:rPr>
          <w:rFonts w:ascii="Times New Roman" w:hAnsi="Times New Roman" w:cs="Times New Roman"/>
          <w:sz w:val="24"/>
          <w:szCs w:val="24"/>
        </w:rPr>
      </w:r>
      <w:r>
        <w:rPr>
          <w:rFonts w:ascii="Times New Roman" w:hAnsi="Times New Roman" w:cs="Times New Roman"/>
          <w:sz w:val="24"/>
          <w:szCs w:val="24"/>
        </w:rPr>
      </w:r>
    </w:p>
    <w:p w14:paraId="1A76BBDF">
      <w:pPr>
        <w:pBdr/>
        <w:tabs>
          <w:tab w:val="left" w:leader="none" w:pos="220"/>
        </w:tabs>
        <w:spacing w:line="360" w:lineRule="auto"/>
        <w:ind/>
        <w:contextualSpacing w:val="true"/>
        <w:jc w:val="both"/>
        <w:rPr>
          <w:rFonts w:ascii="Times New Roman" w:hAnsi="Times New Roman" w:cs="Times New Roman"/>
          <w:sz w:val="24"/>
          <w:szCs w:val="24"/>
        </w:rPr>
      </w:pPr>
      <w:r>
        <w:rPr>
          <w:rFonts w:ascii="Times New Roman" w:hAnsi="Times New Roman" w:cs="Times New Roman"/>
          <w:sz w:val="24"/>
          <w:szCs w:val="24"/>
        </w:rPr>
        <w:t xml:space="preserve">a) a apresentação de novas propostas na forma deste item não prejudicará o resultado do</w:t>
      </w:r>
      <w:r>
        <w:rPr>
          <w:rFonts w:ascii="Times New Roman" w:hAnsi="Times New Roman" w:cs="Times New Roman"/>
          <w:sz w:val="24"/>
          <w:szCs w:val="24"/>
        </w:rPr>
      </w:r>
      <w:r>
        <w:rPr>
          <w:rFonts w:ascii="Times New Roman" w:hAnsi="Times New Roman" w:cs="Times New Roman"/>
          <w:sz w:val="24"/>
          <w:szCs w:val="24"/>
        </w:rPr>
      </w:r>
    </w:p>
    <w:p w14:paraId="58122131">
      <w:pPr>
        <w:pBdr/>
        <w:tabs>
          <w:tab w:val="left" w:leader="none" w:pos="220"/>
        </w:tabs>
        <w:spacing w:line="360" w:lineRule="auto"/>
        <w:ind/>
        <w:contextualSpacing w:val="true"/>
        <w:jc w:val="both"/>
        <w:rPr>
          <w:rFonts w:ascii="Times New Roman" w:hAnsi="Times New Roman" w:cs="Times New Roman"/>
          <w:sz w:val="24"/>
          <w:szCs w:val="24"/>
        </w:rPr>
      </w:pPr>
      <w:r>
        <w:rPr>
          <w:rFonts w:ascii="Times New Roman" w:hAnsi="Times New Roman" w:cs="Times New Roman"/>
          <w:sz w:val="24"/>
          <w:szCs w:val="24"/>
        </w:rPr>
        <w:t xml:space="preserve">certame em relação ao licitante mais bem classificado;</w:t>
      </w:r>
      <w:r>
        <w:rPr>
          <w:rFonts w:ascii="Times New Roman" w:hAnsi="Times New Roman" w:cs="Times New Roman"/>
          <w:sz w:val="24"/>
          <w:szCs w:val="24"/>
        </w:rPr>
      </w:r>
      <w:r>
        <w:rPr>
          <w:rFonts w:ascii="Times New Roman" w:hAnsi="Times New Roman" w:cs="Times New Roman"/>
          <w:sz w:val="24"/>
          <w:szCs w:val="24"/>
        </w:rPr>
      </w:r>
    </w:p>
    <w:p w14:paraId="4A904412">
      <w:pPr>
        <w:pBdr/>
        <w:tabs>
          <w:tab w:val="left" w:leader="none" w:pos="220"/>
        </w:tabs>
        <w:spacing w:line="360" w:lineRule="auto"/>
        <w:ind/>
        <w:contextualSpacing w:val="true"/>
        <w:jc w:val="both"/>
        <w:rPr>
          <w:rFonts w:ascii="Times New Roman" w:hAnsi="Times New Roman" w:cs="Times New Roman"/>
          <w:sz w:val="24"/>
          <w:szCs w:val="24"/>
        </w:rPr>
      </w:pPr>
      <w:r>
        <w:rPr>
          <w:rFonts w:ascii="Times New Roman" w:hAnsi="Times New Roman" w:cs="Times New Roman"/>
          <w:sz w:val="24"/>
          <w:szCs w:val="24"/>
        </w:rPr>
        <w:t xml:space="preserve">b) para fins da ordem de classificação, os licitantes ou fornecedores que aceitarem cotar o</w:t>
      </w:r>
      <w:r>
        <w:rPr>
          <w:rFonts w:ascii="Times New Roman" w:hAnsi="Times New Roman" w:cs="Times New Roman"/>
          <w:sz w:val="24"/>
          <w:szCs w:val="24"/>
        </w:rPr>
      </w:r>
      <w:r>
        <w:rPr>
          <w:rFonts w:ascii="Times New Roman" w:hAnsi="Times New Roman" w:cs="Times New Roman"/>
          <w:sz w:val="24"/>
          <w:szCs w:val="24"/>
        </w:rPr>
      </w:r>
    </w:p>
    <w:p w14:paraId="1B903644">
      <w:pPr>
        <w:pBdr/>
        <w:tabs>
          <w:tab w:val="left" w:leader="none" w:pos="220"/>
        </w:tabs>
        <w:spacing w:line="360" w:lineRule="auto"/>
        <w:ind/>
        <w:contextualSpacing w:val="true"/>
        <w:jc w:val="both"/>
        <w:rPr>
          <w:rFonts w:ascii="Times New Roman" w:hAnsi="Times New Roman" w:cs="Times New Roman"/>
          <w:sz w:val="24"/>
          <w:szCs w:val="24"/>
        </w:rPr>
      </w:pPr>
      <w:r>
        <w:rPr>
          <w:rFonts w:ascii="Times New Roman" w:hAnsi="Times New Roman" w:cs="Times New Roman"/>
          <w:sz w:val="24"/>
          <w:szCs w:val="24"/>
        </w:rPr>
        <w:t xml:space="preserve">objeto com preço igual ao do adjudicatário antecederão aqueles que mantiverem sua</w:t>
      </w:r>
      <w:r>
        <w:rPr>
          <w:rFonts w:ascii="Times New Roman" w:hAnsi="Times New Roman" w:cs="Times New Roman"/>
          <w:sz w:val="24"/>
          <w:szCs w:val="24"/>
        </w:rPr>
      </w:r>
      <w:r>
        <w:rPr>
          <w:rFonts w:ascii="Times New Roman" w:hAnsi="Times New Roman" w:cs="Times New Roman"/>
          <w:sz w:val="24"/>
          <w:szCs w:val="24"/>
        </w:rPr>
      </w:r>
    </w:p>
    <w:p w14:paraId="067E8C5F">
      <w:pPr>
        <w:pBdr/>
        <w:tabs>
          <w:tab w:val="left" w:leader="none" w:pos="220"/>
        </w:tabs>
        <w:spacing w:line="360" w:lineRule="auto"/>
        <w:ind/>
        <w:contextualSpacing w:val="true"/>
        <w:jc w:val="both"/>
        <w:rPr>
          <w:rFonts w:ascii="Times New Roman" w:hAnsi="Times New Roman" w:cs="Times New Roman"/>
          <w:sz w:val="24"/>
          <w:szCs w:val="24"/>
        </w:rPr>
      </w:pPr>
      <w:r>
        <w:rPr>
          <w:rFonts w:ascii="Times New Roman" w:hAnsi="Times New Roman" w:cs="Times New Roman"/>
          <w:sz w:val="24"/>
          <w:szCs w:val="24"/>
        </w:rPr>
        <w:t xml:space="preserve">proposta original.</w:t>
      </w:r>
      <w:r>
        <w:rPr>
          <w:rFonts w:ascii="Times New Roman" w:hAnsi="Times New Roman" w:cs="Times New Roman"/>
          <w:sz w:val="24"/>
          <w:szCs w:val="24"/>
        </w:rPr>
      </w:r>
      <w:r>
        <w:rPr>
          <w:rFonts w:ascii="Times New Roman" w:hAnsi="Times New Roman" w:cs="Times New Roman"/>
          <w:sz w:val="24"/>
          <w:szCs w:val="24"/>
        </w:rPr>
      </w:r>
    </w:p>
    <w:p w14:paraId="3FDBDECB">
      <w:pPr>
        <w:pBdr/>
        <w:tabs>
          <w:tab w:val="left" w:leader="none" w:pos="220"/>
        </w:tabs>
        <w:spacing w:line="360" w:lineRule="auto"/>
        <w:ind/>
        <w:contextualSpacing w:val="true"/>
        <w:jc w:val="both"/>
        <w:rPr>
          <w:rFonts w:ascii="Times New Roman" w:hAnsi="Times New Roman" w:cs="Times New Roman"/>
          <w:sz w:val="24"/>
          <w:szCs w:val="24"/>
        </w:rPr>
      </w:pPr>
      <w:r>
        <w:rPr>
          <w:rFonts w:ascii="Times New Roman" w:hAnsi="Times New Roman" w:cs="Times New Roman"/>
          <w:b/>
          <w:bCs/>
          <w:sz w:val="24"/>
          <w:szCs w:val="24"/>
        </w:rPr>
        <w:t xml:space="preserve">10.3</w:t>
      </w:r>
      <w:r>
        <w:rPr>
          <w:rFonts w:ascii="Times New Roman" w:hAnsi="Times New Roman" w:cs="Times New Roman"/>
          <w:sz w:val="24"/>
          <w:szCs w:val="24"/>
        </w:rPr>
        <w:t xml:space="preserve"> A habilitação dos licitantes que comporão o cadastro de reserva será efetuada quando</w:t>
      </w:r>
      <w:r>
        <w:rPr>
          <w:rFonts w:ascii="Times New Roman" w:hAnsi="Times New Roman" w:cs="Times New Roman"/>
          <w:sz w:val="24"/>
          <w:szCs w:val="24"/>
        </w:rPr>
      </w:r>
      <w:r>
        <w:rPr>
          <w:rFonts w:ascii="Times New Roman" w:hAnsi="Times New Roman" w:cs="Times New Roman"/>
          <w:sz w:val="24"/>
          <w:szCs w:val="24"/>
        </w:rPr>
      </w:r>
    </w:p>
    <w:p w14:paraId="70FEFA1E">
      <w:pPr>
        <w:pBdr/>
        <w:tabs>
          <w:tab w:val="left" w:leader="none" w:pos="220"/>
        </w:tabs>
        <w:spacing w:line="360" w:lineRule="auto"/>
        <w:ind/>
        <w:contextualSpacing w:val="true"/>
        <w:jc w:val="both"/>
        <w:rPr>
          <w:rFonts w:ascii="Times New Roman" w:hAnsi="Times New Roman" w:cs="Times New Roman"/>
          <w:sz w:val="24"/>
          <w:szCs w:val="24"/>
        </w:rPr>
      </w:pPr>
      <w:r>
        <w:rPr>
          <w:rFonts w:ascii="Times New Roman" w:hAnsi="Times New Roman" w:cs="Times New Roman"/>
          <w:sz w:val="24"/>
          <w:szCs w:val="24"/>
        </w:rPr>
        <w:t xml:space="preserve">houver necessidade de contratação dos licitantes remanescentes.</w:t>
      </w:r>
      <w:r>
        <w:rPr>
          <w:rFonts w:ascii="Times New Roman" w:hAnsi="Times New Roman" w:cs="Times New Roman"/>
          <w:sz w:val="24"/>
          <w:szCs w:val="24"/>
        </w:rPr>
      </w:r>
      <w:r>
        <w:rPr>
          <w:rFonts w:ascii="Times New Roman" w:hAnsi="Times New Roman" w:cs="Times New Roman"/>
          <w:sz w:val="24"/>
          <w:szCs w:val="24"/>
        </w:rPr>
      </w:r>
    </w:p>
    <w:p w14:paraId="1F3F2A43">
      <w:pPr>
        <w:pBdr/>
        <w:tabs>
          <w:tab w:val="left" w:leader="none" w:pos="220"/>
        </w:tabs>
        <w:spacing w:line="360" w:lineRule="auto"/>
        <w:ind/>
        <w:contextualSpacing w:val="true"/>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bl>
      <w:tblPr>
        <w:tblStyle w:val="1103"/>
        <w:tblInd w:w="0" w:type="dxa"/>
        <w:tblW w:w="8835"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4d4d4"/>
        <w:tblLayout w:type="autofit"/>
        <w:tblLook w:val="04A0" w:firstRow="1" w:lastRow="0" w:firstColumn="1" w:lastColumn="0" w:noHBand="0" w:noVBand="1"/>
      </w:tblPr>
      <w:tblGrid>
        <w:gridCol w:w="8835"/>
      </w:tblGrid>
      <w:tr>
        <w:trPr>
          <w:trHeight w:val="375"/>
        </w:trPr>
        <w:tc>
          <w:tcPr>
            <w:shd w:val="clear" w:color="auto" w:fill="d4d4d4"/>
            <w:tcBorders/>
            <w:tcW w:w="8835" w:type="dxa"/>
            <w:vAlign w:val="center"/>
          </w:tcPr>
          <w:p w14:paraId="00CE5214">
            <w:pPr>
              <w:pStyle w:val="1105"/>
              <w:numPr>
                <w:ilvl w:val="0"/>
                <w:numId w:val="83"/>
              </w:numPr>
              <w:pBdr/>
              <w:spacing w:line="360" w:lineRule="auto"/>
              <w:ind/>
              <w:jc w:val="center"/>
              <w:rPr>
                <w:b/>
                <w:sz w:val="24"/>
                <w:szCs w:val="24"/>
                <w:lang w:val="pt-BR"/>
              </w:rPr>
            </w:pPr>
            <w:r>
              <w:rPr>
                <w:b/>
                <w:sz w:val="24"/>
                <w:szCs w:val="24"/>
                <w:lang w:val="pt-BR"/>
              </w:rPr>
              <w:t xml:space="preserve">CUSTO</w:t>
            </w:r>
            <w:r>
              <w:rPr>
                <w:b/>
                <w:spacing w:val="-1"/>
                <w:sz w:val="24"/>
                <w:szCs w:val="24"/>
                <w:lang w:val="pt-BR"/>
              </w:rPr>
              <w:t xml:space="preserve"> </w:t>
            </w:r>
            <w:r>
              <w:rPr>
                <w:b/>
                <w:sz w:val="24"/>
                <w:szCs w:val="24"/>
                <w:lang w:val="pt-BR"/>
              </w:rPr>
              <w:t xml:space="preserve">ESTIMADO DA</w:t>
            </w:r>
            <w:r>
              <w:rPr>
                <w:b/>
                <w:spacing w:val="-2"/>
                <w:sz w:val="24"/>
                <w:szCs w:val="24"/>
                <w:lang w:val="pt-BR"/>
              </w:rPr>
              <w:t xml:space="preserve"> </w:t>
            </w:r>
            <w:r>
              <w:rPr>
                <w:b/>
                <w:sz w:val="24"/>
                <w:szCs w:val="24"/>
                <w:lang w:val="pt-BR"/>
              </w:rPr>
              <w:t xml:space="preserve">CONTRATAÇÃO/PREÇO</w:t>
            </w:r>
            <w:r>
              <w:rPr>
                <w:b/>
                <w:spacing w:val="-1"/>
                <w:sz w:val="24"/>
                <w:szCs w:val="24"/>
                <w:lang w:val="pt-BR"/>
              </w:rPr>
              <w:t xml:space="preserve"> </w:t>
            </w:r>
            <w:r>
              <w:rPr>
                <w:b/>
                <w:sz w:val="24"/>
                <w:szCs w:val="24"/>
                <w:lang w:val="pt-BR"/>
              </w:rPr>
              <w:t xml:space="preserve">DE </w:t>
            </w:r>
            <w:r>
              <w:rPr>
                <w:b/>
                <w:spacing w:val="-2"/>
                <w:sz w:val="24"/>
                <w:szCs w:val="24"/>
                <w:lang w:val="pt-BR"/>
              </w:rPr>
              <w:t xml:space="preserve">REFERÊNCIA</w:t>
            </w:r>
            <w:r>
              <w:rPr>
                <w:b/>
                <w:sz w:val="24"/>
                <w:szCs w:val="24"/>
                <w:lang w:val="pt-BR"/>
              </w:rPr>
            </w:r>
            <w:r>
              <w:rPr>
                <w:b/>
                <w:sz w:val="24"/>
                <w:szCs w:val="24"/>
                <w:lang w:val="pt-BR"/>
              </w:rPr>
            </w:r>
          </w:p>
        </w:tc>
      </w:tr>
    </w:tbl>
    <w:p w14:paraId="67ABCCDE">
      <w:pPr>
        <w:pBdr/>
        <w:tabs>
          <w:tab w:val="left" w:leader="none" w:pos="220"/>
        </w:tabs>
        <w:spacing w:line="360" w:lineRule="auto"/>
        <w:ind/>
        <w:contextualSpacing w:val="true"/>
        <w:jc w:val="both"/>
        <w:rPr>
          <w:rFonts w:ascii="Times New Roman" w:hAnsi="Times New Roman" w:cs="Times New Roman"/>
          <w:iCs/>
          <w:sz w:val="24"/>
          <w:szCs w:val="24"/>
        </w:rPr>
      </w:pPr>
      <w:r>
        <w:rPr>
          <w:rFonts w:ascii="Times New Roman" w:hAnsi="Times New Roman" w:cs="Times New Roman"/>
          <w:iCs/>
          <w:sz w:val="24"/>
          <w:szCs w:val="24"/>
        </w:rPr>
        <w:t xml:space="preserve">Estimativa de R$ 5.</w:t>
      </w:r>
      <w:r>
        <w:rPr>
          <w:rFonts w:hint="default" w:ascii="Times New Roman" w:hAnsi="Times New Roman" w:cs="Times New Roman"/>
          <w:iCs/>
          <w:sz w:val="24"/>
          <w:szCs w:val="24"/>
          <w:lang w:val="pt-BR"/>
        </w:rPr>
        <w:t xml:space="preserve">991</w:t>
      </w:r>
      <w:r>
        <w:rPr>
          <w:rFonts w:ascii="Times New Roman" w:hAnsi="Times New Roman" w:cs="Times New Roman"/>
          <w:iCs/>
          <w:sz w:val="24"/>
          <w:szCs w:val="24"/>
        </w:rPr>
        <w:t xml:space="preserve">.</w:t>
      </w:r>
      <w:r>
        <w:rPr>
          <w:rFonts w:hint="default" w:ascii="Times New Roman" w:hAnsi="Times New Roman" w:cs="Times New Roman"/>
          <w:iCs/>
          <w:sz w:val="24"/>
          <w:szCs w:val="24"/>
          <w:lang w:val="pt-BR"/>
        </w:rPr>
        <w:t xml:space="preserve">762</w:t>
      </w:r>
      <w:r>
        <w:rPr>
          <w:rFonts w:ascii="Times New Roman" w:hAnsi="Times New Roman" w:cs="Times New Roman"/>
          <w:iCs/>
          <w:sz w:val="24"/>
          <w:szCs w:val="24"/>
        </w:rPr>
        <w:t xml:space="preserve">,00 (Cinco milhões, novecentos e </w:t>
      </w:r>
      <w:r>
        <w:rPr>
          <w:rFonts w:hint="default" w:ascii="Times New Roman" w:hAnsi="Times New Roman" w:cs="Times New Roman"/>
          <w:iCs/>
          <w:sz w:val="24"/>
          <w:szCs w:val="24"/>
          <w:lang w:val="pt-BR"/>
        </w:rPr>
        <w:t xml:space="preserve">noventa e um </w:t>
      </w:r>
      <w:r>
        <w:rPr>
          <w:rFonts w:ascii="Times New Roman" w:hAnsi="Times New Roman" w:cs="Times New Roman"/>
          <w:iCs/>
          <w:sz w:val="24"/>
          <w:szCs w:val="24"/>
        </w:rPr>
        <w:t xml:space="preserve">mil, setecentos e sessenta e dois reais).</w:t>
      </w:r>
      <w:r>
        <w:rPr>
          <w:rFonts w:ascii="Times New Roman" w:hAnsi="Times New Roman" w:cs="Times New Roman"/>
          <w:iCs/>
          <w:sz w:val="24"/>
          <w:szCs w:val="24"/>
        </w:rPr>
      </w:r>
      <w:r>
        <w:rPr>
          <w:rFonts w:ascii="Times New Roman" w:hAnsi="Times New Roman" w:cs="Times New Roman"/>
          <w:iCs/>
          <w:sz w:val="24"/>
          <w:szCs w:val="24"/>
        </w:rPr>
      </w:r>
    </w:p>
    <w:p w14:paraId="44DF3F3E">
      <w:pPr>
        <w:pBdr/>
        <w:tabs>
          <w:tab w:val="left" w:leader="none" w:pos="220"/>
        </w:tabs>
        <w:spacing w:line="360" w:lineRule="auto"/>
        <w:ind/>
        <w:contextualSpacing w:val="true"/>
        <w:jc w:val="both"/>
        <w:rPr>
          <w:rFonts w:ascii="Times New Roman" w:hAnsi="Times New Roman" w:cs="Times New Roman"/>
          <w:iCs/>
          <w:sz w:val="24"/>
          <w:szCs w:val="24"/>
        </w:rPr>
      </w:pPr>
      <w:r>
        <w:rPr>
          <w:rFonts w:ascii="Times New Roman" w:hAnsi="Times New Roman" w:cs="Times New Roman"/>
          <w:iCs/>
          <w:sz w:val="24"/>
          <w:szCs w:val="24"/>
        </w:rPr>
        <w:t xml:space="preserve">A metodologia utilizada para formação do preço de referência baseou-se nos sistemas oficiais de custos SINAPI, SICR</w:t>
      </w:r>
      <w:r>
        <w:rPr>
          <w:rFonts w:ascii="Times New Roman" w:hAnsi="Times New Roman" w:cs="Times New Roman"/>
          <w:iCs/>
          <w:sz w:val="24"/>
          <w:szCs w:val="24"/>
        </w:rPr>
        <w:t xml:space="preserve">O3 e DNIT, conforme detalhado no Anexo IV (Pesquisa de Preços) deste processo, dispensando-se a utilização de cotações diretas ou atas de referência de outros órgãos públicos, em conformidade com o Art. 23 da Lei nº 14.133/2021 para serviços de engenharia.</w:t>
      </w:r>
      <w:r>
        <w:rPr>
          <w:rFonts w:ascii="Times New Roman" w:hAnsi="Times New Roman" w:cs="Times New Roman"/>
          <w:iCs/>
          <w:sz w:val="24"/>
          <w:szCs w:val="24"/>
        </w:rPr>
      </w:r>
      <w:r>
        <w:rPr>
          <w:rFonts w:ascii="Times New Roman" w:hAnsi="Times New Roman" w:cs="Times New Roman"/>
          <w:iCs/>
          <w:sz w:val="24"/>
          <w:szCs w:val="24"/>
        </w:rPr>
      </w:r>
    </w:p>
    <w:p w14:paraId="4389F8E7">
      <w:pPr>
        <w:pBdr/>
        <w:tabs>
          <w:tab w:val="left" w:leader="none" w:pos="220"/>
        </w:tabs>
        <w:spacing w:line="360" w:lineRule="auto"/>
        <w:ind/>
        <w:contextualSpacing w:val="true"/>
        <w:jc w:val="both"/>
        <w:rPr>
          <w:rFonts w:ascii="Times New Roman" w:hAnsi="Times New Roman" w:cs="Times New Roman"/>
          <w:iCs/>
          <w:sz w:val="24"/>
          <w:szCs w:val="24"/>
        </w:rPr>
      </w:pPr>
      <w:r>
        <w:rPr>
          <w:rFonts w:ascii="Times New Roman" w:hAnsi="Times New Roman" w:cs="Times New Roman"/>
          <w:iCs/>
          <w:sz w:val="24"/>
          <w:szCs w:val="24"/>
        </w:rPr>
        <w:t xml:space="preserve">A metodologia de estimativa de quantidades consta da justificativa técnica apensa ao processo.</w:t>
      </w:r>
      <w:r>
        <w:rPr>
          <w:rFonts w:ascii="Times New Roman" w:hAnsi="Times New Roman" w:cs="Times New Roman"/>
          <w:iCs/>
          <w:sz w:val="24"/>
          <w:szCs w:val="24"/>
        </w:rPr>
      </w:r>
      <w:r>
        <w:rPr>
          <w:rFonts w:ascii="Times New Roman" w:hAnsi="Times New Roman" w:cs="Times New Roman"/>
          <w:iCs/>
          <w:sz w:val="24"/>
          <w:szCs w:val="24"/>
        </w:rPr>
      </w:r>
    </w:p>
    <w:tbl>
      <w:tblPr>
        <w:tblStyle w:val="1103"/>
        <w:tblInd w:w="0" w:type="dxa"/>
        <w:tblW w:w="9279"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9279"/>
      </w:tblGrid>
      <w:tr>
        <w:trPr>
          <w:trHeight w:val="375"/>
        </w:trPr>
        <w:tc>
          <w:tcPr>
            <w:shd w:val="clear" w:color="auto" w:fill="d7d7d7" w:themeFill="background1" w:themeFillShade="D8"/>
            <w:tcBorders/>
            <w:tcW w:w="9279" w:type="dxa"/>
            <w:vAlign w:val="center"/>
          </w:tcPr>
          <w:p w14:paraId="1F1E856B">
            <w:pPr>
              <w:numPr>
                <w:ilvl w:val="0"/>
                <w:numId w:val="83"/>
              </w:numPr>
              <w:pBdr/>
              <w:spacing w:line="360" w:lineRule="auto"/>
              <w:ind/>
              <w:jc w:val="center"/>
              <w:rPr>
                <w:rFonts w:ascii="Times New Roman" w:hAnsi="Times New Roman" w:cs="Times New Roman"/>
                <w:b/>
                <w:sz w:val="24"/>
                <w:szCs w:val="24"/>
              </w:rPr>
            </w:pPr>
            <w:r>
              <w:rPr>
                <w:rFonts w:ascii="Times New Roman" w:hAnsi="Times New Roman" w:cs="Times New Roman"/>
                <w:b/>
                <w:sz w:val="24"/>
                <w:szCs w:val="24"/>
              </w:rPr>
              <w:t xml:space="preserve">DOTAÇÃO </w:t>
            </w:r>
            <w:r>
              <w:rPr>
                <w:rFonts w:ascii="Times New Roman" w:hAnsi="Times New Roman" w:cs="Times New Roman"/>
                <w:b/>
                <w:spacing w:val="-2"/>
                <w:sz w:val="24"/>
                <w:szCs w:val="24"/>
              </w:rPr>
              <w:t xml:space="preserve">ORÇAMENTÁRIA</w:t>
            </w:r>
            <w:r>
              <w:rPr>
                <w:rFonts w:ascii="Times New Roman" w:hAnsi="Times New Roman" w:cs="Times New Roman"/>
                <w:b/>
                <w:sz w:val="24"/>
                <w:szCs w:val="24"/>
              </w:rPr>
            </w:r>
            <w:r>
              <w:rPr>
                <w:rFonts w:ascii="Times New Roman" w:hAnsi="Times New Roman" w:cs="Times New Roman"/>
                <w:b/>
                <w:sz w:val="24"/>
                <w:szCs w:val="24"/>
              </w:rPr>
            </w:r>
          </w:p>
        </w:tc>
      </w:tr>
    </w:tbl>
    <w:tbl>
      <w:tblPr>
        <w:tblStyle w:val="1103"/>
        <w:tblInd w:w="0" w:type="dxa"/>
        <w:tblW w:w="9252"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pPr w:horzAnchor="margin" w:tblpXSpec="left" w:vertAnchor="text" w:tblpY="52" w:leftFromText="141" w:topFromText="0" w:rightFromText="141" w:bottomFromText="0"/>
        <w:tblLook w:val="04A0" w:firstRow="1" w:lastRow="0" w:firstColumn="1" w:lastColumn="0" w:noHBand="0" w:noVBand="1"/>
      </w:tblPr>
      <w:tblGrid>
        <w:gridCol w:w="4815"/>
        <w:gridCol w:w="4437"/>
      </w:tblGrid>
      <w:tr>
        <w:trPr/>
        <w:tc>
          <w:tcPr>
            <w:tcBorders/>
            <w:tcW w:w="4815" w:type="dxa"/>
          </w:tcPr>
          <w:p w14:paraId="6EBE9148">
            <w:pPr>
              <w:pBdr/>
              <w:spacing/>
              <w:ind/>
              <w:rPr>
                <w:rFonts w:ascii="Times New Roman" w:hAnsi="Times New Roman" w:cs="Times New Roman"/>
              </w:rPr>
            </w:pPr>
            <w:r>
              <w:rPr>
                <w:rFonts w:ascii="Times New Roman" w:hAnsi="Times New Roman" w:cs="Times New Roman"/>
                <w:sz w:val="24"/>
                <w:szCs w:val="24"/>
              </w:rPr>
              <w:t xml:space="preserve">2035.3.3.90.39.00.00.1.500.0000000</w:t>
            </w:r>
            <w:r>
              <w:rPr>
                <w:rFonts w:ascii="Times New Roman" w:hAnsi="Times New Roman" w:cs="Times New Roman"/>
              </w:rPr>
            </w:r>
            <w:r>
              <w:rPr>
                <w:rFonts w:ascii="Times New Roman" w:hAnsi="Times New Roman" w:cs="Times New Roman"/>
              </w:rPr>
            </w:r>
          </w:p>
        </w:tc>
        <w:tc>
          <w:tcPr>
            <w:tcBorders/>
            <w:tcW w:w="4437" w:type="dxa"/>
          </w:tcPr>
          <w:p w14:paraId="1FD85E7C">
            <w:pPr>
              <w:pBdr/>
              <w:spacing/>
              <w:ind/>
              <w:rPr/>
            </w:pPr>
            <w:r>
              <w:rPr>
                <w:rFonts w:ascii="Times New Roman" w:hAnsi="Times New Roman" w:cs="Times New Roman"/>
                <w:sz w:val="24"/>
                <w:szCs w:val="24"/>
              </w:rPr>
              <w:t xml:space="preserve">- Recurso próprio</w:t>
            </w:r>
            <w:r/>
          </w:p>
        </w:tc>
      </w:tr>
      <w:tr>
        <w:trPr/>
        <w:tc>
          <w:tcPr>
            <w:tcBorders/>
            <w:tcW w:w="4815" w:type="dxa"/>
          </w:tcPr>
          <w:p w14:paraId="7D3EBC46">
            <w:pPr>
              <w:pBdr/>
              <w:spacing/>
              <w:ind/>
              <w:rPr>
                <w:rFonts w:ascii="Times New Roman" w:hAnsi="Times New Roman" w:cs="Times New Roman"/>
                <w:lang w:eastAsia="pt-BR"/>
              </w:rPr>
            </w:pPr>
            <w:r>
              <w:rPr>
                <w:rFonts w:ascii="Times New Roman" w:hAnsi="Times New Roman" w:cs="Times New Roman"/>
                <w:sz w:val="24"/>
                <w:szCs w:val="24"/>
              </w:rPr>
              <w:t xml:space="preserve">2035.3.3.90.34.00.00.1.500.0000000 </w:t>
            </w:r>
            <w:r>
              <w:rPr>
                <w:rFonts w:ascii="Times New Roman" w:hAnsi="Times New Roman" w:cs="Times New Roman"/>
                <w:lang w:eastAsia="pt-BR"/>
              </w:rPr>
            </w:r>
            <w:r>
              <w:rPr>
                <w:rFonts w:ascii="Times New Roman" w:hAnsi="Times New Roman" w:cs="Times New Roman"/>
                <w:lang w:eastAsia="pt-BR"/>
              </w:rPr>
            </w:r>
          </w:p>
        </w:tc>
        <w:tc>
          <w:tcPr>
            <w:tcBorders/>
            <w:tcW w:w="4437" w:type="dxa"/>
          </w:tcPr>
          <w:p w14:paraId="6AC9D6F8">
            <w:pPr>
              <w:pBdr/>
              <w:spacing/>
              <w:ind/>
              <w:rPr/>
            </w:pPr>
            <w:r>
              <w:rPr>
                <w:rFonts w:ascii="Times New Roman" w:hAnsi="Times New Roman" w:cs="Times New Roman"/>
                <w:sz w:val="24"/>
                <w:szCs w:val="24"/>
              </w:rPr>
              <w:t xml:space="preserve">- Recurso próprio</w:t>
            </w:r>
            <w:r/>
          </w:p>
        </w:tc>
      </w:tr>
      <w:tr>
        <w:trPr/>
        <w:tc>
          <w:tcPr>
            <w:tcBorders/>
            <w:tcW w:w="4815" w:type="dxa"/>
          </w:tcPr>
          <w:p w14:paraId="6EF6F78D">
            <w:pPr>
              <w:pBdr/>
              <w:spacing/>
              <w:ind/>
              <w:rPr>
                <w:rFonts w:ascii="Times New Roman" w:hAnsi="Times New Roman" w:cs="Times New Roman"/>
                <w:lang w:eastAsia="pt-BR"/>
              </w:rPr>
            </w:pPr>
            <w:r>
              <w:rPr>
                <w:rFonts w:ascii="Times New Roman" w:hAnsi="Times New Roman" w:cs="Times New Roman"/>
                <w:sz w:val="24"/>
                <w:szCs w:val="24"/>
              </w:rPr>
              <w:t xml:space="preserve">2036.3.3.90.39.00.00.1.500.0000000 </w:t>
            </w:r>
            <w:r>
              <w:rPr>
                <w:rFonts w:ascii="Times New Roman" w:hAnsi="Times New Roman" w:cs="Times New Roman"/>
                <w:lang w:eastAsia="pt-BR"/>
              </w:rPr>
            </w:r>
            <w:r>
              <w:rPr>
                <w:rFonts w:ascii="Times New Roman" w:hAnsi="Times New Roman" w:cs="Times New Roman"/>
                <w:lang w:eastAsia="pt-BR"/>
              </w:rPr>
            </w:r>
          </w:p>
        </w:tc>
        <w:tc>
          <w:tcPr>
            <w:tcBorders/>
            <w:tcW w:w="4437" w:type="dxa"/>
          </w:tcPr>
          <w:p w14:paraId="1383C99F">
            <w:pPr>
              <w:pBdr/>
              <w:spacing/>
              <w:ind/>
              <w:rPr/>
            </w:pPr>
            <w:r>
              <w:rPr>
                <w:rFonts w:ascii="Times New Roman" w:hAnsi="Times New Roman" w:cs="Times New Roman"/>
                <w:sz w:val="24"/>
                <w:szCs w:val="24"/>
              </w:rPr>
              <w:t xml:space="preserve">- Recurso próprio</w:t>
            </w:r>
            <w:r/>
          </w:p>
        </w:tc>
      </w:tr>
      <w:tr>
        <w:trPr/>
        <w:tc>
          <w:tcPr>
            <w:tcBorders/>
            <w:tcW w:w="4815" w:type="dxa"/>
          </w:tcPr>
          <w:p w14:paraId="796244E5">
            <w:pPr>
              <w:pBdr/>
              <w:spacing/>
              <w:ind/>
              <w:rPr>
                <w:rFonts w:ascii="Times New Roman" w:hAnsi="Times New Roman" w:cs="Times New Roman"/>
                <w:lang w:eastAsia="pt-BR"/>
              </w:rPr>
            </w:pPr>
            <w:r>
              <w:rPr>
                <w:rFonts w:ascii="Times New Roman" w:hAnsi="Times New Roman" w:cs="Times New Roman"/>
                <w:sz w:val="24"/>
                <w:szCs w:val="24"/>
              </w:rPr>
              <w:t xml:space="preserve">2036.3.3.90.34.00.00.1.500.0000000 </w:t>
            </w:r>
            <w:r>
              <w:rPr>
                <w:rFonts w:ascii="Times New Roman" w:hAnsi="Times New Roman" w:cs="Times New Roman"/>
                <w:lang w:eastAsia="pt-BR"/>
              </w:rPr>
            </w:r>
            <w:r>
              <w:rPr>
                <w:rFonts w:ascii="Times New Roman" w:hAnsi="Times New Roman" w:cs="Times New Roman"/>
                <w:lang w:eastAsia="pt-BR"/>
              </w:rPr>
            </w:r>
          </w:p>
        </w:tc>
        <w:tc>
          <w:tcPr>
            <w:tcBorders/>
            <w:tcW w:w="4437" w:type="dxa"/>
          </w:tcPr>
          <w:p w14:paraId="49FA0ED6">
            <w:pPr>
              <w:pBdr/>
              <w:spacing/>
              <w:ind/>
              <w:rPr/>
            </w:pPr>
            <w:r>
              <w:rPr>
                <w:rFonts w:ascii="Times New Roman" w:hAnsi="Times New Roman" w:cs="Times New Roman"/>
                <w:sz w:val="24"/>
                <w:szCs w:val="24"/>
              </w:rPr>
              <w:t xml:space="preserve">- Recurso próprio</w:t>
            </w:r>
            <w:r/>
          </w:p>
        </w:tc>
      </w:tr>
      <w:tr>
        <w:trPr/>
        <w:tc>
          <w:tcPr>
            <w:tcBorders/>
            <w:tcW w:w="4815" w:type="dxa"/>
          </w:tcPr>
          <w:p w14:paraId="47245845">
            <w:pPr>
              <w:pBdr/>
              <w:spacing/>
              <w:ind/>
              <w:rPr>
                <w:rFonts w:ascii="Times New Roman" w:hAnsi="Times New Roman" w:cs="Times New Roman"/>
                <w:lang w:eastAsia="pt-BR"/>
              </w:rPr>
            </w:pPr>
            <w:r>
              <w:rPr>
                <w:rFonts w:ascii="Times New Roman" w:hAnsi="Times New Roman" w:cs="Times New Roman"/>
                <w:sz w:val="24"/>
                <w:szCs w:val="24"/>
              </w:rPr>
              <w:t xml:space="preserve">1015.4.4.90.51.00.00.1.500.0000000 </w:t>
            </w:r>
            <w:r>
              <w:rPr>
                <w:rFonts w:ascii="Times New Roman" w:hAnsi="Times New Roman" w:cs="Times New Roman"/>
                <w:lang w:eastAsia="pt-BR"/>
              </w:rPr>
            </w:r>
            <w:r>
              <w:rPr>
                <w:rFonts w:ascii="Times New Roman" w:hAnsi="Times New Roman" w:cs="Times New Roman"/>
                <w:lang w:eastAsia="pt-BR"/>
              </w:rPr>
            </w:r>
          </w:p>
        </w:tc>
        <w:tc>
          <w:tcPr>
            <w:tcBorders/>
            <w:tcW w:w="4437" w:type="dxa"/>
          </w:tcPr>
          <w:p w14:paraId="585B2203">
            <w:pPr>
              <w:pBdr/>
              <w:spacing/>
              <w:ind/>
              <w:rPr/>
            </w:pPr>
            <w:r>
              <w:rPr>
                <w:rFonts w:ascii="Times New Roman" w:hAnsi="Times New Roman" w:cs="Times New Roman"/>
                <w:sz w:val="24"/>
                <w:szCs w:val="24"/>
              </w:rPr>
              <w:t xml:space="preserve">- Recurso próprio</w:t>
            </w:r>
            <w:r/>
          </w:p>
        </w:tc>
      </w:tr>
      <w:tr>
        <w:trPr/>
        <w:tc>
          <w:tcPr>
            <w:tcBorders/>
            <w:tcW w:w="4815" w:type="dxa"/>
          </w:tcPr>
          <w:p w14:paraId="6E64E516">
            <w:pPr>
              <w:pBdr/>
              <w:spacing/>
              <w:ind/>
              <w:rPr>
                <w:rFonts w:ascii="Times New Roman" w:hAnsi="Times New Roman" w:cs="Times New Roman"/>
                <w:lang w:eastAsia="pt-BR"/>
              </w:rPr>
            </w:pPr>
            <w:r>
              <w:rPr>
                <w:rFonts w:ascii="Times New Roman" w:hAnsi="Times New Roman" w:cs="Times New Roman"/>
                <w:sz w:val="24"/>
                <w:szCs w:val="24"/>
              </w:rPr>
              <w:t xml:space="preserve">1015.4.4.90.51.00.00.1.500.0000750 </w:t>
            </w:r>
            <w:r>
              <w:rPr>
                <w:rFonts w:ascii="Times New Roman" w:hAnsi="Times New Roman" w:cs="Times New Roman"/>
                <w:lang w:eastAsia="pt-BR"/>
              </w:rPr>
            </w:r>
            <w:r>
              <w:rPr>
                <w:rFonts w:ascii="Times New Roman" w:hAnsi="Times New Roman" w:cs="Times New Roman"/>
                <w:lang w:eastAsia="pt-BR"/>
              </w:rPr>
            </w:r>
          </w:p>
        </w:tc>
        <w:tc>
          <w:tcPr>
            <w:tcBorders/>
            <w:tcW w:w="4437" w:type="dxa"/>
          </w:tcPr>
          <w:p w14:paraId="2FB5757A">
            <w:pPr>
              <w:pStyle w:val="1107"/>
              <w:pBdr/>
              <w:spacing/>
              <w:ind/>
              <w:rPr>
                <w:rFonts w:hint="default"/>
                <w:lang w:val="pt-BR"/>
              </w:rPr>
            </w:pPr>
            <w:r>
              <w:rPr>
                <w:rFonts w:hint="default"/>
                <w:sz w:val="24"/>
                <w:szCs w:val="24"/>
                <w:lang w:val="pt-BR"/>
              </w:rPr>
              <w:t xml:space="preserve">-</w:t>
            </w:r>
            <w:r>
              <w:rPr>
                <w:sz w:val="24"/>
                <w:szCs w:val="24"/>
              </w:rPr>
              <w:t xml:space="preserve">Recurso de emenda</w:t>
            </w:r>
            <w:r>
              <w:rPr>
                <w:rFonts w:hint="default"/>
                <w:sz w:val="24"/>
                <w:szCs w:val="24"/>
                <w:lang w:val="pt-BR"/>
              </w:rPr>
              <w:t xml:space="preserve"> impositiva do legislativo municipal</w:t>
            </w:r>
            <w:r>
              <w:rPr>
                <w:rFonts w:hint="default"/>
                <w:lang w:val="pt-BR"/>
              </w:rPr>
            </w:r>
            <w:r>
              <w:rPr>
                <w:rFonts w:hint="default"/>
                <w:lang w:val="pt-BR"/>
              </w:rPr>
            </w:r>
          </w:p>
        </w:tc>
      </w:tr>
      <w:tr>
        <w:trPr/>
        <w:tc>
          <w:tcPr>
            <w:tcBorders/>
            <w:tcW w:w="4815" w:type="dxa"/>
          </w:tcPr>
          <w:p w14:paraId="4CBB2865">
            <w:pPr>
              <w:pBdr/>
              <w:spacing/>
              <w:ind/>
              <w:rPr>
                <w:rFonts w:ascii="Times New Roman" w:hAnsi="Times New Roman" w:cs="Times New Roman"/>
                <w:lang w:eastAsia="pt-BR"/>
              </w:rPr>
            </w:pPr>
            <w:r>
              <w:rPr>
                <w:rFonts w:ascii="Times New Roman" w:hAnsi="Times New Roman" w:cs="Times New Roman"/>
                <w:sz w:val="24"/>
                <w:szCs w:val="24"/>
              </w:rPr>
              <w:t xml:space="preserve">1018.4.4.90.51.00.00.1.500.0000000 </w:t>
            </w:r>
            <w:r>
              <w:rPr>
                <w:rFonts w:ascii="Times New Roman" w:hAnsi="Times New Roman" w:cs="Times New Roman"/>
                <w:lang w:eastAsia="pt-BR"/>
              </w:rPr>
            </w:r>
            <w:r>
              <w:rPr>
                <w:rFonts w:ascii="Times New Roman" w:hAnsi="Times New Roman" w:cs="Times New Roman"/>
                <w:lang w:eastAsia="pt-BR"/>
              </w:rPr>
            </w:r>
          </w:p>
        </w:tc>
        <w:tc>
          <w:tcPr>
            <w:tcBorders/>
            <w:tcW w:w="4437" w:type="dxa"/>
          </w:tcPr>
          <w:p w14:paraId="430978B1">
            <w:pPr>
              <w:pStyle w:val="1107"/>
              <w:pBdr/>
              <w:spacing/>
              <w:ind/>
              <w:rPr/>
            </w:pPr>
            <w:r>
              <w:rPr>
                <w:rFonts w:hint="default"/>
                <w:sz w:val="24"/>
                <w:szCs w:val="24"/>
                <w:lang w:val="pt-BR"/>
              </w:rPr>
              <w:t xml:space="preserve">-</w:t>
            </w:r>
            <w:r>
              <w:rPr>
                <w:sz w:val="24"/>
                <w:szCs w:val="24"/>
              </w:rPr>
              <w:t xml:space="preserve">Recurso próprio</w:t>
            </w:r>
            <w:r/>
          </w:p>
        </w:tc>
      </w:tr>
      <w:tr>
        <w:trPr/>
        <w:tc>
          <w:tcPr>
            <w:tcBorders/>
            <w:tcW w:w="4815" w:type="dxa"/>
          </w:tcPr>
          <w:p w14:paraId="7928A8ED">
            <w:pPr>
              <w:pBdr/>
              <w:spacing/>
              <w:ind/>
              <w:rPr>
                <w:rFonts w:ascii="Times New Roman" w:hAnsi="Times New Roman" w:cs="Times New Roman"/>
                <w:lang w:eastAsia="pt-BR"/>
              </w:rPr>
            </w:pPr>
            <w:r>
              <w:rPr>
                <w:rFonts w:ascii="Times New Roman" w:hAnsi="Times New Roman" w:cs="Times New Roman"/>
                <w:sz w:val="24"/>
                <w:szCs w:val="24"/>
              </w:rPr>
              <w:t xml:space="preserve">1018.4.4.90.51.00.00.1.500.0000750 </w:t>
            </w:r>
            <w:r>
              <w:rPr>
                <w:rFonts w:ascii="Times New Roman" w:hAnsi="Times New Roman" w:cs="Times New Roman"/>
                <w:lang w:eastAsia="pt-BR"/>
              </w:rPr>
            </w:r>
            <w:r>
              <w:rPr>
                <w:rFonts w:ascii="Times New Roman" w:hAnsi="Times New Roman" w:cs="Times New Roman"/>
                <w:lang w:eastAsia="pt-BR"/>
              </w:rPr>
            </w:r>
          </w:p>
        </w:tc>
        <w:tc>
          <w:tcPr>
            <w:tcBorders/>
            <w:tcW w:w="4437" w:type="dxa"/>
          </w:tcPr>
          <w:p w14:paraId="27E59239">
            <w:pPr>
              <w:pStyle w:val="1107"/>
              <w:pBdr/>
              <w:spacing/>
              <w:ind/>
              <w:rPr/>
            </w:pPr>
            <w:r>
              <w:rPr>
                <w:rFonts w:hint="default"/>
                <w:sz w:val="24"/>
                <w:szCs w:val="24"/>
                <w:lang w:val="pt-BR"/>
              </w:rPr>
              <w:t xml:space="preserve">-</w:t>
            </w:r>
            <w:r>
              <w:rPr>
                <w:sz w:val="24"/>
                <w:szCs w:val="24"/>
              </w:rPr>
              <w:t xml:space="preserve">Recurso de emenda</w:t>
            </w:r>
            <w:r>
              <w:rPr>
                <w:rFonts w:hint="default"/>
                <w:sz w:val="24"/>
                <w:szCs w:val="24"/>
                <w:lang w:val="pt-BR"/>
              </w:rPr>
              <w:t xml:space="preserve"> impositiva do legislativo municipal</w:t>
            </w:r>
            <w:r/>
          </w:p>
        </w:tc>
      </w:tr>
    </w:tbl>
    <w:p w14:paraId="57D7FB6F">
      <w:pPr>
        <w:pBdr/>
        <w:tabs>
          <w:tab w:val="left" w:leader="none" w:pos="220"/>
        </w:tabs>
        <w:spacing w:line="360" w:lineRule="auto"/>
        <w:ind/>
        <w:contextualSpacing w:val="true"/>
        <w:jc w:val="both"/>
        <w:rPr>
          <w:rFonts w:ascii="Times New Roman" w:hAnsi="Times New Roman" w:cs="Times New Roman"/>
          <w:sz w:val="24"/>
          <w:szCs w:val="24"/>
          <w:highlight w:val="yellow"/>
        </w:rPr>
      </w:pPr>
      <w:r>
        <w:rPr>
          <w:rFonts w:ascii="Times New Roman" w:hAnsi="Times New Roman" w:cs="Times New Roman"/>
          <w:sz w:val="24"/>
          <w:szCs w:val="24"/>
          <w:highlight w:val="yellow"/>
        </w:rPr>
      </w:r>
      <w:r>
        <w:rPr>
          <w:rFonts w:ascii="Times New Roman" w:hAnsi="Times New Roman" w:cs="Times New Roman"/>
          <w:sz w:val="24"/>
          <w:szCs w:val="24"/>
          <w:highlight w:val="yellow"/>
        </w:rPr>
      </w:r>
      <w:r>
        <w:rPr>
          <w:rFonts w:ascii="Times New Roman" w:hAnsi="Times New Roman" w:cs="Times New Roman"/>
          <w:sz w:val="24"/>
          <w:szCs w:val="24"/>
          <w:highlight w:val="yellow"/>
        </w:rPr>
      </w:r>
    </w:p>
    <w:tbl>
      <w:tblPr>
        <w:tblStyle w:val="1103"/>
        <w:tblInd w:w="0" w:type="dxa"/>
        <w:tblW w:w="9231"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9231"/>
      </w:tblGrid>
      <w:tr>
        <w:trPr>
          <w:trHeight w:val="375"/>
        </w:trPr>
        <w:tc>
          <w:tcPr>
            <w:shd w:val="clear" w:color="auto" w:fill="d7d7d7" w:themeFill="background1" w:themeFillShade="D8"/>
            <w:tcBorders/>
            <w:tcW w:w="9231" w:type="dxa"/>
            <w:vAlign w:val="center"/>
          </w:tcPr>
          <w:p w14:paraId="13D5B4E8">
            <w:pPr>
              <w:numPr>
                <w:ilvl w:val="0"/>
                <w:numId w:val="83"/>
              </w:numPr>
              <w:pBdr/>
              <w:spacing w:line="360" w:lineRule="auto"/>
              <w:ind/>
              <w:jc w:val="center"/>
              <w:rPr>
                <w:rFonts w:ascii="Times New Roman" w:hAnsi="Times New Roman" w:cs="Times New Roman"/>
                <w:b/>
                <w:sz w:val="24"/>
                <w:szCs w:val="24"/>
              </w:rPr>
            </w:pPr>
            <w:r>
              <w:rPr>
                <w:rFonts w:ascii="Times New Roman" w:hAnsi="Times New Roman" w:cs="Times New Roman"/>
                <w:b/>
                <w:sz w:val="24"/>
                <w:szCs w:val="24"/>
              </w:rPr>
              <w:t xml:space="preserve">DEMAIS</w:t>
            </w:r>
            <w:r>
              <w:rPr>
                <w:rFonts w:ascii="Times New Roman" w:hAnsi="Times New Roman" w:cs="Times New Roman"/>
                <w:b/>
                <w:spacing w:val="-1"/>
                <w:sz w:val="24"/>
                <w:szCs w:val="24"/>
              </w:rPr>
              <w:t xml:space="preserve"> </w:t>
            </w:r>
            <w:r>
              <w:rPr>
                <w:rFonts w:ascii="Times New Roman" w:hAnsi="Times New Roman" w:cs="Times New Roman"/>
                <w:b/>
                <w:sz w:val="24"/>
                <w:szCs w:val="24"/>
              </w:rPr>
              <w:t xml:space="preserve">INFORMAÇÕES</w:t>
            </w:r>
            <w:r>
              <w:rPr>
                <w:rFonts w:ascii="Times New Roman" w:hAnsi="Times New Roman" w:cs="Times New Roman"/>
                <w:b/>
                <w:spacing w:val="-1"/>
                <w:sz w:val="24"/>
                <w:szCs w:val="24"/>
              </w:rPr>
              <w:t xml:space="preserve"> </w:t>
            </w:r>
            <w:r>
              <w:rPr>
                <w:rFonts w:ascii="Times New Roman" w:hAnsi="Times New Roman" w:cs="Times New Roman"/>
                <w:b/>
                <w:sz w:val="24"/>
                <w:szCs w:val="24"/>
              </w:rPr>
              <w:t xml:space="preserve">ESPECÍFICAS</w:t>
            </w:r>
            <w:r>
              <w:rPr>
                <w:rFonts w:ascii="Times New Roman" w:hAnsi="Times New Roman" w:cs="Times New Roman"/>
                <w:b/>
                <w:spacing w:val="-1"/>
                <w:sz w:val="24"/>
                <w:szCs w:val="24"/>
              </w:rPr>
              <w:t xml:space="preserve"> </w:t>
            </w:r>
            <w:r>
              <w:rPr>
                <w:rFonts w:ascii="Times New Roman" w:hAnsi="Times New Roman" w:cs="Times New Roman"/>
                <w:b/>
                <w:sz w:val="24"/>
                <w:szCs w:val="24"/>
              </w:rPr>
              <w:t xml:space="preserve">DO</w:t>
            </w:r>
            <w:r>
              <w:rPr>
                <w:rFonts w:ascii="Times New Roman" w:hAnsi="Times New Roman" w:cs="Times New Roman"/>
                <w:b/>
                <w:spacing w:val="-1"/>
                <w:sz w:val="24"/>
                <w:szCs w:val="24"/>
              </w:rPr>
              <w:t xml:space="preserve"> </w:t>
            </w:r>
            <w:r>
              <w:rPr>
                <w:rFonts w:ascii="Times New Roman" w:hAnsi="Times New Roman" w:cs="Times New Roman"/>
                <w:b/>
                <w:sz w:val="24"/>
                <w:szCs w:val="24"/>
              </w:rPr>
              <w:t xml:space="preserve">PROJETO</w:t>
            </w:r>
            <w:r>
              <w:rPr>
                <w:rFonts w:ascii="Times New Roman" w:hAnsi="Times New Roman" w:cs="Times New Roman"/>
                <w:b/>
                <w:spacing w:val="-1"/>
                <w:sz w:val="24"/>
                <w:szCs w:val="24"/>
              </w:rPr>
              <w:t xml:space="preserve"> </w:t>
            </w:r>
            <w:r>
              <w:rPr>
                <w:rFonts w:ascii="Times New Roman" w:hAnsi="Times New Roman" w:cs="Times New Roman"/>
                <w:b/>
                <w:spacing w:val="-2"/>
                <w:sz w:val="24"/>
                <w:szCs w:val="24"/>
              </w:rPr>
              <w:t xml:space="preserve">BÁSICO</w:t>
            </w:r>
            <w:r>
              <w:rPr>
                <w:rFonts w:ascii="Times New Roman" w:hAnsi="Times New Roman" w:cs="Times New Roman"/>
                <w:b/>
                <w:sz w:val="24"/>
                <w:szCs w:val="24"/>
              </w:rPr>
            </w:r>
            <w:r>
              <w:rPr>
                <w:rFonts w:ascii="Times New Roman" w:hAnsi="Times New Roman" w:cs="Times New Roman"/>
                <w:b/>
                <w:sz w:val="24"/>
                <w:szCs w:val="24"/>
              </w:rPr>
            </w:r>
          </w:p>
        </w:tc>
      </w:tr>
    </w:tbl>
    <w:p w14:paraId="2E0DB8A3">
      <w:pPr>
        <w:pStyle w:val="1105"/>
        <w:numPr>
          <w:ilvl w:val="1"/>
          <w:numId w:val="84"/>
        </w:numPr>
        <w:pBdr/>
        <w:spacing w:line="360" w:lineRule="auto"/>
        <w:ind w:firstLine="0" w:left="0"/>
        <w:contextualSpacing w:val="true"/>
        <w:jc w:val="both"/>
        <w:rPr>
          <w:bCs/>
          <w:sz w:val="24"/>
          <w:szCs w:val="24"/>
          <w:lang w:val="pt-BR"/>
        </w:rPr>
      </w:pPr>
      <w:r>
        <w:rPr>
          <w:bCs/>
          <w:sz w:val="24"/>
          <w:szCs w:val="24"/>
          <w:lang w:val="pt-BR"/>
        </w:rPr>
        <w:t xml:space="preserve"> DAS RESPONSABILIDADES EM RELAÇÃO ÀS ESPECIFICAÇÕES TÉCNICAS DOS ITENS:</w:t>
      </w:r>
      <w:r>
        <w:rPr>
          <w:bCs/>
          <w:sz w:val="24"/>
          <w:szCs w:val="24"/>
          <w:lang w:val="pt-BR"/>
        </w:rPr>
      </w:r>
      <w:r>
        <w:rPr>
          <w:bCs/>
          <w:sz w:val="24"/>
          <w:szCs w:val="24"/>
          <w:lang w:val="pt-BR"/>
        </w:rPr>
      </w:r>
    </w:p>
    <w:p w14:paraId="11904FF6">
      <w:pPr>
        <w:pBdr/>
        <w:spacing w:line="360" w:lineRule="auto"/>
        <w:ind/>
        <w:contextualSpacing w:val="true"/>
        <w:jc w:val="both"/>
        <w:rPr>
          <w:rFonts w:ascii="Times New Roman" w:hAnsi="Times New Roman" w:cs="Times New Roman"/>
          <w:bCs/>
          <w:sz w:val="24"/>
          <w:szCs w:val="24"/>
        </w:rPr>
      </w:pPr>
      <w:r>
        <w:rPr>
          <w:rFonts w:ascii="Times New Roman" w:hAnsi="Times New Roman" w:cs="Times New Roman"/>
          <w:sz w:val="24"/>
          <w:szCs w:val="24"/>
        </w:rPr>
        <w:t xml:space="preserve">Os itens do processo foram compostos pela Equipe Técnica de Engenharia </w:t>
      </w:r>
      <w:r>
        <w:rPr>
          <w:rFonts w:ascii="Times New Roman" w:hAnsi="Times New Roman" w:cs="Times New Roman"/>
          <w:bCs/>
          <w:color w:val="000000"/>
          <w:sz w:val="24"/>
          <w:szCs w:val="24"/>
          <w:lang w:eastAsia="pt-BR"/>
        </w:rPr>
        <w:t xml:space="preserve">e também pelas Secretarias, ficando a responsabilidade pela conferência de suas descrições</w:t>
      </w:r>
      <w:r>
        <w:rPr>
          <w:rFonts w:ascii="Times New Roman" w:hAnsi="Times New Roman" w:cs="Times New Roman"/>
          <w:sz w:val="24"/>
          <w:szCs w:val="24"/>
        </w:rPr>
        <w:t xml:space="preserve">, conforme designados pela Portaria nº </w:t>
      </w:r>
      <w:r>
        <w:rPr>
          <w:rFonts w:ascii="Times New Roman" w:hAnsi="Times New Roman" w:cs="Times New Roman"/>
          <w:bCs/>
          <w:color w:val="000000"/>
          <w:sz w:val="24"/>
          <w:szCs w:val="24"/>
          <w:lang w:eastAsia="pt-BR"/>
        </w:rPr>
        <w:t xml:space="preserve">0172 de 27 de janeiro de 2021.</w:t>
      </w:r>
      <w:r>
        <w:rPr>
          <w:rFonts w:ascii="Times New Roman" w:hAnsi="Times New Roman" w:cs="Times New Roman"/>
          <w:bCs/>
          <w:sz w:val="24"/>
          <w:szCs w:val="24"/>
        </w:rPr>
      </w:r>
      <w:r>
        <w:rPr>
          <w:rFonts w:ascii="Times New Roman" w:hAnsi="Times New Roman" w:cs="Times New Roman"/>
          <w:bCs/>
          <w:sz w:val="24"/>
          <w:szCs w:val="24"/>
        </w:rPr>
      </w:r>
    </w:p>
    <w:p w14:paraId="68583CB9">
      <w:pPr>
        <w:pBdr/>
        <w:spacing w:line="360" w:lineRule="auto"/>
        <w:ind/>
        <w:contextualSpacing w:val="true"/>
        <w:jc w:val="right"/>
        <w:rPr>
          <w:rFonts w:ascii="Times New Roman" w:hAnsi="Times New Roman" w:cs="Times New Roman"/>
          <w:bCs/>
          <w:color w:val="000000"/>
          <w:sz w:val="24"/>
          <w:szCs w:val="24"/>
          <w:lang w:eastAsia="pt-BR"/>
        </w:rPr>
      </w:pPr>
      <w:r>
        <w:rPr>
          <w:rFonts w:ascii="Times New Roman" w:hAnsi="Times New Roman" w:cs="Times New Roman"/>
          <w:bCs/>
          <w:color w:val="000000"/>
          <w:sz w:val="24"/>
          <w:szCs w:val="24"/>
          <w:lang w:eastAsia="pt-BR"/>
        </w:rPr>
        <w:t xml:space="preserve">Sinop/MT, </w:t>
      </w:r>
      <w:r>
        <w:rPr>
          <w:rFonts w:hint="default" w:ascii="Times New Roman" w:hAnsi="Times New Roman" w:cs="Times New Roman"/>
          <w:bCs/>
          <w:color w:val="000000"/>
          <w:sz w:val="24"/>
          <w:szCs w:val="24"/>
          <w:lang w:val="en-US" w:eastAsia="pt-BR"/>
        </w:rPr>
        <w:t xml:space="preserve">05</w:t>
      </w:r>
      <w:r>
        <w:rPr>
          <w:rFonts w:ascii="Times New Roman" w:hAnsi="Times New Roman" w:cs="Times New Roman"/>
          <w:bCs/>
          <w:color w:val="000000"/>
          <w:sz w:val="24"/>
          <w:szCs w:val="24"/>
          <w:lang w:eastAsia="pt-BR"/>
        </w:rPr>
        <w:t xml:space="preserve"> de </w:t>
      </w:r>
      <w:r>
        <w:rPr>
          <w:rFonts w:hint="default" w:ascii="Times New Roman" w:hAnsi="Times New Roman" w:cs="Times New Roman"/>
          <w:bCs/>
          <w:color w:val="000000"/>
          <w:sz w:val="24"/>
          <w:szCs w:val="24"/>
          <w:lang w:val="en-US" w:eastAsia="pt-BR"/>
        </w:rPr>
        <w:t xml:space="preserve">agosto</w:t>
      </w:r>
      <w:r>
        <w:rPr>
          <w:rFonts w:ascii="Times New Roman" w:hAnsi="Times New Roman" w:cs="Times New Roman"/>
          <w:bCs/>
          <w:color w:val="000000"/>
          <w:sz w:val="24"/>
          <w:szCs w:val="24"/>
          <w:lang w:eastAsia="pt-BR"/>
        </w:rPr>
        <w:t xml:space="preserve"> de 2026.</w:t>
      </w:r>
      <w:r>
        <w:rPr>
          <w:rFonts w:ascii="Times New Roman" w:hAnsi="Times New Roman" w:cs="Times New Roman"/>
          <w:bCs/>
          <w:color w:val="000000"/>
          <w:sz w:val="24"/>
          <w:szCs w:val="24"/>
          <w:lang w:eastAsia="pt-BR"/>
        </w:rPr>
      </w:r>
      <w:r>
        <w:rPr>
          <w:rFonts w:ascii="Times New Roman" w:hAnsi="Times New Roman" w:cs="Times New Roman"/>
          <w:bCs/>
          <w:color w:val="000000"/>
          <w:sz w:val="24"/>
          <w:szCs w:val="24"/>
          <w:lang w:eastAsia="pt-BR"/>
        </w:rPr>
      </w:r>
    </w:p>
    <w:p w14:paraId="14FDBE91">
      <w:pPr>
        <w:pStyle w:val="1099"/>
        <w:pBdr/>
        <w:spacing w:line="360" w:lineRule="auto"/>
        <w:ind w:right="563" w:left="0"/>
        <w:rPr>
          <w:lang w:val="pt-BR"/>
        </w:rPr>
      </w:pPr>
      <w:r>
        <w:rPr>
          <w:lang w:val="pt-BR"/>
        </w:rPr>
      </w:r>
      <w:r>
        <w:rPr>
          <w:lang w:val="pt-BR"/>
        </w:rPr>
      </w:r>
      <w:r>
        <w:rPr>
          <w:lang w:val="pt-BR"/>
        </w:rPr>
      </w:r>
    </w:p>
    <w:p w14:paraId="573EFDDA">
      <w:pPr>
        <w:pStyle w:val="1107"/>
        <w:pBdr/>
        <w:spacing/>
        <w:ind/>
        <w:rPr>
          <w:spacing w:val="-2"/>
        </w:rPr>
      </w:pPr>
      <w:r>
        <w:rPr>
          <w:sz w:val="24"/>
          <w:szCs w:val="24"/>
        </w:rPr>
        <w:t xml:space="preserve">Debora Regina de Oliveira Strack                                             Ariel Nikolak Correia                               Responsável</w:t>
      </w:r>
      <w:r>
        <w:rPr>
          <w:spacing w:val="-4"/>
          <w:sz w:val="24"/>
          <w:szCs w:val="24"/>
        </w:rPr>
        <w:t xml:space="preserve"> </w:t>
      </w:r>
      <w:r>
        <w:rPr>
          <w:sz w:val="24"/>
          <w:szCs w:val="24"/>
        </w:rPr>
        <w:t xml:space="preserve">pelo</w:t>
      </w:r>
      <w:r>
        <w:rPr>
          <w:spacing w:val="-1"/>
          <w:sz w:val="24"/>
          <w:szCs w:val="24"/>
        </w:rPr>
        <w:t xml:space="preserve"> </w:t>
      </w:r>
      <w:r>
        <w:rPr>
          <w:spacing w:val="-2"/>
          <w:sz w:val="24"/>
          <w:szCs w:val="24"/>
        </w:rPr>
        <w:t xml:space="preserve">TR                                                                      </w:t>
      </w:r>
      <w:r>
        <w:t xml:space="preserve">Responsável</w:t>
      </w:r>
      <w:r>
        <w:rPr>
          <w:spacing w:val="-4"/>
        </w:rPr>
        <w:t xml:space="preserve"> </w:t>
      </w:r>
      <w:r>
        <w:t xml:space="preserve">pelo</w:t>
      </w:r>
      <w:r>
        <w:rPr>
          <w:spacing w:val="-1"/>
        </w:rPr>
        <w:t xml:space="preserve"> </w:t>
      </w:r>
      <w:r>
        <w:rPr>
          <w:spacing w:val="-2"/>
        </w:rPr>
        <w:t xml:space="preserve">TR</w:t>
      </w:r>
      <w:r>
        <w:rPr>
          <w:spacing w:val="-2"/>
        </w:rPr>
      </w:r>
      <w:r>
        <w:rPr>
          <w:spacing w:val="-2"/>
        </w:rPr>
      </w:r>
    </w:p>
    <w:p w14:paraId="04FFADFE">
      <w:pPr>
        <w:pStyle w:val="1107"/>
        <w:pBdr/>
        <w:spacing/>
        <w:ind/>
        <w:rPr>
          <w:sz w:val="24"/>
          <w:szCs w:val="24"/>
        </w:rPr>
      </w:pPr>
      <w:r>
        <w:rPr>
          <w:spacing w:val="-2"/>
        </w:rPr>
        <w:tab/>
      </w:r>
      <w:r>
        <w:rPr>
          <w:spacing w:val="-2"/>
        </w:rPr>
        <w:tab/>
      </w:r>
      <w:r>
        <w:rPr>
          <w:spacing w:val="-2"/>
        </w:rPr>
        <w:tab/>
      </w:r>
      <w:r>
        <w:rPr>
          <w:spacing w:val="-2"/>
        </w:rPr>
        <w:tab/>
      </w:r>
      <w:r>
        <w:rPr>
          <w:spacing w:val="-2"/>
        </w:rPr>
        <w:tab/>
      </w:r>
      <w:r>
        <w:rPr>
          <w:spacing w:val="-2"/>
        </w:rPr>
        <w:tab/>
      </w:r>
      <w:r>
        <w:rPr>
          <w:spacing w:val="-2"/>
        </w:rPr>
        <w:tab/>
      </w:r>
      <w:r>
        <w:rPr>
          <w:spacing w:val="-2"/>
        </w:rPr>
        <w:tab/>
      </w:r>
      <w:r>
        <w:rPr>
          <w:spacing w:val="-2"/>
        </w:rPr>
        <w:t xml:space="preserve">       CREA RNP 152066066-9</w:t>
      </w:r>
      <w:r>
        <w:rPr>
          <w:sz w:val="24"/>
          <w:szCs w:val="24"/>
        </w:rPr>
      </w:r>
      <w:r>
        <w:rPr>
          <w:sz w:val="24"/>
          <w:szCs w:val="24"/>
        </w:rPr>
      </w:r>
    </w:p>
    <w:p w14:paraId="59662A22">
      <w:pPr>
        <w:pStyle w:val="1107"/>
        <w:pBdr/>
        <w:spacing/>
        <w:ind/>
        <w:rPr>
          <w:sz w:val="24"/>
          <w:szCs w:val="24"/>
        </w:rPr>
      </w:pPr>
      <w:r>
        <w:rPr>
          <w:sz w:val="24"/>
          <w:szCs w:val="24"/>
        </w:rPr>
      </w:r>
      <w:r>
        <w:rPr>
          <w:sz w:val="24"/>
          <w:szCs w:val="24"/>
        </w:rPr>
      </w:r>
      <w:r>
        <w:rPr>
          <w:sz w:val="24"/>
          <w:szCs w:val="24"/>
        </w:rPr>
      </w:r>
    </w:p>
    <w:tbl>
      <w:tblPr>
        <w:tblStyle w:val="1103"/>
        <w:tblInd w:w="0" w:type="dxa"/>
        <w:tblW w:w="9354"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9354"/>
      </w:tblGrid>
      <w:tr>
        <w:trPr>
          <w:trHeight w:val="375"/>
        </w:trPr>
        <w:tc>
          <w:tcPr>
            <w:shd w:val="clear" w:color="auto" w:fill="d7d7d7" w:themeFill="background1" w:themeFillShade="D8"/>
            <w:tcBorders/>
            <w:tcW w:w="9354" w:type="dxa"/>
            <w:vAlign w:val="center"/>
          </w:tcPr>
          <w:p w14:paraId="5FC28FDC">
            <w:pPr>
              <w:pStyle w:val="1105"/>
              <w:numPr>
                <w:ilvl w:val="0"/>
                <w:numId w:val="83"/>
              </w:numPr>
              <w:pBdr/>
              <w:spacing w:line="360" w:lineRule="auto"/>
              <w:ind/>
              <w:rPr>
                <w:b/>
                <w:sz w:val="24"/>
                <w:szCs w:val="24"/>
                <w:lang w:val="pt-BR"/>
              </w:rPr>
            </w:pPr>
            <w:r>
              <w:rPr>
                <w:b/>
                <w:sz w:val="24"/>
                <w:szCs w:val="24"/>
                <w:lang w:val="pt-BR"/>
              </w:rPr>
              <w:t xml:space="preserve">CIÊNCIA</w:t>
            </w:r>
            <w:r>
              <w:rPr>
                <w:b/>
                <w:spacing w:val="-1"/>
                <w:sz w:val="24"/>
                <w:szCs w:val="24"/>
                <w:lang w:val="pt-BR"/>
              </w:rPr>
              <w:t xml:space="preserve"> </w:t>
            </w:r>
            <w:r>
              <w:rPr>
                <w:b/>
                <w:sz w:val="24"/>
                <w:szCs w:val="24"/>
                <w:lang w:val="pt-BR"/>
              </w:rPr>
              <w:t xml:space="preserve">DA</w:t>
            </w:r>
            <w:r>
              <w:rPr>
                <w:b/>
                <w:spacing w:val="-1"/>
                <w:sz w:val="24"/>
                <w:szCs w:val="24"/>
                <w:lang w:val="pt-BR"/>
              </w:rPr>
              <w:t xml:space="preserve"> </w:t>
            </w:r>
            <w:r>
              <w:rPr>
                <w:b/>
                <w:sz w:val="24"/>
                <w:szCs w:val="24"/>
                <w:lang w:val="pt-BR"/>
              </w:rPr>
              <w:t xml:space="preserve">AUTORIDADE </w:t>
            </w:r>
            <w:r>
              <w:rPr>
                <w:b/>
                <w:spacing w:val="-2"/>
                <w:sz w:val="24"/>
                <w:szCs w:val="24"/>
                <w:lang w:val="pt-BR"/>
              </w:rPr>
              <w:t xml:space="preserve">COMPETENTE</w:t>
            </w:r>
            <w:r>
              <w:rPr>
                <w:b/>
                <w:sz w:val="24"/>
                <w:szCs w:val="24"/>
                <w:lang w:val="pt-BR"/>
              </w:rPr>
            </w:r>
            <w:r>
              <w:rPr>
                <w:b/>
                <w:sz w:val="24"/>
                <w:szCs w:val="24"/>
                <w:lang w:val="pt-BR"/>
              </w:rPr>
            </w:r>
          </w:p>
        </w:tc>
      </w:tr>
    </w:tbl>
    <w:p w14:paraId="1F36D3FC">
      <w:pPr>
        <w:pStyle w:val="1104"/>
        <w:pBdr/>
        <w:tabs>
          <w:tab w:val="left" w:leader="none" w:pos="407"/>
        </w:tabs>
        <w:spacing w:line="360" w:lineRule="auto"/>
        <w:ind w:right="103"/>
        <w:jc w:val="both"/>
        <w:rPr>
          <w:sz w:val="24"/>
          <w:szCs w:val="24"/>
          <w:lang w:val="pt-BR"/>
        </w:rPr>
      </w:pPr>
      <w:r>
        <w:rPr>
          <w:spacing w:val="-10"/>
          <w:sz w:val="24"/>
          <w:szCs w:val="24"/>
          <w:lang w:val="pt-BR"/>
        </w:rPr>
        <w:t xml:space="preserve">(X</w:t>
      </w:r>
      <w:r>
        <w:rPr>
          <w:sz w:val="24"/>
          <w:szCs w:val="24"/>
          <w:lang w:val="pt-BR"/>
        </w:rPr>
        <w:t xml:space="preserve">)</w:t>
      </w:r>
      <w:r>
        <w:rPr>
          <w:spacing w:val="-10"/>
          <w:sz w:val="24"/>
          <w:szCs w:val="24"/>
          <w:lang w:val="pt-BR"/>
        </w:rPr>
        <w:t xml:space="preserve"> </w:t>
      </w:r>
      <w:r>
        <w:rPr>
          <w:sz w:val="24"/>
          <w:szCs w:val="24"/>
          <w:lang w:val="pt-BR"/>
        </w:rPr>
        <w:t xml:space="preserve">Concordo</w:t>
      </w:r>
      <w:r>
        <w:rPr>
          <w:spacing w:val="-10"/>
          <w:sz w:val="24"/>
          <w:szCs w:val="24"/>
          <w:lang w:val="pt-BR"/>
        </w:rPr>
        <w:t xml:space="preserve"> </w:t>
      </w:r>
      <w:r>
        <w:rPr>
          <w:sz w:val="24"/>
          <w:szCs w:val="24"/>
          <w:lang w:val="pt-BR"/>
        </w:rPr>
        <w:t xml:space="preserve">com</w:t>
      </w:r>
      <w:r>
        <w:rPr>
          <w:spacing w:val="-9"/>
          <w:sz w:val="24"/>
          <w:szCs w:val="24"/>
          <w:lang w:val="pt-BR"/>
        </w:rPr>
        <w:t xml:space="preserve"> </w:t>
      </w:r>
      <w:r>
        <w:rPr>
          <w:sz w:val="24"/>
          <w:szCs w:val="24"/>
          <w:lang w:val="pt-BR"/>
        </w:rPr>
        <w:t xml:space="preserve">o</w:t>
      </w:r>
      <w:r>
        <w:rPr>
          <w:spacing w:val="-9"/>
          <w:sz w:val="24"/>
          <w:szCs w:val="24"/>
          <w:lang w:val="pt-BR"/>
        </w:rPr>
        <w:t xml:space="preserve"> </w:t>
      </w:r>
      <w:r>
        <w:rPr>
          <w:sz w:val="24"/>
          <w:szCs w:val="24"/>
          <w:lang w:val="pt-BR"/>
        </w:rPr>
        <w:t xml:space="preserve">Termo</w:t>
      </w:r>
      <w:r>
        <w:rPr>
          <w:spacing w:val="-9"/>
          <w:sz w:val="24"/>
          <w:szCs w:val="24"/>
          <w:lang w:val="pt-BR"/>
        </w:rPr>
        <w:t xml:space="preserve"> </w:t>
      </w:r>
      <w:r>
        <w:rPr>
          <w:sz w:val="24"/>
          <w:szCs w:val="24"/>
          <w:lang w:val="pt-BR"/>
        </w:rPr>
        <w:t xml:space="preserve">de</w:t>
      </w:r>
      <w:r>
        <w:rPr>
          <w:spacing w:val="-10"/>
          <w:sz w:val="24"/>
          <w:szCs w:val="24"/>
          <w:lang w:val="pt-BR"/>
        </w:rPr>
        <w:t xml:space="preserve"> </w:t>
      </w:r>
      <w:r>
        <w:rPr>
          <w:sz w:val="24"/>
          <w:szCs w:val="24"/>
          <w:lang w:val="pt-BR"/>
        </w:rPr>
        <w:t xml:space="preserve">Referência/Projeto</w:t>
      </w:r>
      <w:r>
        <w:rPr>
          <w:spacing w:val="-7"/>
          <w:sz w:val="24"/>
          <w:szCs w:val="24"/>
          <w:lang w:val="pt-BR"/>
        </w:rPr>
        <w:t xml:space="preserve"> </w:t>
      </w:r>
      <w:r>
        <w:rPr>
          <w:sz w:val="24"/>
          <w:szCs w:val="24"/>
          <w:lang w:val="pt-BR"/>
        </w:rPr>
        <w:t xml:space="preserve">Básico</w:t>
      </w:r>
      <w:r>
        <w:rPr>
          <w:spacing w:val="-10"/>
          <w:sz w:val="24"/>
          <w:szCs w:val="24"/>
          <w:lang w:val="pt-BR"/>
        </w:rPr>
        <w:t xml:space="preserve"> </w:t>
      </w:r>
      <w:r>
        <w:rPr>
          <w:sz w:val="24"/>
          <w:szCs w:val="24"/>
          <w:lang w:val="pt-BR"/>
        </w:rPr>
        <w:t xml:space="preserve">realizado</w:t>
      </w:r>
      <w:r>
        <w:rPr>
          <w:spacing w:val="-7"/>
          <w:sz w:val="24"/>
          <w:szCs w:val="24"/>
          <w:lang w:val="pt-BR"/>
        </w:rPr>
        <w:t xml:space="preserve"> </w:t>
      </w:r>
      <w:r>
        <w:rPr>
          <w:sz w:val="24"/>
          <w:szCs w:val="24"/>
          <w:lang w:val="pt-BR"/>
        </w:rPr>
        <w:t xml:space="preserve">e</w:t>
      </w:r>
      <w:r>
        <w:rPr>
          <w:spacing w:val="-10"/>
          <w:sz w:val="24"/>
          <w:szCs w:val="24"/>
          <w:lang w:val="pt-BR"/>
        </w:rPr>
        <w:t xml:space="preserve"> </w:t>
      </w:r>
      <w:r>
        <w:rPr>
          <w:sz w:val="24"/>
          <w:szCs w:val="24"/>
          <w:lang w:val="pt-BR"/>
        </w:rPr>
        <w:t xml:space="preserve">autorizo</w:t>
      </w:r>
      <w:r>
        <w:rPr>
          <w:spacing w:val="-9"/>
          <w:sz w:val="24"/>
          <w:szCs w:val="24"/>
          <w:lang w:val="pt-BR"/>
        </w:rPr>
        <w:t xml:space="preserve"> </w:t>
      </w:r>
      <w:r>
        <w:rPr>
          <w:sz w:val="24"/>
          <w:szCs w:val="24"/>
          <w:lang w:val="pt-BR"/>
        </w:rPr>
        <w:t xml:space="preserve">a</w:t>
      </w:r>
      <w:r>
        <w:rPr>
          <w:spacing w:val="-10"/>
          <w:sz w:val="24"/>
          <w:szCs w:val="24"/>
          <w:lang w:val="pt-BR"/>
        </w:rPr>
        <w:t xml:space="preserve"> </w:t>
      </w:r>
      <w:r>
        <w:rPr>
          <w:sz w:val="24"/>
          <w:szCs w:val="24"/>
          <w:lang w:val="pt-BR"/>
        </w:rPr>
        <w:t xml:space="preserve">contratação nos termos da Lei 14.133/2021.</w:t>
      </w:r>
      <w:r>
        <w:rPr>
          <w:sz w:val="24"/>
          <w:szCs w:val="24"/>
          <w:lang w:val="pt-BR"/>
        </w:rPr>
      </w:r>
      <w:r>
        <w:rPr>
          <w:sz w:val="24"/>
          <w:szCs w:val="24"/>
          <w:lang w:val="pt-BR"/>
        </w:rPr>
      </w:r>
    </w:p>
    <w:p w14:paraId="022B1BBF">
      <w:pPr>
        <w:pStyle w:val="1104"/>
        <w:pBdr/>
        <w:tabs>
          <w:tab w:val="left" w:leader="none" w:pos="407"/>
        </w:tabs>
        <w:spacing w:line="360" w:lineRule="auto"/>
        <w:ind w:right="103"/>
        <w:rPr>
          <w:sz w:val="24"/>
          <w:szCs w:val="24"/>
          <w:lang w:val="pt-BR"/>
        </w:rPr>
      </w:pPr>
      <w:r>
        <w:rPr>
          <w:sz w:val="24"/>
          <w:szCs w:val="24"/>
          <w:lang w:val="pt-BR"/>
        </w:rPr>
      </w:r>
      <w:r>
        <w:rPr>
          <w:sz w:val="24"/>
          <w:szCs w:val="24"/>
          <w:lang w:val="pt-BR"/>
        </w:rPr>
      </w:r>
      <w:r>
        <w:rPr>
          <w:sz w:val="24"/>
          <w:szCs w:val="24"/>
          <w:lang w:val="pt-BR"/>
        </w:rPr>
      </w:r>
    </w:p>
    <w:p w14:paraId="156F1EDA">
      <w:pPr>
        <w:pBdr/>
        <w:spacing w:line="360" w:lineRule="auto"/>
        <w:ind/>
        <w:contextualSpacing w:val="true"/>
        <w:jc w:val="center"/>
        <w:rPr>
          <w:rFonts w:ascii="Times New Roman" w:hAnsi="Times New Roman" w:cs="Times New Roman"/>
          <w:b/>
          <w:sz w:val="24"/>
          <w:szCs w:val="24"/>
        </w:rPr>
      </w:pPr>
      <w:r>
        <w:rPr>
          <w:rFonts w:ascii="Times New Roman" w:hAnsi="Times New Roman" w:cs="Times New Roman"/>
          <w:b/>
          <w:sz w:val="24"/>
          <w:szCs w:val="24"/>
        </w:rPr>
        <w:t xml:space="preserve">LINDOMAR FERREIRA GUIDA</w:t>
      </w:r>
      <w:r>
        <w:rPr>
          <w:rFonts w:ascii="Times New Roman" w:hAnsi="Times New Roman" w:cs="Times New Roman"/>
          <w:b/>
          <w:sz w:val="24"/>
          <w:szCs w:val="24"/>
        </w:rPr>
      </w:r>
      <w:r>
        <w:rPr>
          <w:rFonts w:ascii="Times New Roman" w:hAnsi="Times New Roman" w:cs="Times New Roman"/>
          <w:b/>
          <w:sz w:val="24"/>
          <w:szCs w:val="24"/>
        </w:rPr>
      </w:r>
    </w:p>
    <w:p w14:paraId="62FF3C6D">
      <w:pPr>
        <w:pBdr/>
        <w:spacing/>
        <w:ind/>
        <w:contextualSpacing w:val="true"/>
        <w:jc w:val="center"/>
        <w:rPr>
          <w:rFonts w:ascii="Times New Roman" w:hAnsi="Times New Roman" w:cs="Times New Roman"/>
          <w:color w:val="000000"/>
          <w:sz w:val="24"/>
          <w:szCs w:val="24"/>
          <w:highlight w:val="yellow"/>
        </w:rPr>
      </w:pPr>
      <w:r>
        <w:rPr>
          <w:rFonts w:ascii="Times New Roman" w:hAnsi="Times New Roman" w:cs="Times New Roman"/>
          <w:bCs/>
          <w:sz w:val="24"/>
          <w:szCs w:val="24"/>
        </w:rPr>
        <w:t xml:space="preserve">Secretário Municipal de Obras e Serviços Urbanos</w:t>
      </w:r>
      <w:r>
        <w:rPr>
          <w:rFonts w:ascii="Times New Roman" w:hAnsi="Times New Roman" w:cs="Times New Roman"/>
          <w:color w:val="000000"/>
          <w:sz w:val="24"/>
          <w:szCs w:val="24"/>
          <w:highlight w:val="yellow"/>
        </w:rPr>
      </w:r>
      <w:r>
        <w:rPr>
          <w:rFonts w:ascii="Times New Roman" w:hAnsi="Times New Roman" w:cs="Times New Roman"/>
          <w:color w:val="000000"/>
          <w:sz w:val="24"/>
          <w:szCs w:val="24"/>
          <w:highlight w:val="yellow"/>
        </w:rPr>
      </w:r>
    </w:p>
    <w:sectPr>
      <w:headerReference w:type="default" r:id="rId9"/>
      <w:footerReference w:type="default" r:id="rId10"/>
      <w:footnotePr/>
      <w:endnotePr/>
      <w:type w:val="nextPage"/>
      <w:pgSz w:h="16838" w:orient="portrait" w:w="11906"/>
      <w:pgMar w:top="1134" w:right="1546" w:bottom="850" w:left="1560" w:header="426" w:footer="720" w:gutter="0"/>
      <w:pgNumType w:start="1"/>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w:panose1 w:val="020B0502040204020203"/>
  </w:font>
  <w:font w:name="Arial">
    <w:panose1 w:val="020B0604020202020204"/>
  </w:font>
  <w:font w:name="SimSun">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0505291"/>
      <w:rPr/>
    </w:sdtPr>
    <w:sdtContent>
      <w:p w14:paraId="77E4273B">
        <w:pPr>
          <w:pStyle w:val="1102"/>
          <w:pBdr/>
          <w:spacing/>
          <w:ind/>
          <w:jc w:val="center"/>
          <w:rPr/>
        </w:pPr>
        <w:r>
          <w:fldChar w:fldCharType="begin"/>
        </w:r>
        <w:r>
          <w:instrText xml:space="preserve">PAGE   \* MERGEFORMAT</w:instrText>
        </w:r>
        <w:r>
          <w:fldChar w:fldCharType="separate"/>
        </w:r>
        <w:r>
          <w:t xml:space="preserve">2</w:t>
        </w:r>
        <w:r>
          <w:fldChar w:fldCharType="end"/>
        </w:r>
        <w:r/>
      </w:p>
    </w:sdtContent>
  </w:sdt>
  <w:p w14:paraId="06C1FB72">
    <w:pPr>
      <w:pStyle w:val="1102"/>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1B2F44D0">
    <w:pPr>
      <w:pStyle w:val="1101"/>
      <w:pBdr/>
      <w:spacing/>
      <w:ind/>
      <w:jc w:val="center"/>
      <w:rPr/>
    </w:pPr>
    <w:r>
      <mc:AlternateContent>
        <mc:Choice Requires="wpg">
          <w:drawing>
            <wp:inline xmlns:wp="http://schemas.openxmlformats.org/drawingml/2006/wordprocessingDrawing" distT="0" distB="0" distL="0" distR="0">
              <wp:extent cx="3895725" cy="559435"/>
              <wp:effectExtent l="0" t="0" r="9525" b="12065"/>
              <wp:docPr id="1"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MG_256"/>
                      <pic:cNvPicPr>
                        <a:picLocks noChangeAspect="1"/>
                      </pic:cNvPicPr>
                      <pic:nvPr/>
                    </pic:nvPicPr>
                    <pic:blipFill rotWithShape="1">
                      <a:blip r:embed="rId1"/>
                      <a:stretch/>
                    </pic:blipFill>
                    <pic:spPr bwMode="auto">
                      <a:xfrm>
                        <a:off x="0" y="0"/>
                        <a:ext cx="3895725" cy="559435"/>
                      </a:xfrm>
                      <a:prstGeom prst="rect">
                        <a:avLst/>
                      </a:prstGeom>
                      <a:noFill/>
                      <a:ln w="9525">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306.75pt;height:44.05pt;mso-wrap-distance-left:0.00pt;mso-wrap-distance-top:0.00pt;mso-wrap-distance-right:0.00pt;mso-wrap-distance-bottom:0.00pt;z-index:1;" stroked="f" strokeweight="0.75pt">
              <v:imagedata r:id="rId1" o:title=""/>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096AE96"/>
    <w:lvl w:ilvl="0">
      <w:isLgl w:val="false"/>
      <w:lvlJc w:val="left"/>
      <w:lvlText w:val="%1."/>
      <w:numFmt w:val="upperRoman"/>
      <w:pPr>
        <w:pBdr/>
        <w:tabs>
          <w:tab w:val="left" w:leader="none" w:pos="425"/>
        </w:tabs>
        <w:spacing/>
        <w:ind w:hanging="425" w:left="425"/>
      </w:pPr>
      <w:rPr>
        <w:rFonts w:hint="default"/>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
    <w:nsid w:val="80E8850A"/>
    <w:lvl w:ilvl="0">
      <w:isLgl w:val="false"/>
      <w:lvlJc w:val="left"/>
      <w:lvlText w:val="9.6%1."/>
      <w:numFmt w:val="decimal"/>
      <w:pPr>
        <w:pBdr/>
        <w:tabs>
          <w:tab w:val="left" w:leader="none" w:pos="425"/>
        </w:tabs>
        <w:spacing/>
        <w:ind w:hanging="425" w:left="425"/>
      </w:pPr>
      <w:rPr>
        <w:rFonts w:hint="default"/>
        <w:b/>
        <w:bCs/>
      </w:rPr>
      <w:start w:val="7"/>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
    <w:nsid w:val="8183929A"/>
    <w:lvl w:ilvl="0">
      <w:isLgl w:val="false"/>
      <w:lvlJc w:val="left"/>
      <w:lvlText w:val="9.%1."/>
      <w:numFmt w:val="decimal"/>
      <w:pPr>
        <w:pBdr/>
        <w:tabs>
          <w:tab w:val="left" w:leader="none" w:pos="454"/>
        </w:tabs>
        <w:spacing/>
        <w:ind w:hanging="454" w:left="454"/>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3">
    <w:nsid w:val="81BBCDF7"/>
    <w:lvl w:ilvl="0">
      <w:isLgl w:val="false"/>
      <w:lvlJc w:val="left"/>
      <w:lvlText w:val="6.%1."/>
      <w:numFmt w:val="decimal"/>
      <w:pPr>
        <w:pBdr/>
        <w:tabs>
          <w:tab w:val="left" w:leader="none" w:pos="454"/>
        </w:tabs>
        <w:spacing/>
        <w:ind w:hanging="454" w:left="454"/>
      </w:pPr>
      <w:rPr>
        <w:rFonts w:hint="default"/>
      </w:rPr>
      <w:start w:val="7"/>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4">
    <w:nsid w:val="8DD9E874"/>
    <w:lvl w:ilvl="0">
      <w:isLgl w:val="false"/>
      <w:lvlJc w:val="left"/>
      <w:lvlText w:val="12%1."/>
      <w:numFmt w:val="decimal"/>
      <w:pPr>
        <w:pBdr/>
        <w:tabs>
          <w:tab w:val="left" w:leader="none" w:pos="425"/>
        </w:tabs>
        <w:spacing/>
        <w:ind w:hanging="425" w:left="425"/>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5">
    <w:nsid w:val="906CA5B1"/>
    <w:lvl w:ilvl="0">
      <w:isLgl w:val="false"/>
      <w:lvlJc w:val="left"/>
      <w:lvlText w:val="%1."/>
      <w:numFmt w:val="decimal"/>
      <w:pPr>
        <w:pBdr/>
        <w:tabs>
          <w:tab w:val="left" w:leader="none" w:pos="454"/>
        </w:tabs>
        <w:spacing/>
        <w:ind w:hanging="454" w:left="454"/>
      </w:pPr>
      <w:rPr>
        <w:rFonts w:hint="default"/>
      </w:rPr>
      <w:start w:val="7"/>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6">
    <w:nsid w:val="91798BB3"/>
    <w:lvl w:ilvl="0">
      <w:isLgl w:val="false"/>
      <w:lvlJc w:val="left"/>
      <w:lvlText w:val="6.9.%1."/>
      <w:numFmt w:val="decimal"/>
      <w:pPr>
        <w:pBdr/>
        <w:tabs>
          <w:tab w:val="left" w:leader="none" w:pos="425"/>
        </w:tabs>
        <w:spacing/>
        <w:ind w:hanging="425" w:left="425"/>
      </w:pPr>
      <w:rPr>
        <w:rFonts w:hint="default"/>
        <w:b/>
        <w:bCs/>
      </w:rPr>
      <w:start w:val="10"/>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7">
    <w:nsid w:val="92D9E93C"/>
    <w:lvl w:ilvl="0">
      <w:isLgl w:val="false"/>
      <w:lvlJc w:val="left"/>
      <w:lvlText w:val="9.2%1."/>
      <w:numFmt w:val="decimal"/>
      <w:pPr>
        <w:pBdr/>
        <w:tabs>
          <w:tab w:val="left" w:leader="none" w:pos="454"/>
        </w:tabs>
        <w:spacing/>
        <w:ind w:hanging="454" w:left="454"/>
      </w:pPr>
      <w:rPr>
        <w:rFonts w:hint="default"/>
        <w:b/>
        <w:bCs/>
      </w:rPr>
      <w:start w:val="0"/>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8">
    <w:nsid w:val="92E2CD3E"/>
    <w:lvl w:ilvl="0">
      <w:isLgl w:val="false"/>
      <w:lvlJc w:val="left"/>
      <w:lvlText w:val="9.8%1."/>
      <w:numFmt w:val="decimal"/>
      <w:pPr>
        <w:pBdr/>
        <w:tabs>
          <w:tab w:val="left" w:leader="none" w:pos="454"/>
        </w:tabs>
        <w:spacing/>
        <w:ind w:hanging="454" w:left="454"/>
      </w:pPr>
      <w:rPr>
        <w:rFonts w:hint="default"/>
        <w:b/>
        <w:bCs/>
      </w:rPr>
      <w:start w:val="8"/>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9">
    <w:nsid w:val="949F3444"/>
    <w:lvl w:ilvl="0">
      <w:isLgl w:val="false"/>
      <w:lvlJc w:val="left"/>
      <w:lvlText w:val="9.6%1."/>
      <w:numFmt w:val="decimal"/>
      <w:pPr>
        <w:pBdr/>
        <w:tabs>
          <w:tab w:val="left" w:leader="none" w:pos="454"/>
        </w:tabs>
        <w:spacing/>
        <w:ind w:hanging="454" w:left="454"/>
      </w:pPr>
      <w:rPr>
        <w:rFonts w:hint="default"/>
        <w:b/>
        <w:bCs/>
      </w:rPr>
      <w:start w:val="0"/>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0">
    <w:nsid w:val="957FD63E"/>
    <w:lvl w:ilvl="0">
      <w:isLgl w:val="false"/>
      <w:lvlJc w:val="left"/>
      <w:lvlText w:val="%1."/>
      <w:numFmt w:val="decimal"/>
      <w:pPr>
        <w:pBdr/>
        <w:tabs>
          <w:tab w:val="left" w:leader="none" w:pos="454"/>
        </w:tabs>
        <w:spacing/>
        <w:ind w:hanging="454" w:left="454"/>
      </w:pPr>
      <w:rPr>
        <w:rFonts w:hint="default"/>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1">
    <w:nsid w:val="976275E8"/>
    <w:lvl w:ilvl="0">
      <w:isLgl w:val="false"/>
      <w:lvlJc w:val="left"/>
      <w:lvlText w:val="7.%1."/>
      <w:numFmt w:val="decimal"/>
      <w:pPr>
        <w:pBdr/>
        <w:tabs>
          <w:tab w:val="left" w:leader="none" w:pos="454"/>
        </w:tabs>
        <w:spacing/>
        <w:ind w:hanging="454" w:left="454"/>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2">
    <w:nsid w:val="992B1CCC"/>
    <w:lvl w:ilvl="0">
      <w:isLgl w:val="false"/>
      <w:lvlJc w:val="left"/>
      <w:lvlText w:val="%1."/>
      <w:numFmt w:val="decimal"/>
      <w:pPr>
        <w:pBdr/>
        <w:tabs>
          <w:tab w:val="left" w:leader="none" w:pos="454"/>
        </w:tabs>
        <w:spacing/>
        <w:ind w:hanging="454" w:left="454"/>
      </w:pPr>
      <w:rPr>
        <w:rFonts w:hint="default"/>
      </w:rPr>
      <w:start w:val="9"/>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3">
    <w:nsid w:val="995C0A5F"/>
    <w:lvl w:ilvl="0">
      <w:isLgl w:val="false"/>
      <w:lvlJc w:val="left"/>
      <w:lvlText w:val="6.%1."/>
      <w:numFmt w:val="decimal"/>
      <w:pPr>
        <w:pBdr/>
        <w:tabs>
          <w:tab w:val="left" w:leader="none" w:pos="454"/>
        </w:tabs>
        <w:spacing/>
        <w:ind w:hanging="454" w:left="454"/>
      </w:pPr>
      <w:rPr>
        <w:rFonts w:hint="default"/>
      </w:rPr>
      <w:start w:val="4"/>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4">
    <w:nsid w:val="9C6E432B"/>
    <w:lvl w:ilvl="0">
      <w:isLgl w:val="false"/>
      <w:lvlJc w:val="left"/>
      <w:lvlText w:val="9.10.%1."/>
      <w:numFmt w:val="decimal"/>
      <w:pPr>
        <w:pBdr/>
        <w:tabs>
          <w:tab w:val="left" w:leader="none" w:pos="454"/>
        </w:tabs>
        <w:spacing/>
        <w:ind w:hanging="454" w:left="454"/>
      </w:pPr>
      <w:rPr>
        <w:rFonts w:hint="default"/>
        <w:b/>
        <w:bCs/>
      </w:rPr>
      <w:start w:val="3"/>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5">
    <w:nsid w:val="A2107DC7"/>
    <w:lvl w:ilvl="0">
      <w:isLgl w:val="false"/>
      <w:lvlJc w:val="left"/>
      <w:lvlText w:val="9.9%1."/>
      <w:numFmt w:val="decimal"/>
      <w:pPr>
        <w:pBdr/>
        <w:tabs>
          <w:tab w:val="left" w:leader="none" w:pos="454"/>
        </w:tabs>
        <w:spacing/>
        <w:ind w:hanging="454" w:left="454"/>
      </w:pPr>
      <w:rPr>
        <w:rFonts w:hint="default"/>
        <w:b/>
        <w:bCs/>
      </w:rPr>
      <w:start w:val="0"/>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6">
    <w:nsid w:val="A3B0DBD0"/>
    <w:lvl w:ilvl="0">
      <w:isLgl w:val="false"/>
      <w:lvlJc w:val="left"/>
      <w:lvlText w:val="9.2%1."/>
      <w:numFmt w:val="decimal"/>
      <w:pPr>
        <w:pBdr/>
        <w:tabs>
          <w:tab w:val="left" w:leader="none" w:pos="454"/>
        </w:tabs>
        <w:spacing/>
        <w:ind w:hanging="454" w:left="454"/>
      </w:pPr>
      <w:rPr>
        <w:rFonts w:hint="default"/>
        <w:b/>
        <w:bCs/>
      </w:rPr>
      <w:start w:val="3"/>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7">
    <w:nsid w:val="A46B7502"/>
    <w:lvl w:ilvl="0">
      <w:isLgl w:val="false"/>
      <w:lvlJc w:val="left"/>
      <w:lvlText w:val="10%1."/>
      <w:numFmt w:val="decimal"/>
      <w:pPr>
        <w:pBdr/>
        <w:tabs>
          <w:tab w:val="left" w:leader="none" w:pos="425"/>
        </w:tabs>
        <w:spacing/>
        <w:ind w:hanging="425" w:left="425"/>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8">
    <w:nsid w:val="A8E5997B"/>
    <w:lvl w:ilvl="0">
      <w:isLgl w:val="false"/>
      <w:lvlJc w:val="left"/>
      <w:lvlText w:val="%1."/>
      <w:numFmt w:val="decimal"/>
      <w:pPr>
        <w:pBdr/>
        <w:tabs>
          <w:tab w:val="left" w:leader="none" w:pos="454"/>
        </w:tabs>
        <w:spacing/>
        <w:ind w:hanging="454" w:left="454"/>
      </w:pPr>
      <w:rPr>
        <w:rFonts w:hint="default"/>
      </w:rPr>
      <w:start w:val="5"/>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9">
    <w:nsid w:val="AF60D68A"/>
    <w:lvl w:ilvl="0">
      <w:isLgl w:val="false"/>
      <w:lvlJc w:val="left"/>
      <w:lvlText w:val="5.2.%1."/>
      <w:numFmt w:val="decimal"/>
      <w:pPr>
        <w:pBdr/>
        <w:tabs>
          <w:tab w:val="left" w:leader="none" w:pos="425"/>
        </w:tabs>
        <w:spacing/>
        <w:ind w:hanging="425" w:left="425"/>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0">
    <w:nsid w:val="BA1D63D6"/>
    <w:lvl w:ilvl="0">
      <w:isLgl w:val="false"/>
      <w:lvlJc w:val="left"/>
      <w:lvlText w:val="9.3%1."/>
      <w:numFmt w:val="decimal"/>
      <w:pPr>
        <w:pBdr/>
        <w:tabs>
          <w:tab w:val="left" w:leader="none" w:pos="454"/>
        </w:tabs>
        <w:spacing/>
        <w:ind w:hanging="454" w:left="454"/>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1">
    <w:nsid w:val="C02E2FDA"/>
    <w:lvl w:ilvl="0">
      <w:isLgl w:val="false"/>
      <w:lvlJc w:val="left"/>
      <w:lvlText w:val="%1."/>
      <w:numFmt w:val="decimal"/>
      <w:pPr>
        <w:pBdr/>
        <w:tabs>
          <w:tab w:val="left" w:leader="none" w:pos="454"/>
        </w:tabs>
        <w:spacing/>
        <w:ind w:hanging="454" w:left="454"/>
      </w:pPr>
      <w:rPr>
        <w:rFonts w:hint="default"/>
      </w:rPr>
      <w:start w:val="4"/>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2">
    <w:nsid w:val="CB365CC9"/>
    <w:lvl w:ilvl="0">
      <w:isLgl w:val="false"/>
      <w:lvlJc w:val="left"/>
      <w:lvlText w:val="9.1%1."/>
      <w:numFmt w:val="decimal"/>
      <w:pPr>
        <w:pBdr/>
        <w:tabs>
          <w:tab w:val="left" w:leader="none" w:pos="454"/>
        </w:tabs>
        <w:spacing/>
        <w:ind w:hanging="454" w:left="454"/>
      </w:pPr>
      <w:rPr>
        <w:rFonts w:hint="default"/>
        <w:b/>
        <w:bCs/>
      </w:rPr>
      <w:start w:val="4"/>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3">
    <w:nsid w:val="CDF5C7CB"/>
    <w:lvl w:ilvl="0">
      <w:isLgl w:val="false"/>
      <w:lvlJc w:val="left"/>
      <w:lvlText w:val="%1."/>
      <w:numFmt w:val="upperRoman"/>
      <w:pPr>
        <w:pBdr/>
        <w:tabs>
          <w:tab w:val="left" w:leader="none" w:pos="425"/>
        </w:tabs>
        <w:spacing/>
        <w:ind w:hanging="425" w:left="425"/>
      </w:pPr>
      <w:rPr>
        <w:rFonts w:hint="default"/>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4">
    <w:nsid w:val="D11B607F"/>
    <w:lvl w:ilvl="0">
      <w:isLgl w:val="false"/>
      <w:lvlJc w:val="left"/>
      <w:lvlText w:val="6.3.%1."/>
      <w:numFmt w:val="decimal"/>
      <w:pPr>
        <w:pBdr/>
        <w:tabs>
          <w:tab w:val="left" w:leader="none" w:pos="454"/>
        </w:tabs>
        <w:spacing/>
        <w:ind w:hanging="454" w:left="454"/>
      </w:pPr>
      <w:rPr>
        <w:rFonts w:hint="default"/>
        <w:b/>
        <w:bCs/>
      </w:rPr>
      <w:start w:val="2"/>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5">
    <w:nsid w:val="D1CEE055"/>
    <w:lvl w:ilvl="0">
      <w:isLgl w:val="false"/>
      <w:lvlJc w:val="left"/>
      <w:lvlText w:val="6.7.%1."/>
      <w:numFmt w:val="decimal"/>
      <w:pPr>
        <w:pBdr/>
        <w:tabs>
          <w:tab w:val="left" w:leader="none" w:pos="454"/>
        </w:tabs>
        <w:spacing/>
        <w:ind w:hanging="454" w:left="454"/>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6">
    <w:nsid w:val="D3A83600"/>
    <w:lvl w:ilvl="0">
      <w:isLgl w:val="false"/>
      <w:lvlJc w:val="left"/>
      <w:lvlText w:val="5.2.2.%1."/>
      <w:numFmt w:val="decimal"/>
      <w:pPr>
        <w:pBdr/>
        <w:tabs>
          <w:tab w:val="left" w:leader="none" w:pos="425"/>
        </w:tabs>
        <w:spacing/>
        <w:ind w:hanging="425" w:left="425"/>
      </w:pPr>
      <w:rPr>
        <w:rFonts w:hint="default"/>
        <w:b/>
        <w:bCs/>
      </w:rPr>
      <w:start w:val="22"/>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7">
    <w:nsid w:val="D515C41D"/>
    <w:lvl w:ilvl="0">
      <w:isLgl w:val="false"/>
      <w:lvlJc w:val="left"/>
      <w:lvlText w:val="9.4%1."/>
      <w:numFmt w:val="decimal"/>
      <w:pPr>
        <w:pBdr/>
        <w:tabs>
          <w:tab w:val="left" w:leader="none" w:pos="454"/>
        </w:tabs>
        <w:spacing/>
        <w:ind w:hanging="454" w:left="454"/>
      </w:pPr>
      <w:rPr>
        <w:rFonts w:hint="default"/>
        <w:b/>
        <w:bCs/>
      </w:rPr>
      <w:start w:val="6"/>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8">
    <w:nsid w:val="D5BD6000"/>
    <w:lvl w:ilvl="0">
      <w:isLgl w:val="false"/>
      <w:lvlJc w:val="left"/>
      <w:lvlText w:val="%1."/>
      <w:numFmt w:val="decimal"/>
      <w:pPr>
        <w:pBdr/>
        <w:tabs>
          <w:tab w:val="left" w:leader="none" w:pos="454"/>
        </w:tabs>
        <w:spacing/>
        <w:ind w:hanging="454" w:left="454"/>
      </w:pPr>
      <w:rPr>
        <w:rFonts w:hint="default"/>
      </w:rPr>
      <w:start w:val="3"/>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9">
    <w:nsid w:val="D63B1810"/>
    <w:lvl w:ilvl="0">
      <w:isLgl w:val="false"/>
      <w:lvlJc w:val="left"/>
      <w:lvlText w:val="9.4%1."/>
      <w:numFmt w:val="decimal"/>
      <w:pPr>
        <w:pBdr/>
        <w:tabs>
          <w:tab w:val="left" w:leader="none" w:pos="454"/>
        </w:tabs>
        <w:spacing/>
        <w:ind w:hanging="454" w:left="454"/>
      </w:pPr>
      <w:rPr>
        <w:rFonts w:hint="default"/>
        <w:b/>
        <w:bCs/>
      </w:rPr>
      <w:start w:val="0"/>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30">
    <w:nsid w:val="D7478280"/>
    <w:lvl w:ilvl="0">
      <w:isLgl w:val="false"/>
      <w:lvlJc w:val="left"/>
      <w:lvlText w:val="9.10.%1."/>
      <w:numFmt w:val="decimal"/>
      <w:pPr>
        <w:pBdr/>
        <w:tabs>
          <w:tab w:val="left" w:leader="none" w:pos="454"/>
        </w:tabs>
        <w:spacing/>
        <w:ind w:hanging="454" w:left="454"/>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31">
    <w:nsid w:val="D8860C9F"/>
    <w:lvl w:ilvl="0">
      <w:isLgl w:val="false"/>
      <w:lvlJc w:val="left"/>
      <w:lvlText w:val="%100."/>
      <w:numFmt w:val="decimal"/>
      <w:pPr>
        <w:pBdr/>
        <w:tabs>
          <w:tab w:val="left" w:leader="none" w:pos="425"/>
        </w:tabs>
        <w:spacing/>
        <w:ind w:hanging="425" w:left="425"/>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32">
    <w:nsid w:val="DAF85A72"/>
    <w:lvl w:ilvl="0">
      <w:isLgl w:val="false"/>
      <w:lvlJc w:val="left"/>
      <w:lvlText w:val="9.3%1."/>
      <w:numFmt w:val="decimal"/>
      <w:pPr>
        <w:pBdr/>
        <w:tabs>
          <w:tab w:val="left" w:leader="none" w:pos="454"/>
        </w:tabs>
        <w:spacing/>
        <w:ind w:hanging="454" w:left="454"/>
      </w:pPr>
      <w:rPr>
        <w:rFonts w:hint="default"/>
        <w:b/>
        <w:bCs/>
      </w:rPr>
      <w:start w:val="3"/>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33">
    <w:nsid w:val="DB2E9C0C"/>
    <w:lvl w:ilvl="0">
      <w:isLgl w:val="false"/>
      <w:lvlJc w:val="left"/>
      <w:lvlText w:val="%1."/>
      <w:numFmt w:val="upperRoman"/>
      <w:pPr>
        <w:pBdr/>
        <w:tabs>
          <w:tab w:val="left" w:leader="none" w:pos="425"/>
        </w:tabs>
        <w:spacing/>
        <w:ind w:hanging="425" w:left="425"/>
      </w:pPr>
      <w:rPr>
        <w:rFonts w:hint="default"/>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34">
    <w:nsid w:val="DBC28141"/>
    <w:lvl w:ilvl="0">
      <w:isLgl w:val="false"/>
      <w:lvlJc w:val="left"/>
      <w:lvlText w:val="9.10.2.%1."/>
      <w:numFmt w:val="decimal"/>
      <w:pPr>
        <w:pBdr/>
        <w:tabs>
          <w:tab w:val="left" w:leader="none" w:pos="454"/>
        </w:tabs>
        <w:spacing/>
        <w:ind w:hanging="454" w:left="454"/>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35">
    <w:nsid w:val="DBE27764"/>
    <w:lvl w:ilvl="0">
      <w:isLgl w:val="false"/>
      <w:lvlJc w:val="left"/>
      <w:lvlText w:val="9.8%1."/>
      <w:numFmt w:val="decimal"/>
      <w:pPr>
        <w:pBdr/>
        <w:tabs>
          <w:tab w:val="left" w:leader="none" w:pos="454"/>
        </w:tabs>
        <w:spacing/>
        <w:ind w:hanging="454" w:left="454"/>
      </w:pPr>
      <w:rPr>
        <w:rFonts w:hint="default"/>
        <w:b/>
        <w:bCs/>
      </w:rPr>
      <w:start w:val="3"/>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36">
    <w:nsid w:val="DE457EC6"/>
    <w:lvl w:ilvl="0">
      <w:isLgl w:val="false"/>
      <w:lvlJc w:val="left"/>
      <w:lvlText w:val="9.5%1."/>
      <w:numFmt w:val="decimal"/>
      <w:pPr>
        <w:pBdr/>
        <w:tabs>
          <w:tab w:val="left" w:leader="none" w:pos="454"/>
        </w:tabs>
        <w:spacing/>
        <w:ind w:hanging="454" w:left="454"/>
      </w:pPr>
      <w:rPr>
        <w:rFonts w:hint="default"/>
        <w:b/>
        <w:bCs/>
      </w:rPr>
      <w:start w:val="0"/>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37">
    <w:nsid w:val="E63559D8"/>
    <w:lvl w:ilvl="0">
      <w:isLgl w:val="false"/>
      <w:lvlJc w:val="left"/>
      <w:lvlText w:val="11%1."/>
      <w:numFmt w:val="decimal"/>
      <w:pPr>
        <w:pBdr/>
        <w:tabs>
          <w:tab w:val="left" w:leader="none" w:pos="425"/>
        </w:tabs>
        <w:spacing/>
        <w:ind w:hanging="425" w:left="425"/>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38">
    <w:nsid w:val="E8D569C9"/>
    <w:lvl w:ilvl="0">
      <w:isLgl w:val="false"/>
      <w:lvlJc w:val="left"/>
      <w:lvlText w:val="6.6.%1."/>
      <w:numFmt w:val="decimal"/>
      <w:pPr>
        <w:pBdr/>
        <w:tabs>
          <w:tab w:val="left" w:leader="none" w:pos="454"/>
        </w:tabs>
        <w:spacing/>
        <w:ind w:hanging="454" w:left="454"/>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39">
    <w:nsid w:val="F427A928"/>
    <w:lvl w:ilvl="0">
      <w:isLgl w:val="false"/>
      <w:lvlJc w:val="left"/>
      <w:lvlText w:val="9.9%1."/>
      <w:numFmt w:val="decimal"/>
      <w:pPr>
        <w:pBdr/>
        <w:tabs>
          <w:tab w:val="left" w:leader="none" w:pos="425"/>
        </w:tabs>
        <w:spacing/>
        <w:ind w:hanging="425" w:left="425"/>
      </w:pPr>
      <w:rPr>
        <w:rFonts w:hint="default"/>
        <w:b/>
        <w:bCs/>
      </w:rPr>
      <w:start w:val="8"/>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40">
    <w:nsid w:val="F7995E6B"/>
    <w:lvl w:ilvl="0">
      <w:isLgl w:val="false"/>
      <w:lvlJc w:val="left"/>
      <w:lvlText w:val="%1."/>
      <w:numFmt w:val="decimal"/>
      <w:pPr>
        <w:pBdr/>
        <w:tabs>
          <w:tab w:val="left" w:leader="none" w:pos="454"/>
        </w:tabs>
        <w:spacing/>
        <w:ind w:hanging="454" w:left="454"/>
      </w:pPr>
      <w:rPr>
        <w:rFonts w:hint="default"/>
      </w:rPr>
      <w:start w:val="6"/>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41">
    <w:nsid w:val="F89EC5E8"/>
    <w:lvl w:ilvl="0">
      <w:isLgl w:val="false"/>
      <w:lvlJc w:val="left"/>
      <w:lvlText w:val="7.%1."/>
      <w:numFmt w:val="decimal"/>
      <w:pPr>
        <w:pBdr/>
        <w:tabs>
          <w:tab w:val="left" w:leader="none" w:pos="454"/>
        </w:tabs>
        <w:spacing/>
        <w:ind w:hanging="454" w:left="454"/>
      </w:pPr>
      <w:rPr>
        <w:rFonts w:hint="default"/>
        <w:b/>
        <w:bCs/>
      </w:rPr>
      <w:start w:val="2"/>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42">
    <w:nsid w:val="FAB47D9C"/>
    <w:lvl w:ilvl="0">
      <w:isLgl w:val="false"/>
      <w:lvlJc w:val="left"/>
      <w:lvlText w:val="%1."/>
      <w:numFmt w:val="upperRoman"/>
      <w:pPr>
        <w:pBdr/>
        <w:tabs>
          <w:tab w:val="left" w:leader="none" w:pos="425"/>
        </w:tabs>
        <w:spacing/>
        <w:ind w:hanging="425" w:left="425"/>
      </w:pPr>
      <w:rPr>
        <w:rFonts w:hint="default"/>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43">
    <w:nsid w:val="00498F0E"/>
    <w:lvl w:ilvl="0">
      <w:isLgl w:val="false"/>
      <w:lvlJc w:val="left"/>
      <w:lvlText w:val="9.7%1."/>
      <w:numFmt w:val="decimal"/>
      <w:pPr>
        <w:pBdr/>
        <w:tabs>
          <w:tab w:val="left" w:leader="none" w:pos="454"/>
        </w:tabs>
        <w:spacing/>
        <w:ind w:hanging="454" w:left="454"/>
      </w:pPr>
      <w:rPr>
        <w:rFonts w:hint="default"/>
        <w:b/>
        <w:bCs/>
      </w:rPr>
      <w:start w:val="0"/>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44">
    <w:nsid w:val="018C0041"/>
    <w:lvl w:ilvl="0">
      <w:isLgl w:val="false"/>
      <w:lvlJc w:val="left"/>
      <w:lvlText w:val="%1"/>
      <w:numFmt w:val="decimal"/>
      <w:pPr>
        <w:pBdr/>
        <w:spacing/>
        <w:ind w:hanging="360" w:left="360"/>
      </w:pPr>
      <w:rPr>
        <w:rFonts w:hint="default"/>
      </w:rPr>
      <w:start w:val="5"/>
      <w:suff w:val="tab"/>
    </w:lvl>
    <w:lvl w:ilvl="1">
      <w:isLgl w:val="false"/>
      <w:lvlJc w:val="left"/>
      <w:lvlText w:val="%1.%2"/>
      <w:numFmt w:val="decimal"/>
      <w:pPr>
        <w:pBdr/>
        <w:spacing/>
        <w:ind w:hanging="360" w:left="360"/>
      </w:pPr>
      <w:rPr>
        <w:rFonts w:hint="default"/>
        <w:b/>
        <w:bCs/>
      </w:rPr>
      <w:start w:val="8"/>
      <w:suff w:val="tab"/>
    </w:lvl>
    <w:lvl w:ilvl="2">
      <w:isLgl w:val="false"/>
      <w:lvlJc w:val="left"/>
      <w:lvlText w:val="%1.%2.%3"/>
      <w:numFmt w:val="decimal"/>
      <w:pPr>
        <w:pBdr/>
        <w:spacing/>
        <w:ind w:hanging="720" w:left="720"/>
      </w:pPr>
      <w:rPr>
        <w:rFonts w:hint="default"/>
        <w:b/>
        <w:bCs/>
      </w:rPr>
      <w:start w:val="1"/>
      <w:suff w:val="tab"/>
    </w:lvl>
    <w:lvl w:ilvl="3">
      <w:isLgl w:val="false"/>
      <w:lvlJc w:val="left"/>
      <w:lvlText w:val="%1.%2.%3.%4"/>
      <w:numFmt w:val="decimal"/>
      <w:pPr>
        <w:pBdr/>
        <w:spacing/>
        <w:ind w:hanging="720" w:left="720"/>
      </w:pPr>
      <w:rPr>
        <w:rFonts w:hint="default"/>
      </w:rPr>
      <w:start w:val="1"/>
      <w:suff w:val="tab"/>
    </w:lvl>
    <w:lvl w:ilvl="4">
      <w:isLgl w:val="false"/>
      <w:lvlJc w:val="left"/>
      <w:lvlText w:val="%1.%2.%3.%4.%5"/>
      <w:numFmt w:val="decimal"/>
      <w:pPr>
        <w:pBdr/>
        <w:spacing/>
        <w:ind w:hanging="1080" w:left="1080"/>
      </w:pPr>
      <w:rPr>
        <w:rFonts w:hint="default"/>
      </w:rPr>
      <w:start w:val="1"/>
      <w:suff w:val="tab"/>
    </w:lvl>
    <w:lvl w:ilvl="5">
      <w:isLgl w:val="false"/>
      <w:lvlJc w:val="left"/>
      <w:lvlText w:val="%1.%2.%3.%4.%5.%6"/>
      <w:numFmt w:val="decimal"/>
      <w:pPr>
        <w:pBdr/>
        <w:spacing/>
        <w:ind w:hanging="1080" w:left="1080"/>
      </w:pPr>
      <w:rPr>
        <w:rFonts w:hint="default"/>
      </w:rPr>
      <w:start w:val="1"/>
      <w:suff w:val="tab"/>
    </w:lvl>
    <w:lvl w:ilvl="6">
      <w:isLgl w:val="false"/>
      <w:lvlJc w:val="left"/>
      <w:lvlText w:val="%1.%2.%3.%4.%5.%6.%7"/>
      <w:numFmt w:val="decimal"/>
      <w:pPr>
        <w:pBdr/>
        <w:spacing/>
        <w:ind w:hanging="1440" w:left="1440"/>
      </w:pPr>
      <w:rPr>
        <w:rFonts w:hint="default"/>
      </w:rPr>
      <w:start w:val="1"/>
      <w:suff w:val="tab"/>
    </w:lvl>
    <w:lvl w:ilvl="7">
      <w:isLgl w:val="false"/>
      <w:lvlJc w:val="left"/>
      <w:lvlText w:val="%1.%2.%3.%4.%5.%6.%7.%8"/>
      <w:numFmt w:val="decimal"/>
      <w:pPr>
        <w:pBdr/>
        <w:spacing/>
        <w:ind w:hanging="1440" w:left="1440"/>
      </w:pPr>
      <w:rPr>
        <w:rFonts w:hint="default"/>
      </w:rPr>
      <w:start w:val="1"/>
      <w:suff w:val="tab"/>
    </w:lvl>
    <w:lvl w:ilvl="8">
      <w:isLgl w:val="false"/>
      <w:lvlJc w:val="left"/>
      <w:lvlText w:val="%1.%2.%3.%4.%5.%6.%7.%8.%9"/>
      <w:numFmt w:val="decimal"/>
      <w:pPr>
        <w:pBdr/>
        <w:spacing/>
        <w:ind w:hanging="1800" w:left="1800"/>
      </w:pPr>
      <w:rPr>
        <w:rFonts w:hint="default"/>
      </w:rPr>
      <w:start w:val="1"/>
      <w:suff w:val="tab"/>
    </w:lvl>
  </w:abstractNum>
  <w:abstractNum w:abstractNumId="45">
    <w:nsid w:val="01D213FE"/>
    <w:lvl w:ilvl="0">
      <w:isLgl w:val="false"/>
      <w:lvlJc w:val="left"/>
      <w:lvlText w:val="%1"/>
      <w:numFmt w:val="decimal"/>
      <w:pPr>
        <w:pBdr/>
        <w:spacing/>
        <w:ind w:hanging="420" w:left="420"/>
      </w:pPr>
      <w:rPr>
        <w:rFonts w:hint="default"/>
      </w:rPr>
      <w:start w:val="13"/>
      <w:suff w:val="tab"/>
    </w:lvl>
    <w:lvl w:ilvl="1">
      <w:isLgl w:val="false"/>
      <w:lvlJc w:val="left"/>
      <w:lvlText w:val="%1.%2"/>
      <w:numFmt w:val="decimal"/>
      <w:pPr>
        <w:pBdr/>
        <w:spacing/>
        <w:ind w:hanging="420" w:left="420"/>
      </w:pPr>
      <w:rPr>
        <w:rFonts w:hint="default"/>
        <w:b/>
        <w:bCs w:val="0"/>
      </w:rPr>
      <w:start w:val="1"/>
      <w:suff w:val="tab"/>
    </w:lvl>
    <w:lvl w:ilvl="2">
      <w:isLgl w:val="false"/>
      <w:lvlJc w:val="left"/>
      <w:lvlText w:val="%1.%2.%3"/>
      <w:numFmt w:val="decimal"/>
      <w:pPr>
        <w:pBdr/>
        <w:spacing/>
        <w:ind w:hanging="720" w:left="720"/>
      </w:pPr>
      <w:rPr>
        <w:rFonts w:hint="default"/>
      </w:rPr>
      <w:start w:val="1"/>
      <w:suff w:val="tab"/>
    </w:lvl>
    <w:lvl w:ilvl="3">
      <w:isLgl w:val="false"/>
      <w:lvlJc w:val="left"/>
      <w:lvlText w:val="%1.%2.%3.%4"/>
      <w:numFmt w:val="decimal"/>
      <w:pPr>
        <w:pBdr/>
        <w:spacing/>
        <w:ind w:hanging="720" w:left="720"/>
      </w:pPr>
      <w:rPr>
        <w:rFonts w:hint="default"/>
      </w:rPr>
      <w:start w:val="1"/>
      <w:suff w:val="tab"/>
    </w:lvl>
    <w:lvl w:ilvl="4">
      <w:isLgl w:val="false"/>
      <w:lvlJc w:val="left"/>
      <w:lvlText w:val="%1.%2.%3.%4.%5"/>
      <w:numFmt w:val="decimal"/>
      <w:pPr>
        <w:pBdr/>
        <w:spacing/>
        <w:ind w:hanging="1080" w:left="1080"/>
      </w:pPr>
      <w:rPr>
        <w:rFonts w:hint="default"/>
      </w:rPr>
      <w:start w:val="1"/>
      <w:suff w:val="tab"/>
    </w:lvl>
    <w:lvl w:ilvl="5">
      <w:isLgl w:val="false"/>
      <w:lvlJc w:val="left"/>
      <w:lvlText w:val="%1.%2.%3.%4.%5.%6"/>
      <w:numFmt w:val="decimal"/>
      <w:pPr>
        <w:pBdr/>
        <w:spacing/>
        <w:ind w:hanging="1080" w:left="1080"/>
      </w:pPr>
      <w:rPr>
        <w:rFonts w:hint="default"/>
      </w:rPr>
      <w:start w:val="1"/>
      <w:suff w:val="tab"/>
    </w:lvl>
    <w:lvl w:ilvl="6">
      <w:isLgl w:val="false"/>
      <w:lvlJc w:val="left"/>
      <w:lvlText w:val="%1.%2.%3.%4.%5.%6.%7"/>
      <w:numFmt w:val="decimal"/>
      <w:pPr>
        <w:pBdr/>
        <w:spacing/>
        <w:ind w:hanging="1440" w:left="1440"/>
      </w:pPr>
      <w:rPr>
        <w:rFonts w:hint="default"/>
      </w:rPr>
      <w:start w:val="1"/>
      <w:suff w:val="tab"/>
    </w:lvl>
    <w:lvl w:ilvl="7">
      <w:isLgl w:val="false"/>
      <w:lvlJc w:val="left"/>
      <w:lvlText w:val="%1.%2.%3.%4.%5.%6.%7.%8"/>
      <w:numFmt w:val="decimal"/>
      <w:pPr>
        <w:pBdr/>
        <w:spacing/>
        <w:ind w:hanging="1440" w:left="1440"/>
      </w:pPr>
      <w:rPr>
        <w:rFonts w:hint="default"/>
      </w:rPr>
      <w:start w:val="1"/>
      <w:suff w:val="tab"/>
    </w:lvl>
    <w:lvl w:ilvl="8">
      <w:isLgl w:val="false"/>
      <w:lvlJc w:val="left"/>
      <w:lvlText w:val="%1.%2.%3.%4.%5.%6.%7.%8.%9"/>
      <w:numFmt w:val="decimal"/>
      <w:pPr>
        <w:pBdr/>
        <w:spacing/>
        <w:ind w:hanging="1800" w:left="1800"/>
      </w:pPr>
      <w:rPr>
        <w:rFonts w:hint="default"/>
      </w:rPr>
      <w:start w:val="1"/>
      <w:suff w:val="tab"/>
    </w:lvl>
  </w:abstractNum>
  <w:abstractNum w:abstractNumId="46">
    <w:nsid w:val="056641C6"/>
    <w:lvl w:ilvl="0">
      <w:isLgl w:val="false"/>
      <w:lvlJc w:val="left"/>
      <w:lvlText w:val="9.3%1."/>
      <w:numFmt w:val="decimal"/>
      <w:pPr>
        <w:pBdr/>
        <w:tabs>
          <w:tab w:val="left" w:leader="none" w:pos="454"/>
        </w:tabs>
        <w:spacing/>
        <w:ind w:hanging="454" w:left="454"/>
      </w:pPr>
      <w:rPr>
        <w:rFonts w:hint="default"/>
        <w:b/>
        <w:bCs/>
      </w:rPr>
      <w:start w:val="0"/>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47">
    <w:nsid w:val="05C350C5"/>
    <w:lvl w:ilvl="0">
      <w:isLgl w:val="false"/>
      <w:lvlJc w:val="left"/>
      <w:lvlText w:val="%1."/>
      <w:numFmt w:val="upperRoman"/>
      <w:pPr>
        <w:pBdr/>
        <w:tabs>
          <w:tab w:val="left" w:leader="none" w:pos="425"/>
        </w:tabs>
        <w:spacing/>
        <w:ind w:hanging="425" w:left="425"/>
      </w:pPr>
      <w:rPr>
        <w:rFonts w:hint="default"/>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48">
    <w:nsid w:val="0DB9D599"/>
    <w:lvl w:ilvl="0">
      <w:isLgl w:val="false"/>
      <w:lvlJc w:val="left"/>
      <w:lvlText w:val="7.%1."/>
      <w:numFmt w:val="decimal"/>
      <w:pPr>
        <w:pBdr/>
        <w:tabs>
          <w:tab w:val="left" w:leader="none" w:pos="454"/>
        </w:tabs>
        <w:spacing/>
        <w:ind w:hanging="454" w:left="454"/>
      </w:pPr>
      <w:rPr>
        <w:rFonts w:hint="default"/>
        <w:b/>
        <w:bCs/>
      </w:rPr>
      <w:start w:val="3"/>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49">
    <w:nsid w:val="0EC60D66"/>
    <w:lvl w:ilvl="0">
      <w:isLgl w:val="false"/>
      <w:lvlJc w:val="left"/>
      <w:lvlText w:val="9.6%1."/>
      <w:numFmt w:val="decimal"/>
      <w:pPr>
        <w:pBdr/>
        <w:tabs>
          <w:tab w:val="left" w:leader="none" w:pos="425"/>
        </w:tabs>
        <w:spacing/>
        <w:ind w:hanging="425" w:left="425"/>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50">
    <w:nsid w:val="1130AE91"/>
    <w:lvl w:ilvl="0">
      <w:isLgl w:val="false"/>
      <w:lvlJc w:val="left"/>
      <w:lvlText w:val="12%1."/>
      <w:numFmt w:val="decimal"/>
      <w:pPr>
        <w:pBdr/>
        <w:tabs>
          <w:tab w:val="left" w:leader="none" w:pos="454"/>
        </w:tabs>
        <w:spacing/>
        <w:ind w:hanging="454" w:left="454"/>
      </w:pPr>
      <w:rPr>
        <w:rFonts w:hint="default"/>
        <w:b/>
        <w:bCs/>
      </w:rPr>
      <w:start w:val="0"/>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51">
    <w:nsid w:val="14DCFF27"/>
    <w:lvl w:ilvl="0">
      <w:isLgl w:val="false"/>
      <w:lvlJc w:val="left"/>
      <w:lvlText w:val="9.6%1."/>
      <w:numFmt w:val="decimal"/>
      <w:pPr>
        <w:pBdr/>
        <w:tabs>
          <w:tab w:val="left" w:leader="none" w:pos="425"/>
        </w:tabs>
        <w:spacing/>
        <w:ind w:hanging="425" w:left="425"/>
      </w:pPr>
      <w:rPr>
        <w:rFonts w:hint="default"/>
        <w:b/>
        <w:bCs/>
      </w:rPr>
      <w:start w:val="2"/>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52">
    <w:nsid w:val="1567D336"/>
    <w:lvl w:ilvl="0">
      <w:isLgl w:val="false"/>
      <w:lvlJc w:val="left"/>
      <w:lvlText w:val="9.4%1."/>
      <w:numFmt w:val="decimal"/>
      <w:pPr>
        <w:pBdr/>
        <w:tabs>
          <w:tab w:val="left" w:leader="none" w:pos="454"/>
        </w:tabs>
        <w:spacing/>
        <w:ind w:hanging="454" w:left="454"/>
      </w:pPr>
      <w:rPr>
        <w:rFonts w:hint="default"/>
        <w:b/>
        <w:bCs/>
      </w:rPr>
      <w:start w:val="7"/>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53">
    <w:nsid w:val="19B69E9C"/>
    <w:lvl w:ilvl="0">
      <w:isLgl w:val="false"/>
      <w:lvlJc w:val="left"/>
      <w:lvlText w:val="9.9%1."/>
      <w:numFmt w:val="decimal"/>
      <w:pPr>
        <w:pBdr/>
        <w:tabs>
          <w:tab w:val="left" w:leader="none" w:pos="454"/>
        </w:tabs>
        <w:spacing/>
        <w:ind w:hanging="454" w:left="454"/>
      </w:pPr>
      <w:rPr>
        <w:rFonts w:hint="default"/>
        <w:b/>
        <w:bCs/>
      </w:rPr>
      <w:start w:val="4"/>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54">
    <w:nsid w:val="1A741B06"/>
    <w:lvl w:ilvl="0">
      <w:isLgl w:val="false"/>
      <w:lvlJc w:val="left"/>
      <w:lvlText w:val="%1."/>
      <w:numFmt w:val="upperRoman"/>
      <w:pPr>
        <w:pBdr/>
        <w:tabs>
          <w:tab w:val="left" w:leader="none" w:pos="425"/>
        </w:tabs>
        <w:spacing/>
        <w:ind w:hanging="425" w:left="425"/>
      </w:pPr>
      <w:rPr>
        <w:rFonts w:hint="default"/>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55">
    <w:nsid w:val="2108348B"/>
    <w:lvl w:ilvl="0">
      <w:isLgl w:val="false"/>
      <w:lvlJc w:val="left"/>
      <w:lvlText w:val="6.%1."/>
      <w:numFmt w:val="decimal"/>
      <w:pPr>
        <w:pBdr/>
        <w:tabs>
          <w:tab w:val="left" w:leader="none" w:pos="454"/>
        </w:tabs>
        <w:spacing/>
        <w:ind w:hanging="454" w:left="454"/>
      </w:pPr>
      <w:rPr>
        <w:rFonts w:hint="default"/>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56">
    <w:nsid w:val="26ED37E0"/>
    <w:lvl w:ilvl="0">
      <w:isLgl w:val="false"/>
      <w:lvlJc w:val="left"/>
      <w:lvlText w:val="12%1."/>
      <w:numFmt w:val="decimal"/>
      <w:pPr>
        <w:pBdr/>
        <w:tabs>
          <w:tab w:val="left" w:leader="none" w:pos="425"/>
        </w:tabs>
        <w:spacing/>
        <w:ind w:hanging="425" w:left="425"/>
      </w:pPr>
      <w:rPr>
        <w:rFonts w:hint="default"/>
        <w:b/>
        <w:bCs/>
      </w:rPr>
      <w:start w:val="3"/>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57">
    <w:nsid w:val="27EF3EAD"/>
    <w:lvl w:ilvl="0">
      <w:isLgl w:val="false"/>
      <w:lvlJc w:val="left"/>
      <w:lvlText w:val="5.8.%1."/>
      <w:numFmt w:val="decimal"/>
      <w:pPr>
        <w:pBdr/>
        <w:tabs>
          <w:tab w:val="left" w:leader="none" w:pos="425"/>
        </w:tabs>
        <w:spacing/>
        <w:ind w:hanging="425" w:left="425"/>
      </w:pPr>
      <w:rPr>
        <w:rFonts w:hint="default"/>
        <w:b/>
        <w:bCs/>
      </w:rPr>
      <w:start w:val="2"/>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58">
    <w:nsid w:val="2A922825"/>
    <w:lvl w:ilvl="0">
      <w:isLgl w:val="false"/>
      <w:lvlJc w:val="left"/>
      <w:lvlText w:val="9.1%1."/>
      <w:numFmt w:val="decimal"/>
      <w:pPr>
        <w:pBdr/>
        <w:tabs>
          <w:tab w:val="left" w:leader="none" w:pos="454"/>
        </w:tabs>
        <w:spacing/>
        <w:ind w:hanging="454" w:left="454"/>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59">
    <w:nsid w:val="33B4B3EB"/>
    <w:lvl w:ilvl="0">
      <w:isLgl w:val="false"/>
      <w:lvlJc w:val="left"/>
      <w:lvlText w:val="9.5%1."/>
      <w:numFmt w:val="decimal"/>
      <w:pPr>
        <w:pBdr/>
        <w:tabs>
          <w:tab w:val="left" w:leader="none" w:pos="454"/>
        </w:tabs>
        <w:spacing/>
        <w:ind w:hanging="454" w:left="454"/>
      </w:pPr>
      <w:rPr>
        <w:rFonts w:hint="default"/>
        <w:b/>
        <w:bCs/>
      </w:rPr>
      <w:start w:val="3"/>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60">
    <w:nsid w:val="3A06DCFE"/>
    <w:lvl w:ilvl="0">
      <w:isLgl w:val="false"/>
      <w:lvlJc w:val="left"/>
      <w:lvlText w:val="5.2.2.%1."/>
      <w:numFmt w:val="decimal"/>
      <w:pPr>
        <w:pBdr/>
        <w:tabs>
          <w:tab w:val="left" w:leader="none" w:pos="425"/>
        </w:tabs>
        <w:spacing/>
        <w:ind w:hanging="425" w:left="425"/>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61">
    <w:nsid w:val="3CD56442"/>
    <w:lvl w:ilvl="0">
      <w:isLgl w:val="false"/>
      <w:lvlJc w:val="left"/>
      <w:lvlText w:val="9.%1."/>
      <w:numFmt w:val="decimal"/>
      <w:pPr>
        <w:pBdr/>
        <w:tabs>
          <w:tab w:val="left" w:leader="none" w:pos="454"/>
        </w:tabs>
        <w:spacing/>
        <w:ind w:hanging="454" w:left="454"/>
      </w:pPr>
      <w:rPr>
        <w:rFonts w:hint="default"/>
        <w:b/>
        <w:bCs/>
      </w:rPr>
      <w:start w:val="10"/>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62">
    <w:nsid w:val="3E186140"/>
    <w:lvl w:ilvl="0">
      <w:isLgl w:val="false"/>
      <w:lvlJc w:val="left"/>
      <w:lvlText w:val="10%1."/>
      <w:numFmt w:val="decimal"/>
      <w:pPr>
        <w:pBdr/>
        <w:tabs>
          <w:tab w:val="left" w:leader="none" w:pos="425"/>
        </w:tabs>
        <w:spacing/>
        <w:ind w:hanging="425" w:left="425"/>
      </w:pPr>
      <w:rPr>
        <w:rFonts w:hint="default"/>
        <w:b/>
        <w:bCs/>
      </w:rPr>
      <w:start w:val="7"/>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63">
    <w:nsid w:val="484E933E"/>
    <w:lvl w:ilvl="0">
      <w:isLgl w:val="false"/>
      <w:lvlJc w:val="left"/>
      <w:lvlText w:val="%1."/>
      <w:numFmt w:val="upperRoman"/>
      <w:pPr>
        <w:pBdr/>
        <w:tabs>
          <w:tab w:val="left" w:leader="none" w:pos="425"/>
        </w:tabs>
        <w:spacing/>
        <w:ind w:hanging="425" w:left="425"/>
      </w:pPr>
      <w:rPr>
        <w:rFonts w:hint="default"/>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64">
    <w:nsid w:val="4981E183"/>
    <w:lvl w:ilvl="0">
      <w:isLgl w:val="false"/>
      <w:lvlJc w:val="left"/>
      <w:lvlText w:val="3.%1."/>
      <w:numFmt w:val="decimal"/>
      <w:pPr>
        <w:pBdr/>
        <w:tabs>
          <w:tab w:val="left" w:leader="none" w:pos="454"/>
        </w:tabs>
        <w:spacing/>
        <w:ind w:hanging="454" w:left="454"/>
      </w:pPr>
      <w:rPr>
        <w:rFonts w:hint="default"/>
        <w:b/>
        <w:bCs/>
      </w:rPr>
      <w:start w:val="3"/>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65">
    <w:nsid w:val="4DEEC513"/>
    <w:lvl w:ilvl="0">
      <w:isLgl w:val="false"/>
      <w:lvlJc w:val="left"/>
      <w:lvlText w:val="%1."/>
      <w:numFmt w:val="decimal"/>
      <w:pPr>
        <w:pBdr/>
        <w:tabs>
          <w:tab w:val="left" w:leader="none" w:pos="454"/>
        </w:tabs>
        <w:spacing/>
        <w:ind w:hanging="454" w:left="454"/>
      </w:pPr>
      <w:rPr>
        <w:rFonts w:hint="default"/>
      </w:rPr>
      <w:start w:val="2"/>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66">
    <w:nsid w:val="5304B5E3"/>
    <w:lvl w:ilvl="0">
      <w:isLgl w:val="false"/>
      <w:lvlJc w:val="left"/>
      <w:lvlText w:val="9.4%1."/>
      <w:numFmt w:val="decimal"/>
      <w:pPr>
        <w:pBdr/>
        <w:tabs>
          <w:tab w:val="left" w:leader="none" w:pos="454"/>
        </w:tabs>
        <w:spacing/>
        <w:ind w:hanging="454" w:left="454"/>
      </w:pPr>
      <w:rPr>
        <w:rFonts w:hint="default"/>
        <w:b/>
        <w:bCs/>
      </w:rPr>
      <w:start w:val="4"/>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67">
    <w:nsid w:val="546BCABA"/>
    <w:lvl w:ilvl="0">
      <w:isLgl w:val="false"/>
      <w:lvlJc w:val="left"/>
      <w:lvlText w:val="9.3%1."/>
      <w:numFmt w:val="decimal"/>
      <w:pPr>
        <w:pBdr/>
        <w:tabs>
          <w:tab w:val="left" w:leader="none" w:pos="454"/>
        </w:tabs>
        <w:spacing/>
        <w:ind w:hanging="454" w:left="454"/>
      </w:pPr>
      <w:rPr>
        <w:rFonts w:hint="default"/>
        <w:b/>
        <w:bCs/>
      </w:rPr>
      <w:start w:val="9"/>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68">
    <w:nsid w:val="559CCA00"/>
    <w:lvl w:ilvl="0">
      <w:isLgl w:val="false"/>
      <w:lvlJc w:val="left"/>
      <w:lvlText w:val="%1."/>
      <w:numFmt w:val="decimal"/>
      <w:pPr>
        <w:pBdr/>
        <w:tabs>
          <w:tab w:val="left" w:leader="none" w:pos="454"/>
        </w:tabs>
        <w:spacing/>
        <w:ind w:hanging="454" w:left="454"/>
      </w:pPr>
      <w:rPr>
        <w:rFonts w:hint="default"/>
      </w:rPr>
      <w:start w:val="8"/>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69">
    <w:nsid w:val="5632B56F"/>
    <w:lvl w:ilvl="0">
      <w:isLgl w:val="false"/>
      <w:lvlJc w:val="left"/>
      <w:lvlText w:val="9.8%1."/>
      <w:numFmt w:val="decimal"/>
      <w:pPr>
        <w:pBdr/>
        <w:tabs>
          <w:tab w:val="left" w:leader="none" w:pos="454"/>
        </w:tabs>
        <w:spacing/>
        <w:ind w:hanging="454" w:left="454"/>
      </w:pPr>
      <w:rPr>
        <w:rFonts w:hint="default"/>
        <w:b/>
        <w:bCs/>
      </w:rPr>
      <w:start w:val="0"/>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70">
    <w:nsid w:val="5B978809"/>
    <w:lvl w:ilvl="0">
      <w:isLgl w:val="false"/>
      <w:lvlJc w:val="left"/>
      <w:lvlText w:val="5.8.%1."/>
      <w:numFmt w:val="decimal"/>
      <w:pPr>
        <w:pBdr/>
        <w:tabs>
          <w:tab w:val="left" w:leader="none" w:pos="425"/>
        </w:tabs>
        <w:spacing/>
        <w:ind w:hanging="425" w:left="425"/>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71">
    <w:nsid w:val="5D5873A0"/>
    <w:lvl w:ilvl="0">
      <w:isLgl w:val="false"/>
      <w:lvlJc w:val="left"/>
      <w:lvlText w:val="5.2.%1."/>
      <w:numFmt w:val="decimal"/>
      <w:pPr>
        <w:pBdr/>
        <w:tabs>
          <w:tab w:val="left" w:leader="none" w:pos="425"/>
        </w:tabs>
        <w:spacing/>
        <w:ind w:hanging="425" w:left="425"/>
      </w:pPr>
      <w:rPr>
        <w:rFonts w:hint="default"/>
        <w:b/>
        <w:bCs/>
      </w:rPr>
      <w:start w:val="2"/>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72">
    <w:nsid w:val="664060A9"/>
    <w:lvl w:ilvl="0">
      <w:isLgl w:val="false"/>
      <w:lvlJc w:val="left"/>
      <w:lvlText w:val="9.9%1."/>
      <w:numFmt w:val="decimal"/>
      <w:pPr>
        <w:pBdr/>
        <w:tabs>
          <w:tab w:val="left" w:leader="none" w:pos="425"/>
        </w:tabs>
        <w:spacing/>
        <w:ind w:hanging="425" w:left="425"/>
      </w:pPr>
      <w:rPr>
        <w:rFonts w:hint="default"/>
        <w:b/>
        <w:bCs/>
      </w:rPr>
      <w:start w:val="9"/>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73">
    <w:nsid w:val="67478CAE"/>
    <w:lvl w:ilvl="0">
      <w:isLgl w:val="false"/>
      <w:lvlJc w:val="left"/>
      <w:lvlText w:val="1%10."/>
      <w:numFmt w:val="decimal"/>
      <w:pPr>
        <w:pBdr/>
        <w:tabs>
          <w:tab w:val="left" w:leader="none" w:pos="425"/>
        </w:tabs>
        <w:spacing/>
        <w:ind w:hanging="425" w:left="425"/>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74">
    <w:nsid w:val="6C547D55"/>
    <w:lvl w:ilvl="0">
      <w:isLgl w:val="false"/>
      <w:lvlJc w:val="left"/>
      <w:lvlText w:val="6.9.%1."/>
      <w:numFmt w:val="decimal"/>
      <w:pPr>
        <w:pBdr/>
        <w:tabs>
          <w:tab w:val="left" w:leader="none" w:pos="425"/>
        </w:tabs>
        <w:spacing/>
        <w:ind w:hanging="425" w:left="425"/>
      </w:pPr>
      <w:rPr>
        <w:rFonts w:hint="default"/>
        <w:b/>
        <w:bCs/>
      </w:rPr>
      <w:start w:val="6"/>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75">
    <w:nsid w:val="6E70DF81"/>
    <w:lvl w:ilvl="0">
      <w:isLgl w:val="false"/>
      <w:lvlJc w:val="left"/>
      <w:lvlText w:val="%1."/>
      <w:numFmt w:val="upperRoman"/>
      <w:pPr>
        <w:pBdr/>
        <w:tabs>
          <w:tab w:val="left" w:leader="none" w:pos="425"/>
        </w:tabs>
        <w:spacing/>
        <w:ind w:hanging="425" w:left="425"/>
      </w:pPr>
      <w:rPr>
        <w:rFonts w:hint="default"/>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76">
    <w:nsid w:val="6F06DDCA"/>
    <w:lvl w:ilvl="0">
      <w:isLgl w:val="false"/>
      <w:lvlJc w:val="left"/>
      <w:lvlText w:val="9.4%1."/>
      <w:numFmt w:val="decimal"/>
      <w:pPr>
        <w:pBdr/>
        <w:tabs>
          <w:tab w:val="left" w:leader="none" w:pos="454"/>
        </w:tabs>
        <w:spacing/>
        <w:ind w:hanging="454" w:left="454"/>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77">
    <w:nsid w:val="72A03C97"/>
    <w:lvl w:ilvl="0">
      <w:isLgl w:val="false"/>
      <w:lvlJc w:val="left"/>
      <w:lvlText w:val="%1."/>
      <w:numFmt w:val="upperRoman"/>
      <w:pPr>
        <w:pBdr/>
        <w:tabs>
          <w:tab w:val="left" w:leader="none" w:pos="425"/>
        </w:tabs>
        <w:spacing/>
        <w:ind w:hanging="425" w:left="425"/>
      </w:pPr>
      <w:rPr>
        <w:rFonts w:hint="default"/>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78">
    <w:nsid w:val="75369BCB"/>
    <w:lvl w:ilvl="0">
      <w:isLgl w:val="false"/>
      <w:lvlJc w:val="left"/>
      <w:lvlText w:val="6.%1."/>
      <w:numFmt w:val="decimal"/>
      <w:pPr>
        <w:pBdr/>
        <w:tabs>
          <w:tab w:val="left" w:leader="none" w:pos="454"/>
        </w:tabs>
        <w:spacing/>
        <w:ind w:hanging="454" w:left="454"/>
      </w:pPr>
      <w:rPr>
        <w:rFonts w:hint="default"/>
      </w:rPr>
      <w:start w:val="2"/>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79">
    <w:nsid w:val="77D2F285"/>
    <w:lvl w:ilvl="0">
      <w:isLgl w:val="false"/>
      <w:lvlJc w:val="left"/>
      <w:lvlText w:val="9.%1."/>
      <w:numFmt w:val="decimal"/>
      <w:pPr>
        <w:pBdr/>
        <w:tabs>
          <w:tab w:val="left" w:leader="none" w:pos="454"/>
        </w:tabs>
        <w:spacing/>
        <w:ind w:hanging="454" w:left="454"/>
      </w:pPr>
      <w:rPr>
        <w:rFonts w:hint="default"/>
        <w:b/>
        <w:bCs/>
      </w:rPr>
      <w:start w:val="7"/>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80">
    <w:nsid w:val="78D00D6A"/>
    <w:lvl w:ilvl="0">
      <w:isLgl w:val="false"/>
      <w:lvlJc w:val="left"/>
      <w:lvlText w:val="%1."/>
      <w:numFmt w:val="decimal"/>
      <w:pPr>
        <w:pBdr/>
        <w:spacing/>
        <w:ind w:hanging="360" w:left="720"/>
      </w:pPr>
      <w:rPr>
        <w:rFonts w:hint="default"/>
      </w:rPr>
      <w:start w:val="1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81">
    <w:nsid w:val="7A15D5D4"/>
    <w:lvl w:ilvl="0">
      <w:isLgl w:val="false"/>
      <w:lvlJc w:val="left"/>
      <w:lvlText w:val="9.9%1."/>
      <w:numFmt w:val="decimal"/>
      <w:pPr>
        <w:pBdr/>
        <w:tabs>
          <w:tab w:val="left" w:leader="none" w:pos="454"/>
        </w:tabs>
        <w:spacing/>
        <w:ind w:hanging="454" w:left="454"/>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82">
    <w:nsid w:val="7AA7BDEF"/>
    <w:lvl w:ilvl="0">
      <w:isLgl w:val="false"/>
      <w:lvlJc w:val="left"/>
      <w:lvlText w:val="9.8%1."/>
      <w:numFmt w:val="decimal"/>
      <w:pPr>
        <w:pBdr/>
        <w:tabs>
          <w:tab w:val="left" w:leader="none" w:pos="454"/>
        </w:tabs>
        <w:spacing/>
        <w:ind w:hanging="454" w:left="454"/>
      </w:pPr>
      <w:rPr>
        <w:rFonts w:hint="default"/>
        <w:b/>
        <w:bCs/>
      </w:rPr>
      <w:start w:val="9"/>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83">
    <w:nsid w:val="7B8881A8"/>
    <w:lvl w:ilvl="0">
      <w:isLgl w:val="false"/>
      <w:lvlJc w:val="left"/>
      <w:lvlText w:val="3.%1."/>
      <w:numFmt w:val="decimal"/>
      <w:pPr>
        <w:pBdr/>
        <w:tabs>
          <w:tab w:val="left" w:leader="none" w:pos="454"/>
        </w:tabs>
        <w:spacing/>
        <w:ind w:hanging="454" w:left="454"/>
      </w:pPr>
      <w:rPr>
        <w:rFonts w:hint="default"/>
        <w:b/>
        <w:bCs/>
      </w:rPr>
      <w:start w:val="2"/>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num w:numId="1">
    <w:abstractNumId w:val="10"/>
  </w:num>
  <w:num w:numId="2">
    <w:abstractNumId w:val="65"/>
  </w:num>
  <w:num w:numId="3">
    <w:abstractNumId w:val="28"/>
  </w:num>
  <w:num w:numId="4">
    <w:abstractNumId w:val="83"/>
  </w:num>
  <w:num w:numId="5">
    <w:abstractNumId w:val="64"/>
  </w:num>
  <w:num w:numId="6">
    <w:abstractNumId w:val="21"/>
  </w:num>
  <w:num w:numId="7">
    <w:abstractNumId w:val="18"/>
  </w:num>
  <w:num w:numId="8">
    <w:abstractNumId w:val="19"/>
  </w:num>
  <w:num w:numId="9">
    <w:abstractNumId w:val="42"/>
  </w:num>
  <w:num w:numId="10">
    <w:abstractNumId w:val="71"/>
  </w:num>
  <w:num w:numId="11">
    <w:abstractNumId w:val="60"/>
  </w:num>
  <w:num w:numId="12">
    <w:abstractNumId w:val="54"/>
  </w:num>
  <w:num w:numId="13">
    <w:abstractNumId w:val="26"/>
  </w:num>
  <w:num w:numId="14">
    <w:abstractNumId w:val="44"/>
  </w:num>
  <w:num w:numId="15">
    <w:abstractNumId w:val="70"/>
  </w:num>
  <w:num w:numId="16">
    <w:abstractNumId w:val="57"/>
  </w:num>
  <w:num w:numId="17">
    <w:abstractNumId w:val="40"/>
  </w:num>
  <w:num w:numId="18">
    <w:abstractNumId w:val="55"/>
  </w:num>
  <w:num w:numId="19">
    <w:abstractNumId w:val="78"/>
  </w:num>
  <w:num w:numId="20">
    <w:abstractNumId w:val="24"/>
  </w:num>
  <w:num w:numId="21">
    <w:abstractNumId w:val="23"/>
  </w:num>
  <w:num w:numId="22">
    <w:abstractNumId w:val="13"/>
  </w:num>
  <w:num w:numId="23">
    <w:abstractNumId w:val="38"/>
  </w:num>
  <w:num w:numId="24">
    <w:abstractNumId w:val="3"/>
  </w:num>
  <w:num w:numId="25">
    <w:abstractNumId w:val="25"/>
  </w:num>
  <w:num w:numId="26">
    <w:abstractNumId w:val="74"/>
  </w:num>
  <w:num w:numId="27">
    <w:abstractNumId w:val="6"/>
  </w:num>
  <w:num w:numId="28">
    <w:abstractNumId w:val="5"/>
  </w:num>
  <w:num w:numId="29">
    <w:abstractNumId w:val="11"/>
  </w:num>
  <w:num w:numId="30">
    <w:abstractNumId w:val="41"/>
  </w:num>
  <w:num w:numId="31">
    <w:abstractNumId w:val="48"/>
  </w:num>
  <w:num w:numId="32">
    <w:abstractNumId w:val="68"/>
  </w:num>
  <w:num w:numId="33">
    <w:abstractNumId w:val="12"/>
  </w:num>
  <w:num w:numId="34">
    <w:abstractNumId w:val="2"/>
  </w:num>
  <w:num w:numId="35">
    <w:abstractNumId w:val="47"/>
  </w:num>
  <w:num w:numId="36">
    <w:abstractNumId w:val="79"/>
  </w:num>
  <w:num w:numId="37">
    <w:abstractNumId w:val="61"/>
  </w:num>
  <w:num w:numId="38">
    <w:abstractNumId w:val="30"/>
  </w:num>
  <w:num w:numId="39">
    <w:abstractNumId w:val="34"/>
  </w:num>
  <w:num w:numId="40">
    <w:abstractNumId w:val="14"/>
  </w:num>
  <w:num w:numId="41">
    <w:abstractNumId w:val="58"/>
  </w:num>
  <w:num w:numId="42">
    <w:abstractNumId w:val="22"/>
  </w:num>
  <w:num w:numId="43">
    <w:abstractNumId w:val="7"/>
  </w:num>
  <w:num w:numId="44">
    <w:abstractNumId w:val="16"/>
  </w:num>
  <w:num w:numId="45">
    <w:abstractNumId w:val="46"/>
  </w:num>
  <w:num w:numId="46">
    <w:abstractNumId w:val="20"/>
  </w:num>
  <w:num w:numId="47">
    <w:abstractNumId w:val="32"/>
  </w:num>
  <w:num w:numId="48">
    <w:abstractNumId w:val="67"/>
  </w:num>
  <w:num w:numId="49">
    <w:abstractNumId w:val="29"/>
  </w:num>
  <w:num w:numId="50">
    <w:abstractNumId w:val="77"/>
  </w:num>
  <w:num w:numId="51">
    <w:abstractNumId w:val="76"/>
  </w:num>
  <w:num w:numId="52">
    <w:abstractNumId w:val="66"/>
  </w:num>
  <w:num w:numId="53">
    <w:abstractNumId w:val="27"/>
  </w:num>
  <w:num w:numId="54">
    <w:abstractNumId w:val="52"/>
  </w:num>
  <w:num w:numId="55">
    <w:abstractNumId w:val="36"/>
  </w:num>
  <w:num w:numId="56">
    <w:abstractNumId w:val="59"/>
  </w:num>
  <w:num w:numId="57">
    <w:abstractNumId w:val="9"/>
  </w:num>
  <w:num w:numId="58">
    <w:abstractNumId w:val="49"/>
  </w:num>
  <w:num w:numId="59">
    <w:abstractNumId w:val="51"/>
  </w:num>
  <w:num w:numId="60">
    <w:abstractNumId w:val="1"/>
  </w:num>
  <w:num w:numId="61">
    <w:abstractNumId w:val="43"/>
  </w:num>
  <w:num w:numId="62">
    <w:abstractNumId w:val="69"/>
  </w:num>
  <w:num w:numId="63">
    <w:abstractNumId w:val="35"/>
  </w:num>
  <w:num w:numId="64">
    <w:abstractNumId w:val="8"/>
  </w:num>
  <w:num w:numId="65">
    <w:abstractNumId w:val="82"/>
  </w:num>
  <w:num w:numId="66">
    <w:abstractNumId w:val="15"/>
  </w:num>
  <w:num w:numId="67">
    <w:abstractNumId w:val="33"/>
  </w:num>
  <w:num w:numId="68">
    <w:abstractNumId w:val="81"/>
  </w:num>
  <w:num w:numId="69">
    <w:abstractNumId w:val="53"/>
  </w:num>
  <w:num w:numId="70">
    <w:abstractNumId w:val="39"/>
  </w:num>
  <w:num w:numId="71">
    <w:abstractNumId w:val="72"/>
  </w:num>
  <w:num w:numId="72">
    <w:abstractNumId w:val="31"/>
  </w:num>
  <w:num w:numId="73">
    <w:abstractNumId w:val="17"/>
  </w:num>
  <w:num w:numId="74">
    <w:abstractNumId w:val="0"/>
  </w:num>
  <w:num w:numId="75">
    <w:abstractNumId w:val="62"/>
  </w:num>
  <w:num w:numId="76">
    <w:abstractNumId w:val="73"/>
  </w:num>
  <w:num w:numId="77">
    <w:abstractNumId w:val="37"/>
  </w:num>
  <w:num w:numId="78">
    <w:abstractNumId w:val="50"/>
  </w:num>
  <w:num w:numId="79">
    <w:abstractNumId w:val="75"/>
  </w:num>
  <w:num w:numId="80">
    <w:abstractNumId w:val="4"/>
  </w:num>
  <w:num w:numId="81">
    <w:abstractNumId w:val="63"/>
  </w:num>
  <w:num w:numId="82">
    <w:abstractNumId w:val="56"/>
  </w:num>
  <w:num w:numId="83">
    <w:abstractNumId w:val="80"/>
  </w:num>
  <w:num w:numId="84">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707"/>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doNotExpandShiftReturn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14">
    <w:name w:val="Table Grid Light"/>
    <w:basedOn w:val="1096"/>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Plain Table 1"/>
    <w:basedOn w:val="1096"/>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Plain Table 2"/>
    <w:basedOn w:val="1096"/>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Plain Table 3"/>
    <w:basedOn w:val="109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Plain Table 4"/>
    <w:basedOn w:val="109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Plain Table 5"/>
    <w:basedOn w:val="109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Grid Table 1 Light"/>
    <w:basedOn w:val="109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Grid Table 1 Light - Accent 1"/>
    <w:basedOn w:val="109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Grid Table 1 Light - Accent 2"/>
    <w:basedOn w:val="109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Grid Table 1 Light - Accent 3"/>
    <w:basedOn w:val="109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Grid Table 1 Light - Accent 4"/>
    <w:basedOn w:val="109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Grid Table 1 Light - Accent 5"/>
    <w:basedOn w:val="109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Grid Table 1 Light - Accent 6"/>
    <w:basedOn w:val="109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Grid Table 2"/>
    <w:basedOn w:val="109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Grid Table 2 - Accent 1"/>
    <w:basedOn w:val="109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Grid Table 2 - Accent 2"/>
    <w:basedOn w:val="109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Grid Table 2 - Accent 3"/>
    <w:basedOn w:val="109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Grid Table 2 - Accent 4"/>
    <w:basedOn w:val="109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Grid Table 2 - Accent 5"/>
    <w:basedOn w:val="109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Grid Table 2 - Accent 6"/>
    <w:basedOn w:val="109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Grid Table 3"/>
    <w:basedOn w:val="109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Grid Table 3 - Accent 1"/>
    <w:basedOn w:val="109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Grid Table 3 - Accent 2"/>
    <w:basedOn w:val="109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Grid Table 3 - Accent 3"/>
    <w:basedOn w:val="109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Grid Table 3 - Accent 4"/>
    <w:basedOn w:val="109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Grid Table 3 - Accent 5"/>
    <w:basedOn w:val="109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Grid Table 3 - Accent 6"/>
    <w:basedOn w:val="109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Grid Table 4"/>
    <w:basedOn w:val="109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Grid Table 4 - Accent 1"/>
    <w:basedOn w:val="109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Grid Table 4 - Accent 2"/>
    <w:basedOn w:val="109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Grid Table 4 - Accent 3"/>
    <w:basedOn w:val="109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Grid Table 4 - Accent 4"/>
    <w:basedOn w:val="109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Grid Table 4 - Accent 5"/>
    <w:basedOn w:val="109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Grid Table 4 - Accent 6"/>
    <w:basedOn w:val="109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Grid Table 5 Dark"/>
    <w:basedOn w:val="109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Grid Table 5 Dark- Accent 1"/>
    <w:basedOn w:val="109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Grid Table 5 Dark - Accent 2"/>
    <w:basedOn w:val="109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Grid Table 5 Dark - Accent 3"/>
    <w:basedOn w:val="109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Grid Table 5 Dark- Accent 4"/>
    <w:basedOn w:val="109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Grid Table 5 Dark - Accent 5"/>
    <w:basedOn w:val="109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Grid Table 5 Dark - Accent 6"/>
    <w:basedOn w:val="109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Grid Table 6 Colorful"/>
    <w:basedOn w:val="109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56">
    <w:name w:val="Grid Table 6 Colorful - Accent 1"/>
    <w:basedOn w:val="109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57">
    <w:name w:val="Grid Table 6 Colorful - Accent 2"/>
    <w:basedOn w:val="109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58">
    <w:name w:val="Grid Table 6 Colorful - Accent 3"/>
    <w:basedOn w:val="109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59">
    <w:name w:val="Grid Table 6 Colorful - Accent 4"/>
    <w:basedOn w:val="109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60">
    <w:name w:val="Grid Table 6 Colorful - Accent 5"/>
    <w:basedOn w:val="109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61">
    <w:name w:val="Grid Table 6 Colorful - Accent 6"/>
    <w:basedOn w:val="109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62">
    <w:name w:val="Grid Table 7 Colorful"/>
    <w:basedOn w:val="109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Grid Table 7 Colorful - Accent 1"/>
    <w:basedOn w:val="109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Grid Table 7 Colorful - Accent 2"/>
    <w:basedOn w:val="109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Grid Table 7 Colorful - Accent 3"/>
    <w:basedOn w:val="109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16161"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Grid Table 7 Colorful - Accent 4"/>
    <w:basedOn w:val="109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Grid Table 7 Colorful - Accent 5"/>
    <w:basedOn w:val="109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Grid Table 7 Colorful - Accent 6"/>
    <w:basedOn w:val="109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List Table 1 Light"/>
    <w:basedOn w:val="109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List Table 1 Light - Accent 1"/>
    <w:basedOn w:val="109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List Table 1 Light - Accent 2"/>
    <w:basedOn w:val="109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List Table 1 Light - Accent 3"/>
    <w:basedOn w:val="109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List Table 1 Light - Accent 4"/>
    <w:basedOn w:val="109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List Table 1 Light - Accent 5"/>
    <w:basedOn w:val="109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List Table 1 Light - Accent 6"/>
    <w:basedOn w:val="109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List Table 2"/>
    <w:basedOn w:val="109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List Table 2 - Accent 1"/>
    <w:basedOn w:val="109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List Table 2 - Accent 2"/>
    <w:basedOn w:val="109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List Table 2 - Accent 3"/>
    <w:basedOn w:val="109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List Table 2 - Accent 4"/>
    <w:basedOn w:val="109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name w:val="List Table 2 - Accent 5"/>
    <w:basedOn w:val="109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name w:val="List Table 2 - Accent 6"/>
    <w:basedOn w:val="109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name w:val="List Table 3"/>
    <w:basedOn w:val="109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name w:val="List Table 3 - Accent 1"/>
    <w:basedOn w:val="109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name w:val="List Table 3 - Accent 2"/>
    <w:basedOn w:val="109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List Table 3 - Accent 3"/>
    <w:basedOn w:val="109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List Table 3 - Accent 4"/>
    <w:basedOn w:val="109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List Table 3 - Accent 5"/>
    <w:basedOn w:val="109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List Table 3 - Accent 6"/>
    <w:basedOn w:val="109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List Table 4"/>
    <w:basedOn w:val="109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List Table 4 - Accent 1"/>
    <w:basedOn w:val="109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List Table 4 - Accent 2"/>
    <w:basedOn w:val="109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name w:val="List Table 4 - Accent 3"/>
    <w:basedOn w:val="109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name w:val="List Table 4 - Accent 4"/>
    <w:basedOn w:val="109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name w:val="List Table 4 - Accent 5"/>
    <w:basedOn w:val="109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name w:val="List Table 4 - Accent 6"/>
    <w:basedOn w:val="109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name w:val="List Table 5 Dark"/>
    <w:basedOn w:val="109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8">
    <w:name w:val="List Table 5 Dark - Accent 1"/>
    <w:basedOn w:val="109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9">
    <w:name w:val="List Table 5 Dark - Accent 2"/>
    <w:basedOn w:val="109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0">
    <w:name w:val="List Table 5 Dark - Accent 3"/>
    <w:basedOn w:val="109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1">
    <w:name w:val="List Table 5 Dark - Accent 4"/>
    <w:basedOn w:val="109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2">
    <w:name w:val="List Table 5 Dark - Accent 5"/>
    <w:basedOn w:val="109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3">
    <w:name w:val="List Table 5 Dark - Accent 6"/>
    <w:basedOn w:val="109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4">
    <w:name w:val="List Table 6 Colorful"/>
    <w:basedOn w:val="109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5">
    <w:name w:val="List Table 6 Colorful - Accent 1"/>
    <w:basedOn w:val="109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6">
    <w:name w:val="List Table 6 Colorful - Accent 2"/>
    <w:basedOn w:val="109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7">
    <w:name w:val="List Table 6 Colorful - Accent 3"/>
    <w:basedOn w:val="109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8">
    <w:name w:val="List Table 6 Colorful - Accent 4"/>
    <w:basedOn w:val="109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9">
    <w:name w:val="List Table 6 Colorful - Accent 5"/>
    <w:basedOn w:val="109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0">
    <w:name w:val="List Table 6 Colorful - Accent 6"/>
    <w:basedOn w:val="109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1">
    <w:name w:val="List Table 7 Colorful"/>
    <w:basedOn w:val="109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012">
    <w:name w:val="List Table 7 Colorful - Accent 1"/>
    <w:basedOn w:val="109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013">
    <w:name w:val="List Table 7 Colorful - Accent 2"/>
    <w:basedOn w:val="109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014">
    <w:name w:val="List Table 7 Colorful - Accent 3"/>
    <w:basedOn w:val="109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67676"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015">
    <w:name w:val="List Table 7 Colorful - Accent 4"/>
    <w:basedOn w:val="109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016">
    <w:name w:val="List Table 7 Colorful - Accent 5"/>
    <w:basedOn w:val="109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aa1"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017">
    <w:name w:val="List Table 7 Colorful - Accent 6"/>
    <w:basedOn w:val="109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018">
    <w:name w:val="Lined - Accent"/>
    <w:basedOn w:val="109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9">
    <w:name w:val="Lined - Accent 1"/>
    <w:basedOn w:val="109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0">
    <w:name w:val="Lined - Accent 2"/>
    <w:basedOn w:val="109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1">
    <w:name w:val="Lined - Accent 3"/>
    <w:basedOn w:val="109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2">
    <w:name w:val="Lined - Accent 4"/>
    <w:basedOn w:val="109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3">
    <w:name w:val="Lined - Accent 5"/>
    <w:basedOn w:val="109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4">
    <w:name w:val="Lined - Accent 6"/>
    <w:basedOn w:val="109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name w:val="Bordered &amp; Lined - Accent"/>
    <w:basedOn w:val="109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name w:val="Bordered &amp; Lined - Accent 1"/>
    <w:basedOn w:val="109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name w:val="Bordered &amp; Lined - Accent 2"/>
    <w:basedOn w:val="109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name w:val="Bordered &amp; Lined - Accent 3"/>
    <w:basedOn w:val="109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name w:val="Bordered &amp; Lined - Accent 4"/>
    <w:basedOn w:val="109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0">
    <w:name w:val="Bordered &amp; Lined - Accent 5"/>
    <w:basedOn w:val="109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1">
    <w:name w:val="Bordered &amp; Lined - Accent 6"/>
    <w:basedOn w:val="109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2">
    <w:name w:val="Bordered"/>
    <w:basedOn w:val="109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3">
    <w:name w:val="Bordered - Accent 1"/>
    <w:basedOn w:val="109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4">
    <w:name w:val="Bordered - Accent 2"/>
    <w:basedOn w:val="109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5">
    <w:name w:val="Bordered - Accent 3"/>
    <w:basedOn w:val="109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6">
    <w:name w:val="Bordered - Accent 4"/>
    <w:basedOn w:val="109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7">
    <w:name w:val="Bordered - Accent 5"/>
    <w:basedOn w:val="109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8">
    <w:name w:val="Bordered - Accent 6"/>
    <w:basedOn w:val="109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39">
    <w:name w:val="Heading 1"/>
    <w:basedOn w:val="1093"/>
    <w:next w:val="1093"/>
    <w:link w:val="1048"/>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040">
    <w:name w:val="Heading 2"/>
    <w:basedOn w:val="1093"/>
    <w:next w:val="1093"/>
    <w:link w:val="1049"/>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041">
    <w:name w:val="Heading 4"/>
    <w:basedOn w:val="1093"/>
    <w:next w:val="1093"/>
    <w:link w:val="1051"/>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042">
    <w:name w:val="Heading 5"/>
    <w:basedOn w:val="1093"/>
    <w:next w:val="1093"/>
    <w:link w:val="1052"/>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043">
    <w:name w:val="Heading 6"/>
    <w:basedOn w:val="1093"/>
    <w:next w:val="1093"/>
    <w:link w:val="1053"/>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044">
    <w:name w:val="Heading 7"/>
    <w:basedOn w:val="1093"/>
    <w:next w:val="1093"/>
    <w:link w:val="1054"/>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045">
    <w:name w:val="Heading 8"/>
    <w:basedOn w:val="1093"/>
    <w:next w:val="1093"/>
    <w:link w:val="1055"/>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046">
    <w:name w:val="Heading 9"/>
    <w:basedOn w:val="1093"/>
    <w:next w:val="1093"/>
    <w:link w:val="1056"/>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numbering" w:styleId="1047" w:default="1">
    <w:name w:val="No List"/>
    <w:uiPriority w:val="99"/>
    <w:semiHidden/>
    <w:unhideWhenUsed/>
    <w:pPr>
      <w:pBdr/>
      <w:spacing/>
      <w:ind/>
    </w:pPr>
  </w:style>
  <w:style w:type="character" w:styleId="1048">
    <w:name w:val="Heading 1 Char"/>
    <w:basedOn w:val="1095"/>
    <w:link w:val="1039"/>
    <w:uiPriority w:val="9"/>
    <w:pPr>
      <w:pBdr/>
      <w:spacing/>
      <w:ind/>
    </w:pPr>
    <w:rPr>
      <w:rFonts w:ascii="Arial" w:hAnsi="Arial" w:eastAsia="Arial" w:cs="Arial"/>
      <w:color w:val="0f4761" w:themeColor="accent1" w:themeShade="BF"/>
      <w:sz w:val="40"/>
      <w:szCs w:val="40"/>
    </w:rPr>
  </w:style>
  <w:style w:type="character" w:styleId="1049">
    <w:name w:val="Heading 2 Char"/>
    <w:basedOn w:val="1095"/>
    <w:link w:val="1040"/>
    <w:uiPriority w:val="9"/>
    <w:pPr>
      <w:pBdr/>
      <w:spacing/>
      <w:ind/>
    </w:pPr>
    <w:rPr>
      <w:rFonts w:ascii="Arial" w:hAnsi="Arial" w:eastAsia="Arial" w:cs="Arial"/>
      <w:color w:val="0f4761" w:themeColor="accent1" w:themeShade="BF"/>
      <w:sz w:val="32"/>
      <w:szCs w:val="32"/>
    </w:rPr>
  </w:style>
  <w:style w:type="character" w:styleId="1050">
    <w:name w:val="Heading 3 Char"/>
    <w:basedOn w:val="1095"/>
    <w:link w:val="1094"/>
    <w:uiPriority w:val="9"/>
    <w:pPr>
      <w:pBdr/>
      <w:spacing/>
      <w:ind/>
    </w:pPr>
    <w:rPr>
      <w:rFonts w:ascii="Arial" w:hAnsi="Arial" w:eastAsia="Arial" w:cs="Arial"/>
      <w:color w:val="0f4761" w:themeColor="accent1" w:themeShade="BF"/>
      <w:sz w:val="28"/>
      <w:szCs w:val="28"/>
    </w:rPr>
  </w:style>
  <w:style w:type="character" w:styleId="1051">
    <w:name w:val="Heading 4 Char"/>
    <w:basedOn w:val="1095"/>
    <w:link w:val="1041"/>
    <w:uiPriority w:val="9"/>
    <w:pPr>
      <w:pBdr/>
      <w:spacing/>
      <w:ind/>
    </w:pPr>
    <w:rPr>
      <w:rFonts w:ascii="Arial" w:hAnsi="Arial" w:eastAsia="Arial" w:cs="Arial"/>
      <w:i/>
      <w:iCs/>
      <w:color w:val="0f4761" w:themeColor="accent1" w:themeShade="BF"/>
    </w:rPr>
  </w:style>
  <w:style w:type="character" w:styleId="1052">
    <w:name w:val="Heading 5 Char"/>
    <w:basedOn w:val="1095"/>
    <w:link w:val="1042"/>
    <w:uiPriority w:val="9"/>
    <w:pPr>
      <w:pBdr/>
      <w:spacing/>
      <w:ind/>
    </w:pPr>
    <w:rPr>
      <w:rFonts w:ascii="Arial" w:hAnsi="Arial" w:eastAsia="Arial" w:cs="Arial"/>
      <w:color w:val="0f4761" w:themeColor="accent1" w:themeShade="BF"/>
    </w:rPr>
  </w:style>
  <w:style w:type="character" w:styleId="1053">
    <w:name w:val="Heading 6 Char"/>
    <w:basedOn w:val="1095"/>
    <w:link w:val="1043"/>
    <w:uiPriority w:val="9"/>
    <w:pPr>
      <w:pBdr/>
      <w:spacing/>
      <w:ind/>
    </w:pPr>
    <w:rPr>
      <w:rFonts w:ascii="Arial" w:hAnsi="Arial" w:eastAsia="Arial" w:cs="Arial"/>
      <w:i/>
      <w:iCs/>
      <w:color w:val="595959" w:themeColor="text1" w:themeTint="A6"/>
    </w:rPr>
  </w:style>
  <w:style w:type="character" w:styleId="1054">
    <w:name w:val="Heading 7 Char"/>
    <w:basedOn w:val="1095"/>
    <w:link w:val="1044"/>
    <w:uiPriority w:val="9"/>
    <w:pPr>
      <w:pBdr/>
      <w:spacing/>
      <w:ind/>
    </w:pPr>
    <w:rPr>
      <w:rFonts w:ascii="Arial" w:hAnsi="Arial" w:eastAsia="Arial" w:cs="Arial"/>
      <w:color w:val="595959" w:themeColor="text1" w:themeTint="A6"/>
    </w:rPr>
  </w:style>
  <w:style w:type="character" w:styleId="1055">
    <w:name w:val="Heading 8 Char"/>
    <w:basedOn w:val="1095"/>
    <w:link w:val="1045"/>
    <w:uiPriority w:val="9"/>
    <w:pPr>
      <w:pBdr/>
      <w:spacing/>
      <w:ind/>
    </w:pPr>
    <w:rPr>
      <w:rFonts w:ascii="Arial" w:hAnsi="Arial" w:eastAsia="Arial" w:cs="Arial"/>
      <w:i/>
      <w:iCs/>
      <w:color w:val="272727" w:themeColor="text1" w:themeTint="D8"/>
    </w:rPr>
  </w:style>
  <w:style w:type="character" w:styleId="1056">
    <w:name w:val="Heading 9 Char"/>
    <w:basedOn w:val="1095"/>
    <w:link w:val="1046"/>
    <w:uiPriority w:val="9"/>
    <w:pPr>
      <w:pBdr/>
      <w:spacing/>
      <w:ind/>
    </w:pPr>
    <w:rPr>
      <w:rFonts w:ascii="Arial" w:hAnsi="Arial" w:eastAsia="Arial" w:cs="Arial"/>
      <w:i/>
      <w:iCs/>
      <w:color w:val="272727" w:themeColor="text1" w:themeTint="D8"/>
    </w:rPr>
  </w:style>
  <w:style w:type="paragraph" w:styleId="1057">
    <w:name w:val="Title"/>
    <w:basedOn w:val="1093"/>
    <w:next w:val="1093"/>
    <w:link w:val="1058"/>
    <w:uiPriority w:val="10"/>
    <w:qFormat/>
    <w:pPr>
      <w:pBdr/>
      <w:spacing w:after="80" w:line="240" w:lineRule="auto"/>
      <w:ind/>
      <w:contextualSpacing w:val="true"/>
    </w:pPr>
    <w:rPr>
      <w:rFonts w:ascii="Arial" w:hAnsi="Arial" w:eastAsia="Arial" w:cs="Arial"/>
      <w:spacing w:val="-10"/>
      <w:sz w:val="56"/>
      <w:szCs w:val="56"/>
    </w:rPr>
  </w:style>
  <w:style w:type="character" w:styleId="1058">
    <w:name w:val="Title Char"/>
    <w:basedOn w:val="1095"/>
    <w:link w:val="1057"/>
    <w:uiPriority w:val="10"/>
    <w:pPr>
      <w:pBdr/>
      <w:spacing/>
      <w:ind/>
    </w:pPr>
    <w:rPr>
      <w:rFonts w:ascii="Arial" w:hAnsi="Arial" w:eastAsia="Arial" w:cs="Arial"/>
      <w:spacing w:val="-10"/>
      <w:sz w:val="56"/>
      <w:szCs w:val="56"/>
    </w:rPr>
  </w:style>
  <w:style w:type="paragraph" w:styleId="1059">
    <w:name w:val="Subtitle"/>
    <w:basedOn w:val="1093"/>
    <w:next w:val="1093"/>
    <w:link w:val="1060"/>
    <w:uiPriority w:val="11"/>
    <w:qFormat/>
    <w:pPr>
      <w:numPr>
        <w:ilvl w:val="1"/>
      </w:numPr>
      <w:pBdr/>
      <w:spacing/>
      <w:ind/>
    </w:pPr>
    <w:rPr>
      <w:color w:val="595959" w:themeColor="text1" w:themeTint="A6"/>
      <w:spacing w:val="15"/>
      <w:sz w:val="28"/>
      <w:szCs w:val="28"/>
    </w:rPr>
  </w:style>
  <w:style w:type="character" w:styleId="1060">
    <w:name w:val="Subtitle Char"/>
    <w:basedOn w:val="1095"/>
    <w:link w:val="1059"/>
    <w:uiPriority w:val="11"/>
    <w:pPr>
      <w:pBdr/>
      <w:spacing/>
      <w:ind/>
    </w:pPr>
    <w:rPr>
      <w:color w:val="595959" w:themeColor="text1" w:themeTint="A6"/>
      <w:spacing w:val="15"/>
      <w:sz w:val="28"/>
      <w:szCs w:val="28"/>
    </w:rPr>
  </w:style>
  <w:style w:type="paragraph" w:styleId="1061">
    <w:name w:val="Quote"/>
    <w:basedOn w:val="1093"/>
    <w:next w:val="1093"/>
    <w:link w:val="1062"/>
    <w:uiPriority w:val="29"/>
    <w:qFormat/>
    <w:pPr>
      <w:pBdr/>
      <w:spacing w:before="160"/>
      <w:ind/>
      <w:jc w:val="center"/>
    </w:pPr>
    <w:rPr>
      <w:i/>
      <w:iCs/>
      <w:color w:val="404040" w:themeColor="text1" w:themeTint="BF"/>
    </w:rPr>
  </w:style>
  <w:style w:type="character" w:styleId="1062">
    <w:name w:val="Quote Char"/>
    <w:basedOn w:val="1095"/>
    <w:link w:val="1061"/>
    <w:uiPriority w:val="29"/>
    <w:pPr>
      <w:pBdr/>
      <w:spacing/>
      <w:ind/>
    </w:pPr>
    <w:rPr>
      <w:i/>
      <w:iCs/>
      <w:color w:val="404040" w:themeColor="text1" w:themeTint="BF"/>
    </w:rPr>
  </w:style>
  <w:style w:type="character" w:styleId="1063">
    <w:name w:val="Intense Emphasis"/>
    <w:basedOn w:val="1095"/>
    <w:uiPriority w:val="21"/>
    <w:qFormat/>
    <w:pPr>
      <w:pBdr/>
      <w:spacing/>
      <w:ind/>
    </w:pPr>
    <w:rPr>
      <w:i/>
      <w:iCs/>
      <w:color w:val="0f4761" w:themeColor="accent1" w:themeShade="BF"/>
    </w:rPr>
  </w:style>
  <w:style w:type="paragraph" w:styleId="1064">
    <w:name w:val="Intense Quote"/>
    <w:basedOn w:val="1093"/>
    <w:next w:val="1093"/>
    <w:link w:val="1065"/>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065">
    <w:name w:val="Intense Quote Char"/>
    <w:basedOn w:val="1095"/>
    <w:link w:val="1064"/>
    <w:uiPriority w:val="30"/>
    <w:pPr>
      <w:pBdr/>
      <w:spacing/>
      <w:ind/>
    </w:pPr>
    <w:rPr>
      <w:i/>
      <w:iCs/>
      <w:color w:val="0f4761" w:themeColor="accent1" w:themeShade="BF"/>
    </w:rPr>
  </w:style>
  <w:style w:type="character" w:styleId="1066">
    <w:name w:val="Intense Reference"/>
    <w:basedOn w:val="1095"/>
    <w:uiPriority w:val="32"/>
    <w:qFormat/>
    <w:pPr>
      <w:pBdr/>
      <w:spacing/>
      <w:ind/>
    </w:pPr>
    <w:rPr>
      <w:b/>
      <w:bCs/>
      <w:smallCaps/>
      <w:color w:val="0f4761" w:themeColor="accent1" w:themeShade="BF"/>
      <w:spacing w:val="5"/>
    </w:rPr>
  </w:style>
  <w:style w:type="character" w:styleId="1067">
    <w:name w:val="Subtle Emphasis"/>
    <w:basedOn w:val="1095"/>
    <w:uiPriority w:val="19"/>
    <w:qFormat/>
    <w:pPr>
      <w:pBdr/>
      <w:spacing/>
      <w:ind/>
    </w:pPr>
    <w:rPr>
      <w:i/>
      <w:iCs/>
      <w:color w:val="404040" w:themeColor="text1" w:themeTint="BF"/>
    </w:rPr>
  </w:style>
  <w:style w:type="character" w:styleId="1068">
    <w:name w:val="Emphasis"/>
    <w:basedOn w:val="1095"/>
    <w:uiPriority w:val="20"/>
    <w:qFormat/>
    <w:pPr>
      <w:pBdr/>
      <w:spacing/>
      <w:ind/>
    </w:pPr>
    <w:rPr>
      <w:i/>
      <w:iCs/>
    </w:rPr>
  </w:style>
  <w:style w:type="character" w:styleId="1069">
    <w:name w:val="Subtle Reference"/>
    <w:basedOn w:val="1095"/>
    <w:uiPriority w:val="31"/>
    <w:qFormat/>
    <w:pPr>
      <w:pBdr/>
      <w:spacing/>
      <w:ind/>
    </w:pPr>
    <w:rPr>
      <w:smallCaps/>
      <w:color w:val="5a5a5a" w:themeColor="text1" w:themeTint="A5"/>
    </w:rPr>
  </w:style>
  <w:style w:type="character" w:styleId="1070">
    <w:name w:val="Book Title"/>
    <w:basedOn w:val="1095"/>
    <w:uiPriority w:val="33"/>
    <w:qFormat/>
    <w:pPr>
      <w:pBdr/>
      <w:spacing/>
      <w:ind/>
    </w:pPr>
    <w:rPr>
      <w:b/>
      <w:bCs/>
      <w:i/>
      <w:iCs/>
      <w:spacing w:val="5"/>
    </w:rPr>
  </w:style>
  <w:style w:type="character" w:styleId="1071">
    <w:name w:val="Header Char"/>
    <w:basedOn w:val="1095"/>
    <w:link w:val="1101"/>
    <w:uiPriority w:val="99"/>
    <w:pPr>
      <w:pBdr/>
      <w:spacing/>
      <w:ind/>
    </w:pPr>
  </w:style>
  <w:style w:type="character" w:styleId="1072">
    <w:name w:val="Footer Char"/>
    <w:basedOn w:val="1095"/>
    <w:link w:val="1102"/>
    <w:uiPriority w:val="99"/>
    <w:pPr>
      <w:pBdr/>
      <w:spacing/>
      <w:ind/>
    </w:pPr>
  </w:style>
  <w:style w:type="paragraph" w:styleId="1073">
    <w:name w:val="Caption"/>
    <w:basedOn w:val="1093"/>
    <w:next w:val="1093"/>
    <w:uiPriority w:val="35"/>
    <w:unhideWhenUsed/>
    <w:qFormat/>
    <w:pPr>
      <w:pBdr/>
      <w:spacing w:after="200" w:line="240" w:lineRule="auto"/>
      <w:ind/>
    </w:pPr>
    <w:rPr>
      <w:i/>
      <w:iCs/>
      <w:color w:val="0e2841" w:themeColor="text2"/>
      <w:sz w:val="18"/>
      <w:szCs w:val="18"/>
    </w:rPr>
  </w:style>
  <w:style w:type="paragraph" w:styleId="1074">
    <w:name w:val="footnote text"/>
    <w:basedOn w:val="1093"/>
    <w:link w:val="1075"/>
    <w:uiPriority w:val="99"/>
    <w:semiHidden/>
    <w:unhideWhenUsed/>
    <w:pPr>
      <w:pBdr/>
      <w:spacing w:after="0" w:line="240" w:lineRule="auto"/>
      <w:ind/>
    </w:pPr>
    <w:rPr>
      <w:sz w:val="20"/>
      <w:szCs w:val="20"/>
    </w:rPr>
  </w:style>
  <w:style w:type="character" w:styleId="1075">
    <w:name w:val="Footnote Text Char"/>
    <w:basedOn w:val="1095"/>
    <w:link w:val="1074"/>
    <w:uiPriority w:val="99"/>
    <w:semiHidden/>
    <w:pPr>
      <w:pBdr/>
      <w:spacing/>
      <w:ind/>
    </w:pPr>
    <w:rPr>
      <w:sz w:val="20"/>
      <w:szCs w:val="20"/>
    </w:rPr>
  </w:style>
  <w:style w:type="character" w:styleId="1076">
    <w:name w:val="footnote reference"/>
    <w:basedOn w:val="1095"/>
    <w:uiPriority w:val="99"/>
    <w:semiHidden/>
    <w:unhideWhenUsed/>
    <w:pPr>
      <w:pBdr/>
      <w:spacing/>
      <w:ind/>
    </w:pPr>
    <w:rPr>
      <w:vertAlign w:val="superscript"/>
    </w:rPr>
  </w:style>
  <w:style w:type="paragraph" w:styleId="1077">
    <w:name w:val="endnote text"/>
    <w:basedOn w:val="1093"/>
    <w:link w:val="1078"/>
    <w:uiPriority w:val="99"/>
    <w:semiHidden/>
    <w:unhideWhenUsed/>
    <w:pPr>
      <w:pBdr/>
      <w:spacing w:after="0" w:line="240" w:lineRule="auto"/>
      <w:ind/>
    </w:pPr>
    <w:rPr>
      <w:sz w:val="20"/>
      <w:szCs w:val="20"/>
    </w:rPr>
  </w:style>
  <w:style w:type="character" w:styleId="1078">
    <w:name w:val="Endnote Text Char"/>
    <w:basedOn w:val="1095"/>
    <w:link w:val="1077"/>
    <w:uiPriority w:val="99"/>
    <w:semiHidden/>
    <w:pPr>
      <w:pBdr/>
      <w:spacing/>
      <w:ind/>
    </w:pPr>
    <w:rPr>
      <w:sz w:val="20"/>
      <w:szCs w:val="20"/>
    </w:rPr>
  </w:style>
  <w:style w:type="character" w:styleId="1079">
    <w:name w:val="endnote reference"/>
    <w:basedOn w:val="1095"/>
    <w:uiPriority w:val="99"/>
    <w:semiHidden/>
    <w:unhideWhenUsed/>
    <w:pPr>
      <w:pBdr/>
      <w:spacing/>
      <w:ind/>
    </w:pPr>
    <w:rPr>
      <w:vertAlign w:val="superscript"/>
    </w:rPr>
  </w:style>
  <w:style w:type="character" w:styleId="1080">
    <w:name w:val="FollowedHyperlink"/>
    <w:basedOn w:val="1095"/>
    <w:uiPriority w:val="99"/>
    <w:semiHidden/>
    <w:unhideWhenUsed/>
    <w:pPr>
      <w:pBdr/>
      <w:spacing/>
      <w:ind/>
    </w:pPr>
    <w:rPr>
      <w:color w:val="954f72" w:themeColor="followedHyperlink"/>
      <w:u w:val="single"/>
    </w:rPr>
  </w:style>
  <w:style w:type="paragraph" w:styleId="1081">
    <w:name w:val="toc 1"/>
    <w:basedOn w:val="1093"/>
    <w:next w:val="1093"/>
    <w:uiPriority w:val="39"/>
    <w:unhideWhenUsed/>
    <w:pPr>
      <w:pBdr/>
      <w:spacing w:after="100"/>
      <w:ind/>
    </w:pPr>
  </w:style>
  <w:style w:type="paragraph" w:styleId="1082">
    <w:name w:val="toc 2"/>
    <w:basedOn w:val="1093"/>
    <w:next w:val="1093"/>
    <w:uiPriority w:val="39"/>
    <w:unhideWhenUsed/>
    <w:pPr>
      <w:pBdr/>
      <w:spacing w:after="100"/>
      <w:ind w:left="220"/>
    </w:pPr>
  </w:style>
  <w:style w:type="paragraph" w:styleId="1083">
    <w:name w:val="toc 3"/>
    <w:basedOn w:val="1093"/>
    <w:next w:val="1093"/>
    <w:uiPriority w:val="39"/>
    <w:unhideWhenUsed/>
    <w:pPr>
      <w:pBdr/>
      <w:spacing w:after="100"/>
      <w:ind w:left="440"/>
    </w:pPr>
  </w:style>
  <w:style w:type="paragraph" w:styleId="1084">
    <w:name w:val="toc 4"/>
    <w:basedOn w:val="1093"/>
    <w:next w:val="1093"/>
    <w:uiPriority w:val="39"/>
    <w:unhideWhenUsed/>
    <w:pPr>
      <w:pBdr/>
      <w:spacing w:after="100"/>
      <w:ind w:left="660"/>
    </w:pPr>
  </w:style>
  <w:style w:type="paragraph" w:styleId="1085">
    <w:name w:val="toc 5"/>
    <w:basedOn w:val="1093"/>
    <w:next w:val="1093"/>
    <w:uiPriority w:val="39"/>
    <w:unhideWhenUsed/>
    <w:pPr>
      <w:pBdr/>
      <w:spacing w:after="100"/>
      <w:ind w:left="880"/>
    </w:pPr>
  </w:style>
  <w:style w:type="paragraph" w:styleId="1086">
    <w:name w:val="toc 6"/>
    <w:basedOn w:val="1093"/>
    <w:next w:val="1093"/>
    <w:uiPriority w:val="39"/>
    <w:unhideWhenUsed/>
    <w:pPr>
      <w:pBdr/>
      <w:spacing w:after="100"/>
      <w:ind w:left="1100"/>
    </w:pPr>
  </w:style>
  <w:style w:type="paragraph" w:styleId="1087">
    <w:name w:val="toc 7"/>
    <w:basedOn w:val="1093"/>
    <w:next w:val="1093"/>
    <w:uiPriority w:val="39"/>
    <w:unhideWhenUsed/>
    <w:pPr>
      <w:pBdr/>
      <w:spacing w:after="100"/>
      <w:ind w:left="1320"/>
    </w:pPr>
  </w:style>
  <w:style w:type="paragraph" w:styleId="1088">
    <w:name w:val="toc 8"/>
    <w:basedOn w:val="1093"/>
    <w:next w:val="1093"/>
    <w:uiPriority w:val="39"/>
    <w:unhideWhenUsed/>
    <w:pPr>
      <w:pBdr/>
      <w:spacing w:after="100"/>
      <w:ind w:left="1540"/>
    </w:pPr>
  </w:style>
  <w:style w:type="paragraph" w:styleId="1089">
    <w:name w:val="toc 9"/>
    <w:basedOn w:val="1093"/>
    <w:next w:val="1093"/>
    <w:uiPriority w:val="39"/>
    <w:unhideWhenUsed/>
    <w:pPr>
      <w:pBdr/>
      <w:spacing w:after="100"/>
      <w:ind w:left="1760"/>
    </w:pPr>
  </w:style>
  <w:style w:type="character" w:styleId="1090">
    <w:name w:val="Placeholder Text"/>
    <w:basedOn w:val="1095"/>
    <w:uiPriority w:val="99"/>
    <w:semiHidden/>
    <w:pPr>
      <w:pBdr/>
      <w:spacing/>
      <w:ind/>
    </w:pPr>
    <w:rPr>
      <w:color w:val="666666"/>
    </w:rPr>
  </w:style>
  <w:style w:type="paragraph" w:styleId="1091">
    <w:name w:val="TOC Heading"/>
    <w:uiPriority w:val="39"/>
    <w:unhideWhenUsed/>
    <w:pPr>
      <w:pBdr/>
      <w:spacing/>
      <w:ind/>
    </w:pPr>
  </w:style>
  <w:style w:type="paragraph" w:styleId="1092">
    <w:name w:val="table of figures"/>
    <w:basedOn w:val="1093"/>
    <w:next w:val="1093"/>
    <w:uiPriority w:val="99"/>
    <w:unhideWhenUsed/>
    <w:pPr>
      <w:pBdr/>
      <w:spacing w:after="0" w:afterAutospacing="0"/>
      <w:ind/>
    </w:pPr>
  </w:style>
  <w:style w:type="paragraph" w:styleId="1093" w:default="1">
    <w:name w:val="Normal"/>
    <w:uiPriority w:val="0"/>
    <w:qFormat/>
    <w:pPr>
      <w:pBdr/>
      <w:spacing/>
      <w:ind/>
    </w:pPr>
    <w:rPr>
      <w:rFonts w:asciiTheme="minorHAnsi" w:hAnsiTheme="minorHAnsi" w:eastAsiaTheme="minorEastAsia" w:cstheme="minorBidi"/>
      <w:lang w:val="pt-BR" w:eastAsia="zh-CN" w:bidi="ar-SA"/>
    </w:rPr>
  </w:style>
  <w:style w:type="paragraph" w:styleId="1094">
    <w:name w:val="Heading 3"/>
    <w:next w:val="1093"/>
    <w:uiPriority w:val="0"/>
    <w:semiHidden/>
    <w:unhideWhenUsed/>
    <w:qFormat/>
    <w:pPr>
      <w:pBdr/>
      <w:spacing w:afterAutospacing="1" w:beforeAutospacing="1"/>
      <w:ind/>
      <w:outlineLvl w:val="2"/>
    </w:pPr>
    <w:rPr>
      <w:rFonts w:hint="eastAsia" w:ascii="SimSun" w:hAnsi="SimSun" w:eastAsia="SimSun" w:cs="Times New Roman"/>
      <w:b/>
      <w:bCs/>
      <w:sz w:val="26"/>
      <w:szCs w:val="26"/>
      <w:lang w:val="en-US" w:eastAsia="zh-CN" w:bidi="ar-SA"/>
    </w:rPr>
  </w:style>
  <w:style w:type="character" w:styleId="1095" w:default="1">
    <w:name w:val="Default Paragraph Font"/>
    <w:uiPriority w:val="1"/>
    <w:unhideWhenUsed/>
    <w:qFormat/>
    <w:pPr>
      <w:pBdr/>
      <w:spacing/>
      <w:ind/>
    </w:pPr>
  </w:style>
  <w:style w:type="table" w:styleId="1096" w:default="1">
    <w:name w:val="Normal Table"/>
    <w:uiPriority w:val="99"/>
    <w:semiHidden/>
    <w:unhideWhenUsed/>
    <w:qFormat/>
    <w:pPr>
      <w:pBdr/>
      <w:spacing/>
      <w:ind/>
    </w:pPr>
    <w:tblPr>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97">
    <w:name w:val="Strong"/>
    <w:basedOn w:val="1095"/>
    <w:uiPriority w:val="22"/>
    <w:qFormat/>
    <w:pPr>
      <w:pBdr/>
      <w:spacing/>
      <w:ind/>
    </w:pPr>
    <w:rPr>
      <w:b/>
      <w:bCs/>
    </w:rPr>
  </w:style>
  <w:style w:type="character" w:styleId="1098">
    <w:name w:val="Hyperlink"/>
    <w:basedOn w:val="1095"/>
    <w:uiPriority w:val="99"/>
    <w:qFormat/>
    <w:pPr>
      <w:pBdr/>
      <w:spacing/>
      <w:ind/>
    </w:pPr>
    <w:rPr>
      <w:color w:val="0000ff"/>
      <w:u w:val="single"/>
    </w:rPr>
  </w:style>
  <w:style w:type="paragraph" w:styleId="1099">
    <w:name w:val="Body Text"/>
    <w:basedOn w:val="1093"/>
    <w:uiPriority w:val="1"/>
    <w:qFormat/>
    <w:pPr>
      <w:pBdr/>
      <w:spacing/>
      <w:ind w:left="118"/>
    </w:pPr>
    <w:rPr>
      <w:rFonts w:ascii="Times New Roman" w:hAnsi="Times New Roman" w:eastAsia="Times New Roman" w:cs="Times New Roman"/>
      <w:sz w:val="24"/>
      <w:szCs w:val="24"/>
      <w:lang w:val="pt-PT" w:eastAsia="en-US"/>
    </w:rPr>
  </w:style>
  <w:style w:type="paragraph" w:styleId="1100">
    <w:name w:val="Normal (Web)"/>
    <w:uiPriority w:val="0"/>
    <w:unhideWhenUsed/>
    <w:qFormat/>
    <w:pPr>
      <w:pBdr/>
      <w:spacing w:after="100" w:afterAutospacing="1" w:before="100" w:beforeAutospacing="1"/>
      <w:ind/>
    </w:pPr>
    <w:rPr>
      <w:rFonts w:ascii="Times New Roman" w:hAnsi="Times New Roman" w:eastAsia="SimSun" w:cs="Times New Roman"/>
      <w:szCs w:val="24"/>
      <w:lang w:val="en-US" w:eastAsia="zh-CN" w:bidi="ar-SA"/>
    </w:rPr>
  </w:style>
  <w:style w:type="paragraph" w:styleId="1101">
    <w:name w:val="Header"/>
    <w:basedOn w:val="1093"/>
    <w:uiPriority w:val="0"/>
    <w:qFormat/>
    <w:pPr>
      <w:pBdr/>
      <w:tabs>
        <w:tab w:val="center" w:leader="none" w:pos="4252"/>
        <w:tab w:val="right" w:leader="none" w:pos="8504"/>
      </w:tabs>
      <w:spacing/>
      <w:ind/>
    </w:pPr>
  </w:style>
  <w:style w:type="paragraph" w:styleId="1102">
    <w:name w:val="Footer"/>
    <w:basedOn w:val="1093"/>
    <w:link w:val="1108"/>
    <w:uiPriority w:val="99"/>
    <w:qFormat/>
    <w:pPr>
      <w:pBdr/>
      <w:tabs>
        <w:tab w:val="center" w:leader="none" w:pos="4252"/>
        <w:tab w:val="right" w:leader="none" w:pos="8504"/>
      </w:tabs>
      <w:spacing/>
      <w:ind/>
    </w:pPr>
  </w:style>
  <w:style w:type="table" w:styleId="1103">
    <w:name w:val="Table Grid"/>
    <w:basedOn w:val="1096"/>
    <w:uiPriority w:val="39"/>
    <w:qFormat/>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104" w:customStyle="1">
    <w:name w:val="Table Paragraph"/>
    <w:basedOn w:val="1093"/>
    <w:uiPriority w:val="1"/>
    <w:qFormat/>
    <w:pPr>
      <w:pBdr/>
      <w:spacing/>
      <w:ind/>
    </w:pPr>
    <w:rPr>
      <w:rFonts w:ascii="Times New Roman" w:hAnsi="Times New Roman" w:eastAsia="Times New Roman" w:cs="Times New Roman"/>
      <w:lang w:val="pt-PT" w:eastAsia="en-US"/>
    </w:rPr>
  </w:style>
  <w:style w:type="paragraph" w:styleId="1105">
    <w:name w:val="List Paragraph"/>
    <w:basedOn w:val="1093"/>
    <w:uiPriority w:val="1"/>
    <w:qFormat/>
    <w:pPr>
      <w:pBdr/>
      <w:spacing/>
      <w:ind w:firstLine="2834" w:left="118"/>
    </w:pPr>
    <w:rPr>
      <w:rFonts w:ascii="Times New Roman" w:hAnsi="Times New Roman" w:eastAsia="Times New Roman" w:cs="Times New Roman"/>
      <w:lang w:val="pt-PT" w:eastAsia="en-US"/>
    </w:rPr>
  </w:style>
  <w:style w:type="character" w:styleId="1106" w:customStyle="1">
    <w:name w:val="Fonte parág. padrão6"/>
    <w:uiPriority w:val="0"/>
    <w:qFormat/>
    <w:pPr>
      <w:pBdr/>
      <w:spacing/>
      <w:ind/>
    </w:pPr>
  </w:style>
  <w:style w:type="paragraph" w:styleId="1107">
    <w:name w:val="No Spacing"/>
    <w:uiPriority w:val="1"/>
    <w:qFormat/>
    <w:pPr>
      <w:pBdr/>
      <w:spacing/>
      <w:ind/>
    </w:pPr>
    <w:rPr>
      <w:rFonts w:ascii="Times New Roman" w:hAnsi="Times New Roman" w:eastAsia="SimSun" w:cs="Times New Roman"/>
      <w:sz w:val="22"/>
      <w:szCs w:val="22"/>
      <w:lang w:val="pt-BR" w:eastAsia="en-US" w:bidi="ar-SA"/>
    </w:rPr>
  </w:style>
  <w:style w:type="character" w:styleId="1108" w:customStyle="1">
    <w:name w:val="Rodapé Char"/>
    <w:basedOn w:val="1095"/>
    <w:link w:val="1102"/>
    <w:uiPriority w:val="99"/>
    <w:qFormat/>
    <w:pPr>
      <w:pBdr/>
      <w:spacing/>
      <w:ind/>
    </w:pPr>
    <w:rPr>
      <w:rFonts w:asciiTheme="minorHAnsi" w:hAnsiTheme="minorHAnsi" w:eastAsiaTheme="minorEastAsia" w:cstheme="minorBidi"/>
      <w:lang w:val="en-US" w:eastAsia="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5F_x005F_x005F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E6ADB3-5B52-4042-86E9-F48F0D028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Application>ONLYOFFICE/9.3.1.8</Application>
  <DocSecurity>0</DocSecurity>
  <ScaleCrop>0</ScaleCrop>
  <HeadingPairs>
    <vt:vector size="0" baseType="variant"/>
  </HeadingPairs>
  <TitlesOfParts>
    <vt:vector size="0" baseType="lpstr"/>
  </TitlesOfParts>
  <LinksUpToDate>0</LinksUpToD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eder.cruz</dc:creator>
  <cp:revision>77</cp:revision>
  <dcterms:created xsi:type="dcterms:W3CDTF">2024-06-20T15:35:00Z</dcterms:created>
  <dcterms:modified xsi:type="dcterms:W3CDTF">2026-08-17T16:53:52Z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1046-12.2.0.22549</vt:lpwstr>
  </property>
  <property fmtid="{D5CDD505-2E9C-101B-9397-08002B2CF9AE}" pid="3" name="ICV">
    <vt:lpwstr>3B3B1BB7FA3A4D9D84E2E9F964B5A52A_13</vt:lpwstr>
  </property>
</Properties>
</file>