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7159491">
      <w:pPr>
        <w:spacing w:before="120" w:beforeLines="50" w:after="120" w:line="240" w:lineRule="auto"/>
        <w:ind w:right="176"/>
        <w:jc w:val="center"/>
        <w:rPr>
          <w:rFonts w:ascii="Arial" w:hAnsi="Arial" w:cs="Arial"/>
          <w:b/>
          <w:bCs/>
          <w:sz w:val="24"/>
          <w:szCs w:val="24"/>
        </w:rPr>
      </w:pPr>
      <w:bookmarkStart w:id="0" w:name="_Hlk119395423"/>
      <w:r>
        <w:rPr>
          <w:rFonts w:ascii="Arial" w:hAnsi="Arial" w:cs="Arial"/>
          <w:b/>
          <w:bCs/>
          <w:sz w:val="24"/>
          <w:szCs w:val="24"/>
        </w:rPr>
        <w:t>ESTUDO TÉCNICO PRELIMINAR – ETP</w:t>
      </w:r>
    </w:p>
    <w:p w14:paraId="51F146D5">
      <w:pPr>
        <w:spacing w:before="120" w:beforeLines="50" w:after="120" w:line="240" w:lineRule="auto"/>
        <w:ind w:right="176"/>
        <w:jc w:val="center"/>
        <w:rPr>
          <w:rFonts w:ascii="Arial" w:hAnsi="Arial" w:cs="Arial"/>
          <w:b/>
          <w:bCs/>
          <w:sz w:val="24"/>
          <w:szCs w:val="24"/>
        </w:rPr>
      </w:pPr>
    </w:p>
    <w:p w14:paraId="30373026">
      <w:pPr>
        <w:tabs>
          <w:tab w:val="left" w:pos="1814"/>
          <w:tab w:val="left" w:pos="2707"/>
          <w:tab w:val="left" w:pos="3026"/>
        </w:tabs>
        <w:spacing w:before="120" w:beforeLines="50" w:after="120" w:line="360" w:lineRule="auto"/>
        <w:ind w:right="176"/>
        <w:rPr>
          <w:rFonts w:ascii="Arial" w:hAnsi="Arial" w:cs="Arial"/>
          <w:b/>
        </w:rPr>
      </w:pPr>
      <w:r>
        <w:rPr>
          <w:rFonts w:ascii="Arial" w:hAnsi="Arial" w:cs="Arial"/>
          <w:b/>
        </w:rPr>
        <w:t>SIGILO:</w:t>
      </w:r>
      <w:r>
        <w:rPr>
          <w:rFonts w:ascii="Arial" w:hAnsi="Arial" w:cs="Arial"/>
          <w:b/>
          <w:spacing w:val="-5"/>
        </w:rPr>
        <w:t xml:space="preserve"> </w:t>
      </w:r>
      <w:r>
        <w:rPr>
          <w:rFonts w:ascii="Arial" w:hAnsi="Arial" w:cs="Arial"/>
          <w:b/>
          <w:spacing w:val="-5"/>
        </w:rPr>
        <w:tab/>
      </w:r>
      <w:r>
        <w:rPr>
          <w:rFonts w:ascii="Arial" w:hAnsi="Arial" w:cs="Arial"/>
          <w:b/>
        </w:rPr>
        <w:t>(   )</w:t>
      </w:r>
      <w:r>
        <w:rPr>
          <w:rFonts w:ascii="Arial" w:hAnsi="Arial" w:cs="Arial"/>
          <w:b/>
          <w:spacing w:val="-1"/>
        </w:rPr>
        <w:t xml:space="preserve"> </w:t>
      </w:r>
      <w:r>
        <w:rPr>
          <w:rFonts w:ascii="Arial" w:hAnsi="Arial" w:cs="Arial"/>
          <w:b/>
        </w:rPr>
        <w:t xml:space="preserve">SIM </w:t>
      </w:r>
      <w:r>
        <w:rPr>
          <w:rFonts w:ascii="Arial" w:hAnsi="Arial" w:cs="Arial"/>
          <w:b/>
        </w:rPr>
        <w:tab/>
      </w:r>
      <w:r>
        <w:rPr>
          <w:rFonts w:ascii="Arial" w:hAnsi="Arial" w:cs="Arial"/>
          <w:b/>
        </w:rPr>
        <w:tab/>
      </w:r>
      <w:r>
        <w:rPr>
          <w:rFonts w:ascii="Arial" w:hAnsi="Arial" w:cs="Arial"/>
          <w:b/>
        </w:rPr>
        <w:tab/>
      </w:r>
      <w:r>
        <w:rPr>
          <w:rFonts w:ascii="Arial" w:hAnsi="Arial" w:cs="Arial"/>
          <w:b/>
        </w:rPr>
        <w:t>( X )</w:t>
      </w:r>
      <w:r>
        <w:rPr>
          <w:rFonts w:ascii="Arial" w:hAnsi="Arial" w:cs="Arial"/>
          <w:b/>
          <w:spacing w:val="1"/>
        </w:rPr>
        <w:t xml:space="preserve"> </w:t>
      </w:r>
      <w:r>
        <w:rPr>
          <w:rFonts w:ascii="Arial" w:hAnsi="Arial" w:cs="Arial"/>
          <w:b/>
        </w:rPr>
        <w:t>NÃO</w:t>
      </w:r>
    </w:p>
    <w:p w14:paraId="503EE251">
      <w:pPr>
        <w:pStyle w:val="2"/>
        <w:tabs>
          <w:tab w:val="left" w:pos="6652"/>
          <w:tab w:val="left" w:pos="7867"/>
          <w:tab w:val="left" w:pos="8186"/>
        </w:tabs>
        <w:spacing w:before="120" w:beforeLines="50" w:after="120" w:line="360" w:lineRule="auto"/>
        <w:ind w:left="0" w:right="176"/>
        <w:jc w:val="left"/>
        <w:rPr>
          <w:rFonts w:ascii="Arial" w:hAnsi="Arial" w:cs="Arial"/>
          <w:sz w:val="22"/>
          <w:szCs w:val="22"/>
          <w:lang w:val="pt-BR"/>
        </w:rPr>
      </w:pPr>
      <w:r>
        <w:rPr>
          <w:rFonts w:ascii="Arial" w:hAnsi="Arial" w:cs="Arial"/>
          <w:sz w:val="22"/>
          <w:szCs w:val="22"/>
          <w:lang w:val="pt-BR"/>
        </w:rPr>
        <w:t>PREVISÃO</w:t>
      </w:r>
      <w:r>
        <w:rPr>
          <w:rFonts w:ascii="Arial" w:hAnsi="Arial" w:cs="Arial"/>
          <w:spacing w:val="-3"/>
          <w:sz w:val="22"/>
          <w:szCs w:val="22"/>
          <w:lang w:val="pt-BR"/>
        </w:rPr>
        <w:t xml:space="preserve"> </w:t>
      </w:r>
      <w:r>
        <w:rPr>
          <w:rFonts w:ascii="Arial" w:hAnsi="Arial" w:cs="Arial"/>
          <w:sz w:val="22"/>
          <w:szCs w:val="22"/>
          <w:lang w:val="pt-BR"/>
        </w:rPr>
        <w:t>NO</w:t>
      </w:r>
      <w:r>
        <w:rPr>
          <w:rFonts w:ascii="Arial" w:hAnsi="Arial" w:cs="Arial"/>
          <w:spacing w:val="-3"/>
          <w:sz w:val="22"/>
          <w:szCs w:val="22"/>
          <w:lang w:val="pt-BR"/>
        </w:rPr>
        <w:t xml:space="preserve"> </w:t>
      </w:r>
      <w:r>
        <w:rPr>
          <w:rFonts w:ascii="Arial" w:hAnsi="Arial" w:cs="Arial"/>
          <w:sz w:val="22"/>
          <w:szCs w:val="22"/>
          <w:lang w:val="pt-BR"/>
        </w:rPr>
        <w:t>PLANO</w:t>
      </w:r>
      <w:r>
        <w:rPr>
          <w:rFonts w:ascii="Arial" w:hAnsi="Arial" w:cs="Arial"/>
          <w:spacing w:val="-3"/>
          <w:sz w:val="22"/>
          <w:szCs w:val="22"/>
          <w:lang w:val="pt-BR"/>
        </w:rPr>
        <w:t xml:space="preserve"> </w:t>
      </w:r>
      <w:r>
        <w:rPr>
          <w:rFonts w:ascii="Arial" w:hAnsi="Arial" w:cs="Arial"/>
          <w:sz w:val="22"/>
          <w:szCs w:val="22"/>
          <w:lang w:val="pt-BR"/>
        </w:rPr>
        <w:t>DE</w:t>
      </w:r>
      <w:r>
        <w:rPr>
          <w:rFonts w:ascii="Arial" w:hAnsi="Arial" w:cs="Arial"/>
          <w:spacing w:val="-2"/>
          <w:sz w:val="22"/>
          <w:szCs w:val="22"/>
          <w:lang w:val="pt-BR"/>
        </w:rPr>
        <w:t xml:space="preserve"> </w:t>
      </w:r>
      <w:r>
        <w:rPr>
          <w:rFonts w:ascii="Arial" w:hAnsi="Arial" w:cs="Arial"/>
          <w:sz w:val="22"/>
          <w:szCs w:val="22"/>
          <w:lang w:val="pt-BR"/>
        </w:rPr>
        <w:t>CONTRATAÇÃO</w:t>
      </w:r>
      <w:r>
        <w:rPr>
          <w:rFonts w:ascii="Arial" w:hAnsi="Arial" w:cs="Arial"/>
          <w:spacing w:val="-3"/>
          <w:sz w:val="22"/>
          <w:szCs w:val="22"/>
          <w:lang w:val="pt-BR"/>
        </w:rPr>
        <w:t xml:space="preserve"> </w:t>
      </w:r>
      <w:r>
        <w:rPr>
          <w:rFonts w:ascii="Arial" w:hAnsi="Arial" w:cs="Arial"/>
          <w:sz w:val="22"/>
          <w:szCs w:val="22"/>
          <w:lang w:val="pt-BR"/>
        </w:rPr>
        <w:t>ANUAL:</w:t>
      </w:r>
      <w:r>
        <w:rPr>
          <w:rFonts w:ascii="Arial" w:hAnsi="Arial" w:cs="Arial"/>
          <w:sz w:val="22"/>
          <w:szCs w:val="22"/>
          <w:lang w:val="pt-BR"/>
        </w:rPr>
        <w:tab/>
      </w:r>
      <w:r>
        <w:rPr>
          <w:rFonts w:ascii="Arial" w:hAnsi="Arial" w:cs="Arial"/>
          <w:sz w:val="22"/>
          <w:szCs w:val="22"/>
          <w:lang w:val="pt-BR"/>
        </w:rPr>
        <w:t xml:space="preserve">(  </w:t>
      </w:r>
      <w:r>
        <w:rPr>
          <w:rFonts w:ascii="Arial" w:hAnsi="Arial" w:cs="Arial"/>
          <w:spacing w:val="1"/>
          <w:sz w:val="22"/>
          <w:szCs w:val="22"/>
          <w:lang w:val="pt-BR"/>
        </w:rPr>
        <w:t xml:space="preserve">  </w:t>
      </w:r>
      <w:r>
        <w:rPr>
          <w:rFonts w:ascii="Arial" w:hAnsi="Arial" w:cs="Arial"/>
          <w:sz w:val="22"/>
          <w:szCs w:val="22"/>
          <w:lang w:val="pt-BR"/>
        </w:rPr>
        <w:t>)</w:t>
      </w:r>
      <w:r>
        <w:rPr>
          <w:rFonts w:ascii="Arial" w:hAnsi="Arial" w:cs="Arial"/>
          <w:spacing w:val="-1"/>
          <w:sz w:val="22"/>
          <w:szCs w:val="22"/>
          <w:lang w:val="pt-BR"/>
        </w:rPr>
        <w:t xml:space="preserve"> </w:t>
      </w:r>
      <w:r>
        <w:rPr>
          <w:rFonts w:ascii="Arial" w:hAnsi="Arial" w:cs="Arial"/>
          <w:sz w:val="22"/>
          <w:szCs w:val="22"/>
          <w:lang w:val="pt-BR"/>
        </w:rPr>
        <w:t>SIM</w:t>
      </w:r>
      <w:r>
        <w:rPr>
          <w:rFonts w:ascii="Arial" w:hAnsi="Arial" w:cs="Arial"/>
          <w:sz w:val="22"/>
          <w:szCs w:val="22"/>
          <w:lang w:val="pt-BR"/>
        </w:rPr>
        <w:tab/>
      </w:r>
      <w:r>
        <w:rPr>
          <w:rFonts w:ascii="Arial" w:hAnsi="Arial" w:cs="Arial"/>
          <w:sz w:val="22"/>
          <w:szCs w:val="22"/>
          <w:lang w:val="pt-BR"/>
        </w:rPr>
        <w:t>( X ) NÃO</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28"/>
      </w:tblGrid>
      <w:tr w14:paraId="373423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 w:hRule="atLeast"/>
        </w:trPr>
        <w:tc>
          <w:tcPr>
            <w:tcW w:w="9628" w:type="dxa"/>
            <w:shd w:val="clear" w:color="auto" w:fill="D8D8D8" w:themeFill="background1" w:themeFillShade="D9"/>
          </w:tcPr>
          <w:p w14:paraId="177D2654">
            <w:pPr>
              <w:keepNext w:val="0"/>
              <w:keepLines w:val="0"/>
              <w:pageBreakBefore w:val="0"/>
              <w:widowControl/>
              <w:tabs>
                <w:tab w:val="left" w:pos="2552"/>
                <w:tab w:val="left" w:pos="9498"/>
              </w:tabs>
              <w:kinsoku/>
              <w:wordWrap/>
              <w:overflowPunct/>
              <w:topLinePunct w:val="0"/>
              <w:autoSpaceDE/>
              <w:autoSpaceDN/>
              <w:bidi w:val="0"/>
              <w:adjustRightInd/>
              <w:snapToGrid/>
              <w:spacing w:before="181" w:beforeLines="50" w:after="120" w:line="240" w:lineRule="auto"/>
              <w:ind w:right="176"/>
              <w:jc w:val="center"/>
              <w:textAlignment w:val="auto"/>
              <w:rPr>
                <w:rFonts w:ascii="Arial" w:hAnsi="Arial" w:cs="Arial"/>
                <w:b/>
              </w:rPr>
            </w:pPr>
            <w:r>
              <w:rPr>
                <w:rFonts w:ascii="Arial" w:hAnsi="Arial" w:cs="Arial"/>
                <w:b/>
              </w:rPr>
              <w:t>INTRODUÇÃO</w:t>
            </w:r>
          </w:p>
        </w:tc>
      </w:tr>
    </w:tbl>
    <w:p w14:paraId="663E2949">
      <w:pPr>
        <w:pStyle w:val="2"/>
        <w:tabs>
          <w:tab w:val="left" w:pos="6652"/>
          <w:tab w:val="left" w:pos="7867"/>
          <w:tab w:val="left" w:pos="8186"/>
          <w:tab w:val="left" w:pos="9460"/>
        </w:tabs>
        <w:spacing w:before="120" w:beforeLines="50" w:after="120" w:line="360" w:lineRule="auto"/>
        <w:ind w:left="0" w:right="176" w:rightChars="80"/>
        <w:jc w:val="both"/>
        <w:rPr>
          <w:rStyle w:val="24"/>
          <w:rFonts w:ascii="Arial" w:hAnsi="Arial" w:cs="Arial"/>
          <w:b w:val="0"/>
          <w:bCs w:val="0"/>
          <w:sz w:val="22"/>
          <w:szCs w:val="22"/>
          <w:lang w:val="pt-BR"/>
        </w:rPr>
      </w:pPr>
      <w:r>
        <w:rPr>
          <w:rStyle w:val="24"/>
          <w:rFonts w:ascii="Arial" w:hAnsi="Arial" w:cs="Arial"/>
          <w:b w:val="0"/>
          <w:bCs w:val="0"/>
          <w:sz w:val="22"/>
          <w:szCs w:val="22"/>
          <w:lang w:val="pt-BR"/>
        </w:rPr>
        <w:t xml:space="preserve">O presente documento visa demonstrar o interesse público na </w:t>
      </w:r>
      <w:r>
        <w:rPr>
          <w:rFonts w:ascii="Arial" w:hAnsi="Arial" w:cs="Arial"/>
          <w:sz w:val="22"/>
          <w:szCs w:val="22"/>
          <w:lang w:val="pt-BR"/>
        </w:rPr>
        <w:t xml:space="preserve">CONTRATAÇÃO DE EMPRESA ESPECIALIZADA PARA O FORNECIMENTO DE </w:t>
      </w:r>
      <w:r>
        <w:rPr>
          <w:rFonts w:ascii="Arial" w:hAnsi="Arial"/>
          <w:sz w:val="22"/>
          <w:szCs w:val="22"/>
          <w:lang w:val="pt-BR"/>
        </w:rPr>
        <w:t>REFEIÇÃO</w:t>
      </w:r>
      <w:r>
        <w:rPr>
          <w:rFonts w:ascii="Arial" w:hAnsi="Arial" w:cs="Arial"/>
          <w:sz w:val="22"/>
          <w:szCs w:val="22"/>
          <w:lang w:val="pt-BR"/>
        </w:rPr>
        <w:t xml:space="preserve"> ESCOLAR, EXECUTADO ATRAVÉS DE SERVIÇOS CONTÍNUOS, INCLUINDO O PRÉ-PREPARO E PREPARO DA ALIMENTAÇÃO, COM O FORNECIMENTO DE TODOS OS GÊNEROS ALIMENTÍCIOS E DEMAIS INSUMOS, PREPARAÇÃO NOS LOCAIS DE CONSUMO, LOGÍSTICA, SUPERVISÃO, PRESTAÇÃO DE SERVIÇOS DE MANUTENÇÃO PREVENTIVA E CORRETIVA DAS ESTRUTURAS FÍSICAS, EQUIPAMENTOS E UTENSÍLIOS UTILIZADOS, PARA ATENDER OS ALUNOS DAS UNIDADES EDUCATIVAS DA PREFEITURA MUNICIPAL DE SINOP/MT, SOB GESTÃO DO SETOR DE ALIMENTAÇÃO ESCOLAR DA SECRETARIA MUNICIPAL DE EDUCAÇÃO</w:t>
      </w:r>
      <w:r>
        <w:rPr>
          <w:rFonts w:ascii="Arial" w:hAnsi="Arial" w:cs="Arial"/>
          <w:b w:val="0"/>
          <w:bCs w:val="0"/>
          <w:color w:val="000000"/>
          <w:sz w:val="22"/>
          <w:szCs w:val="22"/>
          <w:lang w:val="pt-BR"/>
        </w:rPr>
        <w:t xml:space="preserve">, </w:t>
      </w:r>
      <w:r>
        <w:rPr>
          <w:rFonts w:ascii="Arial" w:hAnsi="Arial" w:cs="Arial"/>
          <w:b w:val="0"/>
          <w:bCs w:val="0"/>
          <w:sz w:val="22"/>
          <w:szCs w:val="22"/>
          <w:lang w:val="pt-BR"/>
        </w:rPr>
        <w:t xml:space="preserve"> </w:t>
      </w:r>
      <w:r>
        <w:rPr>
          <w:rStyle w:val="24"/>
          <w:rFonts w:ascii="Arial" w:hAnsi="Arial" w:cs="Arial"/>
          <w:b w:val="0"/>
          <w:bCs w:val="0"/>
          <w:sz w:val="22"/>
          <w:szCs w:val="22"/>
          <w:lang w:val="pt-BR"/>
        </w:rPr>
        <w:t xml:space="preserve">e sua melhor solução, demonstrando a necessidade da contratação, a sua viabilidade técnica, bem como levantar os elementos essenciais que servirão para compor o Termo de Referência.  </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28"/>
      </w:tblGrid>
      <w:tr w14:paraId="4099C2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8" w:type="dxa"/>
            <w:shd w:val="clear" w:color="auto" w:fill="D8D8D8" w:themeFill="background1" w:themeFillShade="D9"/>
          </w:tcPr>
          <w:p w14:paraId="79C2C8AE">
            <w:pPr>
              <w:keepNext w:val="0"/>
              <w:keepLines w:val="0"/>
              <w:pageBreakBefore w:val="0"/>
              <w:widowControl/>
              <w:numPr>
                <w:ilvl w:val="0"/>
                <w:numId w:val="3"/>
              </w:numPr>
              <w:kinsoku/>
              <w:wordWrap/>
              <w:overflowPunct/>
              <w:topLinePunct w:val="0"/>
              <w:autoSpaceDE/>
              <w:autoSpaceDN/>
              <w:bidi w:val="0"/>
              <w:adjustRightInd/>
              <w:snapToGrid/>
              <w:spacing w:before="181" w:beforeLines="50" w:after="120" w:line="240" w:lineRule="auto"/>
              <w:ind w:right="176"/>
              <w:jc w:val="center"/>
              <w:textAlignment w:val="auto"/>
              <w:rPr>
                <w:rFonts w:ascii="Arial" w:hAnsi="Arial" w:cs="Arial"/>
                <w:sz w:val="24"/>
                <w:szCs w:val="24"/>
              </w:rPr>
            </w:pPr>
            <w:r>
              <w:rPr>
                <w:rFonts w:ascii="Arial" w:hAnsi="Arial" w:cs="Arial"/>
                <w:b/>
                <w:sz w:val="24"/>
                <w:szCs w:val="24"/>
              </w:rPr>
              <w:t>ÁREA DEMANDANTE</w:t>
            </w:r>
          </w:p>
        </w:tc>
      </w:tr>
    </w:tbl>
    <w:p w14:paraId="65C2F726">
      <w:pPr>
        <w:pStyle w:val="13"/>
        <w:widowControl w:val="0"/>
        <w:autoSpaceDE w:val="0"/>
        <w:autoSpaceDN w:val="0"/>
        <w:spacing w:before="120" w:after="120" w:afterLines="50" w:line="360" w:lineRule="auto"/>
        <w:ind w:right="176"/>
        <w:rPr>
          <w:rFonts w:ascii="Arial" w:hAnsi="Arial" w:cs="Arial"/>
          <w:bCs/>
          <w:lang w:val="pt-BR"/>
        </w:rPr>
      </w:pPr>
      <w:r>
        <w:rPr>
          <w:rFonts w:ascii="Arial" w:hAnsi="Arial" w:cs="Arial"/>
          <w:b/>
          <w:lang w:val="pt-BR"/>
        </w:rPr>
        <w:t>Secretaria</w:t>
      </w:r>
      <w:r>
        <w:rPr>
          <w:rFonts w:ascii="Arial" w:hAnsi="Arial" w:cs="Arial"/>
          <w:b/>
          <w:spacing w:val="-4"/>
          <w:lang w:val="pt-BR"/>
        </w:rPr>
        <w:t xml:space="preserve"> </w:t>
      </w:r>
      <w:r>
        <w:rPr>
          <w:rFonts w:ascii="Arial" w:hAnsi="Arial" w:cs="Arial"/>
          <w:b/>
          <w:lang w:val="pt-BR"/>
        </w:rPr>
        <w:t xml:space="preserve">Demandante: </w:t>
      </w:r>
      <w:r>
        <w:rPr>
          <w:rFonts w:ascii="Arial" w:hAnsi="Arial" w:cs="Arial"/>
          <w:bCs/>
          <w:lang w:val="pt-BR"/>
        </w:rPr>
        <w:t>Secretaria Municipal de Educação</w:t>
      </w:r>
    </w:p>
    <w:p w14:paraId="03906CF0">
      <w:pPr>
        <w:pStyle w:val="13"/>
        <w:widowControl w:val="0"/>
        <w:autoSpaceDE w:val="0"/>
        <w:autoSpaceDN w:val="0"/>
        <w:spacing w:before="120" w:after="120" w:afterLines="50" w:line="360" w:lineRule="auto"/>
        <w:ind w:right="176"/>
        <w:rPr>
          <w:rFonts w:ascii="Arial" w:hAnsi="Arial" w:cs="Arial"/>
          <w:bCs/>
          <w:color w:val="000000"/>
          <w:lang w:val="pt-BR"/>
        </w:rPr>
      </w:pPr>
      <w:r>
        <w:rPr>
          <w:rFonts w:ascii="Arial" w:hAnsi="Arial" w:cs="Arial"/>
          <w:b/>
          <w:lang w:val="pt-BR"/>
        </w:rPr>
        <w:t xml:space="preserve">Secretário: </w:t>
      </w:r>
      <w:r>
        <w:rPr>
          <w:rFonts w:ascii="Arial" w:hAnsi="Arial" w:cs="Arial"/>
          <w:bCs/>
          <w:color w:val="000000"/>
          <w:sz w:val="22"/>
          <w:szCs w:val="22"/>
          <w:lang w:val="pt-BR"/>
        </w:rPr>
        <w:t>Salete Vicenti Rodrigues Iekav</w:t>
      </w:r>
    </w:p>
    <w:p w14:paraId="56AFD787">
      <w:pPr>
        <w:pStyle w:val="13"/>
        <w:widowControl w:val="0"/>
        <w:autoSpaceDE w:val="0"/>
        <w:autoSpaceDN w:val="0"/>
        <w:spacing w:before="120" w:after="120" w:afterLines="50" w:line="360" w:lineRule="auto"/>
        <w:ind w:right="176"/>
        <w:rPr>
          <w:rFonts w:ascii="Arial" w:hAnsi="Arial" w:cs="Arial"/>
          <w:lang w:val="pt-BR"/>
        </w:rPr>
      </w:pPr>
      <w:r>
        <w:rPr>
          <w:rFonts w:ascii="Arial" w:hAnsi="Arial" w:cs="Arial"/>
          <w:b/>
          <w:bCs/>
          <w:lang w:val="pt-BR"/>
        </w:rPr>
        <w:t xml:space="preserve">Email (institucional): </w:t>
      </w:r>
      <w:r>
        <w:fldChar w:fldCharType="begin"/>
      </w:r>
      <w:r>
        <w:instrText xml:space="preserve"> HYPERLINK "mailto:gab.smeec@sinop.mt.gov.br" </w:instrText>
      </w:r>
      <w:r>
        <w:fldChar w:fldCharType="separate"/>
      </w:r>
      <w:r>
        <w:rPr>
          <w:rStyle w:val="11"/>
          <w:rFonts w:ascii="Arial" w:hAnsi="Arial" w:cs="Arial"/>
          <w:lang w:val="pt-BR"/>
        </w:rPr>
        <w:t>gab.smeec@sinop.mt.gov.br</w:t>
      </w:r>
      <w:r>
        <w:rPr>
          <w:rStyle w:val="11"/>
          <w:rFonts w:ascii="Arial" w:hAnsi="Arial" w:cs="Arial"/>
          <w:lang w:val="pt-BR"/>
        </w:rPr>
        <w:fldChar w:fldCharType="end"/>
      </w:r>
      <w:r>
        <w:rPr>
          <w:rFonts w:ascii="Arial" w:hAnsi="Arial" w:cs="Arial"/>
          <w:lang w:val="pt-BR"/>
        </w:rPr>
        <w:t xml:space="preserve"> </w:t>
      </w:r>
    </w:p>
    <w:p w14:paraId="32EC338E">
      <w:pPr>
        <w:widowControl w:val="0"/>
        <w:autoSpaceDE w:val="0"/>
        <w:autoSpaceDN w:val="0"/>
        <w:spacing w:before="120" w:after="120" w:afterLines="50" w:line="360" w:lineRule="auto"/>
        <w:ind w:right="176"/>
        <w:jc w:val="both"/>
        <w:rPr>
          <w:rFonts w:ascii="Arial" w:hAnsi="Arial" w:cs="Arial"/>
          <w:sz w:val="24"/>
          <w:szCs w:val="24"/>
        </w:rPr>
      </w:pPr>
      <w:r>
        <w:rPr>
          <w:rFonts w:ascii="Arial" w:hAnsi="Arial" w:cs="Arial"/>
          <w:b/>
          <w:bCs/>
          <w:sz w:val="24"/>
          <w:szCs w:val="24"/>
        </w:rPr>
        <w:t xml:space="preserve">Telefone (Institucional): </w:t>
      </w:r>
      <w:r>
        <w:rPr>
          <w:rFonts w:ascii="Arial" w:hAnsi="Arial" w:cs="Arial"/>
          <w:sz w:val="24"/>
          <w:szCs w:val="24"/>
        </w:rPr>
        <w:t>(66) 3511 3700</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28"/>
      </w:tblGrid>
      <w:tr w14:paraId="6FB843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8" w:type="dxa"/>
            <w:shd w:val="clear" w:color="auto" w:fill="D8D8D8" w:themeFill="background1" w:themeFillShade="D9"/>
          </w:tcPr>
          <w:p w14:paraId="2A829C70">
            <w:pPr>
              <w:keepNext w:val="0"/>
              <w:keepLines w:val="0"/>
              <w:pageBreakBefore w:val="0"/>
              <w:widowControl/>
              <w:numPr>
                <w:ilvl w:val="0"/>
                <w:numId w:val="3"/>
              </w:numPr>
              <w:kinsoku/>
              <w:wordWrap/>
              <w:overflowPunct/>
              <w:topLinePunct w:val="0"/>
              <w:autoSpaceDE/>
              <w:autoSpaceDN/>
              <w:bidi w:val="0"/>
              <w:adjustRightInd/>
              <w:snapToGrid/>
              <w:spacing w:before="181" w:beforeLines="50" w:after="120" w:line="240" w:lineRule="auto"/>
              <w:ind w:right="176"/>
              <w:jc w:val="center"/>
              <w:textAlignment w:val="auto"/>
              <w:rPr>
                <w:rFonts w:ascii="Arial" w:hAnsi="Arial" w:cs="Arial"/>
                <w:sz w:val="24"/>
                <w:szCs w:val="24"/>
              </w:rPr>
            </w:pPr>
            <w:r>
              <w:rPr>
                <w:rFonts w:ascii="Arial" w:hAnsi="Arial" w:cs="Arial"/>
                <w:b/>
                <w:bCs/>
                <w:sz w:val="24"/>
                <w:szCs w:val="24"/>
              </w:rPr>
              <w:t>IDENTIFICAÇÃO DA DEMANDA</w:t>
            </w:r>
          </w:p>
        </w:tc>
      </w:tr>
    </w:tbl>
    <w:p w14:paraId="0B1414F4">
      <w:pPr>
        <w:pStyle w:val="2"/>
        <w:numPr>
          <w:ilvl w:val="1"/>
          <w:numId w:val="3"/>
        </w:numPr>
        <w:tabs>
          <w:tab w:val="left" w:pos="6652"/>
          <w:tab w:val="left" w:pos="7867"/>
          <w:tab w:val="left" w:pos="8186"/>
          <w:tab w:val="left" w:pos="9460"/>
        </w:tabs>
        <w:spacing w:before="120" w:beforeLines="50" w:after="120" w:line="360" w:lineRule="auto"/>
        <w:ind w:right="176" w:rightChars="80"/>
        <w:jc w:val="both"/>
        <w:rPr>
          <w:rFonts w:ascii="Arial" w:hAnsi="Arial" w:cs="Arial"/>
          <w:b w:val="0"/>
          <w:bCs w:val="0"/>
          <w:sz w:val="22"/>
          <w:szCs w:val="22"/>
          <w:lang w:val="pt-BR"/>
        </w:rPr>
      </w:pPr>
      <w:r>
        <w:rPr>
          <w:rStyle w:val="24"/>
          <w:rFonts w:ascii="Arial" w:hAnsi="Arial" w:cs="Arial"/>
          <w:b w:val="0"/>
          <w:bCs w:val="0"/>
          <w:sz w:val="22"/>
          <w:szCs w:val="22"/>
          <w:lang w:val="pt-BR"/>
        </w:rPr>
        <w:t xml:space="preserve">O presente documento visa padronizar a demanda e consolidar informações e documentos necessários para </w:t>
      </w:r>
      <w:r>
        <w:rPr>
          <w:rFonts w:ascii="Arial" w:hAnsi="Arial" w:cs="Arial"/>
          <w:sz w:val="22"/>
          <w:szCs w:val="22"/>
          <w:lang w:val="pt-BR"/>
        </w:rPr>
        <w:t xml:space="preserve">CONTRATAÇÃO DE EMPRESA ESPECIALIZADA PARA O FORNECIMENTO DE </w:t>
      </w:r>
      <w:r>
        <w:rPr>
          <w:rFonts w:ascii="Arial" w:hAnsi="Arial"/>
          <w:sz w:val="22"/>
          <w:szCs w:val="22"/>
          <w:lang w:val="pt-BR"/>
        </w:rPr>
        <w:t>REFEIÇÃO</w:t>
      </w:r>
      <w:r>
        <w:rPr>
          <w:rFonts w:ascii="Arial" w:hAnsi="Arial" w:cs="Arial"/>
          <w:sz w:val="22"/>
          <w:szCs w:val="22"/>
          <w:lang w:val="pt-BR"/>
        </w:rPr>
        <w:t xml:space="preserve"> ESCOLAR, EXECUTADO ATRAVÉS DE SERVIÇOS CONTÍNUOS, INCLUINDO O PRÉ-PREPARO E PREPARO DA ALIMENTAÇÃO, COM O FORNECIMENTO DE TODOS OS GÊNEROS ALIMENTÍCIOS E DEMAIS INSUMOS, PREPARAÇÃO NOS LOCAIS DE CONSUMO, LOGÍSTICA, SUPERVISÃO, PRESTAÇÃO DE SERVIÇOS DE MANUTENÇÃO PREVENTIVA E CORRETIVA DAS ESTRUTURAS FÍSICAS, EQUIPAMENTOS E UTENSÍLIOS UTILIZADOS, PARA ATENDER ESTUDANTES DAS UNIDADES EDUCATIVAS DA PREFEITURA MUNICIPAL DE SINOP/MT, SOB GESTÃO DO SETOR DE ALIMENTAÇÃO ESCOLAR DA SECRETARIA MUNICIPAL DE EDUCAÇÃO</w:t>
      </w:r>
      <w:r>
        <w:rPr>
          <w:rFonts w:ascii="Arial" w:hAnsi="Arial" w:cs="Arial"/>
          <w:b w:val="0"/>
          <w:bCs w:val="0"/>
          <w:color w:val="000000"/>
          <w:sz w:val="22"/>
          <w:szCs w:val="22"/>
          <w:lang w:val="pt-BR"/>
        </w:rPr>
        <w:t xml:space="preserve">, para atender o setor de Alimentação escolar </w:t>
      </w:r>
      <w:r>
        <w:rPr>
          <w:rFonts w:ascii="Arial" w:hAnsi="Arial" w:cs="Arial"/>
          <w:b w:val="0"/>
          <w:bCs w:val="0"/>
          <w:sz w:val="22"/>
          <w:szCs w:val="22"/>
          <w:lang w:val="pt-BR"/>
        </w:rPr>
        <w:t>da Secretaria Municipal de Educação.</w:t>
      </w:r>
    </w:p>
    <w:p w14:paraId="1C748D5D">
      <w:pPr>
        <w:pStyle w:val="2"/>
        <w:numPr>
          <w:ilvl w:val="1"/>
          <w:numId w:val="3"/>
        </w:numPr>
        <w:tabs>
          <w:tab w:val="left" w:pos="6652"/>
          <w:tab w:val="left" w:pos="7867"/>
          <w:tab w:val="left" w:pos="8186"/>
          <w:tab w:val="left" w:pos="9460"/>
        </w:tabs>
        <w:spacing w:before="120" w:beforeLines="50" w:after="120" w:line="360" w:lineRule="auto"/>
        <w:ind w:right="176" w:rightChars="80"/>
        <w:jc w:val="both"/>
        <w:rPr>
          <w:rFonts w:ascii="Arial" w:hAnsi="Arial" w:cs="Arial"/>
          <w:color w:val="000000"/>
          <w:sz w:val="22"/>
          <w:szCs w:val="22"/>
          <w:lang w:val="pt-BR"/>
        </w:rPr>
      </w:pPr>
      <w:r>
        <w:rPr>
          <w:rFonts w:ascii="Arial" w:hAnsi="Arial" w:cs="Arial"/>
          <w:spacing w:val="-2"/>
          <w:sz w:val="22"/>
          <w:szCs w:val="22"/>
          <w:lang w:val="pt-BR"/>
        </w:rPr>
        <w:t xml:space="preserve">DETALHAMENTO DO OBJETO:    </w:t>
      </w:r>
    </w:p>
    <w:p w14:paraId="3E5FEF85">
      <w:pPr>
        <w:numPr>
          <w:ilvl w:val="2"/>
          <w:numId w:val="3"/>
        </w:numPr>
        <w:spacing w:before="120" w:beforeLines="50" w:after="120" w:line="360" w:lineRule="auto"/>
        <w:ind w:right="176" w:rightChars="80"/>
        <w:jc w:val="both"/>
        <w:rPr>
          <w:rFonts w:ascii="Arial" w:hAnsi="Arial" w:cs="Arial"/>
        </w:rPr>
      </w:pPr>
      <w:r>
        <w:rPr>
          <w:rFonts w:ascii="Arial" w:hAnsi="Arial" w:eastAsia="SimSun" w:cs="Arial"/>
          <w:color w:val="000000"/>
          <w:lang w:eastAsia="zh-CN" w:bidi="ar"/>
        </w:rPr>
        <w:t xml:space="preserve">A preparação da alimentação escolar deverá ser executada na cozinha de cada Unidade Escolar, considerando o horário dos intervalos dos turnos letivos para a distribuição da alimentação escolar aos estudantes. </w:t>
      </w:r>
      <w:r>
        <w:rPr>
          <w:rFonts w:ascii="Arial" w:hAnsi="Arial" w:cs="Arial"/>
        </w:rPr>
        <w:t>conforme o padrão de alimentação estabelecido, o número de público-alvo, os tipos de refeições respeitando os cadápios produzidos pelo Setor de Alimentação escolar da SME e os respectivos horários definidos.</w:t>
      </w:r>
    </w:p>
    <w:p w14:paraId="017486C7">
      <w:pPr>
        <w:numPr>
          <w:ilvl w:val="2"/>
          <w:numId w:val="3"/>
        </w:numPr>
        <w:spacing w:before="120" w:beforeLines="50" w:after="120" w:line="360" w:lineRule="auto"/>
        <w:ind w:right="176" w:rightChars="80"/>
        <w:rPr>
          <w:rFonts w:ascii="Arial" w:hAnsi="Arial" w:cs="Arial"/>
        </w:rPr>
      </w:pPr>
      <w:r>
        <w:rPr>
          <w:rFonts w:ascii="Arial" w:hAnsi="Arial" w:eastAsia="SimSun" w:cs="Arial"/>
          <w:color w:val="000000"/>
          <w:lang w:eastAsia="zh-CN" w:bidi="ar"/>
        </w:rPr>
        <w:t>As unidades Educativas que necessitarem de adequação, ou quaisquer melhorias para preparação da alimentação, será de responsabilidade da contratada faze-la durante a vigência do contrato.</w:t>
      </w:r>
    </w:p>
    <w:p w14:paraId="6E634261">
      <w:pPr>
        <w:numPr>
          <w:ilvl w:val="2"/>
          <w:numId w:val="3"/>
        </w:numPr>
        <w:spacing w:before="120" w:beforeLines="50" w:after="120" w:line="360" w:lineRule="auto"/>
        <w:ind w:right="176" w:rightChars="80"/>
        <w:jc w:val="both"/>
        <w:rPr>
          <w:rFonts w:ascii="Arial" w:hAnsi="Arial" w:cs="Arial"/>
        </w:rPr>
      </w:pPr>
      <w:r>
        <w:rPr>
          <w:rFonts w:ascii="Arial" w:hAnsi="Arial" w:eastAsia="SimSun" w:cs="Arial"/>
          <w:color w:val="000000"/>
          <w:lang w:eastAsia="zh-CN" w:bidi="ar"/>
        </w:rPr>
        <w:t>As quantidades mensais podem alterar para menos ou para mais, dependendo da quantidade de dias letivos no mês e a rotatividade de alunos, bem como a quantidade de refeições servidas em virtude da repetição que será franqueada aos estudantes.</w:t>
      </w:r>
    </w:p>
    <w:p w14:paraId="70F66505">
      <w:pPr>
        <w:numPr>
          <w:ilvl w:val="2"/>
          <w:numId w:val="3"/>
        </w:numPr>
        <w:spacing w:before="120" w:beforeLines="50" w:after="120" w:line="360" w:lineRule="auto"/>
        <w:ind w:right="176" w:rightChars="80"/>
        <w:jc w:val="both"/>
        <w:rPr>
          <w:rFonts w:ascii="Arial" w:hAnsi="Arial" w:cs="Arial"/>
        </w:rPr>
      </w:pPr>
      <w:r>
        <w:rPr>
          <w:rFonts w:ascii="Arial" w:hAnsi="Arial" w:eastAsia="SimSun" w:cs="Arial"/>
          <w:color w:val="000000"/>
          <w:lang w:eastAsia="zh-CN" w:bidi="ar"/>
        </w:rPr>
        <w:t>Todos os procedimentos relacionados com a prestação do objeto desta Licitação, no que couber, deverão observar rigorosamente o disposto na legislação vigente, em especial as normas higiênicas e sanitárias e demais dispositivos legais e regulamentares porventura aplicáveis.</w:t>
      </w:r>
    </w:p>
    <w:p w14:paraId="378E57D8">
      <w:pPr>
        <w:numPr>
          <w:ilvl w:val="2"/>
          <w:numId w:val="3"/>
        </w:numPr>
        <w:spacing w:before="120" w:beforeLines="50" w:after="120" w:line="360" w:lineRule="auto"/>
        <w:ind w:right="176" w:rightChars="80"/>
        <w:jc w:val="both"/>
        <w:rPr>
          <w:rFonts w:ascii="Arial" w:hAnsi="Arial" w:cs="Arial"/>
        </w:rPr>
      </w:pPr>
      <w:r>
        <w:rPr>
          <w:rFonts w:ascii="Arial" w:hAnsi="Arial" w:eastAsia="SimSun" w:cs="Arial"/>
          <w:color w:val="000000"/>
          <w:lang w:eastAsia="zh-CN" w:bidi="ar"/>
        </w:rPr>
        <w:t>Faz parte deste objeto de Licitação:</w:t>
      </w:r>
    </w:p>
    <w:p w14:paraId="6ACCCA04">
      <w:pPr>
        <w:numPr>
          <w:ilvl w:val="0"/>
          <w:numId w:val="4"/>
        </w:numPr>
        <w:spacing w:before="120" w:beforeLines="50" w:after="120" w:line="360" w:lineRule="auto"/>
        <w:ind w:right="176" w:rightChars="80" w:firstLine="15"/>
        <w:jc w:val="both"/>
        <w:rPr>
          <w:rFonts w:ascii="Arial" w:hAnsi="Arial" w:cs="Arial"/>
        </w:rPr>
      </w:pPr>
      <w:r>
        <w:rPr>
          <w:rFonts w:ascii="Arial" w:hAnsi="Arial" w:eastAsia="SimSun" w:cs="Arial"/>
          <w:color w:val="000000"/>
          <w:lang w:eastAsia="zh-CN" w:bidi="ar"/>
        </w:rPr>
        <w:t>As Unidade Educativas serão atendidas com: fornecimento de insumos, gêneros alimentícios para o atendimento dos cardápios</w:t>
      </w:r>
      <w:r>
        <w:rPr>
          <w:rFonts w:ascii="Arial" w:hAnsi="Arial" w:eastAsia="SimSun" w:cs="Arial"/>
          <w:lang w:eastAsia="zh-CN" w:bidi="ar"/>
        </w:rPr>
        <w:t xml:space="preserve"> </w:t>
      </w:r>
      <w:r>
        <w:rPr>
          <w:rFonts w:ascii="Arial" w:hAnsi="Arial" w:cs="Arial"/>
          <w:lang w:eastAsia="zh-CN" w:bidi="ar"/>
        </w:rPr>
        <w:t>elaborados</w:t>
      </w:r>
      <w:r>
        <w:rPr>
          <w:rFonts w:ascii="Arial" w:hAnsi="Arial" w:eastAsia="SimSun" w:cs="Arial"/>
          <w:lang w:eastAsia="zh-CN" w:bidi="ar"/>
        </w:rPr>
        <w:t xml:space="preserve"> </w:t>
      </w:r>
      <w:r>
        <w:rPr>
          <w:rFonts w:ascii="Arial" w:hAnsi="Arial" w:eastAsia="SimSun" w:cs="Arial"/>
          <w:color w:val="000000"/>
          <w:lang w:eastAsia="zh-CN" w:bidi="ar"/>
        </w:rPr>
        <w:t xml:space="preserve">pelo Setor de Alimentação da Secretaria Municipal de Educação; </w:t>
      </w:r>
    </w:p>
    <w:p w14:paraId="4D6EDF68">
      <w:pPr>
        <w:numPr>
          <w:ilvl w:val="0"/>
          <w:numId w:val="4"/>
        </w:numPr>
        <w:spacing w:before="120" w:beforeLines="50" w:after="120" w:line="360" w:lineRule="auto"/>
        <w:ind w:right="176" w:rightChars="80" w:firstLine="15"/>
        <w:jc w:val="both"/>
        <w:rPr>
          <w:rFonts w:ascii="Arial" w:hAnsi="Arial" w:cs="Arial"/>
        </w:rPr>
      </w:pPr>
      <w:r>
        <w:rPr>
          <w:rFonts w:ascii="Arial" w:hAnsi="Arial" w:cs="Arial"/>
        </w:rPr>
        <w:t>Preparar e fornecer lanches aos estudantes da Rede Municipal de Ensino durante atividades pedagógicas realizadas fora das unidades escolares, respeitando os prazos definidos pelo Setor de Alimentação Escolar da Secretaria Municipal de Educação</w:t>
      </w:r>
    </w:p>
    <w:p w14:paraId="317D7E9C">
      <w:pPr>
        <w:numPr>
          <w:ilvl w:val="0"/>
          <w:numId w:val="4"/>
        </w:numPr>
        <w:spacing w:before="120" w:beforeLines="50" w:after="120" w:line="360" w:lineRule="auto"/>
        <w:ind w:right="176" w:rightChars="80" w:firstLine="15"/>
        <w:jc w:val="both"/>
        <w:rPr>
          <w:rFonts w:ascii="Arial" w:hAnsi="Arial" w:cs="Arial"/>
        </w:rPr>
      </w:pPr>
      <w:r>
        <w:rPr>
          <w:rFonts w:ascii="Arial" w:hAnsi="Arial" w:eastAsia="SimSun" w:cs="Arial"/>
          <w:color w:val="000000"/>
          <w:lang w:eastAsia="zh-CN" w:bidi="ar"/>
        </w:rPr>
        <w:t xml:space="preserve">Gás de cozinha - GLP; </w:t>
      </w:r>
    </w:p>
    <w:p w14:paraId="366EFABE">
      <w:pPr>
        <w:numPr>
          <w:ilvl w:val="0"/>
          <w:numId w:val="4"/>
        </w:numPr>
        <w:spacing w:before="120" w:beforeLines="50" w:after="120" w:line="360" w:lineRule="auto"/>
        <w:ind w:right="176" w:rightChars="80" w:firstLine="15"/>
        <w:jc w:val="both"/>
        <w:rPr>
          <w:rFonts w:ascii="Arial" w:hAnsi="Arial" w:cs="Arial"/>
        </w:rPr>
      </w:pPr>
      <w:r>
        <w:rPr>
          <w:rFonts w:ascii="Arial" w:hAnsi="Arial" w:eastAsia="SimSun" w:cs="Arial"/>
          <w:color w:val="000000"/>
          <w:lang w:eastAsia="zh-CN" w:bidi="ar"/>
        </w:rPr>
        <w:t xml:space="preserve">Produtos de higienização e limpeza (para uso dacozinha); </w:t>
      </w:r>
    </w:p>
    <w:p w14:paraId="5A961D38">
      <w:pPr>
        <w:numPr>
          <w:ilvl w:val="0"/>
          <w:numId w:val="4"/>
        </w:numPr>
        <w:spacing w:before="120" w:beforeLines="50" w:after="120" w:line="360" w:lineRule="auto"/>
        <w:ind w:right="176" w:rightChars="80" w:firstLine="15"/>
        <w:jc w:val="both"/>
        <w:rPr>
          <w:rFonts w:ascii="Arial" w:hAnsi="Arial" w:cs="Arial"/>
        </w:rPr>
      </w:pPr>
      <w:r>
        <w:rPr>
          <w:rFonts w:ascii="Arial" w:hAnsi="Arial" w:eastAsia="SimSun" w:cs="Arial"/>
          <w:color w:val="000000"/>
          <w:lang w:eastAsia="zh-CN" w:bidi="ar"/>
        </w:rPr>
        <w:t xml:space="preserve">Logística;; </w:t>
      </w:r>
    </w:p>
    <w:p w14:paraId="4BEBD126">
      <w:pPr>
        <w:numPr>
          <w:ilvl w:val="0"/>
          <w:numId w:val="4"/>
        </w:numPr>
        <w:spacing w:before="120" w:beforeLines="50" w:after="120" w:line="360" w:lineRule="auto"/>
        <w:ind w:right="176" w:rightChars="80" w:firstLine="15"/>
        <w:jc w:val="both"/>
        <w:rPr>
          <w:rFonts w:ascii="Arial" w:hAnsi="Arial" w:cs="Arial"/>
        </w:rPr>
      </w:pPr>
      <w:r>
        <w:rPr>
          <w:rFonts w:ascii="Arial" w:hAnsi="Arial" w:eastAsia="SimSun" w:cs="Arial"/>
          <w:color w:val="000000"/>
          <w:lang w:eastAsia="zh-CN" w:bidi="ar"/>
        </w:rPr>
        <w:t xml:space="preserve">Armazenamento; </w:t>
      </w:r>
    </w:p>
    <w:p w14:paraId="30C3768C">
      <w:pPr>
        <w:numPr>
          <w:ilvl w:val="0"/>
          <w:numId w:val="4"/>
        </w:numPr>
        <w:spacing w:before="120" w:beforeLines="50" w:after="120" w:line="360" w:lineRule="auto"/>
        <w:ind w:right="176" w:rightChars="80" w:firstLine="15"/>
        <w:jc w:val="both"/>
        <w:rPr>
          <w:rFonts w:ascii="Arial" w:hAnsi="Arial" w:cs="Arial"/>
        </w:rPr>
      </w:pPr>
      <w:r>
        <w:rPr>
          <w:rFonts w:ascii="Arial" w:hAnsi="Arial" w:eastAsia="SimSun" w:cs="Arial"/>
          <w:color w:val="000000"/>
          <w:lang w:eastAsia="zh-CN" w:bidi="ar"/>
        </w:rPr>
        <w:t xml:space="preserve">Treinamento de funcionários; </w:t>
      </w:r>
    </w:p>
    <w:p w14:paraId="55A7A73C">
      <w:pPr>
        <w:numPr>
          <w:ilvl w:val="0"/>
          <w:numId w:val="4"/>
        </w:numPr>
        <w:spacing w:before="120" w:beforeLines="50" w:after="120" w:line="360" w:lineRule="auto"/>
        <w:ind w:right="176" w:rightChars="80" w:firstLine="15"/>
        <w:jc w:val="both"/>
        <w:rPr>
          <w:rFonts w:ascii="Arial" w:hAnsi="Arial" w:cs="Arial"/>
        </w:rPr>
      </w:pPr>
      <w:r>
        <w:rPr>
          <w:rFonts w:ascii="Arial" w:hAnsi="Arial" w:eastAsia="SimSun" w:cs="Arial"/>
          <w:color w:val="000000"/>
          <w:lang w:eastAsia="zh-CN" w:bidi="ar"/>
        </w:rPr>
        <w:t xml:space="preserve">Mão-de-obra (cozinheiras da empresa CONTRATADA); </w:t>
      </w:r>
    </w:p>
    <w:p w14:paraId="1BC7827D">
      <w:pPr>
        <w:numPr>
          <w:ilvl w:val="0"/>
          <w:numId w:val="4"/>
        </w:numPr>
        <w:spacing w:before="120" w:beforeLines="50" w:after="120" w:line="360" w:lineRule="auto"/>
        <w:ind w:right="176" w:rightChars="80" w:firstLine="15"/>
        <w:jc w:val="both"/>
        <w:rPr>
          <w:rFonts w:ascii="Arial" w:hAnsi="Arial" w:cs="Arial"/>
        </w:rPr>
      </w:pPr>
      <w:r>
        <w:rPr>
          <w:rFonts w:ascii="Arial" w:hAnsi="Arial" w:eastAsia="SimSun" w:cs="Arial"/>
          <w:color w:val="000000"/>
          <w:lang w:eastAsia="zh-CN" w:bidi="ar"/>
        </w:rPr>
        <w:t>Manutenção preventiva, corretiva e reposição de utensílios e equipamentos e desenvolvimento de programas de educação nutricional conforme a necessidade de cada Unidade Educativa e que seja compatível com número de atendimentos.</w:t>
      </w:r>
    </w:p>
    <w:p w14:paraId="4FE5B925">
      <w:pPr>
        <w:numPr>
          <w:ilvl w:val="0"/>
          <w:numId w:val="4"/>
        </w:numPr>
        <w:spacing w:before="120" w:beforeLines="50" w:after="120" w:line="360" w:lineRule="auto"/>
        <w:ind w:right="176" w:rightChars="80" w:firstLine="15"/>
        <w:jc w:val="both"/>
        <w:rPr>
          <w:rFonts w:ascii="Arial" w:hAnsi="Arial" w:cs="Arial"/>
        </w:rPr>
      </w:pPr>
      <w:r>
        <w:rPr>
          <w:rFonts w:ascii="Arial" w:hAnsi="Arial" w:eastAsia="SimSun" w:cs="Arial"/>
          <w:color w:val="000000"/>
          <w:lang w:eastAsia="zh-CN" w:bidi="ar"/>
        </w:rPr>
        <w:t>SISTEMA DIGITAL (BIOMÉTRICO OU FACIAL) - SOB A RESPONSABILIDADE DA CONTRATADA - DE AFERIÇÃO E CONTROLE DIÁRIO DOS ESTUDANTES QUE USUFRUIREM DA ALIMENTAÇÃO ESCOLAR PARA FINS DE APURAÇÃO DAS REFEIÇÕES E REPETIÇÕES SERVIDAS PELA CONTRATADA, POSSIBILITANDO AO SETOR DE ALIMENTAÇÃO ESCOLAR DA SECRETARIA MUNICIPAL DE EDUCAÇÃO ACESSAR RELATÓRIOS EM TEMPO REAL OU POSTERIORMENTE, EM CADA UNIDADE EDUCATIVA, SOBRE OS QUANTITATIVOS SERVIDOS EM CADA DIA LETIVO, detalhado no</w:t>
      </w:r>
      <w:r>
        <w:rPr>
          <w:rFonts w:ascii="Arial" w:hAnsi="Arial" w:eastAsia="SimSun" w:cs="Arial"/>
          <w:b/>
          <w:bCs/>
          <w:color w:val="000000"/>
          <w:lang w:eastAsia="zh-CN" w:bidi="ar"/>
        </w:rPr>
        <w:t xml:space="preserve"> item 2.4.1.5</w:t>
      </w:r>
      <w:r>
        <w:rPr>
          <w:rFonts w:ascii="Arial" w:hAnsi="Arial" w:eastAsia="SimSun" w:cs="Arial"/>
          <w:color w:val="000000"/>
          <w:lang w:eastAsia="zh-CN" w:bidi="ar"/>
        </w:rPr>
        <w:t>. deste ETP.</w:t>
      </w:r>
    </w:p>
    <w:p w14:paraId="3AFCA213">
      <w:pPr>
        <w:numPr>
          <w:ilvl w:val="2"/>
          <w:numId w:val="3"/>
        </w:numPr>
        <w:spacing w:before="120" w:beforeLines="50" w:after="120" w:line="360" w:lineRule="auto"/>
        <w:ind w:right="176" w:rightChars="80"/>
        <w:jc w:val="both"/>
        <w:rPr>
          <w:rFonts w:ascii="Arial" w:hAnsi="Arial" w:cs="Arial"/>
        </w:rPr>
      </w:pPr>
      <w:r>
        <w:rPr>
          <w:rFonts w:ascii="Arial" w:hAnsi="Arial" w:eastAsia="SimSun" w:cs="Arial"/>
          <w:color w:val="000000"/>
          <w:lang w:eastAsia="zh-CN" w:bidi="ar"/>
        </w:rPr>
        <w:t>Manter estrutura no Município de Sinop/MT com funcionamento de escritório e demais serviços, para atendimento diário às Unidades Educativas por todo o período de funcionamento (2ª à 6ª feira), ou excepcionalmente nos finais de semana ou feriados desde que solicitados pela Secretaria de Educação com 15 (quinze) dias de antecedência, bem como centros de distribuições (almoxarifados) obedecendo às normas sanitárias vigentes para armazenamento dos gêneros alimentícios</w:t>
      </w:r>
    </w:p>
    <w:p w14:paraId="08E28062">
      <w:pPr>
        <w:pStyle w:val="2"/>
        <w:numPr>
          <w:ilvl w:val="2"/>
          <w:numId w:val="3"/>
        </w:numPr>
        <w:tabs>
          <w:tab w:val="left" w:pos="6652"/>
          <w:tab w:val="left" w:pos="7867"/>
          <w:tab w:val="left" w:pos="8186"/>
          <w:tab w:val="left" w:pos="9460"/>
        </w:tabs>
        <w:spacing w:before="120" w:beforeLines="50" w:after="120" w:line="360" w:lineRule="auto"/>
        <w:ind w:right="176" w:rightChars="80"/>
        <w:jc w:val="both"/>
        <w:rPr>
          <w:rFonts w:ascii="Arial" w:hAnsi="Arial" w:cs="Arial"/>
          <w:sz w:val="22"/>
          <w:szCs w:val="22"/>
          <w:lang w:val="pt-BR"/>
        </w:rPr>
      </w:pPr>
      <w:r>
        <w:rPr>
          <w:rFonts w:ascii="Arial" w:hAnsi="Arial" w:cs="Arial"/>
          <w:b w:val="0"/>
          <w:bCs w:val="0"/>
          <w:color w:val="000000"/>
          <w:sz w:val="22"/>
          <w:szCs w:val="22"/>
          <w:lang w:val="pt-BR"/>
        </w:rPr>
        <w:t>O Objeto desta Contratação deverá ser prestado nos padrões técnicos recomendados, com quadro adequado de pessoal (técnico, operacional e administrativo) e em número suficiente necessário para a execução das atividades</w:t>
      </w:r>
      <w:r>
        <w:rPr>
          <w:rFonts w:ascii="Arial" w:hAnsi="Arial" w:cs="Arial"/>
          <w:b w:val="0"/>
          <w:bCs w:val="0"/>
          <w:sz w:val="22"/>
          <w:szCs w:val="22"/>
          <w:lang w:val="pt-BR"/>
        </w:rPr>
        <w:t>.</w:t>
      </w:r>
      <w:r>
        <w:rPr>
          <w:rFonts w:ascii="Arial" w:hAnsi="Arial" w:cs="Arial"/>
          <w:b w:val="0"/>
          <w:bCs w:val="0"/>
          <w:spacing w:val="-2"/>
          <w:sz w:val="22"/>
          <w:szCs w:val="22"/>
          <w:lang w:val="pt-BR"/>
        </w:rPr>
        <w:t xml:space="preserve"> Serão</w:t>
      </w:r>
      <w:r>
        <w:rPr>
          <w:rFonts w:ascii="Arial" w:hAnsi="Arial" w:cs="Arial"/>
          <w:b w:val="0"/>
          <w:bCs w:val="0"/>
          <w:sz w:val="22"/>
          <w:szCs w:val="22"/>
          <w:lang w:val="pt-BR"/>
        </w:rPr>
        <w:t xml:space="preserve"> fiscalizados pelo setor de Alimentação Escolar da SME e monitorado pela equipe de nutricionistas da administração municipal, sob a coordenação da nutricionista responsável e pelo CAE.</w:t>
      </w:r>
    </w:p>
    <w:p w14:paraId="7463DC08">
      <w:pPr>
        <w:pStyle w:val="2"/>
        <w:numPr>
          <w:ilvl w:val="2"/>
          <w:numId w:val="3"/>
        </w:numPr>
        <w:tabs>
          <w:tab w:val="left" w:pos="6652"/>
          <w:tab w:val="left" w:pos="7867"/>
          <w:tab w:val="left" w:pos="8186"/>
          <w:tab w:val="left" w:pos="9460"/>
        </w:tabs>
        <w:spacing w:before="120" w:beforeLines="50" w:after="120" w:line="360" w:lineRule="auto"/>
        <w:ind w:right="176" w:rightChars="80"/>
        <w:jc w:val="both"/>
        <w:rPr>
          <w:rFonts w:ascii="Arial" w:hAnsi="Arial" w:cs="Arial"/>
          <w:sz w:val="22"/>
          <w:szCs w:val="22"/>
          <w:lang w:val="pt-BR"/>
        </w:rPr>
      </w:pPr>
      <w:r>
        <w:rPr>
          <w:rFonts w:ascii="Arial" w:hAnsi="Arial" w:eastAsia="CIDFont+F5" w:cs="Arial"/>
          <w:color w:val="000000"/>
          <w:sz w:val="22"/>
          <w:szCs w:val="22"/>
          <w:u w:val="single"/>
          <w:lang w:val="pt-BR" w:eastAsia="zh-CN" w:bidi="ar"/>
        </w:rPr>
        <w:t>A LICITAÇÃO SERÁ REALIZADA EM GRUPO ÚNICO</w:t>
      </w:r>
      <w:r>
        <w:rPr>
          <w:rFonts w:ascii="Arial" w:hAnsi="Arial" w:eastAsia="CIDFont+F5" w:cs="Arial"/>
          <w:color w:val="000000"/>
          <w:sz w:val="22"/>
          <w:szCs w:val="22"/>
          <w:lang w:val="pt-BR" w:eastAsia="zh-CN" w:bidi="ar"/>
        </w:rPr>
        <w:t xml:space="preserve">, </w:t>
      </w:r>
      <w:r>
        <w:rPr>
          <w:rFonts w:ascii="Arial" w:hAnsi="Arial" w:eastAsia="CIDFont+F5" w:cs="Arial"/>
          <w:b w:val="0"/>
          <w:bCs w:val="0"/>
          <w:color w:val="000000"/>
          <w:sz w:val="22"/>
          <w:szCs w:val="22"/>
          <w:lang w:val="pt-BR" w:eastAsia="zh-CN" w:bidi="ar"/>
        </w:rPr>
        <w:t>formado por todos os itens em disputa, conforme tabela constante no Item 2.3., devendo o licitante oferecer proposta para todos os itens que o compõem.</w:t>
      </w:r>
    </w:p>
    <w:p w14:paraId="35FD1418">
      <w:pPr>
        <w:numPr>
          <w:ilvl w:val="3"/>
          <w:numId w:val="3"/>
        </w:numPr>
        <w:spacing w:before="120" w:beforeLines="50" w:after="120" w:line="360" w:lineRule="auto"/>
        <w:ind w:right="220" w:rightChars="100"/>
        <w:jc w:val="both"/>
        <w:rPr>
          <w:rFonts w:ascii="Arial" w:hAnsi="Arial" w:cs="Arial"/>
        </w:rPr>
      </w:pPr>
      <w:r>
        <w:rPr>
          <w:rFonts w:ascii="Arial" w:hAnsi="Arial" w:eastAsia="SimSun" w:cs="Arial"/>
        </w:rPr>
        <w:t>A Lei nº 14.133/2021, prevê a possibilidade de agrupamento de itens em lotes ou grupos, desde que justificada a vantajosidade dessa modalidade para a Administração Pública. De acordo com os A</w:t>
      </w:r>
      <w:r>
        <w:rPr>
          <w:rStyle w:val="8"/>
          <w:rFonts w:ascii="Arial" w:hAnsi="Arial" w:eastAsia="SimSun" w:cs="Arial"/>
          <w:b w:val="0"/>
          <w:bCs w:val="0"/>
        </w:rPr>
        <w:t xml:space="preserve">rt. 40, inciso V e </w:t>
      </w:r>
      <w:r>
        <w:rPr>
          <w:rFonts w:ascii="Arial" w:hAnsi="Arial" w:eastAsia="SimSun" w:cs="Arial"/>
        </w:rPr>
        <w:t>A</w:t>
      </w:r>
      <w:r>
        <w:rPr>
          <w:rStyle w:val="8"/>
          <w:rFonts w:ascii="Arial" w:hAnsi="Arial" w:eastAsia="SimSun" w:cs="Arial"/>
          <w:b w:val="0"/>
          <w:bCs w:val="0"/>
        </w:rPr>
        <w:t>rt. 47, inciso I</w:t>
      </w:r>
      <w:r>
        <w:rPr>
          <w:rFonts w:ascii="Arial" w:hAnsi="Arial" w:eastAsia="SimSun" w:cs="Arial"/>
        </w:rPr>
        <w:t>, a Administração pode estruturar a licitação por itens, lotes ou grupos, considerando a natureza do objeto e a eficiência da contratação.</w:t>
      </w:r>
    </w:p>
    <w:p w14:paraId="48F8B9DB">
      <w:pPr>
        <w:numPr>
          <w:ilvl w:val="3"/>
          <w:numId w:val="3"/>
        </w:numPr>
        <w:spacing w:before="120" w:beforeLines="50" w:after="120" w:line="360" w:lineRule="auto"/>
        <w:ind w:right="220" w:rightChars="100"/>
        <w:jc w:val="both"/>
        <w:rPr>
          <w:rFonts w:ascii="Arial" w:hAnsi="Arial" w:cs="Arial"/>
        </w:rPr>
      </w:pPr>
      <w:r>
        <w:rPr>
          <w:rFonts w:ascii="Arial" w:hAnsi="Arial" w:cs="Arial"/>
        </w:rPr>
        <w:t xml:space="preserve">A adoção do </w:t>
      </w:r>
      <w:r>
        <w:rPr>
          <w:rStyle w:val="8"/>
          <w:rFonts w:ascii="Arial" w:hAnsi="Arial" w:cs="Arial"/>
        </w:rPr>
        <w:t>GRUPO ÚNICO</w:t>
      </w:r>
      <w:r>
        <w:rPr>
          <w:rFonts w:ascii="Arial" w:hAnsi="Arial" w:cs="Arial"/>
        </w:rPr>
        <w:t>, no qual o licitante deve oferecer proposta para todos os 12 (doze) itens, é necessária e justificada pelos seguintes motivos:</w:t>
      </w:r>
    </w:p>
    <w:p w14:paraId="08FED7EF">
      <w:pPr>
        <w:numPr>
          <w:ilvl w:val="4"/>
          <w:numId w:val="3"/>
        </w:numPr>
        <w:spacing w:before="120" w:beforeLines="50" w:after="120" w:line="360" w:lineRule="auto"/>
        <w:ind w:right="220" w:rightChars="100"/>
        <w:jc w:val="both"/>
        <w:rPr>
          <w:rStyle w:val="8"/>
          <w:rFonts w:ascii="Arial" w:hAnsi="Arial" w:cs="Arial"/>
        </w:rPr>
      </w:pPr>
      <w:r>
        <w:rPr>
          <w:rStyle w:val="8"/>
          <w:rFonts w:ascii="Arial" w:hAnsi="Arial" w:cs="Arial"/>
        </w:rPr>
        <w:t>Indissociabilidade e Interdependência dos Itens:</w:t>
      </w:r>
    </w:p>
    <w:p w14:paraId="33AEA957">
      <w:pPr>
        <w:numPr>
          <w:ilvl w:val="0"/>
          <w:numId w:val="5"/>
        </w:numPr>
        <w:spacing w:before="120" w:beforeLines="50" w:after="120" w:line="360" w:lineRule="auto"/>
        <w:ind w:right="220" w:rightChars="100" w:firstLine="15"/>
        <w:jc w:val="both"/>
        <w:rPr>
          <w:rFonts w:ascii="Arial" w:hAnsi="Arial" w:cs="Arial"/>
        </w:rPr>
      </w:pPr>
      <w:r>
        <w:rPr>
          <w:rFonts w:ascii="Arial" w:hAnsi="Arial" w:cs="Arial"/>
        </w:rPr>
        <w:t xml:space="preserve">O fornecimento de merenda escolar por meio de terceirização exige </w:t>
      </w:r>
      <w:r>
        <w:rPr>
          <w:rStyle w:val="8"/>
          <w:rFonts w:ascii="Arial" w:hAnsi="Arial" w:cs="Arial"/>
          <w:b w:val="0"/>
          <w:bCs w:val="0"/>
        </w:rPr>
        <w:t>padronização e integração operacional</w:t>
      </w:r>
      <w:r>
        <w:rPr>
          <w:rFonts w:ascii="Arial" w:hAnsi="Arial" w:cs="Arial"/>
        </w:rPr>
        <w:t xml:space="preserve"> entre os diversos insumos e etapas (compra, preparo, transporte, distribuição e controle de qualidade)</w:t>
      </w:r>
    </w:p>
    <w:p w14:paraId="4EA34D50">
      <w:pPr>
        <w:numPr>
          <w:ilvl w:val="0"/>
          <w:numId w:val="5"/>
        </w:numPr>
        <w:spacing w:before="120" w:beforeLines="50" w:after="120" w:line="360" w:lineRule="auto"/>
        <w:ind w:right="220" w:rightChars="100" w:firstLine="15"/>
        <w:jc w:val="both"/>
        <w:rPr>
          <w:rFonts w:ascii="Arial" w:hAnsi="Arial" w:cs="Arial"/>
        </w:rPr>
      </w:pPr>
      <w:r>
        <w:rPr>
          <w:rFonts w:ascii="Arial" w:hAnsi="Arial" w:cs="Arial"/>
        </w:rPr>
        <w:t>Os 12 itens que compõem o grupo possuem interdependência na execução do contrato, pois envolvem tanto o fornecimento dos alimentos quanto a prestação do serviço de preparo e distribuição da merenda escolar.</w:t>
      </w:r>
    </w:p>
    <w:p w14:paraId="69D9E6AD">
      <w:pPr>
        <w:numPr>
          <w:ilvl w:val="0"/>
          <w:numId w:val="5"/>
        </w:numPr>
        <w:spacing w:before="120" w:beforeLines="50" w:after="120" w:line="360" w:lineRule="auto"/>
        <w:ind w:right="220" w:rightChars="100" w:firstLine="15"/>
        <w:jc w:val="both"/>
        <w:rPr>
          <w:rFonts w:ascii="Arial" w:hAnsi="Arial" w:cs="Arial"/>
        </w:rPr>
      </w:pPr>
      <w:r>
        <w:rPr>
          <w:rFonts w:ascii="Arial" w:hAnsi="Arial" w:cs="Arial"/>
        </w:rPr>
        <w:t>A fragmentação dos itens em lotes distintos poderia comprometer a qualidade no fornecimento das refeições, gerando dificuldades operacionais na compatibilização dos insumos e execução da alimentação escolar.</w:t>
      </w:r>
    </w:p>
    <w:p w14:paraId="67737B46">
      <w:pPr>
        <w:numPr>
          <w:ilvl w:val="4"/>
          <w:numId w:val="3"/>
        </w:numPr>
        <w:spacing w:before="120" w:beforeLines="50" w:after="120" w:line="360" w:lineRule="auto"/>
        <w:ind w:right="220" w:rightChars="100"/>
        <w:jc w:val="both"/>
        <w:rPr>
          <w:rFonts w:ascii="Arial" w:hAnsi="Arial" w:cs="Arial"/>
        </w:rPr>
      </w:pPr>
      <w:r>
        <w:rPr>
          <w:rStyle w:val="8"/>
          <w:rFonts w:ascii="Arial" w:hAnsi="Arial" w:cs="Arial"/>
        </w:rPr>
        <w:t>Padronização e Controle da Qualidade:</w:t>
      </w:r>
    </w:p>
    <w:p w14:paraId="544D1301">
      <w:pPr>
        <w:numPr>
          <w:ilvl w:val="0"/>
          <w:numId w:val="6"/>
        </w:numPr>
        <w:spacing w:before="120" w:beforeLines="50" w:after="120" w:line="360" w:lineRule="auto"/>
        <w:ind w:right="220" w:rightChars="100" w:firstLine="15"/>
        <w:jc w:val="both"/>
        <w:rPr>
          <w:rFonts w:ascii="Arial" w:hAnsi="Arial" w:cs="Arial"/>
        </w:rPr>
      </w:pPr>
      <w:r>
        <w:rPr>
          <w:rFonts w:ascii="Arial" w:hAnsi="Arial" w:cs="Arial"/>
        </w:rPr>
        <w:t>A contratação de um único fornecedor responsável por todos os itens do grupo permite maior controle e padronização da qualidade dos alimentos fornecidos.</w:t>
      </w:r>
    </w:p>
    <w:p w14:paraId="2BDF00C1">
      <w:pPr>
        <w:numPr>
          <w:ilvl w:val="0"/>
          <w:numId w:val="6"/>
        </w:numPr>
        <w:spacing w:before="120" w:beforeLines="50" w:after="120" w:line="360" w:lineRule="auto"/>
        <w:ind w:right="220" w:rightChars="100" w:firstLine="15"/>
        <w:jc w:val="both"/>
        <w:rPr>
          <w:rFonts w:ascii="Arial" w:hAnsi="Arial" w:cs="Arial"/>
        </w:rPr>
      </w:pPr>
      <w:r>
        <w:rPr>
          <w:rFonts w:ascii="Arial" w:hAnsi="Arial" w:cs="Arial"/>
        </w:rPr>
        <w:t>Diferentes fornecedores para itens distintos poderiam gerar divergências na padronização das refeições, impactando negativamente a qualidade da alimentação dos alunos.</w:t>
      </w:r>
    </w:p>
    <w:p w14:paraId="252CBB77">
      <w:pPr>
        <w:numPr>
          <w:ilvl w:val="4"/>
          <w:numId w:val="3"/>
        </w:numPr>
        <w:spacing w:before="120" w:beforeLines="50" w:after="120" w:line="360" w:lineRule="auto"/>
        <w:ind w:right="220" w:rightChars="100"/>
        <w:jc w:val="both"/>
        <w:rPr>
          <w:rFonts w:ascii="Arial" w:hAnsi="Arial" w:cs="Arial"/>
        </w:rPr>
      </w:pPr>
      <w:r>
        <w:rPr>
          <w:rStyle w:val="8"/>
          <w:rFonts w:ascii="Arial" w:hAnsi="Arial" w:cs="Arial"/>
        </w:rPr>
        <w:t>Eficiência Logística e Operacional:</w:t>
      </w:r>
    </w:p>
    <w:p w14:paraId="4020856B">
      <w:pPr>
        <w:numPr>
          <w:ilvl w:val="0"/>
          <w:numId w:val="7"/>
        </w:numPr>
        <w:spacing w:before="120" w:beforeLines="50" w:after="120" w:line="360" w:lineRule="auto"/>
        <w:ind w:right="220" w:rightChars="100" w:firstLine="15"/>
        <w:jc w:val="both"/>
        <w:rPr>
          <w:rFonts w:ascii="Arial" w:hAnsi="Arial" w:cs="Arial"/>
        </w:rPr>
      </w:pPr>
      <w:r>
        <w:rPr>
          <w:rFonts w:ascii="Arial" w:hAnsi="Arial" w:cs="Arial"/>
        </w:rPr>
        <w:t>A execução integrada do contrato por um único fornecedor reduz riscos operacionais, garantindo uma gestão logística mais eficiente no armazenamento, distribuição e preparo das refeições.</w:t>
      </w:r>
    </w:p>
    <w:p w14:paraId="3AAB34C2">
      <w:pPr>
        <w:numPr>
          <w:ilvl w:val="0"/>
          <w:numId w:val="7"/>
        </w:numPr>
        <w:spacing w:before="120" w:beforeLines="50" w:after="120" w:line="360" w:lineRule="auto"/>
        <w:ind w:right="220" w:rightChars="100" w:firstLine="15"/>
        <w:jc w:val="both"/>
        <w:rPr>
          <w:rFonts w:ascii="Arial" w:hAnsi="Arial" w:cs="Arial"/>
        </w:rPr>
      </w:pPr>
      <w:r>
        <w:rPr>
          <w:rFonts w:ascii="Arial" w:hAnsi="Arial" w:cs="Arial"/>
        </w:rPr>
        <w:t>A divisão em múltiplos lotes poderia gerar conflitos entre fornecedores, atrasos na entrega de insumos e dificuldades na gestão de estoque e preparação das refeições.</w:t>
      </w:r>
    </w:p>
    <w:p w14:paraId="5513DCFA">
      <w:pPr>
        <w:pStyle w:val="15"/>
        <w:numPr>
          <w:ilvl w:val="4"/>
          <w:numId w:val="3"/>
        </w:numPr>
        <w:spacing w:before="120" w:beforeLines="50" w:beforeAutospacing="0" w:after="120" w:afterAutospacing="0" w:line="360" w:lineRule="auto"/>
        <w:ind w:right="220" w:rightChars="100"/>
        <w:jc w:val="both"/>
        <w:rPr>
          <w:rFonts w:ascii="Arial" w:hAnsi="Arial" w:cs="Arial"/>
          <w:szCs w:val="22"/>
          <w:lang w:val="pt-BR"/>
        </w:rPr>
      </w:pPr>
      <w:r>
        <w:rPr>
          <w:rStyle w:val="8"/>
          <w:rFonts w:ascii="Arial" w:hAnsi="Arial" w:cs="Arial"/>
          <w:szCs w:val="22"/>
          <w:lang w:val="pt-BR"/>
        </w:rPr>
        <w:t>Maior Competitividade e Economicidade:</w:t>
      </w:r>
    </w:p>
    <w:p w14:paraId="76114F3D">
      <w:pPr>
        <w:pStyle w:val="15"/>
        <w:numPr>
          <w:ilvl w:val="0"/>
          <w:numId w:val="8"/>
        </w:numPr>
        <w:spacing w:before="120" w:beforeLines="50" w:beforeAutospacing="0" w:after="120" w:afterAutospacing="0" w:line="360" w:lineRule="auto"/>
        <w:ind w:right="220" w:rightChars="100" w:firstLine="15"/>
        <w:jc w:val="both"/>
        <w:rPr>
          <w:rFonts w:ascii="Arial" w:hAnsi="Arial" w:cs="Arial"/>
          <w:szCs w:val="22"/>
          <w:lang w:val="pt-BR"/>
        </w:rPr>
      </w:pPr>
      <w:r>
        <w:rPr>
          <w:rFonts w:ascii="Arial" w:hAnsi="Arial" w:cs="Arial"/>
          <w:szCs w:val="22"/>
          <w:lang w:val="pt-BR"/>
        </w:rPr>
        <w:t>A exigência de proposta para todos os itens do grupo possibilita uma contratação mais vantajosa, pois o licitante precisa apresentar um preço global competitivo, promovendo a economicidade na administração dos recursos públicos.</w:t>
      </w:r>
    </w:p>
    <w:p w14:paraId="1119D0FF">
      <w:pPr>
        <w:pStyle w:val="15"/>
        <w:numPr>
          <w:ilvl w:val="0"/>
          <w:numId w:val="8"/>
        </w:numPr>
        <w:spacing w:before="120" w:beforeLines="50" w:beforeAutospacing="0" w:after="120" w:afterAutospacing="0" w:line="360" w:lineRule="auto"/>
        <w:ind w:right="220" w:rightChars="100" w:firstLine="15"/>
        <w:jc w:val="both"/>
        <w:rPr>
          <w:rFonts w:ascii="Arial" w:hAnsi="Arial" w:cs="Arial"/>
          <w:szCs w:val="22"/>
          <w:lang w:val="pt-BR"/>
        </w:rPr>
      </w:pPr>
      <w:r>
        <w:rPr>
          <w:rFonts w:ascii="Arial" w:hAnsi="Arial" w:cs="Arial"/>
          <w:szCs w:val="22"/>
          <w:lang w:val="pt-BR"/>
        </w:rPr>
        <w:t>A fragmentação dos itens poderia gerar contratações com preços diferenciados entre fornecedores, elevando os custos e comprometendo a relação custo-benefício da licitação.</w:t>
      </w:r>
    </w:p>
    <w:p w14:paraId="2673879A">
      <w:pPr>
        <w:pStyle w:val="15"/>
        <w:numPr>
          <w:ilvl w:val="4"/>
          <w:numId w:val="3"/>
        </w:numPr>
        <w:spacing w:before="120" w:beforeLines="50" w:beforeAutospacing="0" w:after="120" w:afterAutospacing="0" w:line="360" w:lineRule="auto"/>
        <w:ind w:right="220" w:rightChars="100"/>
        <w:jc w:val="both"/>
        <w:rPr>
          <w:rFonts w:ascii="Arial" w:hAnsi="Arial" w:cs="Arial"/>
          <w:szCs w:val="22"/>
          <w:lang w:val="pt-BR"/>
        </w:rPr>
      </w:pPr>
      <w:r>
        <w:rPr>
          <w:rStyle w:val="8"/>
          <w:rFonts w:ascii="Arial" w:hAnsi="Arial" w:cs="Arial"/>
          <w:szCs w:val="22"/>
          <w:lang w:val="pt-BR"/>
        </w:rPr>
        <w:t>Segurança Jurídica e Prevenção de Litígios Contratuais</w:t>
      </w:r>
    </w:p>
    <w:p w14:paraId="3925E4EE">
      <w:pPr>
        <w:pStyle w:val="15"/>
        <w:numPr>
          <w:ilvl w:val="0"/>
          <w:numId w:val="9"/>
        </w:numPr>
        <w:spacing w:before="120" w:beforeLines="50" w:beforeAutospacing="0" w:after="120" w:afterAutospacing="0" w:line="360" w:lineRule="auto"/>
        <w:ind w:right="220" w:rightChars="100" w:firstLine="15"/>
        <w:jc w:val="both"/>
        <w:rPr>
          <w:rFonts w:ascii="Arial" w:hAnsi="Arial" w:cs="Arial"/>
          <w:szCs w:val="22"/>
          <w:lang w:val="pt-BR"/>
        </w:rPr>
      </w:pPr>
      <w:r>
        <w:rPr>
          <w:rFonts w:ascii="Arial" w:hAnsi="Arial" w:cs="Arial"/>
          <w:szCs w:val="22"/>
          <w:lang w:val="pt-BR"/>
        </w:rPr>
        <w:t xml:space="preserve">A unificação dos itens reduz a complexidade na fiscalização e execução do contrato, evitando litígios entre diferentes fornecedores quanto a responsabilidades e prestação do objeto desta </w:t>
      </w:r>
      <w:r>
        <w:rPr>
          <w:rFonts w:ascii="Arial" w:hAnsi="Arial" w:cs="Arial"/>
          <w:color w:val="000000"/>
          <w:lang w:val="pt-BR" w:bidi="ar"/>
        </w:rPr>
        <w:t>Licitação</w:t>
      </w:r>
      <w:r>
        <w:rPr>
          <w:rFonts w:ascii="Arial" w:hAnsi="Arial" w:cs="Arial"/>
          <w:szCs w:val="22"/>
          <w:lang w:val="pt-BR"/>
        </w:rPr>
        <w:t>.</w:t>
      </w:r>
    </w:p>
    <w:p w14:paraId="7DCC4AF6">
      <w:pPr>
        <w:pStyle w:val="15"/>
        <w:numPr>
          <w:ilvl w:val="0"/>
          <w:numId w:val="9"/>
        </w:numPr>
        <w:spacing w:before="120" w:beforeLines="50" w:beforeAutospacing="0" w:after="120" w:afterAutospacing="0" w:line="360" w:lineRule="auto"/>
        <w:ind w:right="220" w:rightChars="100" w:firstLine="15"/>
        <w:jc w:val="both"/>
        <w:rPr>
          <w:rFonts w:ascii="Arial" w:hAnsi="Arial" w:cs="Arial"/>
          <w:szCs w:val="22"/>
          <w:lang w:val="pt-BR"/>
        </w:rPr>
      </w:pPr>
      <w:r>
        <w:rPr>
          <w:rFonts w:ascii="Arial" w:hAnsi="Arial" w:cs="Arial"/>
          <w:szCs w:val="22"/>
          <w:lang w:val="pt-BR"/>
        </w:rPr>
        <w:t>A medida garante maior segurança jurídica à Administração Pública, promovendo maior previsibilidade na execução contratual.</w:t>
      </w:r>
    </w:p>
    <w:p w14:paraId="2164AAAB">
      <w:pPr>
        <w:pStyle w:val="15"/>
        <w:numPr>
          <w:ilvl w:val="3"/>
          <w:numId w:val="3"/>
        </w:numPr>
        <w:spacing w:before="120" w:beforeLines="50" w:beforeAutospacing="0" w:after="120" w:afterAutospacing="0" w:line="360" w:lineRule="auto"/>
        <w:ind w:right="220" w:rightChars="100"/>
        <w:jc w:val="both"/>
        <w:rPr>
          <w:rFonts w:ascii="Arial" w:hAnsi="Arial" w:cs="Arial"/>
          <w:szCs w:val="22"/>
          <w:lang w:val="pt-BR"/>
        </w:rPr>
      </w:pPr>
      <w:r>
        <w:rPr>
          <w:rFonts w:ascii="Arial" w:hAnsi="Arial" w:cs="Arial"/>
          <w:szCs w:val="22"/>
          <w:lang w:val="pt-BR"/>
        </w:rPr>
        <w:t xml:space="preserve">Diante do exposto, a adoção do </w:t>
      </w:r>
      <w:r>
        <w:rPr>
          <w:rStyle w:val="8"/>
          <w:rFonts w:ascii="Arial" w:hAnsi="Arial" w:cs="Arial"/>
          <w:szCs w:val="22"/>
          <w:lang w:val="pt-BR"/>
        </w:rPr>
        <w:t>GRUPO ÚNICO</w:t>
      </w:r>
      <w:r>
        <w:rPr>
          <w:rFonts w:ascii="Arial" w:hAnsi="Arial" w:cs="Arial"/>
          <w:szCs w:val="22"/>
          <w:lang w:val="pt-BR"/>
        </w:rPr>
        <w:t xml:space="preserve"> composto por 12 itens na licitação para o fornecimento da merenda escolar se justifica legalmente. Além disso, a medida atende aos princípios da </w:t>
      </w:r>
      <w:r>
        <w:rPr>
          <w:rStyle w:val="8"/>
          <w:rFonts w:ascii="Arial" w:hAnsi="Arial" w:cs="Arial"/>
          <w:szCs w:val="22"/>
          <w:lang w:val="pt-BR"/>
        </w:rPr>
        <w:t>economicidade, eficiência, padronização, controle de qualidade e segurança jurídica</w:t>
      </w:r>
      <w:r>
        <w:rPr>
          <w:rFonts w:ascii="Arial" w:hAnsi="Arial" w:cs="Arial"/>
          <w:szCs w:val="22"/>
          <w:lang w:val="pt-BR"/>
        </w:rPr>
        <w:t xml:space="preserve">, garantindo uma execução contratual mais eficaz e vantajosa para a Administração Pública. </w:t>
      </w:r>
    </w:p>
    <w:p w14:paraId="2DF419CB">
      <w:pPr>
        <w:pStyle w:val="15"/>
        <w:numPr>
          <w:ilvl w:val="3"/>
          <w:numId w:val="3"/>
        </w:numPr>
        <w:spacing w:before="120" w:beforeLines="50" w:beforeAutospacing="0" w:after="120" w:afterAutospacing="0" w:line="360" w:lineRule="auto"/>
        <w:ind w:right="220" w:rightChars="100"/>
        <w:jc w:val="both"/>
        <w:rPr>
          <w:rFonts w:ascii="Arial" w:hAnsi="Arial" w:cs="Arial"/>
          <w:lang w:val="pt-BR"/>
        </w:rPr>
      </w:pPr>
      <w:r>
        <w:rPr>
          <w:rFonts w:ascii="Arial" w:hAnsi="Arial" w:eastAsia="CIDFont+F4" w:cs="Arial"/>
          <w:color w:val="000000"/>
          <w:szCs w:val="22"/>
          <w:lang w:val="pt-BR" w:bidi="ar"/>
        </w:rPr>
        <w:t>Ao dividir as contratações para o fornecimento de alimentação escolar na rede municipal de ensino não se mostra viável ou vantajoso para a administração. A gestão da merenda escolar abrange etapas como o pré-preparo, preparo, distribuição das refeições, sendo imprescindível manter a integridade do processo. Um rigoroso padrão de execução é necessário para assegurar o cumprimento de todos os requisitos de segurança alimentar e valor nutricional.</w:t>
      </w:r>
    </w:p>
    <w:p w14:paraId="088E5904">
      <w:pPr>
        <w:pStyle w:val="15"/>
        <w:numPr>
          <w:ilvl w:val="3"/>
          <w:numId w:val="3"/>
        </w:numPr>
        <w:spacing w:before="120" w:beforeLines="50" w:beforeAutospacing="0" w:after="120" w:afterAutospacing="0" w:line="360" w:lineRule="auto"/>
        <w:ind w:right="220" w:rightChars="100"/>
        <w:jc w:val="both"/>
        <w:rPr>
          <w:rFonts w:ascii="Arial" w:hAnsi="Arial" w:cs="Arial"/>
          <w:b/>
          <w:i/>
          <w:iCs/>
          <w:sz w:val="20"/>
          <w:szCs w:val="20"/>
          <w:lang w:val="pt-BR"/>
        </w:rPr>
      </w:pPr>
      <w:r>
        <w:rPr>
          <w:rFonts w:ascii="Arial" w:hAnsi="Arial" w:eastAsia="CIDFont+F4" w:cs="Arial"/>
          <w:color w:val="000000"/>
          <w:lang w:val="pt-BR" w:bidi="ar"/>
        </w:rPr>
        <w:t xml:space="preserve">Além disso,  como já evidanciado segmentar as contratações gera obstáculos para manter a uniformidade na qualidade e segurança dos alimentos. Diferentes fornecedores poderiam adotar processos distintos de produção e manipulação, o que poderia comprometer a padronização exigida pelos critérios nutricionais estabelecidos nos cardápios fornecidos pelo setor de Alimentação Escolar da Rede Municipal. </w:t>
      </w:r>
    </w:p>
    <w:p w14:paraId="57F9A0E1">
      <w:pPr>
        <w:pStyle w:val="15"/>
        <w:numPr>
          <w:ilvl w:val="3"/>
          <w:numId w:val="3"/>
        </w:numPr>
        <w:spacing w:before="120" w:beforeLines="50" w:beforeAutospacing="0" w:after="120" w:afterAutospacing="0" w:line="360" w:lineRule="auto"/>
        <w:ind w:right="220" w:rightChars="100"/>
        <w:jc w:val="both"/>
        <w:rPr>
          <w:rFonts w:ascii="Arial" w:hAnsi="Arial" w:cs="Arial"/>
          <w:b/>
          <w:lang w:val="pt-BR"/>
        </w:rPr>
      </w:pPr>
      <w:r>
        <w:rPr>
          <w:rFonts w:ascii="Arial" w:hAnsi="Arial" w:eastAsia="CIDFont+F4" w:cs="Arial"/>
          <w:color w:val="000000"/>
          <w:lang w:val="pt-BR" w:bidi="ar"/>
        </w:rPr>
        <w:t>Por fim, a fragmentação dos contratos também pode impactar negativamente a gestão integrada da alimentação escolar, dificultando o acompanhamento e a supervisão dos processos.</w:t>
      </w:r>
    </w:p>
    <w:p w14:paraId="1E9DBAF2">
      <w:pPr>
        <w:pStyle w:val="15"/>
        <w:numPr>
          <w:ilvl w:val="3"/>
          <w:numId w:val="3"/>
        </w:numPr>
        <w:spacing w:before="120" w:beforeLines="50" w:beforeAutospacing="0" w:after="120" w:afterAutospacing="0" w:line="360" w:lineRule="auto"/>
        <w:ind w:right="220" w:rightChars="100"/>
        <w:jc w:val="both"/>
        <w:rPr>
          <w:rFonts w:ascii="Arial" w:hAnsi="Arial" w:cs="Arial"/>
          <w:szCs w:val="22"/>
          <w:lang w:val="pt-BR"/>
        </w:rPr>
      </w:pPr>
      <w:r>
        <w:rPr>
          <w:rFonts w:ascii="Arial" w:hAnsi="Arial" w:eastAsia="CIDFont+F4" w:cs="Arial"/>
          <w:color w:val="000000"/>
          <w:lang w:val="pt-BR" w:bidi="ar"/>
        </w:rPr>
        <w:t>O objeto não é divisível, sendo a responsabilidade da terceirização por uma única empresa vencedora dos itens da tabela abaixo. Desta forma, a Secretaria Municipal de Educação e seus agentes conseguem atuar diretamente em uma fiscalização única e muito mais próxima da empresa contratada.</w:t>
      </w:r>
    </w:p>
    <w:p w14:paraId="24199C46">
      <w:pPr>
        <w:pStyle w:val="15"/>
        <w:numPr>
          <w:ilvl w:val="3"/>
          <w:numId w:val="3"/>
        </w:numPr>
        <w:spacing w:before="120" w:beforeLines="50" w:beforeAutospacing="0" w:after="120" w:afterAutospacing="0" w:line="360" w:lineRule="auto"/>
        <w:ind w:right="220" w:rightChars="100"/>
        <w:jc w:val="both"/>
        <w:rPr>
          <w:rFonts w:ascii="Arial" w:hAnsi="Arial" w:cs="Arial"/>
          <w:szCs w:val="22"/>
          <w:lang w:val="pt-BR"/>
        </w:rPr>
      </w:pPr>
      <w:r>
        <w:rPr>
          <w:rFonts w:ascii="Arial" w:hAnsi="Arial" w:eastAsia="CIDFont+F4" w:cs="Arial"/>
          <w:color w:val="000000"/>
          <w:lang w:val="pt-BR" w:bidi="ar"/>
        </w:rPr>
        <w:t xml:space="preserve">O fornecimento das Refeições serão executados durante os dias letivos de cada </w:t>
      </w:r>
      <w:r>
        <w:rPr>
          <w:rFonts w:ascii="Arial" w:hAnsi="Arial" w:cs="Arial"/>
          <w:color w:val="000000"/>
          <w:lang w:val="pt-BR" w:bidi="ar"/>
        </w:rPr>
        <w:t>Unidade Educativa</w:t>
      </w:r>
      <w:r>
        <w:rPr>
          <w:rFonts w:ascii="Arial" w:hAnsi="Arial" w:eastAsia="CIDFont+F4" w:cs="Arial"/>
          <w:color w:val="000000"/>
          <w:lang w:val="pt-BR" w:bidi="ar"/>
        </w:rPr>
        <w:t xml:space="preserve">, de segunda a sexta-feira, conforme os tipos de </w:t>
      </w:r>
      <w:r>
        <w:rPr>
          <w:rFonts w:ascii="Arial" w:hAnsi="Arial" w:eastAsia="CIDFont+F4" w:cs="Arial"/>
          <w:b/>
          <w:bCs/>
          <w:color w:val="000000"/>
          <w:lang w:val="pt-BR" w:bidi="ar"/>
        </w:rPr>
        <w:t>Atendimentos</w:t>
      </w:r>
      <w:r>
        <w:rPr>
          <w:rFonts w:ascii="Arial" w:hAnsi="Arial" w:eastAsia="CIDFont+F4" w:cs="Arial"/>
          <w:color w:val="000000"/>
          <w:lang w:val="pt-BR" w:bidi="ar"/>
        </w:rPr>
        <w:t xml:space="preserve"> do </w:t>
      </w:r>
      <w:r>
        <w:rPr>
          <w:rFonts w:ascii="Arial" w:hAnsi="Arial" w:eastAsia="CIDFont+F4" w:cs="Arial"/>
          <w:b/>
          <w:bCs/>
          <w:color w:val="000000"/>
          <w:lang w:val="pt-BR" w:bidi="ar"/>
        </w:rPr>
        <w:t>item 2.4.2.</w:t>
      </w:r>
      <w:r>
        <w:rPr>
          <w:rFonts w:ascii="Arial" w:hAnsi="Arial" w:eastAsia="CIDFont+F4" w:cs="Arial"/>
          <w:color w:val="000000"/>
          <w:lang w:val="pt-BR" w:bidi="ar"/>
        </w:rPr>
        <w:t xml:space="preserve"> deste ETP, C</w:t>
      </w:r>
      <w:r>
        <w:rPr>
          <w:rFonts w:ascii="Arial" w:hAnsi="Arial" w:cs="Arial"/>
          <w:color w:val="000000"/>
          <w:lang w:val="pt-BR" w:bidi="ar"/>
        </w:rPr>
        <w:t>onsiderar como tipos de atendimentos a produção das refeições que compõem os cardápios fornecidos pelo Setor de Alimentação Escolnar para as Unidades Educativas Municipais, de acordo com a etapa, modalidade de ensino, turno, horário e os gêneros alimentícios que os compõem, conforme os cardápios em ANEXO</w:t>
      </w:r>
      <w:r>
        <w:rPr>
          <w:rFonts w:ascii="Arial" w:hAnsi="Arial" w:cs="Arial"/>
          <w:szCs w:val="22"/>
          <w:lang w:val="pt-BR"/>
        </w:rPr>
        <w:t>.</w:t>
      </w:r>
    </w:p>
    <w:tbl>
      <w:tblPr>
        <w:tblStyle w:val="7"/>
        <w:tblW w:w="102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05"/>
        <w:gridCol w:w="1089"/>
        <w:gridCol w:w="2629"/>
        <w:gridCol w:w="1438"/>
        <w:gridCol w:w="1462"/>
        <w:gridCol w:w="1413"/>
        <w:gridCol w:w="1413"/>
      </w:tblGrid>
      <w:tr w14:paraId="0B3C7C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249" w:type="dxa"/>
            <w:gridSpan w:val="7"/>
          </w:tcPr>
          <w:p w14:paraId="058CF26A">
            <w:pPr>
              <w:pStyle w:val="13"/>
              <w:keepNext w:val="0"/>
              <w:keepLines w:val="0"/>
              <w:pageBreakBefore w:val="0"/>
              <w:widowControl/>
              <w:numPr>
                <w:ilvl w:val="1"/>
                <w:numId w:val="3"/>
              </w:numPr>
              <w:kinsoku/>
              <w:wordWrap/>
              <w:overflowPunct/>
              <w:topLinePunct w:val="0"/>
              <w:autoSpaceDE/>
              <w:autoSpaceDN/>
              <w:bidi w:val="0"/>
              <w:adjustRightInd/>
              <w:snapToGrid/>
              <w:spacing w:after="0" w:line="240" w:lineRule="auto"/>
              <w:textAlignment w:val="auto"/>
              <w:rPr>
                <w:rFonts w:ascii="Arial" w:hAnsi="Arial" w:cs="Arial"/>
                <w:b/>
                <w:sz w:val="22"/>
                <w:szCs w:val="22"/>
                <w:lang w:val="pt-BR"/>
              </w:rPr>
            </w:pPr>
            <w:r>
              <w:rPr>
                <w:rFonts w:ascii="Arial" w:hAnsi="Arial" w:cs="Arial"/>
                <w:b/>
                <w:sz w:val="22"/>
                <w:szCs w:val="22"/>
                <w:lang w:val="pt-BR"/>
              </w:rPr>
              <w:t>Descrição e</w:t>
            </w:r>
            <w:r>
              <w:rPr>
                <w:rFonts w:ascii="Arial" w:hAnsi="Arial" w:cs="Arial"/>
                <w:b/>
                <w:spacing w:val="-2"/>
                <w:sz w:val="22"/>
                <w:szCs w:val="22"/>
                <w:lang w:val="pt-BR"/>
              </w:rPr>
              <w:t xml:space="preserve"> quantidades:</w:t>
            </w:r>
          </w:p>
        </w:tc>
      </w:tr>
      <w:tr w14:paraId="2448B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10249" w:type="dxa"/>
            <w:gridSpan w:val="7"/>
          </w:tcPr>
          <w:p w14:paraId="2A8DFDA7">
            <w:pPr>
              <w:pStyle w:val="13"/>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b/>
                <w:sz w:val="22"/>
                <w:szCs w:val="22"/>
                <w:lang w:val="pt-BR"/>
              </w:rPr>
            </w:pPr>
            <w:r>
              <w:rPr>
                <w:rFonts w:ascii="Arial" w:hAnsi="Arial" w:cs="Arial"/>
                <w:b/>
                <w:sz w:val="22"/>
                <w:szCs w:val="22"/>
                <w:lang w:val="pt-BR"/>
              </w:rPr>
              <w:t>Grupo Único</w:t>
            </w:r>
          </w:p>
        </w:tc>
      </w:tr>
      <w:tr w14:paraId="19264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5" w:type="dxa"/>
            <w:vAlign w:val="center"/>
          </w:tcPr>
          <w:p w14:paraId="14877302">
            <w:pPr>
              <w:pStyle w:val="29"/>
              <w:spacing w:after="120" w:line="240" w:lineRule="auto"/>
              <w:ind w:left="107"/>
              <w:jc w:val="center"/>
              <w:rPr>
                <w:rFonts w:ascii="Arial" w:hAnsi="Arial" w:cs="Arial"/>
                <w:b/>
                <w:sz w:val="20"/>
                <w:szCs w:val="20"/>
                <w:lang w:val="pt-BR"/>
              </w:rPr>
            </w:pPr>
            <w:r>
              <w:rPr>
                <w:rFonts w:ascii="Arial" w:hAnsi="Arial" w:cs="Arial"/>
                <w:b/>
                <w:spacing w:val="-4"/>
                <w:sz w:val="20"/>
                <w:szCs w:val="20"/>
                <w:lang w:val="pt-BR"/>
              </w:rPr>
              <w:t>Item</w:t>
            </w:r>
          </w:p>
        </w:tc>
        <w:tc>
          <w:tcPr>
            <w:tcW w:w="1089" w:type="dxa"/>
            <w:vAlign w:val="center"/>
          </w:tcPr>
          <w:p w14:paraId="2B53D9F0">
            <w:pPr>
              <w:pStyle w:val="29"/>
              <w:spacing w:after="120" w:line="240" w:lineRule="auto"/>
              <w:ind w:left="108"/>
              <w:jc w:val="center"/>
              <w:rPr>
                <w:rFonts w:ascii="Arial" w:hAnsi="Arial" w:cs="Arial"/>
                <w:b/>
                <w:sz w:val="20"/>
                <w:szCs w:val="20"/>
                <w:lang w:val="pt-BR"/>
              </w:rPr>
            </w:pPr>
            <w:r>
              <w:rPr>
                <w:rFonts w:ascii="Arial" w:hAnsi="Arial" w:cs="Arial"/>
                <w:b/>
                <w:spacing w:val="-2"/>
                <w:sz w:val="20"/>
                <w:szCs w:val="20"/>
                <w:lang w:val="pt-BR"/>
              </w:rPr>
              <w:t>Código</w:t>
            </w:r>
          </w:p>
        </w:tc>
        <w:tc>
          <w:tcPr>
            <w:tcW w:w="2629" w:type="dxa"/>
            <w:vAlign w:val="center"/>
          </w:tcPr>
          <w:p w14:paraId="4ADC873B">
            <w:pPr>
              <w:pStyle w:val="29"/>
              <w:spacing w:after="120" w:line="240" w:lineRule="auto"/>
              <w:ind w:left="106"/>
              <w:jc w:val="center"/>
              <w:rPr>
                <w:rFonts w:ascii="Arial" w:hAnsi="Arial" w:cs="Arial"/>
                <w:b/>
                <w:sz w:val="20"/>
                <w:szCs w:val="20"/>
                <w:lang w:val="pt-BR"/>
              </w:rPr>
            </w:pPr>
            <w:r>
              <w:rPr>
                <w:rFonts w:ascii="Arial" w:hAnsi="Arial" w:cs="Arial"/>
                <w:b/>
                <w:sz w:val="20"/>
                <w:szCs w:val="20"/>
                <w:lang w:val="pt-BR"/>
              </w:rPr>
              <w:t>Descrição</w:t>
            </w:r>
            <w:r>
              <w:rPr>
                <w:rFonts w:ascii="Arial" w:hAnsi="Arial" w:cs="Arial"/>
                <w:b/>
                <w:spacing w:val="-2"/>
                <w:sz w:val="20"/>
                <w:szCs w:val="20"/>
                <w:lang w:val="pt-BR"/>
              </w:rPr>
              <w:t xml:space="preserve"> </w:t>
            </w:r>
            <w:r>
              <w:rPr>
                <w:rFonts w:ascii="Arial" w:hAnsi="Arial" w:cs="Arial"/>
                <w:b/>
                <w:sz w:val="20"/>
                <w:szCs w:val="20"/>
                <w:lang w:val="pt-BR"/>
              </w:rPr>
              <w:t>e</w:t>
            </w:r>
            <w:r>
              <w:rPr>
                <w:rFonts w:ascii="Arial" w:hAnsi="Arial" w:cs="Arial"/>
                <w:b/>
                <w:spacing w:val="-2"/>
                <w:sz w:val="20"/>
                <w:szCs w:val="20"/>
                <w:lang w:val="pt-BR"/>
              </w:rPr>
              <w:t xml:space="preserve"> Especificação</w:t>
            </w:r>
          </w:p>
        </w:tc>
        <w:tc>
          <w:tcPr>
            <w:tcW w:w="1438" w:type="dxa"/>
            <w:vAlign w:val="center"/>
          </w:tcPr>
          <w:p w14:paraId="093CC15F">
            <w:pPr>
              <w:pStyle w:val="29"/>
              <w:spacing w:after="120" w:line="240" w:lineRule="auto"/>
              <w:ind w:left="109"/>
              <w:jc w:val="center"/>
              <w:rPr>
                <w:rFonts w:ascii="Arial" w:hAnsi="Arial" w:cs="Arial"/>
                <w:b/>
                <w:sz w:val="20"/>
                <w:szCs w:val="20"/>
                <w:lang w:val="pt-BR"/>
              </w:rPr>
            </w:pPr>
            <w:r>
              <w:rPr>
                <w:rFonts w:ascii="Arial" w:hAnsi="Arial" w:cs="Arial"/>
                <w:b/>
                <w:spacing w:val="-2"/>
                <w:sz w:val="20"/>
                <w:szCs w:val="20"/>
                <w:lang w:val="pt-BR"/>
              </w:rPr>
              <w:t>Unidade</w:t>
            </w:r>
          </w:p>
        </w:tc>
        <w:tc>
          <w:tcPr>
            <w:tcW w:w="1462" w:type="dxa"/>
            <w:vAlign w:val="center"/>
          </w:tcPr>
          <w:p w14:paraId="7AD3124E">
            <w:pPr>
              <w:jc w:val="center"/>
              <w:textAlignment w:val="center"/>
              <w:rPr>
                <w:rFonts w:ascii="Arial" w:hAnsi="Arial" w:cs="Arial"/>
                <w:b/>
                <w:sz w:val="20"/>
                <w:szCs w:val="20"/>
              </w:rPr>
            </w:pPr>
            <w:r>
              <w:rPr>
                <w:rFonts w:ascii="Arial" w:hAnsi="Arial" w:eastAsia="SimSun" w:cs="Arial"/>
                <w:b/>
                <w:color w:val="000000"/>
                <w:sz w:val="20"/>
                <w:szCs w:val="20"/>
                <w:lang w:eastAsia="zh-CN" w:bidi="ar"/>
              </w:rPr>
              <w:t>Quant De Refeição Por Aluno/Dia</w:t>
            </w:r>
          </w:p>
        </w:tc>
        <w:tc>
          <w:tcPr>
            <w:tcW w:w="1413" w:type="dxa"/>
            <w:vAlign w:val="center"/>
          </w:tcPr>
          <w:p w14:paraId="0E722E67">
            <w:pPr>
              <w:jc w:val="center"/>
              <w:textAlignment w:val="center"/>
              <w:rPr>
                <w:rFonts w:ascii="Arial" w:hAnsi="Arial" w:cs="Arial"/>
                <w:b/>
                <w:spacing w:val="-2"/>
                <w:sz w:val="20"/>
                <w:szCs w:val="20"/>
              </w:rPr>
            </w:pPr>
            <w:r>
              <w:rPr>
                <w:rFonts w:ascii="Arial" w:hAnsi="Arial" w:eastAsia="SimSun" w:cs="Arial"/>
                <w:b/>
                <w:color w:val="000000"/>
                <w:sz w:val="20"/>
                <w:szCs w:val="20"/>
                <w:lang w:eastAsia="zh-CN" w:bidi="ar"/>
              </w:rPr>
              <w:t>Quant. Por Dia</w:t>
            </w:r>
          </w:p>
        </w:tc>
        <w:tc>
          <w:tcPr>
            <w:tcW w:w="1413" w:type="dxa"/>
            <w:vAlign w:val="center"/>
          </w:tcPr>
          <w:p w14:paraId="4D6AE6D4">
            <w:pPr>
              <w:jc w:val="center"/>
              <w:textAlignment w:val="center"/>
              <w:rPr>
                <w:rFonts w:ascii="Arial" w:hAnsi="Arial" w:cs="Arial"/>
                <w:b/>
                <w:spacing w:val="-2"/>
                <w:sz w:val="20"/>
                <w:szCs w:val="20"/>
              </w:rPr>
            </w:pPr>
            <w:r>
              <w:rPr>
                <w:rFonts w:ascii="Arial" w:hAnsi="Arial" w:eastAsia="SimSun" w:cs="Arial"/>
                <w:b/>
                <w:color w:val="000000"/>
                <w:sz w:val="20"/>
                <w:szCs w:val="20"/>
                <w:lang w:eastAsia="zh-CN" w:bidi="ar"/>
              </w:rPr>
              <w:t xml:space="preserve">Quant. Para 200 Dias Letivos </w:t>
            </w:r>
          </w:p>
        </w:tc>
      </w:tr>
      <w:tr w14:paraId="77D2F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5" w:type="dxa"/>
          </w:tcPr>
          <w:p w14:paraId="6BDDD956">
            <w:pPr>
              <w:pStyle w:val="29"/>
              <w:keepNext w:val="0"/>
              <w:keepLines w:val="0"/>
              <w:pageBreakBefore w:val="0"/>
              <w:widowControl/>
              <w:kinsoku/>
              <w:wordWrap/>
              <w:overflowPunct/>
              <w:topLinePunct w:val="0"/>
              <w:autoSpaceDE/>
              <w:autoSpaceDN/>
              <w:bidi w:val="0"/>
              <w:adjustRightInd/>
              <w:snapToGrid/>
              <w:spacing w:after="0" w:line="240" w:lineRule="auto"/>
              <w:ind w:left="107"/>
              <w:jc w:val="center"/>
              <w:rPr>
                <w:rFonts w:ascii="Arial" w:hAnsi="Arial" w:cs="Arial"/>
                <w:bCs/>
                <w:sz w:val="20"/>
                <w:szCs w:val="20"/>
                <w:lang w:val="pt-BR"/>
              </w:rPr>
            </w:pPr>
            <w:r>
              <w:rPr>
                <w:rFonts w:ascii="Arial" w:hAnsi="Arial" w:cs="Arial"/>
                <w:bCs/>
                <w:sz w:val="20"/>
                <w:szCs w:val="20"/>
                <w:lang w:val="pt-BR"/>
              </w:rPr>
              <w:t>01</w:t>
            </w:r>
          </w:p>
        </w:tc>
        <w:tc>
          <w:tcPr>
            <w:tcW w:w="1089" w:type="dxa"/>
          </w:tcPr>
          <w:p w14:paraId="38E7A5CA">
            <w:pPr>
              <w:keepNext w:val="0"/>
              <w:keepLines w:val="0"/>
              <w:pageBreakBefore w:val="0"/>
              <w:widowControl/>
              <w:kinsoku/>
              <w:wordWrap/>
              <w:overflowPunct/>
              <w:topLinePunct w:val="0"/>
              <w:autoSpaceDE/>
              <w:autoSpaceDN/>
              <w:bidi w:val="0"/>
              <w:adjustRightInd/>
              <w:snapToGrid/>
              <w:spacing w:after="0" w:line="240" w:lineRule="auto"/>
              <w:jc w:val="center"/>
              <w:textAlignment w:val="center"/>
              <w:rPr>
                <w:rFonts w:ascii="Arial" w:hAnsi="Arial" w:cs="Arial"/>
                <w:bCs/>
                <w:sz w:val="20"/>
                <w:szCs w:val="20"/>
              </w:rPr>
            </w:pPr>
            <w:r>
              <w:rPr>
                <w:rFonts w:ascii="Arial" w:hAnsi="Arial" w:eastAsia="SimSun" w:cs="Arial"/>
                <w:sz w:val="20"/>
                <w:szCs w:val="20"/>
                <w:lang w:eastAsia="zh-CN" w:bidi="ar"/>
              </w:rPr>
              <w:t>407072</w:t>
            </w:r>
          </w:p>
        </w:tc>
        <w:tc>
          <w:tcPr>
            <w:tcW w:w="2629" w:type="dxa"/>
          </w:tcPr>
          <w:p w14:paraId="29CFFF71">
            <w:pPr>
              <w:keepNext w:val="0"/>
              <w:keepLines w:val="0"/>
              <w:pageBreakBefore w:val="0"/>
              <w:widowControl/>
              <w:kinsoku/>
              <w:wordWrap/>
              <w:overflowPunct/>
              <w:topLinePunct w:val="0"/>
              <w:autoSpaceDE/>
              <w:autoSpaceDN/>
              <w:bidi w:val="0"/>
              <w:adjustRightInd/>
              <w:snapToGrid/>
              <w:spacing w:after="0" w:line="240" w:lineRule="auto"/>
              <w:jc w:val="both"/>
              <w:textAlignment w:val="top"/>
              <w:rPr>
                <w:rFonts w:ascii="Arial" w:hAnsi="Arial" w:cs="Arial"/>
                <w:bCs/>
                <w:sz w:val="20"/>
                <w:szCs w:val="20"/>
              </w:rPr>
            </w:pPr>
            <w:r>
              <w:rPr>
                <w:rFonts w:ascii="Arial" w:hAnsi="Arial" w:eastAsia="SimSun" w:cs="Arial"/>
                <w:color w:val="000000"/>
                <w:sz w:val="20"/>
                <w:szCs w:val="20"/>
                <w:lang w:eastAsia="zh-CN" w:bidi="ar"/>
              </w:rPr>
              <w:t>FORNECIMENTO DE REFEIÇÃO DO CARDÁPIO CRECHE I - DESJEJUM/LANCHE</w:t>
            </w:r>
          </w:p>
        </w:tc>
        <w:tc>
          <w:tcPr>
            <w:tcW w:w="1438" w:type="dxa"/>
          </w:tcPr>
          <w:p w14:paraId="2B874959">
            <w:pPr>
              <w:pStyle w:val="29"/>
              <w:keepNext w:val="0"/>
              <w:keepLines w:val="0"/>
              <w:pageBreakBefore w:val="0"/>
              <w:widowControl/>
              <w:kinsoku/>
              <w:wordWrap/>
              <w:overflowPunct/>
              <w:topLinePunct w:val="0"/>
              <w:autoSpaceDE/>
              <w:autoSpaceDN/>
              <w:bidi w:val="0"/>
              <w:adjustRightInd/>
              <w:snapToGrid/>
              <w:spacing w:after="0" w:line="240" w:lineRule="auto"/>
              <w:jc w:val="center"/>
              <w:rPr>
                <w:rFonts w:ascii="Arial" w:hAnsi="Arial" w:cs="Arial"/>
                <w:bCs/>
                <w:sz w:val="20"/>
                <w:szCs w:val="20"/>
                <w:lang w:val="pt-BR"/>
              </w:rPr>
            </w:pPr>
            <w:r>
              <w:rPr>
                <w:rFonts w:ascii="Arial" w:hAnsi="Arial" w:cs="Arial"/>
                <w:bCs/>
                <w:sz w:val="20"/>
                <w:szCs w:val="20"/>
                <w:lang w:val="pt-BR"/>
              </w:rPr>
              <w:t>REFEIÇÃO</w:t>
            </w:r>
          </w:p>
          <w:p w14:paraId="0015B720">
            <w:pPr>
              <w:pStyle w:val="29"/>
              <w:keepNext w:val="0"/>
              <w:keepLines w:val="0"/>
              <w:pageBreakBefore w:val="0"/>
              <w:widowControl/>
              <w:kinsoku/>
              <w:wordWrap/>
              <w:overflowPunct/>
              <w:topLinePunct w:val="0"/>
              <w:autoSpaceDE/>
              <w:autoSpaceDN/>
              <w:bidi w:val="0"/>
              <w:adjustRightInd/>
              <w:snapToGrid/>
              <w:spacing w:after="0" w:line="240" w:lineRule="auto"/>
              <w:ind w:left="107"/>
              <w:jc w:val="center"/>
              <w:rPr>
                <w:rFonts w:ascii="Arial" w:hAnsi="Arial" w:cs="Arial"/>
                <w:bCs/>
                <w:sz w:val="20"/>
                <w:szCs w:val="20"/>
                <w:lang w:val="pt-BR"/>
              </w:rPr>
            </w:pPr>
            <w:r>
              <w:rPr>
                <w:rFonts w:ascii="Arial" w:hAnsi="Arial" w:cs="Arial"/>
                <w:bCs/>
                <w:sz w:val="20"/>
                <w:szCs w:val="20"/>
                <w:lang w:val="pt-BR"/>
              </w:rPr>
              <w:t>/ALUNO</w:t>
            </w:r>
          </w:p>
        </w:tc>
        <w:tc>
          <w:tcPr>
            <w:tcW w:w="1462" w:type="dxa"/>
          </w:tcPr>
          <w:p w14:paraId="5C1EE74B">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Arial" w:hAnsi="Arial" w:cs="Arial"/>
                <w:bCs/>
                <w:sz w:val="20"/>
                <w:szCs w:val="20"/>
              </w:rPr>
            </w:pPr>
            <w:r>
              <w:rPr>
                <w:rFonts w:ascii="Arial" w:hAnsi="Arial" w:eastAsia="SimSun" w:cs="Arial"/>
                <w:color w:val="000000"/>
                <w:sz w:val="20"/>
                <w:szCs w:val="20"/>
                <w:lang w:eastAsia="zh-CN" w:bidi="ar"/>
              </w:rPr>
              <w:t>1</w:t>
            </w:r>
          </w:p>
        </w:tc>
        <w:tc>
          <w:tcPr>
            <w:tcW w:w="1413" w:type="dxa"/>
          </w:tcPr>
          <w:p w14:paraId="289C0995">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Arial" w:hAnsi="Arial" w:cs="Arial"/>
                <w:bCs/>
                <w:sz w:val="20"/>
                <w:szCs w:val="20"/>
              </w:rPr>
            </w:pPr>
            <w:r>
              <w:rPr>
                <w:rFonts w:ascii="Arial" w:hAnsi="Arial" w:eastAsia="SimSun" w:cs="Arial"/>
                <w:color w:val="000000"/>
                <w:sz w:val="20"/>
                <w:szCs w:val="20"/>
                <w:lang w:eastAsia="zh-CN" w:bidi="ar"/>
              </w:rPr>
              <w:t>60</w:t>
            </w:r>
          </w:p>
        </w:tc>
        <w:tc>
          <w:tcPr>
            <w:tcW w:w="1413" w:type="dxa"/>
          </w:tcPr>
          <w:p w14:paraId="0528585F">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Arial" w:hAnsi="Arial" w:cs="Arial"/>
                <w:bCs/>
                <w:sz w:val="20"/>
                <w:szCs w:val="20"/>
              </w:rPr>
            </w:pPr>
            <w:r>
              <w:rPr>
                <w:rFonts w:ascii="Arial" w:hAnsi="Arial" w:eastAsia="SimSun" w:cs="Arial"/>
                <w:color w:val="000000"/>
                <w:sz w:val="20"/>
                <w:szCs w:val="20"/>
                <w:lang w:eastAsia="zh-CN" w:bidi="ar"/>
              </w:rPr>
              <w:t>12000</w:t>
            </w:r>
          </w:p>
        </w:tc>
      </w:tr>
      <w:tr w14:paraId="22E7D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5" w:type="dxa"/>
          </w:tcPr>
          <w:p w14:paraId="72DB1268">
            <w:pPr>
              <w:pStyle w:val="29"/>
              <w:keepNext w:val="0"/>
              <w:keepLines w:val="0"/>
              <w:pageBreakBefore w:val="0"/>
              <w:widowControl/>
              <w:kinsoku/>
              <w:wordWrap/>
              <w:overflowPunct/>
              <w:topLinePunct w:val="0"/>
              <w:autoSpaceDE/>
              <w:autoSpaceDN/>
              <w:bidi w:val="0"/>
              <w:adjustRightInd/>
              <w:snapToGrid/>
              <w:spacing w:after="0" w:line="240" w:lineRule="auto"/>
              <w:ind w:left="107"/>
              <w:jc w:val="center"/>
              <w:rPr>
                <w:rFonts w:ascii="Arial" w:hAnsi="Arial" w:cs="Arial"/>
                <w:bCs/>
                <w:sz w:val="20"/>
                <w:szCs w:val="20"/>
                <w:lang w:val="pt-BR"/>
              </w:rPr>
            </w:pPr>
            <w:r>
              <w:rPr>
                <w:rFonts w:ascii="Arial" w:hAnsi="Arial" w:cs="Arial"/>
                <w:bCs/>
                <w:sz w:val="20"/>
                <w:szCs w:val="20"/>
                <w:lang w:val="pt-BR"/>
              </w:rPr>
              <w:t>02</w:t>
            </w:r>
          </w:p>
        </w:tc>
        <w:tc>
          <w:tcPr>
            <w:tcW w:w="1089" w:type="dxa"/>
          </w:tcPr>
          <w:p w14:paraId="595E029C">
            <w:pPr>
              <w:keepNext w:val="0"/>
              <w:keepLines w:val="0"/>
              <w:pageBreakBefore w:val="0"/>
              <w:widowControl/>
              <w:kinsoku/>
              <w:wordWrap/>
              <w:overflowPunct/>
              <w:topLinePunct w:val="0"/>
              <w:autoSpaceDE/>
              <w:autoSpaceDN/>
              <w:bidi w:val="0"/>
              <w:adjustRightInd/>
              <w:snapToGrid/>
              <w:spacing w:after="0" w:line="240" w:lineRule="auto"/>
              <w:jc w:val="center"/>
              <w:textAlignment w:val="center"/>
              <w:rPr>
                <w:rFonts w:ascii="Arial" w:hAnsi="Arial" w:cs="Arial"/>
                <w:bCs/>
                <w:sz w:val="20"/>
                <w:szCs w:val="20"/>
              </w:rPr>
            </w:pPr>
            <w:r>
              <w:rPr>
                <w:rFonts w:ascii="Arial" w:hAnsi="Arial" w:eastAsia="SimSun" w:cs="Arial"/>
                <w:sz w:val="20"/>
                <w:szCs w:val="20"/>
                <w:lang w:eastAsia="zh-CN" w:bidi="ar"/>
              </w:rPr>
              <w:t>407073</w:t>
            </w:r>
          </w:p>
        </w:tc>
        <w:tc>
          <w:tcPr>
            <w:tcW w:w="2629" w:type="dxa"/>
          </w:tcPr>
          <w:p w14:paraId="06970AFE">
            <w:pPr>
              <w:keepNext w:val="0"/>
              <w:keepLines w:val="0"/>
              <w:pageBreakBefore w:val="0"/>
              <w:widowControl/>
              <w:kinsoku/>
              <w:wordWrap/>
              <w:overflowPunct/>
              <w:topLinePunct w:val="0"/>
              <w:autoSpaceDE/>
              <w:autoSpaceDN/>
              <w:bidi w:val="0"/>
              <w:adjustRightInd/>
              <w:snapToGrid/>
              <w:spacing w:after="0" w:line="240" w:lineRule="auto"/>
              <w:jc w:val="both"/>
              <w:textAlignment w:val="top"/>
              <w:rPr>
                <w:rFonts w:ascii="Arial" w:hAnsi="Arial" w:cs="Arial"/>
                <w:bCs/>
                <w:sz w:val="20"/>
                <w:szCs w:val="20"/>
              </w:rPr>
            </w:pPr>
            <w:r>
              <w:rPr>
                <w:rFonts w:ascii="Arial" w:hAnsi="Arial" w:eastAsia="SimSun" w:cs="Arial"/>
                <w:color w:val="000000"/>
                <w:sz w:val="20"/>
                <w:szCs w:val="20"/>
                <w:lang w:eastAsia="zh-CN" w:bidi="ar"/>
              </w:rPr>
              <w:t>FORNECIMENTO DE REFEIÇÃO DO CARDÁPIO CRECHE I - MERENDA</w:t>
            </w:r>
          </w:p>
        </w:tc>
        <w:tc>
          <w:tcPr>
            <w:tcW w:w="1438" w:type="dxa"/>
          </w:tcPr>
          <w:p w14:paraId="6B8D7076">
            <w:pPr>
              <w:pStyle w:val="29"/>
              <w:keepNext w:val="0"/>
              <w:keepLines w:val="0"/>
              <w:pageBreakBefore w:val="0"/>
              <w:widowControl/>
              <w:kinsoku/>
              <w:wordWrap/>
              <w:overflowPunct/>
              <w:topLinePunct w:val="0"/>
              <w:autoSpaceDE/>
              <w:autoSpaceDN/>
              <w:bidi w:val="0"/>
              <w:adjustRightInd/>
              <w:snapToGrid/>
              <w:spacing w:after="0" w:line="240" w:lineRule="auto"/>
              <w:jc w:val="center"/>
              <w:rPr>
                <w:rFonts w:ascii="Arial" w:hAnsi="Arial" w:cs="Arial"/>
                <w:bCs/>
                <w:sz w:val="20"/>
                <w:szCs w:val="20"/>
                <w:lang w:val="pt-BR"/>
              </w:rPr>
            </w:pPr>
            <w:r>
              <w:rPr>
                <w:rFonts w:ascii="Arial" w:hAnsi="Arial" w:cs="Arial"/>
                <w:bCs/>
                <w:sz w:val="20"/>
                <w:szCs w:val="20"/>
                <w:lang w:val="pt-BR"/>
              </w:rPr>
              <w:t>REFEIÇÃO</w:t>
            </w:r>
          </w:p>
          <w:p w14:paraId="2C2055EE">
            <w:pPr>
              <w:pStyle w:val="29"/>
              <w:keepNext w:val="0"/>
              <w:keepLines w:val="0"/>
              <w:pageBreakBefore w:val="0"/>
              <w:widowControl/>
              <w:kinsoku/>
              <w:wordWrap/>
              <w:overflowPunct/>
              <w:topLinePunct w:val="0"/>
              <w:autoSpaceDE/>
              <w:autoSpaceDN/>
              <w:bidi w:val="0"/>
              <w:adjustRightInd/>
              <w:snapToGrid/>
              <w:spacing w:after="0" w:line="240" w:lineRule="auto"/>
              <w:ind w:left="107"/>
              <w:jc w:val="center"/>
              <w:rPr>
                <w:rFonts w:ascii="Arial" w:hAnsi="Arial" w:cs="Arial"/>
                <w:bCs/>
                <w:sz w:val="20"/>
                <w:szCs w:val="20"/>
                <w:lang w:val="pt-BR"/>
              </w:rPr>
            </w:pPr>
            <w:r>
              <w:rPr>
                <w:rFonts w:ascii="Arial" w:hAnsi="Arial" w:cs="Arial"/>
                <w:bCs/>
                <w:sz w:val="20"/>
                <w:szCs w:val="20"/>
                <w:lang w:val="pt-BR"/>
              </w:rPr>
              <w:t>/ALUNO</w:t>
            </w:r>
          </w:p>
        </w:tc>
        <w:tc>
          <w:tcPr>
            <w:tcW w:w="1462" w:type="dxa"/>
          </w:tcPr>
          <w:p w14:paraId="6F8D5710">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Arial" w:hAnsi="Arial" w:cs="Arial"/>
                <w:bCs/>
                <w:sz w:val="20"/>
                <w:szCs w:val="20"/>
              </w:rPr>
            </w:pPr>
            <w:r>
              <w:rPr>
                <w:rFonts w:ascii="Arial" w:hAnsi="Arial" w:eastAsia="SimSun" w:cs="Arial"/>
                <w:color w:val="000000"/>
                <w:sz w:val="20"/>
                <w:szCs w:val="20"/>
                <w:lang w:eastAsia="zh-CN" w:bidi="ar"/>
              </w:rPr>
              <w:t>1</w:t>
            </w:r>
          </w:p>
        </w:tc>
        <w:tc>
          <w:tcPr>
            <w:tcW w:w="1413" w:type="dxa"/>
          </w:tcPr>
          <w:p w14:paraId="1C51E538">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Arial" w:hAnsi="Arial" w:cs="Arial"/>
                <w:bCs/>
                <w:sz w:val="20"/>
                <w:szCs w:val="20"/>
              </w:rPr>
            </w:pPr>
            <w:r>
              <w:rPr>
                <w:rFonts w:ascii="Arial" w:hAnsi="Arial" w:eastAsia="SimSun" w:cs="Arial"/>
                <w:color w:val="000000"/>
                <w:sz w:val="20"/>
                <w:szCs w:val="20"/>
                <w:lang w:eastAsia="zh-CN" w:bidi="ar"/>
              </w:rPr>
              <w:t>60</w:t>
            </w:r>
          </w:p>
        </w:tc>
        <w:tc>
          <w:tcPr>
            <w:tcW w:w="1413" w:type="dxa"/>
          </w:tcPr>
          <w:p w14:paraId="0CD3581C">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Arial" w:hAnsi="Arial" w:cs="Arial"/>
                <w:bCs/>
                <w:sz w:val="20"/>
                <w:szCs w:val="20"/>
              </w:rPr>
            </w:pPr>
            <w:r>
              <w:rPr>
                <w:rFonts w:ascii="Arial" w:hAnsi="Arial" w:eastAsia="SimSun" w:cs="Arial"/>
                <w:color w:val="000000"/>
                <w:sz w:val="20"/>
                <w:szCs w:val="20"/>
                <w:lang w:eastAsia="zh-CN" w:bidi="ar"/>
              </w:rPr>
              <w:t>12000</w:t>
            </w:r>
          </w:p>
        </w:tc>
      </w:tr>
      <w:tr w14:paraId="45094C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5" w:type="dxa"/>
          </w:tcPr>
          <w:p w14:paraId="33462574">
            <w:pPr>
              <w:pStyle w:val="29"/>
              <w:keepNext w:val="0"/>
              <w:keepLines w:val="0"/>
              <w:pageBreakBefore w:val="0"/>
              <w:widowControl/>
              <w:kinsoku/>
              <w:wordWrap/>
              <w:overflowPunct/>
              <w:topLinePunct w:val="0"/>
              <w:autoSpaceDE/>
              <w:autoSpaceDN/>
              <w:bidi w:val="0"/>
              <w:adjustRightInd/>
              <w:snapToGrid/>
              <w:spacing w:after="0" w:line="240" w:lineRule="auto"/>
              <w:ind w:left="107"/>
              <w:jc w:val="center"/>
              <w:rPr>
                <w:rFonts w:ascii="Arial" w:hAnsi="Arial" w:cs="Arial"/>
                <w:bCs/>
                <w:sz w:val="20"/>
                <w:szCs w:val="20"/>
                <w:lang w:val="pt-BR"/>
              </w:rPr>
            </w:pPr>
            <w:r>
              <w:rPr>
                <w:rFonts w:ascii="Arial" w:hAnsi="Arial" w:cs="Arial"/>
                <w:bCs/>
                <w:sz w:val="20"/>
                <w:szCs w:val="20"/>
                <w:lang w:val="pt-BR"/>
              </w:rPr>
              <w:t>03</w:t>
            </w:r>
          </w:p>
        </w:tc>
        <w:tc>
          <w:tcPr>
            <w:tcW w:w="1089" w:type="dxa"/>
          </w:tcPr>
          <w:p w14:paraId="2517A111">
            <w:pPr>
              <w:keepNext w:val="0"/>
              <w:keepLines w:val="0"/>
              <w:pageBreakBefore w:val="0"/>
              <w:widowControl/>
              <w:kinsoku/>
              <w:wordWrap/>
              <w:overflowPunct/>
              <w:topLinePunct w:val="0"/>
              <w:autoSpaceDE/>
              <w:autoSpaceDN/>
              <w:bidi w:val="0"/>
              <w:adjustRightInd/>
              <w:snapToGrid/>
              <w:spacing w:after="0" w:line="240" w:lineRule="auto"/>
              <w:jc w:val="center"/>
              <w:textAlignment w:val="center"/>
              <w:rPr>
                <w:rFonts w:ascii="Arial" w:hAnsi="Arial" w:cs="Arial"/>
                <w:bCs/>
                <w:sz w:val="20"/>
                <w:szCs w:val="20"/>
              </w:rPr>
            </w:pPr>
            <w:r>
              <w:rPr>
                <w:rFonts w:ascii="Arial" w:hAnsi="Arial" w:eastAsia="SimSun" w:cs="Arial"/>
                <w:sz w:val="20"/>
                <w:szCs w:val="20"/>
                <w:lang w:eastAsia="zh-CN" w:bidi="ar"/>
              </w:rPr>
              <w:t>407074</w:t>
            </w:r>
          </w:p>
        </w:tc>
        <w:tc>
          <w:tcPr>
            <w:tcW w:w="2629" w:type="dxa"/>
          </w:tcPr>
          <w:p w14:paraId="168ADF6C">
            <w:pPr>
              <w:keepNext w:val="0"/>
              <w:keepLines w:val="0"/>
              <w:pageBreakBefore w:val="0"/>
              <w:widowControl/>
              <w:kinsoku/>
              <w:wordWrap/>
              <w:overflowPunct/>
              <w:topLinePunct w:val="0"/>
              <w:autoSpaceDE/>
              <w:autoSpaceDN/>
              <w:bidi w:val="0"/>
              <w:adjustRightInd/>
              <w:snapToGrid/>
              <w:spacing w:after="0" w:line="240" w:lineRule="auto"/>
              <w:jc w:val="both"/>
              <w:textAlignment w:val="top"/>
              <w:rPr>
                <w:rFonts w:ascii="Arial" w:hAnsi="Arial" w:cs="Arial"/>
                <w:bCs/>
                <w:sz w:val="20"/>
                <w:szCs w:val="20"/>
              </w:rPr>
            </w:pPr>
            <w:r>
              <w:rPr>
                <w:rFonts w:ascii="Arial" w:hAnsi="Arial" w:eastAsia="SimSun" w:cs="Arial"/>
                <w:color w:val="000000"/>
                <w:sz w:val="20"/>
                <w:szCs w:val="20"/>
                <w:lang w:eastAsia="zh-CN" w:bidi="ar"/>
              </w:rPr>
              <w:t>FORNECIMENTO DE REFEIÇÃO DO CARDÁPIO CRECHE II A CRECHE IV - DESJEJUM/LANCHE</w:t>
            </w:r>
          </w:p>
        </w:tc>
        <w:tc>
          <w:tcPr>
            <w:tcW w:w="1438" w:type="dxa"/>
          </w:tcPr>
          <w:p w14:paraId="68A9E855">
            <w:pPr>
              <w:pStyle w:val="29"/>
              <w:keepNext w:val="0"/>
              <w:keepLines w:val="0"/>
              <w:pageBreakBefore w:val="0"/>
              <w:widowControl/>
              <w:kinsoku/>
              <w:wordWrap/>
              <w:overflowPunct/>
              <w:topLinePunct w:val="0"/>
              <w:autoSpaceDE/>
              <w:autoSpaceDN/>
              <w:bidi w:val="0"/>
              <w:adjustRightInd/>
              <w:snapToGrid/>
              <w:spacing w:after="0" w:line="240" w:lineRule="auto"/>
              <w:jc w:val="center"/>
              <w:rPr>
                <w:rFonts w:ascii="Arial" w:hAnsi="Arial" w:cs="Arial"/>
                <w:bCs/>
                <w:sz w:val="20"/>
                <w:szCs w:val="20"/>
                <w:lang w:val="pt-BR"/>
              </w:rPr>
            </w:pPr>
            <w:r>
              <w:rPr>
                <w:rFonts w:ascii="Arial" w:hAnsi="Arial" w:cs="Arial"/>
                <w:bCs/>
                <w:sz w:val="20"/>
                <w:szCs w:val="20"/>
                <w:lang w:val="pt-BR"/>
              </w:rPr>
              <w:t>REFEIÇÃO</w:t>
            </w:r>
          </w:p>
          <w:p w14:paraId="5942E443">
            <w:pPr>
              <w:pStyle w:val="29"/>
              <w:keepNext w:val="0"/>
              <w:keepLines w:val="0"/>
              <w:pageBreakBefore w:val="0"/>
              <w:widowControl/>
              <w:kinsoku/>
              <w:wordWrap/>
              <w:overflowPunct/>
              <w:topLinePunct w:val="0"/>
              <w:autoSpaceDE/>
              <w:autoSpaceDN/>
              <w:bidi w:val="0"/>
              <w:adjustRightInd/>
              <w:snapToGrid/>
              <w:spacing w:after="0" w:line="240" w:lineRule="auto"/>
              <w:ind w:left="107"/>
              <w:jc w:val="center"/>
              <w:rPr>
                <w:rFonts w:ascii="Arial" w:hAnsi="Arial" w:cs="Arial"/>
                <w:bCs/>
                <w:sz w:val="20"/>
                <w:szCs w:val="20"/>
                <w:lang w:val="pt-BR"/>
              </w:rPr>
            </w:pPr>
            <w:r>
              <w:rPr>
                <w:rFonts w:ascii="Arial" w:hAnsi="Arial" w:cs="Arial"/>
                <w:bCs/>
                <w:sz w:val="20"/>
                <w:szCs w:val="20"/>
                <w:lang w:val="pt-BR"/>
              </w:rPr>
              <w:t>/ALUNO</w:t>
            </w:r>
          </w:p>
        </w:tc>
        <w:tc>
          <w:tcPr>
            <w:tcW w:w="1462" w:type="dxa"/>
          </w:tcPr>
          <w:p w14:paraId="763BC0F1">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Arial" w:hAnsi="Arial" w:cs="Arial"/>
                <w:bCs/>
                <w:sz w:val="20"/>
                <w:szCs w:val="20"/>
              </w:rPr>
            </w:pPr>
            <w:r>
              <w:rPr>
                <w:rFonts w:ascii="Arial" w:hAnsi="Arial" w:eastAsia="SimSun" w:cs="Arial"/>
                <w:color w:val="000000"/>
                <w:sz w:val="20"/>
                <w:szCs w:val="20"/>
                <w:lang w:eastAsia="zh-CN" w:bidi="ar"/>
              </w:rPr>
              <w:t>1</w:t>
            </w:r>
          </w:p>
        </w:tc>
        <w:tc>
          <w:tcPr>
            <w:tcW w:w="1413" w:type="dxa"/>
          </w:tcPr>
          <w:p w14:paraId="6D65DF40">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Arial" w:hAnsi="Arial" w:cs="Arial"/>
                <w:bCs/>
                <w:sz w:val="20"/>
                <w:szCs w:val="20"/>
              </w:rPr>
            </w:pPr>
            <w:r>
              <w:rPr>
                <w:rFonts w:ascii="Arial" w:hAnsi="Arial" w:eastAsia="SimSun" w:cs="Arial"/>
                <w:color w:val="000000"/>
                <w:sz w:val="20"/>
                <w:szCs w:val="20"/>
                <w:lang w:eastAsia="zh-CN" w:bidi="ar"/>
              </w:rPr>
              <w:t>3485</w:t>
            </w:r>
          </w:p>
        </w:tc>
        <w:tc>
          <w:tcPr>
            <w:tcW w:w="1413" w:type="dxa"/>
          </w:tcPr>
          <w:p w14:paraId="78328445">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Arial" w:hAnsi="Arial" w:cs="Arial"/>
                <w:bCs/>
                <w:sz w:val="20"/>
                <w:szCs w:val="20"/>
              </w:rPr>
            </w:pPr>
            <w:r>
              <w:rPr>
                <w:rFonts w:ascii="Arial" w:hAnsi="Arial" w:eastAsia="SimSun" w:cs="Arial"/>
                <w:color w:val="000000"/>
                <w:sz w:val="20"/>
                <w:szCs w:val="20"/>
                <w:lang w:eastAsia="zh-CN" w:bidi="ar"/>
              </w:rPr>
              <w:t>697000</w:t>
            </w:r>
          </w:p>
        </w:tc>
      </w:tr>
      <w:tr w14:paraId="3BBA8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5" w:type="dxa"/>
          </w:tcPr>
          <w:p w14:paraId="10BBE644">
            <w:pPr>
              <w:pStyle w:val="29"/>
              <w:keepNext w:val="0"/>
              <w:keepLines w:val="0"/>
              <w:pageBreakBefore w:val="0"/>
              <w:widowControl/>
              <w:kinsoku/>
              <w:wordWrap/>
              <w:overflowPunct/>
              <w:topLinePunct w:val="0"/>
              <w:autoSpaceDE/>
              <w:autoSpaceDN/>
              <w:bidi w:val="0"/>
              <w:adjustRightInd/>
              <w:snapToGrid/>
              <w:spacing w:after="0" w:line="240" w:lineRule="auto"/>
              <w:ind w:left="107"/>
              <w:jc w:val="center"/>
              <w:rPr>
                <w:rFonts w:ascii="Arial" w:hAnsi="Arial" w:cs="Arial"/>
                <w:bCs/>
                <w:sz w:val="20"/>
                <w:szCs w:val="20"/>
                <w:lang w:val="pt-BR"/>
              </w:rPr>
            </w:pPr>
            <w:r>
              <w:rPr>
                <w:rFonts w:ascii="Arial" w:hAnsi="Arial" w:cs="Arial"/>
                <w:bCs/>
                <w:sz w:val="20"/>
                <w:szCs w:val="20"/>
                <w:lang w:val="pt-BR"/>
              </w:rPr>
              <w:t>04</w:t>
            </w:r>
          </w:p>
        </w:tc>
        <w:tc>
          <w:tcPr>
            <w:tcW w:w="1089" w:type="dxa"/>
          </w:tcPr>
          <w:p w14:paraId="137D6D9C">
            <w:pPr>
              <w:keepNext w:val="0"/>
              <w:keepLines w:val="0"/>
              <w:pageBreakBefore w:val="0"/>
              <w:widowControl/>
              <w:kinsoku/>
              <w:wordWrap/>
              <w:overflowPunct/>
              <w:topLinePunct w:val="0"/>
              <w:autoSpaceDE/>
              <w:autoSpaceDN/>
              <w:bidi w:val="0"/>
              <w:adjustRightInd/>
              <w:snapToGrid/>
              <w:spacing w:after="0" w:line="240" w:lineRule="auto"/>
              <w:jc w:val="center"/>
              <w:textAlignment w:val="center"/>
              <w:rPr>
                <w:rFonts w:ascii="Arial" w:hAnsi="Arial" w:cs="Arial"/>
                <w:bCs/>
                <w:sz w:val="20"/>
                <w:szCs w:val="20"/>
              </w:rPr>
            </w:pPr>
            <w:r>
              <w:rPr>
                <w:rFonts w:ascii="Arial" w:hAnsi="Arial" w:eastAsia="SimSun" w:cs="Arial"/>
                <w:sz w:val="20"/>
                <w:szCs w:val="20"/>
                <w:lang w:eastAsia="zh-CN" w:bidi="ar"/>
              </w:rPr>
              <w:t>407075</w:t>
            </w:r>
          </w:p>
        </w:tc>
        <w:tc>
          <w:tcPr>
            <w:tcW w:w="2629" w:type="dxa"/>
          </w:tcPr>
          <w:p w14:paraId="4DE2C845">
            <w:pPr>
              <w:keepNext w:val="0"/>
              <w:keepLines w:val="0"/>
              <w:pageBreakBefore w:val="0"/>
              <w:widowControl/>
              <w:kinsoku/>
              <w:wordWrap/>
              <w:overflowPunct/>
              <w:topLinePunct w:val="0"/>
              <w:autoSpaceDE/>
              <w:autoSpaceDN/>
              <w:bidi w:val="0"/>
              <w:adjustRightInd/>
              <w:snapToGrid/>
              <w:spacing w:after="0" w:line="240" w:lineRule="auto"/>
              <w:jc w:val="both"/>
              <w:textAlignment w:val="top"/>
              <w:rPr>
                <w:rFonts w:ascii="Arial" w:hAnsi="Arial" w:cs="Arial"/>
                <w:bCs/>
                <w:sz w:val="20"/>
                <w:szCs w:val="20"/>
              </w:rPr>
            </w:pPr>
            <w:r>
              <w:rPr>
                <w:rFonts w:ascii="Arial" w:hAnsi="Arial" w:eastAsia="SimSun" w:cs="Arial"/>
                <w:color w:val="000000"/>
                <w:sz w:val="20"/>
                <w:szCs w:val="20"/>
                <w:lang w:eastAsia="zh-CN" w:bidi="ar"/>
              </w:rPr>
              <w:t>FORNECIMENTO DE REFEIÇÃO CARDÁPIO CRECHE II A CRECHE IV - MERENDA</w:t>
            </w:r>
          </w:p>
        </w:tc>
        <w:tc>
          <w:tcPr>
            <w:tcW w:w="1438" w:type="dxa"/>
          </w:tcPr>
          <w:p w14:paraId="1029EDAA">
            <w:pPr>
              <w:pStyle w:val="29"/>
              <w:keepNext w:val="0"/>
              <w:keepLines w:val="0"/>
              <w:pageBreakBefore w:val="0"/>
              <w:widowControl/>
              <w:kinsoku/>
              <w:wordWrap/>
              <w:overflowPunct/>
              <w:topLinePunct w:val="0"/>
              <w:autoSpaceDE/>
              <w:autoSpaceDN/>
              <w:bidi w:val="0"/>
              <w:adjustRightInd/>
              <w:snapToGrid/>
              <w:spacing w:after="0" w:line="240" w:lineRule="auto"/>
              <w:jc w:val="center"/>
              <w:rPr>
                <w:rFonts w:ascii="Arial" w:hAnsi="Arial" w:cs="Arial"/>
                <w:bCs/>
                <w:sz w:val="20"/>
                <w:szCs w:val="20"/>
                <w:lang w:val="pt-BR"/>
              </w:rPr>
            </w:pPr>
            <w:r>
              <w:rPr>
                <w:rFonts w:ascii="Arial" w:hAnsi="Arial" w:cs="Arial"/>
                <w:bCs/>
                <w:sz w:val="20"/>
                <w:szCs w:val="20"/>
                <w:lang w:val="pt-BR"/>
              </w:rPr>
              <w:t>REFEIÇÃO</w:t>
            </w:r>
          </w:p>
          <w:p w14:paraId="338F4A22">
            <w:pPr>
              <w:pStyle w:val="29"/>
              <w:keepNext w:val="0"/>
              <w:keepLines w:val="0"/>
              <w:pageBreakBefore w:val="0"/>
              <w:widowControl/>
              <w:kinsoku/>
              <w:wordWrap/>
              <w:overflowPunct/>
              <w:topLinePunct w:val="0"/>
              <w:autoSpaceDE/>
              <w:autoSpaceDN/>
              <w:bidi w:val="0"/>
              <w:adjustRightInd/>
              <w:snapToGrid/>
              <w:spacing w:after="0" w:line="240" w:lineRule="auto"/>
              <w:ind w:left="107"/>
              <w:jc w:val="center"/>
              <w:rPr>
                <w:rFonts w:ascii="Arial" w:hAnsi="Arial" w:cs="Arial"/>
                <w:bCs/>
                <w:sz w:val="20"/>
                <w:szCs w:val="20"/>
                <w:lang w:val="pt-BR"/>
              </w:rPr>
            </w:pPr>
            <w:r>
              <w:rPr>
                <w:rFonts w:ascii="Arial" w:hAnsi="Arial" w:cs="Arial"/>
                <w:bCs/>
                <w:sz w:val="20"/>
                <w:szCs w:val="20"/>
                <w:lang w:val="pt-BR"/>
              </w:rPr>
              <w:t>/ALUNO</w:t>
            </w:r>
          </w:p>
        </w:tc>
        <w:tc>
          <w:tcPr>
            <w:tcW w:w="1462" w:type="dxa"/>
          </w:tcPr>
          <w:p w14:paraId="1B1BB6BF">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Arial" w:hAnsi="Arial" w:cs="Arial"/>
                <w:bCs/>
                <w:sz w:val="20"/>
                <w:szCs w:val="20"/>
              </w:rPr>
            </w:pPr>
            <w:r>
              <w:rPr>
                <w:rFonts w:ascii="Arial" w:hAnsi="Arial" w:eastAsia="SimSun" w:cs="Arial"/>
                <w:color w:val="000000"/>
                <w:sz w:val="20"/>
                <w:szCs w:val="20"/>
                <w:lang w:eastAsia="zh-CN" w:bidi="ar"/>
              </w:rPr>
              <w:t>1</w:t>
            </w:r>
          </w:p>
        </w:tc>
        <w:tc>
          <w:tcPr>
            <w:tcW w:w="1413" w:type="dxa"/>
          </w:tcPr>
          <w:p w14:paraId="113E804D">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Arial" w:hAnsi="Arial" w:cs="Arial"/>
                <w:bCs/>
                <w:sz w:val="20"/>
                <w:szCs w:val="20"/>
              </w:rPr>
            </w:pPr>
            <w:r>
              <w:rPr>
                <w:rFonts w:ascii="Arial" w:hAnsi="Arial" w:eastAsia="SimSun" w:cs="Arial"/>
                <w:color w:val="000000"/>
                <w:sz w:val="20"/>
                <w:szCs w:val="20"/>
                <w:lang w:eastAsia="zh-CN" w:bidi="ar"/>
              </w:rPr>
              <w:t>3485</w:t>
            </w:r>
          </w:p>
        </w:tc>
        <w:tc>
          <w:tcPr>
            <w:tcW w:w="1413" w:type="dxa"/>
          </w:tcPr>
          <w:p w14:paraId="25CCC551">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Arial" w:hAnsi="Arial" w:cs="Arial"/>
                <w:bCs/>
                <w:sz w:val="20"/>
                <w:szCs w:val="20"/>
              </w:rPr>
            </w:pPr>
            <w:r>
              <w:rPr>
                <w:rFonts w:ascii="Arial" w:hAnsi="Arial" w:eastAsia="SimSun" w:cs="Arial"/>
                <w:color w:val="000000"/>
                <w:sz w:val="20"/>
                <w:szCs w:val="20"/>
                <w:lang w:eastAsia="zh-CN" w:bidi="ar"/>
              </w:rPr>
              <w:t>697000</w:t>
            </w:r>
          </w:p>
        </w:tc>
      </w:tr>
      <w:tr w14:paraId="3E43C3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5" w:type="dxa"/>
          </w:tcPr>
          <w:p w14:paraId="7E21A1AF">
            <w:pPr>
              <w:pStyle w:val="29"/>
              <w:keepNext w:val="0"/>
              <w:keepLines w:val="0"/>
              <w:pageBreakBefore w:val="0"/>
              <w:widowControl/>
              <w:kinsoku/>
              <w:wordWrap/>
              <w:overflowPunct/>
              <w:topLinePunct w:val="0"/>
              <w:autoSpaceDE/>
              <w:autoSpaceDN/>
              <w:bidi w:val="0"/>
              <w:adjustRightInd/>
              <w:snapToGrid/>
              <w:spacing w:after="0" w:line="240" w:lineRule="auto"/>
              <w:ind w:left="107"/>
              <w:jc w:val="center"/>
              <w:rPr>
                <w:rFonts w:ascii="Arial" w:hAnsi="Arial" w:cs="Arial"/>
                <w:bCs/>
                <w:sz w:val="20"/>
                <w:szCs w:val="20"/>
                <w:lang w:val="pt-BR"/>
              </w:rPr>
            </w:pPr>
            <w:r>
              <w:rPr>
                <w:rFonts w:ascii="Arial" w:hAnsi="Arial" w:cs="Arial"/>
                <w:bCs/>
                <w:sz w:val="20"/>
                <w:szCs w:val="20"/>
                <w:lang w:val="pt-BR"/>
              </w:rPr>
              <w:t>05</w:t>
            </w:r>
          </w:p>
        </w:tc>
        <w:tc>
          <w:tcPr>
            <w:tcW w:w="1089" w:type="dxa"/>
          </w:tcPr>
          <w:p w14:paraId="6B44AC22">
            <w:pPr>
              <w:keepNext w:val="0"/>
              <w:keepLines w:val="0"/>
              <w:pageBreakBefore w:val="0"/>
              <w:widowControl/>
              <w:kinsoku/>
              <w:wordWrap/>
              <w:overflowPunct/>
              <w:topLinePunct w:val="0"/>
              <w:autoSpaceDE/>
              <w:autoSpaceDN/>
              <w:bidi w:val="0"/>
              <w:adjustRightInd/>
              <w:snapToGrid/>
              <w:spacing w:after="0" w:line="240" w:lineRule="auto"/>
              <w:jc w:val="center"/>
              <w:textAlignment w:val="center"/>
              <w:rPr>
                <w:rFonts w:ascii="Arial" w:hAnsi="Arial" w:cs="Arial"/>
                <w:bCs/>
                <w:sz w:val="20"/>
                <w:szCs w:val="20"/>
              </w:rPr>
            </w:pPr>
            <w:r>
              <w:rPr>
                <w:rFonts w:ascii="Arial" w:hAnsi="Arial" w:eastAsia="SimSun" w:cs="Arial"/>
                <w:sz w:val="20"/>
                <w:szCs w:val="20"/>
                <w:lang w:eastAsia="zh-CN" w:bidi="ar"/>
              </w:rPr>
              <w:t>407076</w:t>
            </w:r>
          </w:p>
        </w:tc>
        <w:tc>
          <w:tcPr>
            <w:tcW w:w="2629" w:type="dxa"/>
          </w:tcPr>
          <w:p w14:paraId="448C9467">
            <w:pPr>
              <w:keepNext w:val="0"/>
              <w:keepLines w:val="0"/>
              <w:pageBreakBefore w:val="0"/>
              <w:widowControl/>
              <w:kinsoku/>
              <w:wordWrap/>
              <w:overflowPunct/>
              <w:topLinePunct w:val="0"/>
              <w:autoSpaceDE/>
              <w:autoSpaceDN/>
              <w:bidi w:val="0"/>
              <w:adjustRightInd/>
              <w:snapToGrid/>
              <w:spacing w:after="0" w:line="240" w:lineRule="auto"/>
              <w:jc w:val="both"/>
              <w:textAlignment w:val="top"/>
              <w:rPr>
                <w:rFonts w:ascii="Arial" w:hAnsi="Arial" w:cs="Arial"/>
                <w:bCs/>
                <w:sz w:val="20"/>
                <w:szCs w:val="20"/>
              </w:rPr>
            </w:pPr>
            <w:r>
              <w:rPr>
                <w:rFonts w:ascii="Arial" w:hAnsi="Arial" w:eastAsia="SimSun" w:cs="Arial"/>
                <w:color w:val="000000"/>
                <w:sz w:val="20"/>
                <w:szCs w:val="20"/>
                <w:lang w:eastAsia="zh-CN" w:bidi="ar"/>
              </w:rPr>
              <w:t>FORNECIMENTO DE REFEIÇÃO DO CARDÁPIO PRÉ FASE I E PRÉ FASE II - DESJEJUM/LANCHE</w:t>
            </w:r>
          </w:p>
        </w:tc>
        <w:tc>
          <w:tcPr>
            <w:tcW w:w="1438" w:type="dxa"/>
          </w:tcPr>
          <w:p w14:paraId="60261D97">
            <w:pPr>
              <w:pStyle w:val="29"/>
              <w:keepNext w:val="0"/>
              <w:keepLines w:val="0"/>
              <w:pageBreakBefore w:val="0"/>
              <w:widowControl/>
              <w:kinsoku/>
              <w:wordWrap/>
              <w:overflowPunct/>
              <w:topLinePunct w:val="0"/>
              <w:autoSpaceDE/>
              <w:autoSpaceDN/>
              <w:bidi w:val="0"/>
              <w:adjustRightInd/>
              <w:snapToGrid/>
              <w:spacing w:after="0" w:line="240" w:lineRule="auto"/>
              <w:jc w:val="center"/>
              <w:rPr>
                <w:rFonts w:ascii="Arial" w:hAnsi="Arial" w:cs="Arial"/>
                <w:bCs/>
                <w:sz w:val="20"/>
                <w:szCs w:val="20"/>
                <w:lang w:val="pt-BR"/>
              </w:rPr>
            </w:pPr>
            <w:r>
              <w:rPr>
                <w:rFonts w:ascii="Arial" w:hAnsi="Arial" w:cs="Arial"/>
                <w:bCs/>
                <w:sz w:val="20"/>
                <w:szCs w:val="20"/>
                <w:lang w:val="pt-BR"/>
              </w:rPr>
              <w:t>REFEIÇÃO</w:t>
            </w:r>
          </w:p>
          <w:p w14:paraId="314A1275">
            <w:pPr>
              <w:pStyle w:val="29"/>
              <w:keepNext w:val="0"/>
              <w:keepLines w:val="0"/>
              <w:pageBreakBefore w:val="0"/>
              <w:widowControl/>
              <w:kinsoku/>
              <w:wordWrap/>
              <w:overflowPunct/>
              <w:topLinePunct w:val="0"/>
              <w:autoSpaceDE/>
              <w:autoSpaceDN/>
              <w:bidi w:val="0"/>
              <w:adjustRightInd/>
              <w:snapToGrid/>
              <w:spacing w:after="0" w:line="240" w:lineRule="auto"/>
              <w:ind w:left="107"/>
              <w:jc w:val="center"/>
              <w:rPr>
                <w:rFonts w:ascii="Arial" w:hAnsi="Arial" w:cs="Arial"/>
                <w:bCs/>
                <w:sz w:val="20"/>
                <w:szCs w:val="20"/>
                <w:lang w:val="pt-BR"/>
              </w:rPr>
            </w:pPr>
            <w:r>
              <w:rPr>
                <w:rFonts w:ascii="Arial" w:hAnsi="Arial" w:cs="Arial"/>
                <w:bCs/>
                <w:sz w:val="20"/>
                <w:szCs w:val="20"/>
                <w:lang w:val="pt-BR"/>
              </w:rPr>
              <w:t>/ALUNO</w:t>
            </w:r>
          </w:p>
        </w:tc>
        <w:tc>
          <w:tcPr>
            <w:tcW w:w="1462" w:type="dxa"/>
          </w:tcPr>
          <w:p w14:paraId="01B2DBDD">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Arial" w:hAnsi="Arial" w:cs="Arial"/>
                <w:bCs/>
                <w:sz w:val="20"/>
                <w:szCs w:val="20"/>
              </w:rPr>
            </w:pPr>
            <w:r>
              <w:rPr>
                <w:rFonts w:ascii="Arial" w:hAnsi="Arial" w:eastAsia="SimSun" w:cs="Arial"/>
                <w:color w:val="000000"/>
                <w:sz w:val="20"/>
                <w:szCs w:val="20"/>
                <w:lang w:eastAsia="zh-CN" w:bidi="ar"/>
              </w:rPr>
              <w:t>1</w:t>
            </w:r>
          </w:p>
        </w:tc>
        <w:tc>
          <w:tcPr>
            <w:tcW w:w="1413" w:type="dxa"/>
          </w:tcPr>
          <w:p w14:paraId="45A95A18">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Arial" w:hAnsi="Arial" w:cs="Arial"/>
                <w:bCs/>
                <w:sz w:val="20"/>
                <w:szCs w:val="20"/>
              </w:rPr>
            </w:pPr>
            <w:r>
              <w:rPr>
                <w:rFonts w:ascii="Arial" w:hAnsi="Arial" w:eastAsia="SimSun" w:cs="Arial"/>
                <w:color w:val="000000"/>
                <w:sz w:val="20"/>
                <w:szCs w:val="20"/>
                <w:lang w:eastAsia="zh-CN" w:bidi="ar"/>
              </w:rPr>
              <w:t>5562</w:t>
            </w:r>
          </w:p>
        </w:tc>
        <w:tc>
          <w:tcPr>
            <w:tcW w:w="1413" w:type="dxa"/>
          </w:tcPr>
          <w:p w14:paraId="0CF21607">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Arial" w:hAnsi="Arial" w:cs="Arial"/>
                <w:bCs/>
                <w:sz w:val="20"/>
                <w:szCs w:val="20"/>
              </w:rPr>
            </w:pPr>
            <w:r>
              <w:rPr>
                <w:rFonts w:ascii="Arial" w:hAnsi="Arial" w:eastAsia="SimSun" w:cs="Arial"/>
                <w:color w:val="000000"/>
                <w:sz w:val="20"/>
                <w:szCs w:val="20"/>
                <w:lang w:eastAsia="zh-CN" w:bidi="ar"/>
              </w:rPr>
              <w:t>1112400</w:t>
            </w:r>
          </w:p>
        </w:tc>
      </w:tr>
      <w:tr w14:paraId="3E3CC9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5" w:type="dxa"/>
          </w:tcPr>
          <w:p w14:paraId="48B80DA9">
            <w:pPr>
              <w:pStyle w:val="29"/>
              <w:keepNext w:val="0"/>
              <w:keepLines w:val="0"/>
              <w:pageBreakBefore w:val="0"/>
              <w:widowControl/>
              <w:kinsoku/>
              <w:wordWrap/>
              <w:overflowPunct/>
              <w:topLinePunct w:val="0"/>
              <w:autoSpaceDE/>
              <w:autoSpaceDN/>
              <w:bidi w:val="0"/>
              <w:adjustRightInd/>
              <w:snapToGrid/>
              <w:spacing w:after="0" w:line="240" w:lineRule="auto"/>
              <w:ind w:left="107"/>
              <w:jc w:val="center"/>
              <w:rPr>
                <w:rFonts w:ascii="Arial" w:hAnsi="Arial" w:cs="Arial"/>
                <w:bCs/>
                <w:sz w:val="20"/>
                <w:szCs w:val="20"/>
                <w:lang w:val="pt-BR"/>
              </w:rPr>
            </w:pPr>
            <w:r>
              <w:rPr>
                <w:rFonts w:ascii="Arial" w:hAnsi="Arial" w:cs="Arial"/>
                <w:bCs/>
                <w:sz w:val="20"/>
                <w:szCs w:val="20"/>
                <w:lang w:val="pt-BR"/>
              </w:rPr>
              <w:t>06</w:t>
            </w:r>
          </w:p>
        </w:tc>
        <w:tc>
          <w:tcPr>
            <w:tcW w:w="1089" w:type="dxa"/>
          </w:tcPr>
          <w:p w14:paraId="57F0DF7D">
            <w:pPr>
              <w:keepNext w:val="0"/>
              <w:keepLines w:val="0"/>
              <w:pageBreakBefore w:val="0"/>
              <w:widowControl/>
              <w:kinsoku/>
              <w:wordWrap/>
              <w:overflowPunct/>
              <w:topLinePunct w:val="0"/>
              <w:autoSpaceDE/>
              <w:autoSpaceDN/>
              <w:bidi w:val="0"/>
              <w:adjustRightInd/>
              <w:snapToGrid/>
              <w:spacing w:after="0" w:line="240" w:lineRule="auto"/>
              <w:jc w:val="center"/>
              <w:textAlignment w:val="center"/>
              <w:rPr>
                <w:rFonts w:ascii="Arial" w:hAnsi="Arial" w:cs="Arial"/>
                <w:bCs/>
                <w:sz w:val="20"/>
                <w:szCs w:val="20"/>
              </w:rPr>
            </w:pPr>
            <w:r>
              <w:rPr>
                <w:rFonts w:ascii="Arial" w:hAnsi="Arial" w:eastAsia="SimSun" w:cs="Arial"/>
                <w:sz w:val="20"/>
                <w:szCs w:val="20"/>
                <w:lang w:eastAsia="zh-CN" w:bidi="ar"/>
              </w:rPr>
              <w:t>407077</w:t>
            </w:r>
          </w:p>
        </w:tc>
        <w:tc>
          <w:tcPr>
            <w:tcW w:w="2629" w:type="dxa"/>
          </w:tcPr>
          <w:p w14:paraId="4EBAA91C">
            <w:pPr>
              <w:keepNext w:val="0"/>
              <w:keepLines w:val="0"/>
              <w:pageBreakBefore w:val="0"/>
              <w:widowControl/>
              <w:kinsoku/>
              <w:wordWrap/>
              <w:overflowPunct/>
              <w:topLinePunct w:val="0"/>
              <w:autoSpaceDE/>
              <w:autoSpaceDN/>
              <w:bidi w:val="0"/>
              <w:adjustRightInd/>
              <w:snapToGrid/>
              <w:spacing w:after="0" w:line="240" w:lineRule="auto"/>
              <w:jc w:val="both"/>
              <w:textAlignment w:val="top"/>
              <w:rPr>
                <w:rFonts w:ascii="Arial" w:hAnsi="Arial" w:cs="Arial"/>
                <w:bCs/>
                <w:sz w:val="20"/>
                <w:szCs w:val="20"/>
              </w:rPr>
            </w:pPr>
            <w:r>
              <w:rPr>
                <w:rFonts w:ascii="Arial" w:hAnsi="Arial" w:eastAsia="SimSun" w:cs="Arial"/>
                <w:color w:val="000000"/>
                <w:sz w:val="20"/>
                <w:szCs w:val="20"/>
                <w:lang w:eastAsia="zh-CN" w:bidi="ar"/>
              </w:rPr>
              <w:t>FORNECIMENTO DE REFEIÇÃO DO CARDÁPIO PRÉ FASE I E PRÉ FASE II - MERENDA</w:t>
            </w:r>
          </w:p>
        </w:tc>
        <w:tc>
          <w:tcPr>
            <w:tcW w:w="1438" w:type="dxa"/>
          </w:tcPr>
          <w:p w14:paraId="69F663D2">
            <w:pPr>
              <w:pStyle w:val="29"/>
              <w:keepNext w:val="0"/>
              <w:keepLines w:val="0"/>
              <w:pageBreakBefore w:val="0"/>
              <w:widowControl/>
              <w:kinsoku/>
              <w:wordWrap/>
              <w:overflowPunct/>
              <w:topLinePunct w:val="0"/>
              <w:autoSpaceDE/>
              <w:autoSpaceDN/>
              <w:bidi w:val="0"/>
              <w:adjustRightInd/>
              <w:snapToGrid/>
              <w:spacing w:after="0" w:line="240" w:lineRule="auto"/>
              <w:jc w:val="center"/>
              <w:rPr>
                <w:rFonts w:ascii="Arial" w:hAnsi="Arial" w:cs="Arial"/>
                <w:bCs/>
                <w:sz w:val="20"/>
                <w:szCs w:val="20"/>
                <w:lang w:val="pt-BR"/>
              </w:rPr>
            </w:pPr>
            <w:r>
              <w:rPr>
                <w:rFonts w:ascii="Arial" w:hAnsi="Arial" w:cs="Arial"/>
                <w:bCs/>
                <w:sz w:val="20"/>
                <w:szCs w:val="20"/>
                <w:lang w:val="pt-BR"/>
              </w:rPr>
              <w:t>REFEIÇÃO</w:t>
            </w:r>
          </w:p>
          <w:p w14:paraId="2C606886">
            <w:pPr>
              <w:pStyle w:val="29"/>
              <w:keepNext w:val="0"/>
              <w:keepLines w:val="0"/>
              <w:pageBreakBefore w:val="0"/>
              <w:widowControl/>
              <w:kinsoku/>
              <w:wordWrap/>
              <w:overflowPunct/>
              <w:topLinePunct w:val="0"/>
              <w:autoSpaceDE/>
              <w:autoSpaceDN/>
              <w:bidi w:val="0"/>
              <w:adjustRightInd/>
              <w:snapToGrid/>
              <w:spacing w:after="0" w:line="240" w:lineRule="auto"/>
              <w:ind w:left="107"/>
              <w:jc w:val="center"/>
              <w:rPr>
                <w:rFonts w:ascii="Arial" w:hAnsi="Arial" w:cs="Arial"/>
                <w:bCs/>
                <w:sz w:val="20"/>
                <w:szCs w:val="20"/>
                <w:lang w:val="pt-BR"/>
              </w:rPr>
            </w:pPr>
            <w:r>
              <w:rPr>
                <w:rFonts w:ascii="Arial" w:hAnsi="Arial" w:cs="Arial"/>
                <w:bCs/>
                <w:sz w:val="20"/>
                <w:szCs w:val="20"/>
                <w:lang w:val="pt-BR"/>
              </w:rPr>
              <w:t>/ALUNO</w:t>
            </w:r>
          </w:p>
        </w:tc>
        <w:tc>
          <w:tcPr>
            <w:tcW w:w="1462" w:type="dxa"/>
          </w:tcPr>
          <w:p w14:paraId="0996B27A">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Arial" w:hAnsi="Arial" w:cs="Arial"/>
                <w:bCs/>
                <w:sz w:val="20"/>
                <w:szCs w:val="20"/>
              </w:rPr>
            </w:pPr>
            <w:r>
              <w:rPr>
                <w:rFonts w:ascii="Arial" w:hAnsi="Arial" w:eastAsia="SimSun" w:cs="Arial"/>
                <w:color w:val="000000"/>
                <w:sz w:val="20"/>
                <w:szCs w:val="20"/>
                <w:lang w:eastAsia="zh-CN" w:bidi="ar"/>
              </w:rPr>
              <w:t>1</w:t>
            </w:r>
          </w:p>
        </w:tc>
        <w:tc>
          <w:tcPr>
            <w:tcW w:w="1413" w:type="dxa"/>
          </w:tcPr>
          <w:p w14:paraId="7549A4F8">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Arial" w:hAnsi="Arial" w:cs="Arial"/>
                <w:bCs/>
                <w:sz w:val="20"/>
                <w:szCs w:val="20"/>
              </w:rPr>
            </w:pPr>
            <w:r>
              <w:rPr>
                <w:rFonts w:ascii="Arial" w:hAnsi="Arial" w:eastAsia="SimSun" w:cs="Arial"/>
                <w:color w:val="000000"/>
                <w:sz w:val="20"/>
                <w:szCs w:val="20"/>
                <w:lang w:eastAsia="zh-CN" w:bidi="ar"/>
              </w:rPr>
              <w:t>5562</w:t>
            </w:r>
          </w:p>
        </w:tc>
        <w:tc>
          <w:tcPr>
            <w:tcW w:w="1413" w:type="dxa"/>
          </w:tcPr>
          <w:p w14:paraId="254AB635">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Arial" w:hAnsi="Arial" w:cs="Arial"/>
                <w:bCs/>
                <w:sz w:val="20"/>
                <w:szCs w:val="20"/>
              </w:rPr>
            </w:pPr>
            <w:r>
              <w:rPr>
                <w:rFonts w:ascii="Arial" w:hAnsi="Arial" w:eastAsia="SimSun" w:cs="Arial"/>
                <w:color w:val="000000"/>
                <w:sz w:val="20"/>
                <w:szCs w:val="20"/>
                <w:lang w:eastAsia="zh-CN" w:bidi="ar"/>
              </w:rPr>
              <w:t>1112400</w:t>
            </w:r>
          </w:p>
        </w:tc>
      </w:tr>
      <w:tr w14:paraId="0CE093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5" w:type="dxa"/>
          </w:tcPr>
          <w:p w14:paraId="3D04463A">
            <w:pPr>
              <w:pStyle w:val="29"/>
              <w:keepNext w:val="0"/>
              <w:keepLines w:val="0"/>
              <w:pageBreakBefore w:val="0"/>
              <w:widowControl/>
              <w:kinsoku/>
              <w:wordWrap/>
              <w:overflowPunct/>
              <w:topLinePunct w:val="0"/>
              <w:autoSpaceDE/>
              <w:autoSpaceDN/>
              <w:bidi w:val="0"/>
              <w:adjustRightInd/>
              <w:snapToGrid/>
              <w:spacing w:after="0" w:line="240" w:lineRule="auto"/>
              <w:ind w:left="107"/>
              <w:jc w:val="center"/>
              <w:rPr>
                <w:rFonts w:ascii="Arial" w:hAnsi="Arial" w:cs="Arial"/>
                <w:bCs/>
                <w:sz w:val="20"/>
                <w:szCs w:val="20"/>
                <w:lang w:val="pt-BR"/>
              </w:rPr>
            </w:pPr>
            <w:r>
              <w:rPr>
                <w:rFonts w:ascii="Arial" w:hAnsi="Arial" w:cs="Arial"/>
                <w:bCs/>
                <w:sz w:val="20"/>
                <w:szCs w:val="20"/>
                <w:lang w:val="pt-BR"/>
              </w:rPr>
              <w:t>07</w:t>
            </w:r>
          </w:p>
        </w:tc>
        <w:tc>
          <w:tcPr>
            <w:tcW w:w="1089" w:type="dxa"/>
          </w:tcPr>
          <w:p w14:paraId="6806E713">
            <w:pPr>
              <w:keepNext w:val="0"/>
              <w:keepLines w:val="0"/>
              <w:pageBreakBefore w:val="0"/>
              <w:widowControl/>
              <w:kinsoku/>
              <w:wordWrap/>
              <w:overflowPunct/>
              <w:topLinePunct w:val="0"/>
              <w:autoSpaceDE/>
              <w:autoSpaceDN/>
              <w:bidi w:val="0"/>
              <w:adjustRightInd/>
              <w:snapToGrid/>
              <w:spacing w:after="0" w:line="240" w:lineRule="auto"/>
              <w:jc w:val="center"/>
              <w:textAlignment w:val="center"/>
              <w:rPr>
                <w:rFonts w:ascii="Arial" w:hAnsi="Arial" w:cs="Arial"/>
                <w:bCs/>
                <w:sz w:val="20"/>
                <w:szCs w:val="20"/>
              </w:rPr>
            </w:pPr>
            <w:r>
              <w:rPr>
                <w:rFonts w:ascii="Arial" w:hAnsi="Arial" w:eastAsia="SimSun" w:cs="Arial"/>
                <w:sz w:val="20"/>
                <w:szCs w:val="20"/>
                <w:lang w:eastAsia="zh-CN" w:bidi="ar"/>
              </w:rPr>
              <w:t>407078</w:t>
            </w:r>
          </w:p>
        </w:tc>
        <w:tc>
          <w:tcPr>
            <w:tcW w:w="2629" w:type="dxa"/>
          </w:tcPr>
          <w:p w14:paraId="6BDBB318">
            <w:pPr>
              <w:keepNext w:val="0"/>
              <w:keepLines w:val="0"/>
              <w:pageBreakBefore w:val="0"/>
              <w:widowControl/>
              <w:kinsoku/>
              <w:wordWrap/>
              <w:overflowPunct/>
              <w:topLinePunct w:val="0"/>
              <w:autoSpaceDE/>
              <w:autoSpaceDN/>
              <w:bidi w:val="0"/>
              <w:adjustRightInd/>
              <w:snapToGrid/>
              <w:spacing w:after="0" w:line="240" w:lineRule="auto"/>
              <w:jc w:val="both"/>
              <w:textAlignment w:val="top"/>
              <w:rPr>
                <w:rFonts w:ascii="Arial" w:hAnsi="Arial" w:cs="Arial"/>
                <w:bCs/>
                <w:sz w:val="20"/>
                <w:szCs w:val="20"/>
              </w:rPr>
            </w:pPr>
            <w:r>
              <w:rPr>
                <w:rFonts w:ascii="Arial" w:hAnsi="Arial" w:eastAsia="SimSun" w:cs="Arial"/>
                <w:color w:val="000000"/>
                <w:sz w:val="20"/>
                <w:szCs w:val="20"/>
                <w:lang w:eastAsia="zh-CN" w:bidi="ar"/>
              </w:rPr>
              <w:t>FORNECIMENTO DE REFEIÇÃO DO CARDÁPIO DO ENSINO FUNDAMENTAL REGULAR - DESJEJUM/LANCHE</w:t>
            </w:r>
          </w:p>
        </w:tc>
        <w:tc>
          <w:tcPr>
            <w:tcW w:w="1438" w:type="dxa"/>
          </w:tcPr>
          <w:p w14:paraId="66728ED6">
            <w:pPr>
              <w:pStyle w:val="29"/>
              <w:keepNext w:val="0"/>
              <w:keepLines w:val="0"/>
              <w:pageBreakBefore w:val="0"/>
              <w:widowControl/>
              <w:kinsoku/>
              <w:wordWrap/>
              <w:overflowPunct/>
              <w:topLinePunct w:val="0"/>
              <w:autoSpaceDE/>
              <w:autoSpaceDN/>
              <w:bidi w:val="0"/>
              <w:adjustRightInd/>
              <w:snapToGrid/>
              <w:spacing w:after="0" w:line="240" w:lineRule="auto"/>
              <w:jc w:val="center"/>
              <w:rPr>
                <w:rFonts w:ascii="Arial" w:hAnsi="Arial" w:cs="Arial"/>
                <w:bCs/>
                <w:sz w:val="20"/>
                <w:szCs w:val="20"/>
                <w:lang w:val="pt-BR"/>
              </w:rPr>
            </w:pPr>
            <w:r>
              <w:rPr>
                <w:rFonts w:ascii="Arial" w:hAnsi="Arial" w:cs="Arial"/>
                <w:bCs/>
                <w:sz w:val="20"/>
                <w:szCs w:val="20"/>
                <w:lang w:val="pt-BR"/>
              </w:rPr>
              <w:t>REFEIÇÃO</w:t>
            </w:r>
          </w:p>
          <w:p w14:paraId="53DE8FF7">
            <w:pPr>
              <w:pStyle w:val="29"/>
              <w:keepNext w:val="0"/>
              <w:keepLines w:val="0"/>
              <w:pageBreakBefore w:val="0"/>
              <w:widowControl/>
              <w:kinsoku/>
              <w:wordWrap/>
              <w:overflowPunct/>
              <w:topLinePunct w:val="0"/>
              <w:autoSpaceDE/>
              <w:autoSpaceDN/>
              <w:bidi w:val="0"/>
              <w:adjustRightInd/>
              <w:snapToGrid/>
              <w:spacing w:after="0" w:line="240" w:lineRule="auto"/>
              <w:ind w:left="107"/>
              <w:jc w:val="center"/>
              <w:rPr>
                <w:rFonts w:ascii="Arial" w:hAnsi="Arial" w:cs="Arial"/>
                <w:bCs/>
                <w:sz w:val="20"/>
                <w:szCs w:val="20"/>
                <w:lang w:val="pt-BR"/>
              </w:rPr>
            </w:pPr>
            <w:r>
              <w:rPr>
                <w:rFonts w:ascii="Arial" w:hAnsi="Arial" w:cs="Arial"/>
                <w:bCs/>
                <w:sz w:val="20"/>
                <w:szCs w:val="20"/>
                <w:lang w:val="pt-BR"/>
              </w:rPr>
              <w:t>/ALUNO</w:t>
            </w:r>
          </w:p>
        </w:tc>
        <w:tc>
          <w:tcPr>
            <w:tcW w:w="1462" w:type="dxa"/>
          </w:tcPr>
          <w:p w14:paraId="1C45E9F9">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Arial" w:hAnsi="Arial" w:cs="Arial"/>
                <w:bCs/>
                <w:sz w:val="20"/>
                <w:szCs w:val="20"/>
              </w:rPr>
            </w:pPr>
            <w:r>
              <w:rPr>
                <w:rFonts w:ascii="Arial" w:hAnsi="Arial" w:eastAsia="SimSun" w:cs="Arial"/>
                <w:color w:val="000000"/>
                <w:sz w:val="20"/>
                <w:szCs w:val="20"/>
                <w:lang w:eastAsia="zh-CN" w:bidi="ar"/>
              </w:rPr>
              <w:t>1</w:t>
            </w:r>
          </w:p>
        </w:tc>
        <w:tc>
          <w:tcPr>
            <w:tcW w:w="1413" w:type="dxa"/>
          </w:tcPr>
          <w:p w14:paraId="412DB6DF">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Arial" w:hAnsi="Arial" w:cs="Arial"/>
                <w:bCs/>
                <w:sz w:val="20"/>
                <w:szCs w:val="20"/>
              </w:rPr>
            </w:pPr>
            <w:r>
              <w:rPr>
                <w:rFonts w:ascii="Arial" w:hAnsi="Arial" w:eastAsia="SimSun" w:cs="Arial"/>
                <w:color w:val="000000"/>
                <w:sz w:val="20"/>
                <w:szCs w:val="20"/>
                <w:lang w:eastAsia="zh-CN" w:bidi="ar"/>
              </w:rPr>
              <w:t>15944</w:t>
            </w:r>
          </w:p>
        </w:tc>
        <w:tc>
          <w:tcPr>
            <w:tcW w:w="1413" w:type="dxa"/>
          </w:tcPr>
          <w:p w14:paraId="11CD5272">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Arial" w:hAnsi="Arial" w:cs="Arial"/>
                <w:bCs/>
                <w:sz w:val="20"/>
                <w:szCs w:val="20"/>
              </w:rPr>
            </w:pPr>
            <w:r>
              <w:rPr>
                <w:rFonts w:ascii="Arial" w:hAnsi="Arial" w:eastAsia="SimSun" w:cs="Arial"/>
                <w:color w:val="000000"/>
                <w:sz w:val="20"/>
                <w:szCs w:val="20"/>
                <w:lang w:eastAsia="zh-CN" w:bidi="ar"/>
              </w:rPr>
              <w:t>3188800</w:t>
            </w:r>
          </w:p>
        </w:tc>
      </w:tr>
      <w:tr w14:paraId="1D389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5" w:type="dxa"/>
          </w:tcPr>
          <w:p w14:paraId="1E7B85FC">
            <w:pPr>
              <w:pStyle w:val="29"/>
              <w:keepNext w:val="0"/>
              <w:keepLines w:val="0"/>
              <w:pageBreakBefore w:val="0"/>
              <w:widowControl/>
              <w:kinsoku/>
              <w:wordWrap/>
              <w:overflowPunct/>
              <w:topLinePunct w:val="0"/>
              <w:autoSpaceDE/>
              <w:autoSpaceDN/>
              <w:bidi w:val="0"/>
              <w:adjustRightInd/>
              <w:snapToGrid/>
              <w:spacing w:after="0" w:line="240" w:lineRule="auto"/>
              <w:ind w:left="107"/>
              <w:jc w:val="center"/>
              <w:rPr>
                <w:rFonts w:ascii="Arial" w:hAnsi="Arial" w:cs="Arial"/>
                <w:bCs/>
                <w:sz w:val="20"/>
                <w:szCs w:val="20"/>
                <w:lang w:val="pt-BR"/>
              </w:rPr>
            </w:pPr>
            <w:r>
              <w:rPr>
                <w:rFonts w:ascii="Arial" w:hAnsi="Arial" w:cs="Arial"/>
                <w:bCs/>
                <w:sz w:val="20"/>
                <w:szCs w:val="20"/>
                <w:lang w:val="pt-BR"/>
              </w:rPr>
              <w:t>08</w:t>
            </w:r>
          </w:p>
        </w:tc>
        <w:tc>
          <w:tcPr>
            <w:tcW w:w="1089" w:type="dxa"/>
          </w:tcPr>
          <w:p w14:paraId="03CFDD75">
            <w:pPr>
              <w:keepNext w:val="0"/>
              <w:keepLines w:val="0"/>
              <w:pageBreakBefore w:val="0"/>
              <w:widowControl/>
              <w:kinsoku/>
              <w:wordWrap/>
              <w:overflowPunct/>
              <w:topLinePunct w:val="0"/>
              <w:autoSpaceDE/>
              <w:autoSpaceDN/>
              <w:bidi w:val="0"/>
              <w:adjustRightInd/>
              <w:snapToGrid/>
              <w:spacing w:after="0" w:line="240" w:lineRule="auto"/>
              <w:jc w:val="center"/>
              <w:textAlignment w:val="center"/>
              <w:rPr>
                <w:rFonts w:ascii="Arial" w:hAnsi="Arial" w:cs="Arial"/>
                <w:bCs/>
                <w:sz w:val="20"/>
                <w:szCs w:val="20"/>
              </w:rPr>
            </w:pPr>
            <w:r>
              <w:rPr>
                <w:rFonts w:ascii="Arial" w:hAnsi="Arial" w:eastAsia="SimSun" w:cs="Arial"/>
                <w:sz w:val="20"/>
                <w:szCs w:val="20"/>
                <w:lang w:eastAsia="zh-CN" w:bidi="ar"/>
              </w:rPr>
              <w:t>407079</w:t>
            </w:r>
          </w:p>
        </w:tc>
        <w:tc>
          <w:tcPr>
            <w:tcW w:w="2629" w:type="dxa"/>
          </w:tcPr>
          <w:p w14:paraId="586F7ADD">
            <w:pPr>
              <w:keepNext w:val="0"/>
              <w:keepLines w:val="0"/>
              <w:pageBreakBefore w:val="0"/>
              <w:widowControl/>
              <w:kinsoku/>
              <w:wordWrap/>
              <w:overflowPunct/>
              <w:topLinePunct w:val="0"/>
              <w:autoSpaceDE/>
              <w:autoSpaceDN/>
              <w:bidi w:val="0"/>
              <w:adjustRightInd/>
              <w:snapToGrid/>
              <w:spacing w:after="0" w:line="240" w:lineRule="auto"/>
              <w:jc w:val="both"/>
              <w:textAlignment w:val="top"/>
              <w:rPr>
                <w:rFonts w:ascii="Arial" w:hAnsi="Arial" w:cs="Arial"/>
                <w:bCs/>
                <w:sz w:val="20"/>
                <w:szCs w:val="20"/>
              </w:rPr>
            </w:pPr>
            <w:r>
              <w:rPr>
                <w:rFonts w:ascii="Arial" w:hAnsi="Arial" w:eastAsia="SimSun" w:cs="Arial"/>
                <w:color w:val="000000"/>
                <w:sz w:val="20"/>
                <w:szCs w:val="20"/>
                <w:lang w:eastAsia="zh-CN" w:bidi="ar"/>
              </w:rPr>
              <w:t>FORNECIMENTO DE REFEIÇÃO DO CARDÁPIO DO ENSINO FUNDAMENTAL  REGULAR - MERENDA</w:t>
            </w:r>
          </w:p>
        </w:tc>
        <w:tc>
          <w:tcPr>
            <w:tcW w:w="1438" w:type="dxa"/>
          </w:tcPr>
          <w:p w14:paraId="47C95450">
            <w:pPr>
              <w:pStyle w:val="29"/>
              <w:keepNext w:val="0"/>
              <w:keepLines w:val="0"/>
              <w:pageBreakBefore w:val="0"/>
              <w:widowControl/>
              <w:kinsoku/>
              <w:wordWrap/>
              <w:overflowPunct/>
              <w:topLinePunct w:val="0"/>
              <w:autoSpaceDE/>
              <w:autoSpaceDN/>
              <w:bidi w:val="0"/>
              <w:adjustRightInd/>
              <w:snapToGrid/>
              <w:spacing w:after="0" w:line="240" w:lineRule="auto"/>
              <w:jc w:val="center"/>
              <w:rPr>
                <w:rFonts w:ascii="Arial" w:hAnsi="Arial" w:cs="Arial"/>
                <w:bCs/>
                <w:sz w:val="20"/>
                <w:szCs w:val="20"/>
                <w:lang w:val="pt-BR"/>
              </w:rPr>
            </w:pPr>
            <w:r>
              <w:rPr>
                <w:rFonts w:ascii="Arial" w:hAnsi="Arial" w:cs="Arial"/>
                <w:bCs/>
                <w:sz w:val="20"/>
                <w:szCs w:val="20"/>
                <w:lang w:val="pt-BR"/>
              </w:rPr>
              <w:t>REFEIÇÃO</w:t>
            </w:r>
          </w:p>
          <w:p w14:paraId="11B46DB6">
            <w:pPr>
              <w:pStyle w:val="29"/>
              <w:keepNext w:val="0"/>
              <w:keepLines w:val="0"/>
              <w:pageBreakBefore w:val="0"/>
              <w:widowControl/>
              <w:kinsoku/>
              <w:wordWrap/>
              <w:overflowPunct/>
              <w:topLinePunct w:val="0"/>
              <w:autoSpaceDE/>
              <w:autoSpaceDN/>
              <w:bidi w:val="0"/>
              <w:adjustRightInd/>
              <w:snapToGrid/>
              <w:spacing w:after="0" w:line="240" w:lineRule="auto"/>
              <w:ind w:left="107"/>
              <w:jc w:val="center"/>
              <w:rPr>
                <w:rFonts w:ascii="Arial" w:hAnsi="Arial" w:cs="Arial"/>
                <w:bCs/>
                <w:sz w:val="20"/>
                <w:szCs w:val="20"/>
                <w:lang w:val="pt-BR"/>
              </w:rPr>
            </w:pPr>
            <w:r>
              <w:rPr>
                <w:rFonts w:ascii="Arial" w:hAnsi="Arial" w:cs="Arial"/>
                <w:bCs/>
                <w:sz w:val="20"/>
                <w:szCs w:val="20"/>
                <w:lang w:val="pt-BR"/>
              </w:rPr>
              <w:t>/ALUNO</w:t>
            </w:r>
          </w:p>
        </w:tc>
        <w:tc>
          <w:tcPr>
            <w:tcW w:w="1462" w:type="dxa"/>
          </w:tcPr>
          <w:p w14:paraId="51E1A121">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Arial" w:hAnsi="Arial" w:cs="Arial"/>
                <w:bCs/>
                <w:sz w:val="20"/>
                <w:szCs w:val="20"/>
              </w:rPr>
            </w:pPr>
            <w:r>
              <w:rPr>
                <w:rFonts w:ascii="Arial" w:hAnsi="Arial" w:eastAsia="SimSun" w:cs="Arial"/>
                <w:color w:val="000000"/>
                <w:sz w:val="20"/>
                <w:szCs w:val="20"/>
                <w:lang w:eastAsia="zh-CN" w:bidi="ar"/>
              </w:rPr>
              <w:t>1</w:t>
            </w:r>
          </w:p>
        </w:tc>
        <w:tc>
          <w:tcPr>
            <w:tcW w:w="1413" w:type="dxa"/>
          </w:tcPr>
          <w:p w14:paraId="57EF49CD">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Arial" w:hAnsi="Arial" w:cs="Arial"/>
                <w:bCs/>
                <w:sz w:val="20"/>
                <w:szCs w:val="20"/>
              </w:rPr>
            </w:pPr>
            <w:r>
              <w:rPr>
                <w:rFonts w:ascii="Arial" w:hAnsi="Arial" w:eastAsia="SimSun" w:cs="Arial"/>
                <w:color w:val="000000"/>
                <w:sz w:val="20"/>
                <w:szCs w:val="20"/>
                <w:lang w:eastAsia="zh-CN" w:bidi="ar"/>
              </w:rPr>
              <w:t>15944</w:t>
            </w:r>
          </w:p>
        </w:tc>
        <w:tc>
          <w:tcPr>
            <w:tcW w:w="1413" w:type="dxa"/>
          </w:tcPr>
          <w:p w14:paraId="11EF1D02">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Arial" w:hAnsi="Arial" w:cs="Arial"/>
                <w:bCs/>
                <w:sz w:val="20"/>
                <w:szCs w:val="20"/>
              </w:rPr>
            </w:pPr>
            <w:r>
              <w:rPr>
                <w:rFonts w:ascii="Arial" w:hAnsi="Arial" w:eastAsia="SimSun" w:cs="Arial"/>
                <w:color w:val="000000"/>
                <w:sz w:val="20"/>
                <w:szCs w:val="20"/>
                <w:lang w:eastAsia="zh-CN" w:bidi="ar"/>
              </w:rPr>
              <w:t>3188800</w:t>
            </w:r>
          </w:p>
        </w:tc>
      </w:tr>
      <w:tr w14:paraId="583A21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5" w:type="dxa"/>
          </w:tcPr>
          <w:p w14:paraId="205B5A61">
            <w:pPr>
              <w:pStyle w:val="29"/>
              <w:keepNext w:val="0"/>
              <w:keepLines w:val="0"/>
              <w:pageBreakBefore w:val="0"/>
              <w:widowControl/>
              <w:kinsoku/>
              <w:wordWrap/>
              <w:overflowPunct/>
              <w:topLinePunct w:val="0"/>
              <w:autoSpaceDE/>
              <w:autoSpaceDN/>
              <w:bidi w:val="0"/>
              <w:adjustRightInd/>
              <w:snapToGrid/>
              <w:spacing w:after="0" w:line="240" w:lineRule="auto"/>
              <w:ind w:left="107"/>
              <w:jc w:val="center"/>
              <w:rPr>
                <w:rFonts w:ascii="Arial" w:hAnsi="Arial" w:cs="Arial"/>
                <w:bCs/>
                <w:sz w:val="20"/>
                <w:szCs w:val="20"/>
                <w:lang w:val="pt-BR"/>
              </w:rPr>
            </w:pPr>
            <w:r>
              <w:rPr>
                <w:rFonts w:ascii="Arial" w:hAnsi="Arial" w:cs="Arial"/>
                <w:bCs/>
                <w:sz w:val="20"/>
                <w:szCs w:val="20"/>
                <w:lang w:val="pt-BR"/>
              </w:rPr>
              <w:t>09</w:t>
            </w:r>
          </w:p>
        </w:tc>
        <w:tc>
          <w:tcPr>
            <w:tcW w:w="1089" w:type="dxa"/>
          </w:tcPr>
          <w:p w14:paraId="6BA6FF92">
            <w:pPr>
              <w:keepNext w:val="0"/>
              <w:keepLines w:val="0"/>
              <w:pageBreakBefore w:val="0"/>
              <w:widowControl/>
              <w:kinsoku/>
              <w:wordWrap/>
              <w:overflowPunct/>
              <w:topLinePunct w:val="0"/>
              <w:autoSpaceDE/>
              <w:autoSpaceDN/>
              <w:bidi w:val="0"/>
              <w:adjustRightInd/>
              <w:snapToGrid/>
              <w:spacing w:after="0" w:line="240" w:lineRule="auto"/>
              <w:jc w:val="center"/>
              <w:textAlignment w:val="center"/>
              <w:rPr>
                <w:rFonts w:ascii="Arial" w:hAnsi="Arial" w:cs="Arial"/>
                <w:bCs/>
                <w:sz w:val="20"/>
                <w:szCs w:val="20"/>
              </w:rPr>
            </w:pPr>
            <w:r>
              <w:rPr>
                <w:rFonts w:ascii="Arial" w:hAnsi="Arial" w:eastAsia="SimSun" w:cs="Arial"/>
                <w:sz w:val="20"/>
                <w:szCs w:val="20"/>
                <w:lang w:eastAsia="zh-CN" w:bidi="ar"/>
              </w:rPr>
              <w:t>407080</w:t>
            </w:r>
          </w:p>
        </w:tc>
        <w:tc>
          <w:tcPr>
            <w:tcW w:w="2629" w:type="dxa"/>
          </w:tcPr>
          <w:p w14:paraId="00A7770F">
            <w:pPr>
              <w:keepNext w:val="0"/>
              <w:keepLines w:val="0"/>
              <w:pageBreakBefore w:val="0"/>
              <w:widowControl/>
              <w:kinsoku/>
              <w:wordWrap/>
              <w:overflowPunct/>
              <w:topLinePunct w:val="0"/>
              <w:autoSpaceDE/>
              <w:autoSpaceDN/>
              <w:bidi w:val="0"/>
              <w:adjustRightInd/>
              <w:snapToGrid/>
              <w:spacing w:after="0" w:line="240" w:lineRule="auto"/>
              <w:jc w:val="both"/>
              <w:textAlignment w:val="top"/>
              <w:rPr>
                <w:rFonts w:ascii="Arial" w:hAnsi="Arial" w:cs="Arial"/>
                <w:bCs/>
                <w:sz w:val="20"/>
                <w:szCs w:val="20"/>
              </w:rPr>
            </w:pPr>
            <w:r>
              <w:rPr>
                <w:rFonts w:ascii="Arial" w:hAnsi="Arial" w:eastAsia="SimSun" w:cs="Arial"/>
                <w:color w:val="000000"/>
                <w:sz w:val="20"/>
                <w:szCs w:val="20"/>
                <w:lang w:eastAsia="zh-CN" w:bidi="ar"/>
              </w:rPr>
              <w:t>FORNECIMENTO DE REFEIÇÃO DO CARDÁPIO DO ENSINO FUNDAMENTAL INTEGRAL - DESJEJUM</w:t>
            </w:r>
          </w:p>
        </w:tc>
        <w:tc>
          <w:tcPr>
            <w:tcW w:w="1438" w:type="dxa"/>
          </w:tcPr>
          <w:p w14:paraId="338F2708">
            <w:pPr>
              <w:pStyle w:val="29"/>
              <w:keepNext w:val="0"/>
              <w:keepLines w:val="0"/>
              <w:pageBreakBefore w:val="0"/>
              <w:widowControl/>
              <w:kinsoku/>
              <w:wordWrap/>
              <w:overflowPunct/>
              <w:topLinePunct w:val="0"/>
              <w:autoSpaceDE/>
              <w:autoSpaceDN/>
              <w:bidi w:val="0"/>
              <w:adjustRightInd/>
              <w:snapToGrid/>
              <w:spacing w:after="0" w:line="240" w:lineRule="auto"/>
              <w:jc w:val="center"/>
              <w:rPr>
                <w:rFonts w:ascii="Arial" w:hAnsi="Arial" w:cs="Arial"/>
                <w:bCs/>
                <w:sz w:val="20"/>
                <w:szCs w:val="20"/>
                <w:lang w:val="pt-BR"/>
              </w:rPr>
            </w:pPr>
            <w:r>
              <w:rPr>
                <w:rFonts w:ascii="Arial" w:hAnsi="Arial" w:cs="Arial"/>
                <w:bCs/>
                <w:sz w:val="20"/>
                <w:szCs w:val="20"/>
                <w:lang w:val="pt-BR"/>
              </w:rPr>
              <w:t>REFEIÇÃO</w:t>
            </w:r>
          </w:p>
          <w:p w14:paraId="15D93AAC">
            <w:pPr>
              <w:pStyle w:val="29"/>
              <w:keepNext w:val="0"/>
              <w:keepLines w:val="0"/>
              <w:pageBreakBefore w:val="0"/>
              <w:widowControl/>
              <w:kinsoku/>
              <w:wordWrap/>
              <w:overflowPunct/>
              <w:topLinePunct w:val="0"/>
              <w:autoSpaceDE/>
              <w:autoSpaceDN/>
              <w:bidi w:val="0"/>
              <w:adjustRightInd/>
              <w:snapToGrid/>
              <w:spacing w:after="0" w:line="240" w:lineRule="auto"/>
              <w:ind w:left="107"/>
              <w:jc w:val="center"/>
              <w:rPr>
                <w:rFonts w:ascii="Arial" w:hAnsi="Arial" w:cs="Arial"/>
                <w:bCs/>
                <w:sz w:val="20"/>
                <w:szCs w:val="20"/>
                <w:lang w:val="pt-BR"/>
              </w:rPr>
            </w:pPr>
            <w:r>
              <w:rPr>
                <w:rFonts w:ascii="Arial" w:hAnsi="Arial" w:cs="Arial"/>
                <w:bCs/>
                <w:sz w:val="20"/>
                <w:szCs w:val="20"/>
                <w:lang w:val="pt-BR"/>
              </w:rPr>
              <w:t>/ALUNO</w:t>
            </w:r>
          </w:p>
        </w:tc>
        <w:tc>
          <w:tcPr>
            <w:tcW w:w="1462" w:type="dxa"/>
          </w:tcPr>
          <w:p w14:paraId="49AC9284">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Arial" w:hAnsi="Arial" w:cs="Arial"/>
                <w:bCs/>
                <w:sz w:val="20"/>
                <w:szCs w:val="20"/>
              </w:rPr>
            </w:pPr>
            <w:r>
              <w:rPr>
                <w:rFonts w:ascii="Arial" w:hAnsi="Arial" w:eastAsia="SimSun" w:cs="Arial"/>
                <w:color w:val="000000"/>
                <w:sz w:val="20"/>
                <w:szCs w:val="20"/>
                <w:lang w:eastAsia="zh-CN" w:bidi="ar"/>
              </w:rPr>
              <w:t>1</w:t>
            </w:r>
          </w:p>
        </w:tc>
        <w:tc>
          <w:tcPr>
            <w:tcW w:w="1413" w:type="dxa"/>
          </w:tcPr>
          <w:p w14:paraId="7C7DB2B8">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Arial" w:hAnsi="Arial" w:cs="Arial"/>
                <w:bCs/>
                <w:sz w:val="20"/>
                <w:szCs w:val="20"/>
              </w:rPr>
            </w:pPr>
            <w:r>
              <w:rPr>
                <w:rFonts w:ascii="Arial" w:hAnsi="Arial" w:eastAsia="SimSun" w:cs="Arial"/>
                <w:color w:val="000000"/>
                <w:sz w:val="20"/>
                <w:szCs w:val="20"/>
                <w:lang w:eastAsia="zh-CN" w:bidi="ar"/>
              </w:rPr>
              <w:t>1160</w:t>
            </w:r>
          </w:p>
        </w:tc>
        <w:tc>
          <w:tcPr>
            <w:tcW w:w="1413" w:type="dxa"/>
          </w:tcPr>
          <w:p w14:paraId="7D3E406A">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Arial" w:hAnsi="Arial" w:cs="Arial"/>
                <w:bCs/>
                <w:sz w:val="20"/>
                <w:szCs w:val="20"/>
              </w:rPr>
            </w:pPr>
            <w:r>
              <w:rPr>
                <w:rFonts w:ascii="Arial" w:hAnsi="Arial" w:eastAsia="SimSun" w:cs="Arial"/>
                <w:color w:val="000000"/>
                <w:sz w:val="20"/>
                <w:szCs w:val="20"/>
                <w:lang w:eastAsia="zh-CN" w:bidi="ar"/>
              </w:rPr>
              <w:t>232000</w:t>
            </w:r>
          </w:p>
        </w:tc>
      </w:tr>
      <w:tr w14:paraId="1EA043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5" w:type="dxa"/>
          </w:tcPr>
          <w:p w14:paraId="4918F473">
            <w:pPr>
              <w:pStyle w:val="29"/>
              <w:keepNext w:val="0"/>
              <w:keepLines w:val="0"/>
              <w:pageBreakBefore w:val="0"/>
              <w:widowControl/>
              <w:kinsoku/>
              <w:wordWrap/>
              <w:overflowPunct/>
              <w:topLinePunct w:val="0"/>
              <w:autoSpaceDE/>
              <w:autoSpaceDN/>
              <w:bidi w:val="0"/>
              <w:adjustRightInd/>
              <w:snapToGrid/>
              <w:spacing w:after="0" w:line="240" w:lineRule="auto"/>
              <w:ind w:left="107"/>
              <w:jc w:val="center"/>
              <w:rPr>
                <w:rFonts w:ascii="Arial" w:hAnsi="Arial" w:cs="Arial"/>
                <w:bCs/>
                <w:sz w:val="20"/>
                <w:szCs w:val="20"/>
                <w:lang w:val="pt-BR"/>
              </w:rPr>
            </w:pPr>
            <w:r>
              <w:rPr>
                <w:rFonts w:ascii="Arial" w:hAnsi="Arial" w:cs="Arial"/>
                <w:bCs/>
                <w:sz w:val="20"/>
                <w:szCs w:val="20"/>
                <w:lang w:val="pt-BR"/>
              </w:rPr>
              <w:t>10</w:t>
            </w:r>
          </w:p>
        </w:tc>
        <w:tc>
          <w:tcPr>
            <w:tcW w:w="1089" w:type="dxa"/>
          </w:tcPr>
          <w:p w14:paraId="5D66C5D4">
            <w:pPr>
              <w:keepNext w:val="0"/>
              <w:keepLines w:val="0"/>
              <w:pageBreakBefore w:val="0"/>
              <w:widowControl/>
              <w:kinsoku/>
              <w:wordWrap/>
              <w:overflowPunct/>
              <w:topLinePunct w:val="0"/>
              <w:autoSpaceDE/>
              <w:autoSpaceDN/>
              <w:bidi w:val="0"/>
              <w:adjustRightInd/>
              <w:snapToGrid/>
              <w:spacing w:after="0" w:line="240" w:lineRule="auto"/>
              <w:jc w:val="center"/>
              <w:textAlignment w:val="center"/>
              <w:rPr>
                <w:rFonts w:ascii="Arial" w:hAnsi="Arial" w:cs="Arial"/>
                <w:bCs/>
                <w:sz w:val="20"/>
                <w:szCs w:val="20"/>
              </w:rPr>
            </w:pPr>
            <w:r>
              <w:rPr>
                <w:rFonts w:ascii="Arial" w:hAnsi="Arial" w:eastAsia="SimSun" w:cs="Arial"/>
                <w:sz w:val="20"/>
                <w:szCs w:val="20"/>
                <w:lang w:eastAsia="zh-CN" w:bidi="ar"/>
              </w:rPr>
              <w:t>407081</w:t>
            </w:r>
          </w:p>
        </w:tc>
        <w:tc>
          <w:tcPr>
            <w:tcW w:w="2629" w:type="dxa"/>
          </w:tcPr>
          <w:p w14:paraId="4AC03EFD">
            <w:pPr>
              <w:keepNext w:val="0"/>
              <w:keepLines w:val="0"/>
              <w:pageBreakBefore w:val="0"/>
              <w:widowControl/>
              <w:kinsoku/>
              <w:wordWrap/>
              <w:overflowPunct/>
              <w:topLinePunct w:val="0"/>
              <w:autoSpaceDE/>
              <w:autoSpaceDN/>
              <w:bidi w:val="0"/>
              <w:adjustRightInd/>
              <w:snapToGrid/>
              <w:spacing w:after="0" w:line="240" w:lineRule="auto"/>
              <w:jc w:val="both"/>
              <w:textAlignment w:val="top"/>
              <w:rPr>
                <w:rFonts w:ascii="Arial" w:hAnsi="Arial" w:cs="Arial"/>
                <w:bCs/>
                <w:sz w:val="20"/>
                <w:szCs w:val="20"/>
              </w:rPr>
            </w:pPr>
            <w:r>
              <w:rPr>
                <w:rFonts w:ascii="Arial" w:hAnsi="Arial" w:eastAsia="SimSun" w:cs="Arial"/>
                <w:color w:val="000000"/>
                <w:sz w:val="20"/>
                <w:szCs w:val="20"/>
                <w:lang w:eastAsia="zh-CN" w:bidi="ar"/>
              </w:rPr>
              <w:t>FORNECIMENTO DE REFEIÇÃO DO CARDÁPIO DO ENSINO FUNDAMENTAL INTEGRAL - COLAÇÃO</w:t>
            </w:r>
          </w:p>
        </w:tc>
        <w:tc>
          <w:tcPr>
            <w:tcW w:w="1438" w:type="dxa"/>
          </w:tcPr>
          <w:p w14:paraId="4C3D5C1B">
            <w:pPr>
              <w:pStyle w:val="29"/>
              <w:keepNext w:val="0"/>
              <w:keepLines w:val="0"/>
              <w:pageBreakBefore w:val="0"/>
              <w:widowControl/>
              <w:kinsoku/>
              <w:wordWrap/>
              <w:overflowPunct/>
              <w:topLinePunct w:val="0"/>
              <w:autoSpaceDE/>
              <w:autoSpaceDN/>
              <w:bidi w:val="0"/>
              <w:adjustRightInd/>
              <w:snapToGrid/>
              <w:spacing w:after="0" w:line="240" w:lineRule="auto"/>
              <w:jc w:val="center"/>
              <w:rPr>
                <w:rFonts w:ascii="Arial" w:hAnsi="Arial" w:cs="Arial"/>
                <w:bCs/>
                <w:sz w:val="20"/>
                <w:szCs w:val="20"/>
                <w:lang w:val="pt-BR"/>
              </w:rPr>
            </w:pPr>
            <w:r>
              <w:rPr>
                <w:rFonts w:ascii="Arial" w:hAnsi="Arial" w:cs="Arial"/>
                <w:bCs/>
                <w:sz w:val="20"/>
                <w:szCs w:val="20"/>
                <w:lang w:val="pt-BR"/>
              </w:rPr>
              <w:t>REFEIÇÃO</w:t>
            </w:r>
          </w:p>
          <w:p w14:paraId="69035CBC">
            <w:pPr>
              <w:pStyle w:val="29"/>
              <w:keepNext w:val="0"/>
              <w:keepLines w:val="0"/>
              <w:pageBreakBefore w:val="0"/>
              <w:widowControl/>
              <w:kinsoku/>
              <w:wordWrap/>
              <w:overflowPunct/>
              <w:topLinePunct w:val="0"/>
              <w:autoSpaceDE/>
              <w:autoSpaceDN/>
              <w:bidi w:val="0"/>
              <w:adjustRightInd/>
              <w:snapToGrid/>
              <w:spacing w:after="0" w:line="240" w:lineRule="auto"/>
              <w:ind w:left="107"/>
              <w:jc w:val="center"/>
              <w:rPr>
                <w:rFonts w:ascii="Arial" w:hAnsi="Arial" w:cs="Arial"/>
                <w:bCs/>
                <w:sz w:val="20"/>
                <w:szCs w:val="20"/>
                <w:lang w:val="pt-BR"/>
              </w:rPr>
            </w:pPr>
            <w:r>
              <w:rPr>
                <w:rFonts w:ascii="Arial" w:hAnsi="Arial" w:cs="Arial"/>
                <w:bCs/>
                <w:sz w:val="20"/>
                <w:szCs w:val="20"/>
                <w:lang w:val="pt-BR"/>
              </w:rPr>
              <w:t>/ALUNO</w:t>
            </w:r>
          </w:p>
        </w:tc>
        <w:tc>
          <w:tcPr>
            <w:tcW w:w="1462" w:type="dxa"/>
          </w:tcPr>
          <w:p w14:paraId="41098BD6">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Arial" w:hAnsi="Arial" w:cs="Arial"/>
                <w:bCs/>
                <w:sz w:val="20"/>
                <w:szCs w:val="20"/>
              </w:rPr>
            </w:pPr>
            <w:r>
              <w:rPr>
                <w:rFonts w:ascii="Arial" w:hAnsi="Arial" w:eastAsia="SimSun" w:cs="Arial"/>
                <w:color w:val="000000"/>
                <w:sz w:val="20"/>
                <w:szCs w:val="20"/>
                <w:lang w:eastAsia="zh-CN" w:bidi="ar"/>
              </w:rPr>
              <w:t>1</w:t>
            </w:r>
          </w:p>
        </w:tc>
        <w:tc>
          <w:tcPr>
            <w:tcW w:w="1413" w:type="dxa"/>
          </w:tcPr>
          <w:p w14:paraId="26466E08">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Arial" w:hAnsi="Arial" w:cs="Arial"/>
                <w:bCs/>
                <w:sz w:val="20"/>
                <w:szCs w:val="20"/>
              </w:rPr>
            </w:pPr>
            <w:r>
              <w:rPr>
                <w:rFonts w:ascii="Arial" w:hAnsi="Arial" w:eastAsia="SimSun" w:cs="Arial"/>
                <w:color w:val="000000"/>
                <w:sz w:val="20"/>
                <w:szCs w:val="20"/>
                <w:lang w:eastAsia="zh-CN" w:bidi="ar"/>
              </w:rPr>
              <w:t>1160</w:t>
            </w:r>
          </w:p>
        </w:tc>
        <w:tc>
          <w:tcPr>
            <w:tcW w:w="1413" w:type="dxa"/>
          </w:tcPr>
          <w:p w14:paraId="76F7E1D9">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Arial" w:hAnsi="Arial" w:cs="Arial"/>
                <w:bCs/>
                <w:sz w:val="20"/>
                <w:szCs w:val="20"/>
              </w:rPr>
            </w:pPr>
            <w:r>
              <w:rPr>
                <w:rFonts w:ascii="Arial" w:hAnsi="Arial" w:eastAsia="SimSun" w:cs="Arial"/>
                <w:color w:val="000000"/>
                <w:sz w:val="20"/>
                <w:szCs w:val="20"/>
                <w:lang w:eastAsia="zh-CN" w:bidi="ar"/>
              </w:rPr>
              <w:t>232000</w:t>
            </w:r>
          </w:p>
        </w:tc>
      </w:tr>
      <w:tr w14:paraId="65153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5" w:type="dxa"/>
          </w:tcPr>
          <w:p w14:paraId="055721EB">
            <w:pPr>
              <w:pStyle w:val="29"/>
              <w:keepNext w:val="0"/>
              <w:keepLines w:val="0"/>
              <w:pageBreakBefore w:val="0"/>
              <w:widowControl/>
              <w:kinsoku/>
              <w:wordWrap/>
              <w:overflowPunct/>
              <w:topLinePunct w:val="0"/>
              <w:autoSpaceDE/>
              <w:autoSpaceDN/>
              <w:bidi w:val="0"/>
              <w:adjustRightInd/>
              <w:snapToGrid/>
              <w:spacing w:after="0" w:line="240" w:lineRule="auto"/>
              <w:ind w:left="107"/>
              <w:jc w:val="center"/>
              <w:rPr>
                <w:rFonts w:ascii="Arial" w:hAnsi="Arial" w:cs="Arial"/>
                <w:bCs/>
                <w:sz w:val="20"/>
                <w:szCs w:val="20"/>
                <w:lang w:val="pt-BR"/>
              </w:rPr>
            </w:pPr>
            <w:r>
              <w:rPr>
                <w:rFonts w:ascii="Arial" w:hAnsi="Arial" w:cs="Arial"/>
                <w:bCs/>
                <w:sz w:val="20"/>
                <w:szCs w:val="20"/>
                <w:lang w:val="pt-BR"/>
              </w:rPr>
              <w:t>11</w:t>
            </w:r>
          </w:p>
        </w:tc>
        <w:tc>
          <w:tcPr>
            <w:tcW w:w="1089" w:type="dxa"/>
          </w:tcPr>
          <w:p w14:paraId="7ABCD82F">
            <w:pPr>
              <w:keepNext w:val="0"/>
              <w:keepLines w:val="0"/>
              <w:pageBreakBefore w:val="0"/>
              <w:widowControl/>
              <w:kinsoku/>
              <w:wordWrap/>
              <w:overflowPunct/>
              <w:topLinePunct w:val="0"/>
              <w:autoSpaceDE/>
              <w:autoSpaceDN/>
              <w:bidi w:val="0"/>
              <w:adjustRightInd/>
              <w:snapToGrid/>
              <w:spacing w:after="0" w:line="240" w:lineRule="auto"/>
              <w:jc w:val="center"/>
              <w:textAlignment w:val="center"/>
              <w:rPr>
                <w:rFonts w:ascii="Arial" w:hAnsi="Arial" w:cs="Arial"/>
                <w:bCs/>
                <w:sz w:val="20"/>
                <w:szCs w:val="20"/>
              </w:rPr>
            </w:pPr>
            <w:r>
              <w:rPr>
                <w:rFonts w:ascii="Arial" w:hAnsi="Arial" w:eastAsia="SimSun" w:cs="Arial"/>
                <w:sz w:val="20"/>
                <w:szCs w:val="20"/>
                <w:lang w:eastAsia="zh-CN" w:bidi="ar"/>
              </w:rPr>
              <w:t>407082</w:t>
            </w:r>
          </w:p>
        </w:tc>
        <w:tc>
          <w:tcPr>
            <w:tcW w:w="2629" w:type="dxa"/>
          </w:tcPr>
          <w:p w14:paraId="39BE7C89">
            <w:pPr>
              <w:keepNext w:val="0"/>
              <w:keepLines w:val="0"/>
              <w:pageBreakBefore w:val="0"/>
              <w:widowControl/>
              <w:kinsoku/>
              <w:wordWrap/>
              <w:overflowPunct/>
              <w:topLinePunct w:val="0"/>
              <w:autoSpaceDE/>
              <w:autoSpaceDN/>
              <w:bidi w:val="0"/>
              <w:adjustRightInd/>
              <w:snapToGrid/>
              <w:spacing w:after="0" w:line="240" w:lineRule="auto"/>
              <w:jc w:val="both"/>
              <w:textAlignment w:val="top"/>
              <w:rPr>
                <w:rFonts w:ascii="Arial" w:hAnsi="Arial" w:cs="Arial"/>
                <w:bCs/>
                <w:sz w:val="20"/>
                <w:szCs w:val="20"/>
              </w:rPr>
            </w:pPr>
            <w:r>
              <w:rPr>
                <w:rFonts w:ascii="Arial" w:hAnsi="Arial" w:eastAsia="SimSun" w:cs="Arial"/>
                <w:color w:val="000000"/>
                <w:sz w:val="20"/>
                <w:szCs w:val="20"/>
                <w:lang w:eastAsia="zh-CN" w:bidi="ar"/>
              </w:rPr>
              <w:t>FORNECIMENTO DE REFEIÇÃO DO CARDÁPIO DO ENSINO FUNDAMENTAL INTEGRAL - ALMOÇO</w:t>
            </w:r>
          </w:p>
        </w:tc>
        <w:tc>
          <w:tcPr>
            <w:tcW w:w="1438" w:type="dxa"/>
          </w:tcPr>
          <w:p w14:paraId="5BBC582D">
            <w:pPr>
              <w:pStyle w:val="29"/>
              <w:keepNext w:val="0"/>
              <w:keepLines w:val="0"/>
              <w:pageBreakBefore w:val="0"/>
              <w:widowControl/>
              <w:kinsoku/>
              <w:wordWrap/>
              <w:overflowPunct/>
              <w:topLinePunct w:val="0"/>
              <w:autoSpaceDE/>
              <w:autoSpaceDN/>
              <w:bidi w:val="0"/>
              <w:adjustRightInd/>
              <w:snapToGrid/>
              <w:spacing w:after="0" w:line="240" w:lineRule="auto"/>
              <w:jc w:val="center"/>
              <w:rPr>
                <w:rFonts w:ascii="Arial" w:hAnsi="Arial" w:cs="Arial"/>
                <w:bCs/>
                <w:sz w:val="20"/>
                <w:szCs w:val="20"/>
                <w:lang w:val="pt-BR"/>
              </w:rPr>
            </w:pPr>
            <w:r>
              <w:rPr>
                <w:rFonts w:ascii="Arial" w:hAnsi="Arial" w:cs="Arial"/>
                <w:bCs/>
                <w:sz w:val="20"/>
                <w:szCs w:val="20"/>
                <w:lang w:val="pt-BR"/>
              </w:rPr>
              <w:t>REFEIÇÃO</w:t>
            </w:r>
          </w:p>
          <w:p w14:paraId="638FB054">
            <w:pPr>
              <w:pStyle w:val="29"/>
              <w:keepNext w:val="0"/>
              <w:keepLines w:val="0"/>
              <w:pageBreakBefore w:val="0"/>
              <w:widowControl/>
              <w:kinsoku/>
              <w:wordWrap/>
              <w:overflowPunct/>
              <w:topLinePunct w:val="0"/>
              <w:autoSpaceDE/>
              <w:autoSpaceDN/>
              <w:bidi w:val="0"/>
              <w:adjustRightInd/>
              <w:snapToGrid/>
              <w:spacing w:after="0" w:line="240" w:lineRule="auto"/>
              <w:ind w:left="107"/>
              <w:jc w:val="center"/>
              <w:rPr>
                <w:rFonts w:ascii="Arial" w:hAnsi="Arial" w:cs="Arial"/>
                <w:bCs/>
                <w:sz w:val="20"/>
                <w:szCs w:val="20"/>
                <w:lang w:val="pt-BR"/>
              </w:rPr>
            </w:pPr>
            <w:r>
              <w:rPr>
                <w:rFonts w:ascii="Arial" w:hAnsi="Arial" w:cs="Arial"/>
                <w:bCs/>
                <w:sz w:val="20"/>
                <w:szCs w:val="20"/>
                <w:lang w:val="pt-BR"/>
              </w:rPr>
              <w:t>/ALUNO</w:t>
            </w:r>
          </w:p>
        </w:tc>
        <w:tc>
          <w:tcPr>
            <w:tcW w:w="1462" w:type="dxa"/>
          </w:tcPr>
          <w:p w14:paraId="1A6C7BA2">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Arial" w:hAnsi="Arial" w:cs="Arial"/>
                <w:bCs/>
                <w:sz w:val="20"/>
                <w:szCs w:val="20"/>
              </w:rPr>
            </w:pPr>
            <w:r>
              <w:rPr>
                <w:rFonts w:ascii="Arial" w:hAnsi="Arial" w:eastAsia="SimSun" w:cs="Arial"/>
                <w:color w:val="000000"/>
                <w:sz w:val="20"/>
                <w:szCs w:val="20"/>
                <w:lang w:eastAsia="zh-CN" w:bidi="ar"/>
              </w:rPr>
              <w:t>1</w:t>
            </w:r>
          </w:p>
        </w:tc>
        <w:tc>
          <w:tcPr>
            <w:tcW w:w="1413" w:type="dxa"/>
          </w:tcPr>
          <w:p w14:paraId="4ECFA5A8">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Arial" w:hAnsi="Arial" w:cs="Arial"/>
                <w:bCs/>
                <w:sz w:val="20"/>
                <w:szCs w:val="20"/>
              </w:rPr>
            </w:pPr>
            <w:r>
              <w:rPr>
                <w:rFonts w:ascii="Arial" w:hAnsi="Arial" w:eastAsia="SimSun" w:cs="Arial"/>
                <w:color w:val="000000"/>
                <w:sz w:val="20"/>
                <w:szCs w:val="20"/>
                <w:lang w:eastAsia="zh-CN" w:bidi="ar"/>
              </w:rPr>
              <w:t>1160</w:t>
            </w:r>
          </w:p>
        </w:tc>
        <w:tc>
          <w:tcPr>
            <w:tcW w:w="1413" w:type="dxa"/>
          </w:tcPr>
          <w:p w14:paraId="0F12F387">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Arial" w:hAnsi="Arial" w:cs="Arial"/>
                <w:bCs/>
                <w:sz w:val="20"/>
                <w:szCs w:val="20"/>
              </w:rPr>
            </w:pPr>
            <w:r>
              <w:rPr>
                <w:rFonts w:ascii="Arial" w:hAnsi="Arial" w:eastAsia="SimSun" w:cs="Arial"/>
                <w:color w:val="000000"/>
                <w:sz w:val="20"/>
                <w:szCs w:val="20"/>
                <w:lang w:eastAsia="zh-CN" w:bidi="ar"/>
              </w:rPr>
              <w:t>232000</w:t>
            </w:r>
          </w:p>
        </w:tc>
      </w:tr>
      <w:tr w14:paraId="0913F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05" w:type="dxa"/>
          </w:tcPr>
          <w:p w14:paraId="7B25D04D">
            <w:pPr>
              <w:pStyle w:val="29"/>
              <w:keepNext w:val="0"/>
              <w:keepLines w:val="0"/>
              <w:pageBreakBefore w:val="0"/>
              <w:widowControl/>
              <w:kinsoku/>
              <w:wordWrap/>
              <w:overflowPunct/>
              <w:topLinePunct w:val="0"/>
              <w:autoSpaceDE/>
              <w:autoSpaceDN/>
              <w:bidi w:val="0"/>
              <w:adjustRightInd/>
              <w:snapToGrid/>
              <w:spacing w:after="0" w:line="240" w:lineRule="auto"/>
              <w:ind w:left="107"/>
              <w:jc w:val="center"/>
              <w:rPr>
                <w:rFonts w:ascii="Arial" w:hAnsi="Arial" w:cs="Arial"/>
                <w:bCs/>
                <w:sz w:val="20"/>
                <w:szCs w:val="20"/>
                <w:lang w:val="pt-BR"/>
              </w:rPr>
            </w:pPr>
            <w:r>
              <w:rPr>
                <w:rFonts w:ascii="Arial" w:hAnsi="Arial" w:cs="Arial"/>
                <w:bCs/>
                <w:sz w:val="20"/>
                <w:szCs w:val="20"/>
                <w:lang w:val="pt-BR"/>
              </w:rPr>
              <w:t>12</w:t>
            </w:r>
          </w:p>
        </w:tc>
        <w:tc>
          <w:tcPr>
            <w:tcW w:w="1089" w:type="dxa"/>
          </w:tcPr>
          <w:p w14:paraId="74B51F31">
            <w:pPr>
              <w:keepNext w:val="0"/>
              <w:keepLines w:val="0"/>
              <w:pageBreakBefore w:val="0"/>
              <w:widowControl/>
              <w:kinsoku/>
              <w:wordWrap/>
              <w:overflowPunct/>
              <w:topLinePunct w:val="0"/>
              <w:autoSpaceDE/>
              <w:autoSpaceDN/>
              <w:bidi w:val="0"/>
              <w:adjustRightInd/>
              <w:snapToGrid/>
              <w:spacing w:after="0" w:line="240" w:lineRule="auto"/>
              <w:jc w:val="center"/>
              <w:textAlignment w:val="center"/>
              <w:rPr>
                <w:rFonts w:ascii="Arial" w:hAnsi="Arial" w:cs="Arial"/>
                <w:bCs/>
                <w:sz w:val="20"/>
                <w:szCs w:val="20"/>
              </w:rPr>
            </w:pPr>
            <w:r>
              <w:rPr>
                <w:rFonts w:ascii="Arial" w:hAnsi="Arial" w:eastAsia="SimSun" w:cs="Arial"/>
                <w:sz w:val="20"/>
                <w:szCs w:val="20"/>
                <w:lang w:eastAsia="zh-CN" w:bidi="ar"/>
              </w:rPr>
              <w:t>407083</w:t>
            </w:r>
          </w:p>
        </w:tc>
        <w:tc>
          <w:tcPr>
            <w:tcW w:w="2629" w:type="dxa"/>
          </w:tcPr>
          <w:p w14:paraId="637A9981">
            <w:pPr>
              <w:keepNext w:val="0"/>
              <w:keepLines w:val="0"/>
              <w:pageBreakBefore w:val="0"/>
              <w:widowControl/>
              <w:kinsoku/>
              <w:wordWrap/>
              <w:overflowPunct/>
              <w:topLinePunct w:val="0"/>
              <w:autoSpaceDE/>
              <w:autoSpaceDN/>
              <w:bidi w:val="0"/>
              <w:adjustRightInd/>
              <w:snapToGrid/>
              <w:spacing w:after="0" w:line="240" w:lineRule="auto"/>
              <w:jc w:val="both"/>
              <w:textAlignment w:val="top"/>
              <w:rPr>
                <w:rFonts w:ascii="Arial" w:hAnsi="Arial" w:cs="Arial"/>
                <w:bCs/>
                <w:sz w:val="20"/>
                <w:szCs w:val="20"/>
              </w:rPr>
            </w:pPr>
            <w:r>
              <w:rPr>
                <w:rFonts w:ascii="Arial" w:hAnsi="Arial" w:eastAsia="SimSun" w:cs="Arial"/>
                <w:color w:val="000000"/>
                <w:sz w:val="20"/>
                <w:szCs w:val="20"/>
                <w:lang w:eastAsia="zh-CN" w:bidi="ar"/>
              </w:rPr>
              <w:t>FORNECIMENTO DE REFEIÇÃO DO CARDÁPIO DO ENSINO DO ENSINO FUNDAMENTAL INTEGRAL - LANCHE</w:t>
            </w:r>
          </w:p>
        </w:tc>
        <w:tc>
          <w:tcPr>
            <w:tcW w:w="1438" w:type="dxa"/>
          </w:tcPr>
          <w:p w14:paraId="715FC9B2">
            <w:pPr>
              <w:pStyle w:val="29"/>
              <w:keepNext w:val="0"/>
              <w:keepLines w:val="0"/>
              <w:pageBreakBefore w:val="0"/>
              <w:widowControl/>
              <w:kinsoku/>
              <w:wordWrap/>
              <w:overflowPunct/>
              <w:topLinePunct w:val="0"/>
              <w:autoSpaceDE/>
              <w:autoSpaceDN/>
              <w:bidi w:val="0"/>
              <w:adjustRightInd/>
              <w:snapToGrid/>
              <w:spacing w:after="0" w:line="240" w:lineRule="auto"/>
              <w:jc w:val="center"/>
              <w:rPr>
                <w:rFonts w:ascii="Arial" w:hAnsi="Arial" w:cs="Arial"/>
                <w:bCs/>
                <w:sz w:val="20"/>
                <w:szCs w:val="20"/>
                <w:lang w:val="pt-BR"/>
              </w:rPr>
            </w:pPr>
            <w:r>
              <w:rPr>
                <w:rFonts w:ascii="Arial" w:hAnsi="Arial" w:cs="Arial"/>
                <w:bCs/>
                <w:sz w:val="20"/>
                <w:szCs w:val="20"/>
                <w:lang w:val="pt-BR"/>
              </w:rPr>
              <w:t>REFEIÇÃO</w:t>
            </w:r>
          </w:p>
          <w:p w14:paraId="02C997B8">
            <w:pPr>
              <w:pStyle w:val="29"/>
              <w:keepNext w:val="0"/>
              <w:keepLines w:val="0"/>
              <w:pageBreakBefore w:val="0"/>
              <w:widowControl/>
              <w:kinsoku/>
              <w:wordWrap/>
              <w:overflowPunct/>
              <w:topLinePunct w:val="0"/>
              <w:autoSpaceDE/>
              <w:autoSpaceDN/>
              <w:bidi w:val="0"/>
              <w:adjustRightInd/>
              <w:snapToGrid/>
              <w:spacing w:after="0" w:line="240" w:lineRule="auto"/>
              <w:ind w:left="107"/>
              <w:jc w:val="center"/>
              <w:rPr>
                <w:rFonts w:ascii="Arial" w:hAnsi="Arial" w:cs="Arial"/>
                <w:bCs/>
                <w:sz w:val="20"/>
                <w:szCs w:val="20"/>
                <w:lang w:val="pt-BR"/>
              </w:rPr>
            </w:pPr>
            <w:r>
              <w:rPr>
                <w:rFonts w:ascii="Arial" w:hAnsi="Arial" w:cs="Arial"/>
                <w:bCs/>
                <w:sz w:val="20"/>
                <w:szCs w:val="20"/>
                <w:lang w:val="pt-BR"/>
              </w:rPr>
              <w:t>/ALUNO</w:t>
            </w:r>
          </w:p>
        </w:tc>
        <w:tc>
          <w:tcPr>
            <w:tcW w:w="1462" w:type="dxa"/>
          </w:tcPr>
          <w:p w14:paraId="0ACE309C">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Arial" w:hAnsi="Arial" w:cs="Arial"/>
                <w:bCs/>
                <w:sz w:val="20"/>
                <w:szCs w:val="20"/>
              </w:rPr>
            </w:pPr>
            <w:r>
              <w:rPr>
                <w:rFonts w:ascii="Arial" w:hAnsi="Arial" w:eastAsia="SimSun" w:cs="Arial"/>
                <w:color w:val="000000"/>
                <w:sz w:val="20"/>
                <w:szCs w:val="20"/>
                <w:lang w:eastAsia="zh-CN" w:bidi="ar"/>
              </w:rPr>
              <w:t>1</w:t>
            </w:r>
          </w:p>
        </w:tc>
        <w:tc>
          <w:tcPr>
            <w:tcW w:w="1413" w:type="dxa"/>
          </w:tcPr>
          <w:p w14:paraId="232B7E15">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Arial" w:hAnsi="Arial" w:cs="Arial"/>
                <w:bCs/>
                <w:sz w:val="20"/>
                <w:szCs w:val="20"/>
              </w:rPr>
            </w:pPr>
            <w:r>
              <w:rPr>
                <w:rFonts w:ascii="Arial" w:hAnsi="Arial" w:eastAsia="SimSun" w:cs="Arial"/>
                <w:color w:val="000000"/>
                <w:sz w:val="20"/>
                <w:szCs w:val="20"/>
                <w:lang w:eastAsia="zh-CN" w:bidi="ar"/>
              </w:rPr>
              <w:t>1160</w:t>
            </w:r>
          </w:p>
        </w:tc>
        <w:tc>
          <w:tcPr>
            <w:tcW w:w="1413" w:type="dxa"/>
          </w:tcPr>
          <w:p w14:paraId="5690B8F2">
            <w:pPr>
              <w:keepNext w:val="0"/>
              <w:keepLines w:val="0"/>
              <w:pageBreakBefore w:val="0"/>
              <w:widowControl/>
              <w:kinsoku/>
              <w:wordWrap/>
              <w:overflowPunct/>
              <w:topLinePunct w:val="0"/>
              <w:autoSpaceDE/>
              <w:autoSpaceDN/>
              <w:bidi w:val="0"/>
              <w:adjustRightInd/>
              <w:snapToGrid/>
              <w:spacing w:after="0" w:line="240" w:lineRule="auto"/>
              <w:jc w:val="center"/>
              <w:textAlignment w:val="top"/>
              <w:rPr>
                <w:rFonts w:ascii="Arial" w:hAnsi="Arial" w:cs="Arial"/>
                <w:bCs/>
                <w:sz w:val="20"/>
                <w:szCs w:val="20"/>
              </w:rPr>
            </w:pPr>
            <w:r>
              <w:rPr>
                <w:rFonts w:ascii="Arial" w:hAnsi="Arial" w:eastAsia="SimSun" w:cs="Arial"/>
                <w:color w:val="000000"/>
                <w:sz w:val="20"/>
                <w:szCs w:val="20"/>
                <w:lang w:eastAsia="zh-CN" w:bidi="ar"/>
              </w:rPr>
              <w:t>232000</w:t>
            </w:r>
          </w:p>
        </w:tc>
      </w:tr>
    </w:tbl>
    <w:p w14:paraId="5E19AB0F">
      <w:pPr>
        <w:pStyle w:val="2"/>
        <w:numPr>
          <w:ilvl w:val="1"/>
          <w:numId w:val="3"/>
        </w:numPr>
        <w:tabs>
          <w:tab w:val="left" w:pos="425"/>
          <w:tab w:val="left" w:pos="6652"/>
          <w:tab w:val="left" w:pos="7867"/>
          <w:tab w:val="left" w:pos="8186"/>
          <w:tab w:val="left" w:pos="9680"/>
        </w:tabs>
        <w:spacing w:before="240" w:beforeLines="100" w:after="120" w:afterLines="50" w:line="360" w:lineRule="auto"/>
        <w:ind w:left="425" w:right="176" w:rightChars="80" w:hanging="425"/>
        <w:jc w:val="left"/>
        <w:rPr>
          <w:b w:val="0"/>
          <w:bCs w:val="0"/>
          <w:sz w:val="22"/>
          <w:szCs w:val="22"/>
          <w:lang w:val="pt-BR"/>
        </w:rPr>
      </w:pPr>
      <w:r>
        <w:rPr>
          <w:rFonts w:ascii="Arial" w:hAnsi="Arial" w:eastAsia="Arial-BoldMT" w:cs="Arial"/>
          <w:color w:val="000000"/>
          <w:sz w:val="22"/>
          <w:szCs w:val="22"/>
          <w:lang w:val="pt-BR" w:eastAsia="zh-CN" w:bidi="ar"/>
        </w:rPr>
        <w:t>CONDIÇÕES GERAIS DE FORNECIMENTO</w:t>
      </w:r>
      <w:r>
        <w:rPr>
          <w:b w:val="0"/>
          <w:bCs w:val="0"/>
          <w:sz w:val="22"/>
          <w:szCs w:val="22"/>
          <w:lang w:val="pt-BR"/>
        </w:rPr>
        <w:t>.</w:t>
      </w:r>
    </w:p>
    <w:p w14:paraId="19C4585C">
      <w:pPr>
        <w:pStyle w:val="2"/>
        <w:numPr>
          <w:ilvl w:val="2"/>
          <w:numId w:val="3"/>
        </w:numPr>
        <w:tabs>
          <w:tab w:val="left" w:pos="425"/>
          <w:tab w:val="left" w:pos="6652"/>
          <w:tab w:val="left" w:pos="7867"/>
          <w:tab w:val="left" w:pos="8186"/>
          <w:tab w:val="left" w:pos="9680"/>
        </w:tabs>
        <w:spacing w:before="120" w:beforeLines="50" w:after="120" w:afterLines="50" w:line="360" w:lineRule="auto"/>
        <w:ind w:left="425" w:right="176" w:rightChars="80" w:hanging="425"/>
        <w:jc w:val="left"/>
        <w:rPr>
          <w:b w:val="0"/>
          <w:bCs w:val="0"/>
          <w:sz w:val="22"/>
          <w:szCs w:val="22"/>
          <w:lang w:val="pt-BR"/>
        </w:rPr>
      </w:pPr>
      <w:r>
        <w:rPr>
          <w:rFonts w:ascii="Arial" w:hAnsi="Arial" w:eastAsia="Arial-BoldMT" w:cs="Arial"/>
          <w:sz w:val="22"/>
          <w:szCs w:val="22"/>
          <w:lang w:val="pt-BR" w:eastAsia="zh-CN" w:bidi="ar"/>
        </w:rPr>
        <w:t>IMPLANTAÇÃO E EXECUÇÃO:</w:t>
      </w:r>
    </w:p>
    <w:p w14:paraId="1C7E8935">
      <w:pPr>
        <w:pStyle w:val="2"/>
        <w:numPr>
          <w:ilvl w:val="3"/>
          <w:numId w:val="3"/>
        </w:numPr>
        <w:tabs>
          <w:tab w:val="left" w:pos="425"/>
          <w:tab w:val="left" w:pos="6652"/>
          <w:tab w:val="left" w:pos="7867"/>
          <w:tab w:val="left" w:pos="8186"/>
          <w:tab w:val="left" w:pos="9680"/>
        </w:tabs>
        <w:spacing w:before="120" w:beforeLines="50" w:after="120" w:afterLines="50" w:line="360" w:lineRule="auto"/>
        <w:ind w:left="645" w:leftChars="100" w:right="176" w:rightChars="80" w:hanging="425"/>
        <w:jc w:val="both"/>
        <w:rPr>
          <w:b w:val="0"/>
          <w:bCs w:val="0"/>
          <w:sz w:val="22"/>
          <w:szCs w:val="22"/>
          <w:lang w:val="pt-BR"/>
        </w:rPr>
      </w:pPr>
      <w:r>
        <w:rPr>
          <w:rFonts w:ascii="Arial" w:hAnsi="Arial" w:eastAsia="SimSun" w:cs="Arial"/>
          <w:b w:val="0"/>
          <w:bCs w:val="0"/>
          <w:color w:val="000000"/>
          <w:sz w:val="22"/>
          <w:szCs w:val="22"/>
          <w:lang w:val="pt-BR" w:eastAsia="zh-CN" w:bidi="ar"/>
        </w:rPr>
        <w:t>A implantação acontecerá em etapa única, em até 30 dias após a assinatura do contrato. Neste período de transição, a CONTRATADA deverá contratar, treinar e alocar todo o seu quadro de cozinheiras nas Unidades Educativas conforme estabelecido no</w:t>
      </w:r>
      <w:r>
        <w:rPr>
          <w:rFonts w:ascii="Arial" w:hAnsi="Arial" w:eastAsia="SimSun" w:cs="Arial"/>
          <w:color w:val="000000"/>
          <w:sz w:val="22"/>
          <w:szCs w:val="22"/>
          <w:lang w:val="pt-BR" w:eastAsia="zh-CN" w:bidi="ar"/>
        </w:rPr>
        <w:t xml:space="preserve"> item 2.4.8.6</w:t>
      </w:r>
      <w:r>
        <w:rPr>
          <w:rFonts w:ascii="Arial" w:hAnsi="Arial" w:eastAsia="SimSun" w:cs="Arial"/>
          <w:b w:val="0"/>
          <w:bCs w:val="0"/>
          <w:color w:val="000000"/>
          <w:sz w:val="22"/>
          <w:szCs w:val="22"/>
          <w:lang w:val="pt-BR" w:eastAsia="zh-CN" w:bidi="ar"/>
        </w:rPr>
        <w:t xml:space="preserve"> deste Termo, assumindo integralmente a execução dos serviços de preparo da alimentação escolar. </w:t>
      </w:r>
    </w:p>
    <w:p w14:paraId="3D626A2E">
      <w:pPr>
        <w:pStyle w:val="2"/>
        <w:numPr>
          <w:ilvl w:val="3"/>
          <w:numId w:val="3"/>
        </w:numPr>
        <w:tabs>
          <w:tab w:val="left" w:pos="425"/>
          <w:tab w:val="left" w:pos="6652"/>
          <w:tab w:val="left" w:pos="7867"/>
          <w:tab w:val="left" w:pos="8186"/>
          <w:tab w:val="left" w:pos="9680"/>
        </w:tabs>
        <w:spacing w:before="120" w:beforeLines="50" w:after="120" w:afterLines="50" w:line="360" w:lineRule="auto"/>
        <w:ind w:left="645" w:leftChars="100" w:right="176" w:rightChars="80" w:hanging="425"/>
        <w:jc w:val="both"/>
        <w:rPr>
          <w:b w:val="0"/>
          <w:bCs w:val="0"/>
          <w:sz w:val="22"/>
          <w:szCs w:val="22"/>
          <w:lang w:val="pt-BR"/>
        </w:rPr>
      </w:pPr>
      <w:r>
        <w:rPr>
          <w:rFonts w:ascii="Arial" w:hAnsi="Arial" w:eastAsia="SimSun" w:cs="Arial"/>
          <w:b w:val="0"/>
          <w:bCs w:val="0"/>
          <w:color w:val="000000"/>
          <w:sz w:val="22"/>
          <w:szCs w:val="22"/>
          <w:lang w:val="pt-BR" w:eastAsia="zh-CN" w:bidi="ar"/>
        </w:rPr>
        <w:t xml:space="preserve">A contratada deverá constituir escritório no município, em até 30 dias após a assinatura do contrato e manter durante o fornecimento </w:t>
      </w:r>
      <w:r>
        <w:rPr>
          <w:rFonts w:ascii="Arial" w:hAnsi="Arial" w:cs="Arial"/>
          <w:b w:val="0"/>
          <w:bCs w:val="0"/>
          <w:color w:val="000000"/>
          <w:lang w:val="pt-BR"/>
        </w:rPr>
        <w:t xml:space="preserve">do objeto desta </w:t>
      </w:r>
      <w:r>
        <w:rPr>
          <w:rFonts w:ascii="Arial" w:hAnsi="Arial" w:eastAsia="SimSun" w:cs="Arial"/>
          <w:b w:val="0"/>
          <w:bCs w:val="0"/>
          <w:color w:val="000000"/>
          <w:lang w:val="pt-BR" w:eastAsia="zh-CN" w:bidi="ar"/>
        </w:rPr>
        <w:t>Licitação</w:t>
      </w:r>
      <w:r>
        <w:rPr>
          <w:rFonts w:ascii="Arial" w:hAnsi="Arial" w:eastAsia="SimSun" w:cs="Arial"/>
          <w:b w:val="0"/>
          <w:bCs w:val="0"/>
          <w:color w:val="000000"/>
          <w:sz w:val="22"/>
          <w:szCs w:val="22"/>
          <w:lang w:val="pt-BR" w:eastAsia="zh-CN" w:bidi="ar"/>
        </w:rPr>
        <w:t xml:space="preserve">. </w:t>
      </w:r>
    </w:p>
    <w:p w14:paraId="03903BD5">
      <w:pPr>
        <w:pStyle w:val="4"/>
        <w:numPr>
          <w:ilvl w:val="3"/>
          <w:numId w:val="3"/>
        </w:numPr>
        <w:tabs>
          <w:tab w:val="left" w:pos="425"/>
        </w:tabs>
        <w:spacing w:before="120" w:after="120" w:afterLines="50" w:line="360" w:lineRule="auto"/>
        <w:ind w:left="645" w:leftChars="100" w:right="176" w:hanging="425"/>
        <w:jc w:val="both"/>
        <w:rPr>
          <w:rFonts w:ascii="Arial" w:hAnsi="Arial" w:cs="Arial"/>
          <w:color w:val="000000"/>
          <w:lang w:bidi="ar"/>
        </w:rPr>
      </w:pPr>
      <w:r>
        <w:rPr>
          <w:rFonts w:ascii="Arial" w:hAnsi="Arial" w:cs="Arial"/>
          <w:color w:val="000000"/>
          <w:sz w:val="22"/>
          <w:szCs w:val="22"/>
          <w:lang w:bidi="ar"/>
        </w:rPr>
        <w:t xml:space="preserve">A execução terá o prazo de vigência da contratação de </w:t>
      </w:r>
      <w:r>
        <w:rPr>
          <w:rFonts w:ascii="Arial" w:hAnsi="Arial" w:eastAsia="Arial-BoldMT" w:cs="Arial"/>
          <w:color w:val="000000"/>
          <w:sz w:val="22"/>
          <w:szCs w:val="22"/>
          <w:lang w:bidi="ar"/>
        </w:rPr>
        <w:t xml:space="preserve">01 (UM) ANO </w:t>
      </w:r>
      <w:r>
        <w:rPr>
          <w:rFonts w:ascii="Arial" w:hAnsi="Arial" w:cs="Arial"/>
          <w:color w:val="000000"/>
          <w:sz w:val="22"/>
          <w:szCs w:val="22"/>
          <w:lang w:bidi="ar"/>
        </w:rPr>
        <w:t xml:space="preserve">contados da assinatura do contrato, podendo ser prorrogado, de acordo com item 7.1. deste Termo de Referência. </w:t>
      </w:r>
    </w:p>
    <w:p w14:paraId="4F541B0B">
      <w:pPr>
        <w:pStyle w:val="4"/>
        <w:numPr>
          <w:ilvl w:val="3"/>
          <w:numId w:val="3"/>
        </w:numPr>
        <w:tabs>
          <w:tab w:val="left" w:pos="425"/>
        </w:tabs>
        <w:spacing w:before="120" w:after="120" w:afterLines="50" w:line="360" w:lineRule="auto"/>
        <w:ind w:left="645" w:leftChars="100" w:right="176" w:hanging="425"/>
        <w:jc w:val="both"/>
        <w:rPr>
          <w:rFonts w:ascii="Arial" w:hAnsi="Arial" w:cs="Arial"/>
          <w:color w:val="000000"/>
          <w:sz w:val="22"/>
          <w:szCs w:val="22"/>
          <w:lang w:bidi="ar"/>
        </w:rPr>
      </w:pPr>
      <w:r>
        <w:rPr>
          <w:rFonts w:ascii="Arial" w:hAnsi="Arial" w:cs="Arial"/>
          <w:color w:val="000000"/>
          <w:sz w:val="22"/>
          <w:szCs w:val="22"/>
          <w:lang w:bidi="ar"/>
        </w:rPr>
        <w:t>Inventario Patrimonial das Cozinhas Escolares:</w:t>
      </w:r>
    </w:p>
    <w:p w14:paraId="689E4578">
      <w:pPr>
        <w:pStyle w:val="4"/>
        <w:numPr>
          <w:ilvl w:val="4"/>
          <w:numId w:val="3"/>
        </w:numPr>
        <w:tabs>
          <w:tab w:val="left" w:pos="425"/>
        </w:tabs>
        <w:spacing w:before="120" w:after="120" w:afterLines="50" w:line="360" w:lineRule="auto"/>
        <w:ind w:left="865" w:leftChars="200" w:right="176" w:hanging="425"/>
        <w:jc w:val="both"/>
        <w:rPr>
          <w:rFonts w:ascii="Arial" w:hAnsi="Arial" w:cs="Arial"/>
          <w:color w:val="000000"/>
          <w:sz w:val="22"/>
          <w:szCs w:val="22"/>
          <w:lang w:bidi="ar"/>
        </w:rPr>
      </w:pPr>
      <w:r>
        <w:rPr>
          <w:rFonts w:ascii="Arial" w:hAnsi="Arial" w:cs="Arial"/>
          <w:color w:val="000000"/>
          <w:sz w:val="22"/>
          <w:szCs w:val="22"/>
          <w:lang w:bidi="ar"/>
        </w:rPr>
        <w:t xml:space="preserve"> Durante a fase de mobilização, a contratada deverá adotar as seguintes providências para levantamento patrimonial das cozinhas escolares:</w:t>
      </w:r>
    </w:p>
    <w:p w14:paraId="1ADBE995">
      <w:pPr>
        <w:widowControl w:val="0"/>
        <w:numPr>
          <w:ilvl w:val="0"/>
          <w:numId w:val="10"/>
        </w:numPr>
        <w:tabs>
          <w:tab w:val="left" w:pos="880"/>
        </w:tabs>
        <w:autoSpaceDE w:val="0"/>
        <w:autoSpaceDN w:val="0"/>
        <w:spacing w:before="120" w:after="120" w:afterLines="50" w:line="360" w:lineRule="auto"/>
        <w:ind w:right="220" w:rightChars="100" w:firstLine="15"/>
        <w:jc w:val="both"/>
        <w:rPr>
          <w:rFonts w:ascii="Arial" w:hAnsi="Arial" w:cs="Arial"/>
          <w:color w:val="000000"/>
          <w:lang w:bidi="ar"/>
        </w:rPr>
      </w:pPr>
      <w:r>
        <w:rPr>
          <w:rFonts w:ascii="Arial" w:hAnsi="Arial" w:cs="Arial"/>
          <w:color w:val="000000"/>
          <w:lang w:bidi="ar"/>
        </w:rPr>
        <w:t>Realizar, em conjunto com o Setor de Alimentação Escolar e a Central de Distribuição/Almoxarifado da SME, o inventário patrimonial dos equipamentos, utensílios e estruturas físicas localizados exclusivamente nas cozinhas das unidades educativas abrangidas pelo contrato;</w:t>
      </w:r>
    </w:p>
    <w:p w14:paraId="019CBC92">
      <w:pPr>
        <w:widowControl w:val="0"/>
        <w:numPr>
          <w:ilvl w:val="0"/>
          <w:numId w:val="10"/>
        </w:numPr>
        <w:tabs>
          <w:tab w:val="left" w:pos="880"/>
        </w:tabs>
        <w:autoSpaceDE w:val="0"/>
        <w:autoSpaceDN w:val="0"/>
        <w:spacing w:before="120" w:after="120" w:afterLines="50" w:line="360" w:lineRule="auto"/>
        <w:ind w:right="220" w:rightChars="100" w:firstLine="15"/>
        <w:jc w:val="both"/>
        <w:rPr>
          <w:rFonts w:ascii="Arial" w:hAnsi="Arial" w:cs="Arial"/>
          <w:color w:val="000000"/>
          <w:lang w:bidi="ar"/>
        </w:rPr>
      </w:pPr>
      <w:r>
        <w:rPr>
          <w:rFonts w:ascii="Arial" w:hAnsi="Arial" w:cs="Arial"/>
          <w:color w:val="000000"/>
          <w:lang w:bidi="ar"/>
        </w:rPr>
        <w:t>O inventário deverá ser concluído no prazo máximo de 30 (trinta) dias após a assinatura do contrato, lavrado em formulário-padrão da SME, com assinatura de representantes da contratada, do Setor de Alimentação Escolar e da gestão da unidade escolar;</w:t>
      </w:r>
    </w:p>
    <w:p w14:paraId="74FACC6E">
      <w:pPr>
        <w:widowControl w:val="0"/>
        <w:numPr>
          <w:ilvl w:val="0"/>
          <w:numId w:val="10"/>
        </w:numPr>
        <w:tabs>
          <w:tab w:val="left" w:pos="880"/>
        </w:tabs>
        <w:autoSpaceDE w:val="0"/>
        <w:autoSpaceDN w:val="0"/>
        <w:spacing w:before="120" w:after="120" w:afterLines="50" w:line="360" w:lineRule="auto"/>
        <w:ind w:right="220" w:rightChars="100" w:firstLine="15"/>
        <w:jc w:val="both"/>
        <w:rPr>
          <w:rFonts w:ascii="Arial" w:hAnsi="Arial" w:cs="Arial"/>
          <w:color w:val="000000"/>
          <w:lang w:bidi="ar"/>
        </w:rPr>
      </w:pPr>
      <w:r>
        <w:rPr>
          <w:rFonts w:ascii="Arial" w:hAnsi="Arial" w:cs="Arial"/>
          <w:color w:val="000000"/>
          <w:lang w:bidi="ar"/>
        </w:rPr>
        <w:t>O documento deverá conter a relação detalhada dos bens existentes nas cozinhas, incluindo estado de conservação, funcionalidade e localização, por unidade;</w:t>
      </w:r>
    </w:p>
    <w:p w14:paraId="54819C49">
      <w:pPr>
        <w:widowControl w:val="0"/>
        <w:numPr>
          <w:ilvl w:val="0"/>
          <w:numId w:val="10"/>
        </w:numPr>
        <w:tabs>
          <w:tab w:val="left" w:pos="880"/>
        </w:tabs>
        <w:autoSpaceDE w:val="0"/>
        <w:autoSpaceDN w:val="0"/>
        <w:spacing w:before="120" w:after="120" w:afterLines="50" w:line="360" w:lineRule="auto"/>
        <w:ind w:right="220" w:rightChars="100" w:firstLine="15"/>
        <w:jc w:val="both"/>
        <w:rPr>
          <w:rFonts w:ascii="Arial" w:hAnsi="Arial" w:cs="Arial"/>
          <w:color w:val="000000"/>
          <w:lang w:bidi="ar"/>
        </w:rPr>
      </w:pPr>
      <w:r>
        <w:rPr>
          <w:rFonts w:ascii="Arial" w:hAnsi="Arial" w:cs="Arial"/>
          <w:color w:val="000000"/>
          <w:lang w:bidi="ar"/>
        </w:rPr>
        <w:t>Cópia do inventário será arquivada no processo de fiscalização contratual e servirá como referência para a execução das obrigações de manutenção preventiva e corretiva pela contratada;</w:t>
      </w:r>
    </w:p>
    <w:p w14:paraId="0B55795C">
      <w:pPr>
        <w:widowControl w:val="0"/>
        <w:numPr>
          <w:ilvl w:val="0"/>
          <w:numId w:val="10"/>
        </w:numPr>
        <w:tabs>
          <w:tab w:val="left" w:pos="880"/>
        </w:tabs>
        <w:autoSpaceDE w:val="0"/>
        <w:autoSpaceDN w:val="0"/>
        <w:spacing w:before="120" w:after="120" w:afterLines="50" w:line="360" w:lineRule="auto"/>
        <w:ind w:right="220" w:rightChars="100" w:firstLine="15"/>
        <w:jc w:val="both"/>
        <w:rPr>
          <w:rFonts w:ascii="Arial" w:hAnsi="Arial" w:cs="Arial"/>
          <w:color w:val="000000"/>
          <w:lang w:bidi="ar"/>
        </w:rPr>
      </w:pPr>
      <w:r>
        <w:rPr>
          <w:rFonts w:ascii="Arial" w:hAnsi="Arial" w:cs="Arial"/>
          <w:color w:val="000000"/>
          <w:lang w:bidi="ar"/>
        </w:rPr>
        <w:t>A contratada será responsável pela guarda, conservação e uso adequado dos bens localizados nas cozinhas escolares, respondendo por danos, extravios ou omissões não justificadas, conforme estabelecido contratualmente.</w:t>
      </w:r>
    </w:p>
    <w:p w14:paraId="691D73EB">
      <w:pPr>
        <w:pStyle w:val="4"/>
        <w:numPr>
          <w:ilvl w:val="3"/>
          <w:numId w:val="3"/>
        </w:numPr>
        <w:tabs>
          <w:tab w:val="left" w:pos="425"/>
        </w:tabs>
        <w:spacing w:before="120" w:beforeLines="50" w:after="120" w:afterLines="50" w:line="360" w:lineRule="auto"/>
        <w:ind w:left="645" w:leftChars="100" w:right="176" w:hanging="425"/>
        <w:jc w:val="both"/>
        <w:rPr>
          <w:rFonts w:ascii="Arial" w:hAnsi="Arial" w:cs="Arial"/>
          <w:b/>
          <w:bCs/>
          <w:color w:val="auto"/>
          <w:sz w:val="22"/>
          <w:szCs w:val="22"/>
        </w:rPr>
      </w:pPr>
      <w:r>
        <w:rPr>
          <w:rStyle w:val="8"/>
          <w:rFonts w:ascii="Arial" w:hAnsi="Arial" w:cs="Arial"/>
          <w:color w:val="auto"/>
          <w:sz w:val="22"/>
          <w:szCs w:val="22"/>
        </w:rPr>
        <w:t>DO SISTEMA DIGITAL DE CONTROLE DA ALIMENTAÇÃO ESCOLAR</w:t>
      </w:r>
    </w:p>
    <w:p w14:paraId="29F4F2BD">
      <w:pPr>
        <w:pStyle w:val="4"/>
        <w:numPr>
          <w:ilvl w:val="4"/>
          <w:numId w:val="3"/>
        </w:numPr>
        <w:tabs>
          <w:tab w:val="left" w:pos="425"/>
        </w:tabs>
        <w:spacing w:before="120" w:beforeLines="50" w:after="120" w:afterLines="50" w:line="360" w:lineRule="auto"/>
        <w:ind w:left="865" w:leftChars="200" w:right="176" w:hanging="425"/>
        <w:jc w:val="both"/>
        <w:rPr>
          <w:rFonts w:ascii="Arial" w:hAnsi="Arial" w:cs="Arial"/>
          <w:color w:val="auto"/>
          <w:sz w:val="22"/>
          <w:szCs w:val="22"/>
        </w:rPr>
      </w:pPr>
      <w:r>
        <w:rPr>
          <w:rStyle w:val="8"/>
          <w:rFonts w:ascii="Arial" w:hAnsi="Arial" w:cs="Arial"/>
          <w:color w:val="auto"/>
          <w:sz w:val="22"/>
          <w:szCs w:val="22"/>
        </w:rPr>
        <w:t>Etapa de Planejamento:</w:t>
      </w:r>
    </w:p>
    <w:p w14:paraId="3510F382">
      <w:pPr>
        <w:pStyle w:val="15"/>
        <w:numPr>
          <w:ilvl w:val="0"/>
          <w:numId w:val="11"/>
        </w:numPr>
        <w:tabs>
          <w:tab w:val="left" w:pos="880"/>
          <w:tab w:val="left" w:pos="1320"/>
          <w:tab w:val="clear" w:pos="425"/>
        </w:tabs>
        <w:spacing w:before="120" w:beforeLines="50" w:beforeAutospacing="0" w:after="120" w:afterLines="50" w:afterAutospacing="0" w:line="360" w:lineRule="auto"/>
        <w:ind w:left="440" w:right="176" w:firstLine="20"/>
        <w:jc w:val="both"/>
        <w:rPr>
          <w:rFonts w:ascii="Arial" w:hAnsi="Arial" w:cs="Arial"/>
          <w:szCs w:val="22"/>
          <w:lang w:val="pt-BR"/>
        </w:rPr>
      </w:pPr>
      <w:r>
        <w:rPr>
          <w:rFonts w:ascii="Arial" w:hAnsi="Arial" w:cs="Arial"/>
          <w:szCs w:val="22"/>
          <w:lang w:val="pt-BR"/>
        </w:rPr>
        <w:t>Levantamento das unidades educativas.</w:t>
      </w:r>
    </w:p>
    <w:p w14:paraId="665A9A91">
      <w:pPr>
        <w:pStyle w:val="15"/>
        <w:numPr>
          <w:ilvl w:val="0"/>
          <w:numId w:val="11"/>
        </w:numPr>
        <w:tabs>
          <w:tab w:val="left" w:pos="880"/>
          <w:tab w:val="left" w:pos="1320"/>
          <w:tab w:val="clear" w:pos="425"/>
        </w:tabs>
        <w:spacing w:before="120" w:beforeLines="50" w:beforeAutospacing="0" w:after="120" w:afterLines="50" w:afterAutospacing="0" w:line="360" w:lineRule="auto"/>
        <w:ind w:left="440" w:right="176" w:firstLine="20"/>
        <w:jc w:val="both"/>
        <w:rPr>
          <w:rFonts w:ascii="Arial" w:hAnsi="Arial" w:cs="Arial"/>
          <w:szCs w:val="22"/>
          <w:lang w:val="pt-BR"/>
        </w:rPr>
      </w:pPr>
      <w:r>
        <w:rPr>
          <w:rFonts w:ascii="Arial" w:hAnsi="Arial" w:cs="Arial"/>
          <w:szCs w:val="22"/>
          <w:lang w:val="pt-BR"/>
        </w:rPr>
        <w:t>Definição dos parâmetros técnicos e infraestrutura necessária (internet, energia, equipamentos).</w:t>
      </w:r>
    </w:p>
    <w:p w14:paraId="3CE88C6F">
      <w:pPr>
        <w:pStyle w:val="15"/>
        <w:numPr>
          <w:ilvl w:val="0"/>
          <w:numId w:val="11"/>
        </w:numPr>
        <w:tabs>
          <w:tab w:val="left" w:pos="880"/>
          <w:tab w:val="left" w:pos="1320"/>
          <w:tab w:val="clear" w:pos="425"/>
        </w:tabs>
        <w:spacing w:before="120" w:beforeLines="50" w:beforeAutospacing="0" w:after="120" w:afterLines="50" w:afterAutospacing="0" w:line="360" w:lineRule="auto"/>
        <w:ind w:left="440" w:right="176" w:firstLine="20"/>
        <w:jc w:val="both"/>
        <w:rPr>
          <w:rFonts w:ascii="Arial" w:hAnsi="Arial" w:cs="Arial"/>
          <w:szCs w:val="22"/>
          <w:lang w:val="pt-BR"/>
        </w:rPr>
      </w:pPr>
      <w:r>
        <w:rPr>
          <w:rFonts w:ascii="Arial" w:hAnsi="Arial" w:cs="Arial"/>
          <w:szCs w:val="22"/>
          <w:lang w:val="pt-BR"/>
        </w:rPr>
        <w:t>Escolha e homologação da tecnologia (biometria digital ou reconhecimento facial).</w:t>
      </w:r>
    </w:p>
    <w:p w14:paraId="40605D69">
      <w:pPr>
        <w:pStyle w:val="15"/>
        <w:numPr>
          <w:ilvl w:val="0"/>
          <w:numId w:val="11"/>
        </w:numPr>
        <w:tabs>
          <w:tab w:val="left" w:pos="880"/>
          <w:tab w:val="left" w:pos="1320"/>
          <w:tab w:val="clear" w:pos="425"/>
        </w:tabs>
        <w:spacing w:before="120" w:beforeLines="50" w:beforeAutospacing="0" w:after="120" w:afterLines="50" w:afterAutospacing="0" w:line="360" w:lineRule="auto"/>
        <w:ind w:left="440" w:right="176" w:firstLine="20"/>
        <w:jc w:val="both"/>
        <w:rPr>
          <w:rFonts w:ascii="Arial" w:hAnsi="Arial" w:cs="Arial"/>
          <w:szCs w:val="22"/>
          <w:lang w:val="pt-BR"/>
        </w:rPr>
      </w:pPr>
      <w:r>
        <w:rPr>
          <w:rFonts w:ascii="Arial" w:hAnsi="Arial" w:cs="Arial"/>
          <w:szCs w:val="22"/>
          <w:lang w:val="pt-BR"/>
        </w:rPr>
        <w:t>Reunião de alinhamento entre contratada e Secretaria Municipal de Educação (SME).</w:t>
      </w:r>
    </w:p>
    <w:p w14:paraId="4BEC4BE0">
      <w:pPr>
        <w:pStyle w:val="15"/>
        <w:numPr>
          <w:ilvl w:val="4"/>
          <w:numId w:val="3"/>
        </w:numPr>
        <w:tabs>
          <w:tab w:val="left" w:pos="1320"/>
        </w:tabs>
        <w:spacing w:before="120" w:beforeLines="50" w:beforeAutospacing="0" w:after="120" w:afterLines="50" w:afterAutospacing="0" w:line="360" w:lineRule="auto"/>
        <w:ind w:left="440" w:leftChars="200" w:right="176"/>
        <w:jc w:val="both"/>
        <w:rPr>
          <w:rFonts w:ascii="Arial" w:hAnsi="Arial" w:cs="Arial"/>
          <w:szCs w:val="22"/>
          <w:lang w:val="pt-BR"/>
        </w:rPr>
      </w:pPr>
      <w:r>
        <w:rPr>
          <w:rStyle w:val="8"/>
          <w:rFonts w:ascii="Arial" w:hAnsi="Arial" w:cs="Arial"/>
          <w:szCs w:val="22"/>
          <w:lang w:val="pt-BR"/>
        </w:rPr>
        <w:t xml:space="preserve"> Instalação e Configuração do Sistema:</w:t>
      </w:r>
    </w:p>
    <w:p w14:paraId="4327BC32">
      <w:pPr>
        <w:pStyle w:val="15"/>
        <w:numPr>
          <w:ilvl w:val="0"/>
          <w:numId w:val="12"/>
        </w:numPr>
        <w:tabs>
          <w:tab w:val="left" w:pos="880"/>
          <w:tab w:val="left" w:pos="1320"/>
          <w:tab w:val="clear" w:pos="425"/>
        </w:tabs>
        <w:spacing w:before="120" w:beforeLines="50" w:beforeAutospacing="0" w:after="120" w:afterLines="50" w:afterAutospacing="0" w:line="360" w:lineRule="auto"/>
        <w:ind w:left="440" w:right="176" w:firstLine="20"/>
        <w:jc w:val="both"/>
        <w:rPr>
          <w:rFonts w:ascii="Arial" w:hAnsi="Arial" w:cs="Arial"/>
          <w:szCs w:val="22"/>
          <w:lang w:val="pt-BR"/>
        </w:rPr>
      </w:pPr>
      <w:r>
        <w:rPr>
          <w:rFonts w:ascii="Arial" w:hAnsi="Arial" w:cs="Arial"/>
          <w:szCs w:val="22"/>
          <w:lang w:val="pt-BR"/>
        </w:rPr>
        <w:t>Entrega e instalação dos dispositivos nas unidades educativas, incluindo todo hardware necessário (computadores, tablets, leitores biométricos ou faciais, e demais equipamentos de tecnologia, etc.) para operacionalização completa do sistema, fornecidos pela CONTRATADA e sob sua total responsabilidade durante a vigência do contrato.</w:t>
      </w:r>
    </w:p>
    <w:p w14:paraId="666BB29D">
      <w:pPr>
        <w:pStyle w:val="15"/>
        <w:numPr>
          <w:ilvl w:val="0"/>
          <w:numId w:val="12"/>
        </w:numPr>
        <w:tabs>
          <w:tab w:val="left" w:pos="880"/>
          <w:tab w:val="left" w:pos="1320"/>
          <w:tab w:val="clear" w:pos="425"/>
        </w:tabs>
        <w:spacing w:before="120" w:beforeLines="50" w:beforeAutospacing="0" w:after="120" w:afterLines="50" w:afterAutospacing="0" w:line="360" w:lineRule="auto"/>
        <w:ind w:left="440" w:right="176" w:firstLine="20"/>
        <w:jc w:val="both"/>
        <w:rPr>
          <w:rFonts w:ascii="Arial" w:hAnsi="Arial" w:cs="Arial"/>
          <w:szCs w:val="22"/>
          <w:lang w:val="pt-BR"/>
        </w:rPr>
      </w:pPr>
      <w:r>
        <w:rPr>
          <w:rFonts w:ascii="Arial" w:hAnsi="Arial" w:cs="Arial"/>
          <w:szCs w:val="22"/>
          <w:lang w:val="pt-BR"/>
        </w:rPr>
        <w:t>Configuração do sistema de aferição e coleta de dados em cada escola.</w:t>
      </w:r>
    </w:p>
    <w:p w14:paraId="4CB012D1">
      <w:pPr>
        <w:pStyle w:val="15"/>
        <w:numPr>
          <w:ilvl w:val="0"/>
          <w:numId w:val="12"/>
        </w:numPr>
        <w:tabs>
          <w:tab w:val="left" w:pos="880"/>
          <w:tab w:val="left" w:pos="1320"/>
          <w:tab w:val="clear" w:pos="425"/>
        </w:tabs>
        <w:spacing w:before="120" w:beforeLines="50" w:beforeAutospacing="0" w:after="120" w:afterLines="50" w:afterAutospacing="0" w:line="360" w:lineRule="auto"/>
        <w:ind w:left="440" w:right="176" w:firstLine="20"/>
        <w:jc w:val="both"/>
        <w:rPr>
          <w:rFonts w:ascii="Arial" w:hAnsi="Arial" w:cs="Arial"/>
          <w:szCs w:val="22"/>
          <w:lang w:val="pt-BR"/>
        </w:rPr>
      </w:pPr>
      <w:r>
        <w:rPr>
          <w:rFonts w:ascii="Arial" w:hAnsi="Arial" w:cs="Arial"/>
          <w:szCs w:val="22"/>
          <w:lang w:val="pt-BR"/>
        </w:rPr>
        <w:t>Integração com plataforma online acessível pela SME (com login/senha por unidade).</w:t>
      </w:r>
    </w:p>
    <w:p w14:paraId="19CEB757">
      <w:pPr>
        <w:pStyle w:val="15"/>
        <w:numPr>
          <w:ilvl w:val="0"/>
          <w:numId w:val="12"/>
        </w:numPr>
        <w:tabs>
          <w:tab w:val="left" w:pos="880"/>
          <w:tab w:val="left" w:pos="1320"/>
          <w:tab w:val="clear" w:pos="425"/>
        </w:tabs>
        <w:spacing w:before="120" w:beforeLines="50" w:beforeAutospacing="0" w:after="120" w:afterLines="50" w:afterAutospacing="0" w:line="360" w:lineRule="auto"/>
        <w:ind w:left="440" w:right="176" w:firstLine="20"/>
        <w:jc w:val="both"/>
        <w:rPr>
          <w:rFonts w:ascii="Arial" w:hAnsi="Arial" w:cs="Arial"/>
          <w:szCs w:val="22"/>
          <w:lang w:val="pt-BR"/>
        </w:rPr>
      </w:pPr>
      <w:r>
        <w:rPr>
          <w:rFonts w:ascii="Arial" w:hAnsi="Arial" w:cs="Arial"/>
          <w:szCs w:val="22"/>
          <w:lang w:val="pt-BR"/>
        </w:rPr>
        <w:t>Testes iniciais para verificar funcionamento e conectividade.</w:t>
      </w:r>
    </w:p>
    <w:p w14:paraId="2A5C4F29">
      <w:pPr>
        <w:pStyle w:val="15"/>
        <w:numPr>
          <w:ilvl w:val="4"/>
          <w:numId w:val="3"/>
        </w:numPr>
        <w:tabs>
          <w:tab w:val="left" w:pos="1320"/>
        </w:tabs>
        <w:spacing w:before="120" w:beforeLines="50" w:beforeAutospacing="0" w:after="120" w:afterLines="50" w:afterAutospacing="0" w:line="360" w:lineRule="auto"/>
        <w:ind w:left="440" w:leftChars="200" w:right="176"/>
        <w:jc w:val="both"/>
        <w:rPr>
          <w:rFonts w:ascii="Arial" w:hAnsi="Arial" w:cs="Arial"/>
          <w:szCs w:val="22"/>
          <w:lang w:val="pt-BR"/>
        </w:rPr>
      </w:pPr>
      <w:r>
        <w:rPr>
          <w:rStyle w:val="8"/>
          <w:rFonts w:ascii="Arial" w:hAnsi="Arial" w:cs="Arial"/>
          <w:szCs w:val="22"/>
          <w:lang w:val="pt-BR"/>
        </w:rPr>
        <w:t>Cadastramento dos Estudantes e Integração dos Dados:</w:t>
      </w:r>
    </w:p>
    <w:p w14:paraId="3255A778">
      <w:pPr>
        <w:pStyle w:val="15"/>
        <w:numPr>
          <w:ilvl w:val="0"/>
          <w:numId w:val="13"/>
        </w:numPr>
        <w:tabs>
          <w:tab w:val="left" w:pos="880"/>
          <w:tab w:val="left" w:pos="1320"/>
          <w:tab w:val="clear" w:pos="425"/>
        </w:tabs>
        <w:spacing w:before="120" w:beforeLines="50" w:beforeAutospacing="0" w:after="120" w:afterLines="50" w:afterAutospacing="0" w:line="360" w:lineRule="auto"/>
        <w:ind w:left="440" w:right="176" w:firstLine="20"/>
        <w:jc w:val="both"/>
        <w:rPr>
          <w:rFonts w:ascii="Arial" w:hAnsi="Arial" w:cs="Arial"/>
          <w:szCs w:val="22"/>
          <w:lang w:val="pt-BR"/>
        </w:rPr>
      </w:pPr>
      <w:r>
        <w:rPr>
          <w:rFonts w:ascii="Arial" w:hAnsi="Arial" w:cs="Arial"/>
          <w:szCs w:val="22"/>
          <w:lang w:val="pt-BR"/>
        </w:rPr>
        <w:t>Agendamento e execução do cadastramento biométrico ou facial dos estudantes por unidade educativa.</w:t>
      </w:r>
    </w:p>
    <w:p w14:paraId="1B067CB0">
      <w:pPr>
        <w:pStyle w:val="15"/>
        <w:numPr>
          <w:ilvl w:val="0"/>
          <w:numId w:val="13"/>
        </w:numPr>
        <w:tabs>
          <w:tab w:val="left" w:pos="880"/>
          <w:tab w:val="left" w:pos="1320"/>
          <w:tab w:val="clear" w:pos="425"/>
        </w:tabs>
        <w:spacing w:before="120" w:beforeLines="50" w:beforeAutospacing="0" w:after="120" w:afterLines="50" w:afterAutospacing="0" w:line="360" w:lineRule="auto"/>
        <w:ind w:left="440" w:right="176" w:firstLine="20"/>
        <w:jc w:val="both"/>
        <w:rPr>
          <w:rFonts w:ascii="Arial" w:hAnsi="Arial" w:cs="Arial"/>
          <w:szCs w:val="22"/>
          <w:lang w:val="pt-BR"/>
        </w:rPr>
      </w:pPr>
      <w:r>
        <w:rPr>
          <w:rFonts w:ascii="Arial" w:hAnsi="Arial" w:cs="Arial"/>
          <w:szCs w:val="22"/>
          <w:lang w:val="pt-BR"/>
        </w:rPr>
        <w:t>Treinamento dos operadores escolares para registro de novos usuários e operação básica do sistema.</w:t>
      </w:r>
    </w:p>
    <w:p w14:paraId="62EA3A76">
      <w:pPr>
        <w:pStyle w:val="15"/>
        <w:numPr>
          <w:ilvl w:val="0"/>
          <w:numId w:val="13"/>
        </w:numPr>
        <w:tabs>
          <w:tab w:val="left" w:pos="880"/>
          <w:tab w:val="left" w:pos="1320"/>
          <w:tab w:val="clear" w:pos="425"/>
        </w:tabs>
        <w:spacing w:before="120" w:beforeLines="50" w:beforeAutospacing="0" w:after="120" w:afterLines="50" w:afterAutospacing="0" w:line="360" w:lineRule="auto"/>
        <w:ind w:left="440" w:right="176" w:firstLine="20"/>
        <w:jc w:val="both"/>
        <w:rPr>
          <w:rFonts w:ascii="Arial" w:hAnsi="Arial" w:cs="Arial"/>
          <w:szCs w:val="22"/>
          <w:lang w:val="pt-BR"/>
        </w:rPr>
      </w:pPr>
      <w:r>
        <w:rPr>
          <w:rFonts w:ascii="Arial" w:hAnsi="Arial" w:cs="Arial"/>
          <w:szCs w:val="22"/>
          <w:lang w:val="pt-BR"/>
        </w:rPr>
        <w:t>Geração de base de dados dos estudantes com vinculação à unidade e turma.</w:t>
      </w:r>
    </w:p>
    <w:p w14:paraId="4ED1A87E">
      <w:pPr>
        <w:pStyle w:val="15"/>
        <w:numPr>
          <w:ilvl w:val="4"/>
          <w:numId w:val="3"/>
        </w:numPr>
        <w:tabs>
          <w:tab w:val="left" w:pos="1320"/>
        </w:tabs>
        <w:spacing w:before="120" w:beforeLines="50" w:beforeAutospacing="0" w:after="120" w:afterLines="50" w:afterAutospacing="0" w:line="360" w:lineRule="auto"/>
        <w:ind w:left="440" w:leftChars="200" w:right="176"/>
        <w:jc w:val="both"/>
        <w:rPr>
          <w:rFonts w:ascii="Arial" w:hAnsi="Arial" w:cs="Arial"/>
          <w:szCs w:val="22"/>
          <w:lang w:val="pt-BR"/>
        </w:rPr>
      </w:pPr>
      <w:r>
        <w:rPr>
          <w:rStyle w:val="8"/>
          <w:rFonts w:ascii="Arial" w:hAnsi="Arial" w:cs="Arial"/>
          <w:szCs w:val="22"/>
          <w:lang w:val="pt-BR"/>
        </w:rPr>
        <w:t>Início da Operação Regular:</w:t>
      </w:r>
    </w:p>
    <w:p w14:paraId="5C39CBA1">
      <w:pPr>
        <w:pStyle w:val="15"/>
        <w:numPr>
          <w:ilvl w:val="0"/>
          <w:numId w:val="14"/>
        </w:numPr>
        <w:tabs>
          <w:tab w:val="left" w:pos="880"/>
          <w:tab w:val="left" w:pos="1320"/>
          <w:tab w:val="clear" w:pos="425"/>
        </w:tabs>
        <w:spacing w:before="120" w:beforeLines="50" w:beforeAutospacing="0" w:after="120" w:afterLines="50" w:afterAutospacing="0" w:line="360" w:lineRule="auto"/>
        <w:ind w:left="440" w:right="176" w:firstLine="20"/>
        <w:jc w:val="both"/>
        <w:rPr>
          <w:rFonts w:ascii="Arial" w:hAnsi="Arial" w:cs="Arial"/>
          <w:szCs w:val="22"/>
          <w:lang w:val="pt-BR"/>
        </w:rPr>
      </w:pPr>
      <w:r>
        <w:rPr>
          <w:rFonts w:ascii="Arial" w:hAnsi="Arial" w:cs="Arial"/>
          <w:szCs w:val="22"/>
          <w:lang w:val="pt-BR"/>
        </w:rPr>
        <w:t>Início da aferição diária: registro de entrada no refeitório com verificação biométrica/facial, incluindo data, hora, unidade escolar, identificação do aluno, e tipo de refeição.</w:t>
      </w:r>
    </w:p>
    <w:p w14:paraId="3045C1DF">
      <w:pPr>
        <w:pStyle w:val="15"/>
        <w:numPr>
          <w:ilvl w:val="0"/>
          <w:numId w:val="14"/>
        </w:numPr>
        <w:tabs>
          <w:tab w:val="left" w:pos="880"/>
          <w:tab w:val="left" w:pos="1320"/>
          <w:tab w:val="clear" w:pos="425"/>
        </w:tabs>
        <w:spacing w:before="120" w:beforeLines="50" w:beforeAutospacing="0" w:after="120" w:afterLines="50" w:afterAutospacing="0" w:line="360" w:lineRule="auto"/>
        <w:ind w:left="440" w:right="176" w:firstLine="20"/>
        <w:jc w:val="both"/>
        <w:rPr>
          <w:rFonts w:ascii="Arial" w:hAnsi="Arial" w:cs="Arial"/>
          <w:szCs w:val="22"/>
          <w:lang w:val="pt-BR"/>
        </w:rPr>
      </w:pPr>
      <w:r>
        <w:rPr>
          <w:rFonts w:ascii="Arial" w:hAnsi="Arial" w:cs="Arial"/>
          <w:szCs w:val="22"/>
          <w:lang w:val="pt-BR"/>
        </w:rPr>
        <w:t>Apontamento automático de cada refeição servida, com registro individual vinculado ao cadastro do aluno.</w:t>
      </w:r>
    </w:p>
    <w:p w14:paraId="7F2B4E71">
      <w:pPr>
        <w:pStyle w:val="15"/>
        <w:numPr>
          <w:ilvl w:val="0"/>
          <w:numId w:val="14"/>
        </w:numPr>
        <w:tabs>
          <w:tab w:val="left" w:pos="880"/>
          <w:tab w:val="left" w:pos="1320"/>
          <w:tab w:val="clear" w:pos="425"/>
        </w:tabs>
        <w:spacing w:before="120" w:beforeLines="50" w:beforeAutospacing="0" w:after="120" w:afterLines="50" w:afterAutospacing="0" w:line="360" w:lineRule="auto"/>
        <w:ind w:left="440" w:right="176" w:firstLine="20"/>
        <w:jc w:val="both"/>
        <w:rPr>
          <w:rFonts w:ascii="Arial" w:hAnsi="Arial" w:cs="Arial"/>
          <w:szCs w:val="22"/>
          <w:lang w:val="pt-BR"/>
        </w:rPr>
      </w:pPr>
      <w:r>
        <w:rPr>
          <w:rFonts w:ascii="Arial" w:hAnsi="Arial" w:cs="Arial"/>
          <w:szCs w:val="22"/>
          <w:lang w:val="pt-BR"/>
        </w:rPr>
        <w:t>Registro específico de repetições, quando houver, exigindo nova validação biométrica/facial.</w:t>
      </w:r>
    </w:p>
    <w:p w14:paraId="3B6D3B5D">
      <w:pPr>
        <w:pStyle w:val="15"/>
        <w:numPr>
          <w:ilvl w:val="0"/>
          <w:numId w:val="14"/>
        </w:numPr>
        <w:tabs>
          <w:tab w:val="left" w:pos="880"/>
          <w:tab w:val="left" w:pos="1320"/>
          <w:tab w:val="clear" w:pos="425"/>
        </w:tabs>
        <w:spacing w:before="120" w:beforeLines="50" w:beforeAutospacing="0" w:after="120" w:afterLines="50" w:afterAutospacing="0" w:line="360" w:lineRule="auto"/>
        <w:ind w:left="440" w:right="176" w:firstLine="20"/>
        <w:jc w:val="both"/>
        <w:rPr>
          <w:rFonts w:ascii="Arial" w:hAnsi="Arial" w:cs="Arial"/>
          <w:szCs w:val="22"/>
          <w:lang w:val="pt-BR"/>
        </w:rPr>
      </w:pPr>
      <w:r>
        <w:rPr>
          <w:rFonts w:ascii="Arial" w:hAnsi="Arial" w:cs="Arial"/>
          <w:szCs w:val="22"/>
          <w:lang w:val="pt-BR"/>
        </w:rPr>
        <w:t>Geração de relatórios automáticos e consolidados por turno, dia e unidade até às 16h do mesmo dia.</w:t>
      </w:r>
    </w:p>
    <w:p w14:paraId="688B316E">
      <w:pPr>
        <w:pStyle w:val="15"/>
        <w:numPr>
          <w:ilvl w:val="0"/>
          <w:numId w:val="14"/>
        </w:numPr>
        <w:tabs>
          <w:tab w:val="left" w:pos="880"/>
          <w:tab w:val="left" w:pos="1320"/>
          <w:tab w:val="clear" w:pos="425"/>
        </w:tabs>
        <w:spacing w:before="120" w:beforeLines="50" w:beforeAutospacing="0" w:after="120" w:afterLines="50" w:afterAutospacing="0" w:line="360" w:lineRule="auto"/>
        <w:ind w:left="440" w:right="176" w:firstLine="20"/>
        <w:jc w:val="both"/>
        <w:rPr>
          <w:rFonts w:ascii="Arial" w:hAnsi="Arial" w:cs="Arial"/>
          <w:szCs w:val="22"/>
          <w:lang w:val="pt-BR"/>
        </w:rPr>
      </w:pPr>
      <w:r>
        <w:rPr>
          <w:rFonts w:ascii="Arial" w:hAnsi="Arial" w:cs="Arial"/>
          <w:szCs w:val="22"/>
          <w:lang w:val="pt-BR"/>
        </w:rPr>
        <w:t>As Auxiliares de Nutrição Escolar, no exercício de suas atribuições de acompanhamento previstas nas Leis Municipais nº 568/1999 e LC 62/2011, terão acesso aos relatórios para fins de verificação presencial da conformidade dos dados registrados</w:t>
      </w:r>
    </w:p>
    <w:p w14:paraId="3EF43036">
      <w:pPr>
        <w:pStyle w:val="15"/>
        <w:numPr>
          <w:ilvl w:val="4"/>
          <w:numId w:val="3"/>
        </w:numPr>
        <w:tabs>
          <w:tab w:val="left" w:pos="1320"/>
        </w:tabs>
        <w:spacing w:before="120" w:beforeLines="50" w:beforeAutospacing="0" w:after="120" w:afterLines="50" w:afterAutospacing="0" w:line="360" w:lineRule="auto"/>
        <w:ind w:left="440" w:leftChars="200" w:right="176"/>
        <w:jc w:val="both"/>
        <w:rPr>
          <w:rFonts w:ascii="Arial" w:hAnsi="Arial" w:cs="Arial"/>
          <w:szCs w:val="22"/>
          <w:lang w:val="pt-BR"/>
        </w:rPr>
      </w:pPr>
      <w:r>
        <w:rPr>
          <w:rStyle w:val="8"/>
          <w:rFonts w:ascii="Arial" w:hAnsi="Arial" w:cs="Arial"/>
          <w:szCs w:val="22"/>
          <w:lang w:val="pt-BR"/>
        </w:rPr>
        <w:t>Monitoramento e Suporte Contínuo de forma permanente:</w:t>
      </w:r>
    </w:p>
    <w:p w14:paraId="38EA6CFF">
      <w:pPr>
        <w:pStyle w:val="15"/>
        <w:numPr>
          <w:ilvl w:val="0"/>
          <w:numId w:val="15"/>
        </w:numPr>
        <w:tabs>
          <w:tab w:val="left" w:pos="880"/>
          <w:tab w:val="left" w:pos="1320"/>
          <w:tab w:val="clear" w:pos="425"/>
        </w:tabs>
        <w:spacing w:before="120" w:beforeLines="50" w:beforeAutospacing="0" w:after="120" w:afterLines="50" w:afterAutospacing="0" w:line="360" w:lineRule="auto"/>
        <w:ind w:left="440" w:right="176" w:firstLine="20"/>
        <w:jc w:val="both"/>
        <w:rPr>
          <w:rFonts w:ascii="Arial" w:hAnsi="Arial" w:cs="Arial"/>
          <w:szCs w:val="22"/>
          <w:lang w:val="pt-BR"/>
        </w:rPr>
      </w:pPr>
      <w:r>
        <w:rPr>
          <w:rFonts w:ascii="Arial" w:hAnsi="Arial" w:cs="Arial"/>
          <w:szCs w:val="22"/>
          <w:lang w:val="pt-BR"/>
        </w:rPr>
        <w:t>Suporte técnico remoto e presencial, sob responsabilidade da contratada.</w:t>
      </w:r>
    </w:p>
    <w:p w14:paraId="14644343">
      <w:pPr>
        <w:pStyle w:val="15"/>
        <w:numPr>
          <w:ilvl w:val="0"/>
          <w:numId w:val="15"/>
        </w:numPr>
        <w:tabs>
          <w:tab w:val="left" w:pos="880"/>
          <w:tab w:val="left" w:pos="1320"/>
          <w:tab w:val="clear" w:pos="425"/>
        </w:tabs>
        <w:spacing w:before="120" w:beforeLines="50" w:beforeAutospacing="0" w:after="120" w:afterLines="50" w:afterAutospacing="0" w:line="360" w:lineRule="auto"/>
        <w:ind w:left="440" w:right="176" w:firstLine="20"/>
        <w:jc w:val="both"/>
        <w:rPr>
          <w:rFonts w:ascii="Arial" w:hAnsi="Arial" w:cs="Arial"/>
          <w:szCs w:val="22"/>
          <w:lang w:val="pt-BR"/>
        </w:rPr>
      </w:pPr>
      <w:r>
        <w:rPr>
          <w:rFonts w:ascii="Arial" w:hAnsi="Arial" w:cs="Arial"/>
          <w:szCs w:val="22"/>
          <w:lang w:val="pt-BR"/>
        </w:rPr>
        <w:t>Atualizações no sistema conforme necessidades apontadas pela SME.</w:t>
      </w:r>
    </w:p>
    <w:p w14:paraId="657525E6">
      <w:pPr>
        <w:pStyle w:val="15"/>
        <w:numPr>
          <w:ilvl w:val="0"/>
          <w:numId w:val="15"/>
        </w:numPr>
        <w:tabs>
          <w:tab w:val="left" w:pos="880"/>
          <w:tab w:val="left" w:pos="1320"/>
          <w:tab w:val="clear" w:pos="425"/>
        </w:tabs>
        <w:spacing w:before="120" w:beforeLines="50" w:beforeAutospacing="0" w:after="120" w:afterLines="50" w:afterAutospacing="0" w:line="360" w:lineRule="auto"/>
        <w:ind w:left="440" w:right="176" w:firstLine="20"/>
        <w:jc w:val="both"/>
        <w:rPr>
          <w:rFonts w:ascii="Arial" w:hAnsi="Arial" w:cs="Arial"/>
          <w:szCs w:val="22"/>
          <w:lang w:val="pt-BR"/>
        </w:rPr>
      </w:pPr>
      <w:r>
        <w:rPr>
          <w:rFonts w:ascii="Arial" w:hAnsi="Arial" w:cs="Arial"/>
          <w:szCs w:val="22"/>
          <w:lang w:val="pt-BR"/>
        </w:rPr>
        <w:t xml:space="preserve">Garantia de acesso da SME a relatórios </w:t>
      </w:r>
      <w:r>
        <w:rPr>
          <w:rStyle w:val="8"/>
          <w:rFonts w:ascii="Arial" w:hAnsi="Arial" w:cs="Arial"/>
          <w:szCs w:val="22"/>
          <w:lang w:val="pt-BR"/>
        </w:rPr>
        <w:t>em tempo real</w:t>
      </w:r>
      <w:r>
        <w:rPr>
          <w:rFonts w:ascii="Arial" w:hAnsi="Arial" w:cs="Arial"/>
          <w:szCs w:val="22"/>
          <w:lang w:val="pt-BR"/>
        </w:rPr>
        <w:t xml:space="preserve"> ou </w:t>
      </w:r>
      <w:r>
        <w:rPr>
          <w:rStyle w:val="8"/>
          <w:rFonts w:ascii="Arial" w:hAnsi="Arial" w:cs="Arial"/>
          <w:szCs w:val="22"/>
          <w:lang w:val="pt-BR"/>
        </w:rPr>
        <w:t>posteriormente</w:t>
      </w:r>
      <w:r>
        <w:rPr>
          <w:rFonts w:ascii="Arial" w:hAnsi="Arial" w:cs="Arial"/>
          <w:szCs w:val="22"/>
          <w:lang w:val="pt-BR"/>
        </w:rPr>
        <w:t>, com: Quantitativo diário de refeições, Quantidade de repetições, Frequência alimentar por estudante.</w:t>
      </w:r>
    </w:p>
    <w:p w14:paraId="5A3BCA1C">
      <w:pPr>
        <w:pStyle w:val="15"/>
        <w:numPr>
          <w:ilvl w:val="0"/>
          <w:numId w:val="15"/>
        </w:numPr>
        <w:tabs>
          <w:tab w:val="left" w:pos="880"/>
          <w:tab w:val="left" w:pos="1320"/>
          <w:tab w:val="clear" w:pos="425"/>
        </w:tabs>
        <w:spacing w:before="120" w:beforeLines="50" w:beforeAutospacing="0" w:after="120" w:afterLines="50" w:afterAutospacing="0" w:line="360" w:lineRule="auto"/>
        <w:ind w:left="440" w:right="176" w:firstLine="20"/>
        <w:jc w:val="both"/>
        <w:rPr>
          <w:rFonts w:ascii="Arial" w:hAnsi="Arial" w:cs="Arial"/>
          <w:szCs w:val="22"/>
          <w:lang w:val="pt-BR"/>
        </w:rPr>
      </w:pPr>
      <w:r>
        <w:rPr>
          <w:rFonts w:ascii="Arial" w:hAnsi="Arial" w:cs="Arial"/>
          <w:szCs w:val="22"/>
          <w:lang w:val="pt-BR"/>
        </w:rPr>
        <w:t>Contingência para operação em modo offline em caso de falha de conectividade, com sincronização posterior.</w:t>
      </w:r>
    </w:p>
    <w:p w14:paraId="42C5810B">
      <w:pPr>
        <w:pStyle w:val="15"/>
        <w:numPr>
          <w:ilvl w:val="4"/>
          <w:numId w:val="3"/>
        </w:numPr>
        <w:tabs>
          <w:tab w:val="left" w:pos="1320"/>
        </w:tabs>
        <w:spacing w:before="120" w:beforeLines="50" w:beforeAutospacing="0" w:after="120" w:afterLines="50" w:afterAutospacing="0" w:line="360" w:lineRule="auto"/>
        <w:ind w:left="440" w:leftChars="200" w:right="176"/>
        <w:jc w:val="both"/>
        <w:rPr>
          <w:rFonts w:ascii="Arial" w:hAnsi="Arial" w:cs="Arial"/>
          <w:szCs w:val="22"/>
          <w:lang w:val="pt-BR"/>
        </w:rPr>
      </w:pPr>
      <w:r>
        <w:rPr>
          <w:rStyle w:val="8"/>
          <w:rFonts w:ascii="Arial" w:hAnsi="Arial" w:cs="Arial"/>
          <w:szCs w:val="22"/>
          <w:lang w:val="pt-BR"/>
        </w:rPr>
        <w:t>Avaliação e Melhoria Contínua:</w:t>
      </w:r>
    </w:p>
    <w:p w14:paraId="2DF459EA">
      <w:pPr>
        <w:pStyle w:val="15"/>
        <w:numPr>
          <w:ilvl w:val="0"/>
          <w:numId w:val="16"/>
        </w:numPr>
        <w:tabs>
          <w:tab w:val="left" w:pos="880"/>
          <w:tab w:val="left" w:pos="1320"/>
          <w:tab w:val="clear" w:pos="425"/>
        </w:tabs>
        <w:spacing w:before="120" w:beforeLines="50" w:beforeAutospacing="0" w:after="120" w:afterLines="50" w:afterAutospacing="0" w:line="360" w:lineRule="auto"/>
        <w:ind w:left="440" w:right="176" w:firstLine="20"/>
        <w:jc w:val="both"/>
        <w:rPr>
          <w:rFonts w:ascii="Arial" w:hAnsi="Arial" w:cs="Arial"/>
          <w:szCs w:val="22"/>
          <w:lang w:val="pt-BR"/>
        </w:rPr>
      </w:pPr>
      <w:r>
        <w:rPr>
          <w:rFonts w:ascii="Arial" w:hAnsi="Arial" w:cs="Arial"/>
          <w:szCs w:val="22"/>
          <w:lang w:val="pt-BR"/>
        </w:rPr>
        <w:t>Reuniões de acompanhamento entre SME e empresa contratada.</w:t>
      </w:r>
    </w:p>
    <w:p w14:paraId="122A3476">
      <w:pPr>
        <w:pStyle w:val="15"/>
        <w:numPr>
          <w:ilvl w:val="0"/>
          <w:numId w:val="16"/>
        </w:numPr>
        <w:tabs>
          <w:tab w:val="left" w:pos="880"/>
          <w:tab w:val="left" w:pos="1320"/>
          <w:tab w:val="clear" w:pos="425"/>
        </w:tabs>
        <w:spacing w:before="120" w:beforeLines="50" w:beforeAutospacing="0" w:after="120" w:afterLines="50" w:afterAutospacing="0" w:line="360" w:lineRule="auto"/>
        <w:ind w:left="440" w:right="176" w:firstLine="20"/>
        <w:jc w:val="both"/>
        <w:rPr>
          <w:rFonts w:ascii="Arial" w:hAnsi="Arial" w:cs="Arial"/>
          <w:szCs w:val="22"/>
          <w:lang w:val="pt-BR"/>
        </w:rPr>
      </w:pPr>
      <w:r>
        <w:rPr>
          <w:rFonts w:ascii="Arial" w:hAnsi="Arial" w:cs="Arial"/>
          <w:szCs w:val="22"/>
          <w:lang w:val="pt-BR"/>
        </w:rPr>
        <w:t>Ajustes no sistema conforme feedback das escolas.</w:t>
      </w:r>
    </w:p>
    <w:p w14:paraId="782B4D29">
      <w:pPr>
        <w:pStyle w:val="15"/>
        <w:numPr>
          <w:ilvl w:val="0"/>
          <w:numId w:val="16"/>
        </w:numPr>
        <w:tabs>
          <w:tab w:val="left" w:pos="880"/>
          <w:tab w:val="left" w:pos="1320"/>
          <w:tab w:val="clear" w:pos="425"/>
        </w:tabs>
        <w:spacing w:before="120" w:beforeLines="50" w:beforeAutospacing="0" w:after="120" w:afterLines="50" w:afterAutospacing="0" w:line="360" w:lineRule="auto"/>
        <w:ind w:left="440" w:right="176" w:firstLine="20"/>
        <w:jc w:val="both"/>
        <w:rPr>
          <w:rFonts w:ascii="Arial" w:hAnsi="Arial" w:cs="Arial"/>
          <w:szCs w:val="22"/>
          <w:lang w:val="pt-BR"/>
        </w:rPr>
      </w:pPr>
      <w:r>
        <w:rPr>
          <w:rFonts w:ascii="Arial" w:hAnsi="Arial" w:cs="Arial"/>
          <w:szCs w:val="22"/>
          <w:lang w:val="pt-BR"/>
        </w:rPr>
        <w:t>Atualização do banco de dados com entrada e saída de alunos.</w:t>
      </w:r>
    </w:p>
    <w:p w14:paraId="303C03E0">
      <w:pPr>
        <w:pStyle w:val="2"/>
        <w:numPr>
          <w:ilvl w:val="4"/>
          <w:numId w:val="3"/>
        </w:numPr>
        <w:tabs>
          <w:tab w:val="left" w:pos="425"/>
          <w:tab w:val="left" w:pos="6652"/>
          <w:tab w:val="left" w:pos="7867"/>
          <w:tab w:val="left" w:pos="8186"/>
          <w:tab w:val="left" w:pos="9680"/>
        </w:tabs>
        <w:spacing w:before="120" w:beforeLines="50" w:after="120" w:afterLines="50" w:line="360" w:lineRule="auto"/>
        <w:ind w:left="865" w:leftChars="200" w:right="176" w:rightChars="80" w:hanging="425"/>
        <w:jc w:val="both"/>
        <w:rPr>
          <w:rFonts w:ascii="Arial" w:hAnsi="Arial" w:cs="Arial"/>
          <w:sz w:val="22"/>
          <w:szCs w:val="22"/>
          <w:lang w:val="pt-BR"/>
        </w:rPr>
      </w:pPr>
      <w:r>
        <w:rPr>
          <w:rStyle w:val="8"/>
          <w:rFonts w:ascii="Arial" w:hAnsi="Arial" w:cs="Arial"/>
          <w:b/>
          <w:bCs/>
          <w:sz w:val="22"/>
          <w:szCs w:val="22"/>
          <w:lang w:val="pt-BR"/>
        </w:rPr>
        <w:t>ENTREGA DE RELATÓRIOS, VALIDAÇÃO E PAGAMENTO:</w:t>
      </w:r>
    </w:p>
    <w:p w14:paraId="096D6419">
      <w:pPr>
        <w:pStyle w:val="2"/>
        <w:numPr>
          <w:ilvl w:val="5"/>
          <w:numId w:val="3"/>
        </w:numPr>
        <w:tabs>
          <w:tab w:val="left" w:pos="220"/>
          <w:tab w:val="left" w:pos="6652"/>
          <w:tab w:val="left" w:pos="7867"/>
          <w:tab w:val="left" w:pos="8186"/>
          <w:tab w:val="left" w:pos="9680"/>
        </w:tabs>
        <w:spacing w:before="120" w:beforeLines="50" w:after="120" w:afterLines="50" w:line="360" w:lineRule="auto"/>
        <w:ind w:left="438" w:leftChars="197" w:right="176" w:rightChars="80" w:hanging="5"/>
        <w:jc w:val="both"/>
        <w:rPr>
          <w:rFonts w:ascii="Arial" w:hAnsi="Arial" w:cs="Arial"/>
          <w:sz w:val="22"/>
          <w:szCs w:val="22"/>
          <w:lang w:val="pt-BR"/>
        </w:rPr>
      </w:pPr>
      <w:r>
        <w:rPr>
          <w:rStyle w:val="8"/>
          <w:rFonts w:ascii="Arial" w:hAnsi="Arial" w:cs="Arial"/>
          <w:b/>
          <w:bCs/>
          <w:sz w:val="22"/>
          <w:szCs w:val="22"/>
          <w:lang w:val="pt-BR"/>
        </w:rPr>
        <w:t xml:space="preserve">Entrega dos Relatórios: </w:t>
      </w:r>
      <w:r>
        <w:rPr>
          <w:rFonts w:ascii="Arial" w:hAnsi="Arial" w:cs="Arial"/>
          <w:b w:val="0"/>
          <w:bCs w:val="0"/>
          <w:sz w:val="22"/>
          <w:szCs w:val="22"/>
          <w:lang w:val="pt-BR"/>
        </w:rPr>
        <w:t xml:space="preserve">A contratada deverá disponibilizar os relatórios de controle da alimentação escolar por meio de </w:t>
      </w:r>
      <w:r>
        <w:rPr>
          <w:rStyle w:val="8"/>
          <w:rFonts w:ascii="Arial" w:hAnsi="Arial" w:cs="Arial"/>
          <w:b w:val="0"/>
          <w:bCs w:val="0"/>
          <w:sz w:val="22"/>
          <w:szCs w:val="22"/>
          <w:lang w:val="pt-BR"/>
        </w:rPr>
        <w:t>plataforma digital própria</w:t>
      </w:r>
      <w:r>
        <w:rPr>
          <w:rFonts w:ascii="Arial" w:hAnsi="Arial" w:cs="Arial"/>
          <w:b w:val="0"/>
          <w:bCs w:val="0"/>
          <w:sz w:val="22"/>
          <w:szCs w:val="22"/>
          <w:lang w:val="pt-BR"/>
        </w:rPr>
        <w:t>, acessível ao setor de Alimentação Escolar da Secretaria Municipal de Educação (SME), com as seguintes características:</w:t>
      </w:r>
    </w:p>
    <w:p w14:paraId="44A5BDA4">
      <w:pPr>
        <w:pStyle w:val="2"/>
        <w:numPr>
          <w:ilvl w:val="0"/>
          <w:numId w:val="17"/>
        </w:numPr>
        <w:tabs>
          <w:tab w:val="left" w:pos="880"/>
          <w:tab w:val="left" w:pos="1320"/>
          <w:tab w:val="left" w:pos="6652"/>
          <w:tab w:val="left" w:pos="7867"/>
          <w:tab w:val="left" w:pos="8186"/>
          <w:tab w:val="left" w:pos="9680"/>
          <w:tab w:val="clear" w:pos="425"/>
        </w:tabs>
        <w:spacing w:before="120" w:beforeLines="50" w:after="120" w:afterLines="50" w:line="360" w:lineRule="auto"/>
        <w:ind w:left="440" w:right="176" w:rightChars="80" w:firstLine="20"/>
        <w:jc w:val="both"/>
        <w:rPr>
          <w:rFonts w:ascii="Arial" w:hAnsi="Arial" w:cs="Arial"/>
          <w:sz w:val="22"/>
          <w:szCs w:val="22"/>
          <w:lang w:val="pt-BR"/>
        </w:rPr>
      </w:pPr>
      <w:r>
        <w:rPr>
          <w:rStyle w:val="8"/>
          <w:rFonts w:ascii="Arial" w:hAnsi="Arial" w:cs="Arial"/>
          <w:b w:val="0"/>
          <w:bCs w:val="0"/>
          <w:sz w:val="22"/>
          <w:szCs w:val="22"/>
          <w:lang w:val="pt-BR"/>
        </w:rPr>
        <w:t>Acesso em tempo real e sob demanda</w:t>
      </w:r>
      <w:r>
        <w:rPr>
          <w:rFonts w:ascii="Arial" w:hAnsi="Arial" w:cs="Arial"/>
          <w:b w:val="0"/>
          <w:bCs w:val="0"/>
          <w:sz w:val="22"/>
          <w:szCs w:val="22"/>
          <w:lang w:val="pt-BR"/>
        </w:rPr>
        <w:t xml:space="preserve"> por login institucional, por unidade educativa.</w:t>
      </w:r>
    </w:p>
    <w:p w14:paraId="25691D03">
      <w:pPr>
        <w:pStyle w:val="2"/>
        <w:numPr>
          <w:ilvl w:val="0"/>
          <w:numId w:val="17"/>
        </w:numPr>
        <w:tabs>
          <w:tab w:val="left" w:pos="880"/>
          <w:tab w:val="left" w:pos="1320"/>
          <w:tab w:val="left" w:pos="6652"/>
          <w:tab w:val="left" w:pos="7867"/>
          <w:tab w:val="left" w:pos="8186"/>
          <w:tab w:val="left" w:pos="9680"/>
          <w:tab w:val="clear" w:pos="425"/>
        </w:tabs>
        <w:spacing w:before="120" w:beforeLines="50" w:after="120" w:afterLines="50" w:line="360" w:lineRule="auto"/>
        <w:ind w:left="440" w:right="176" w:rightChars="80" w:firstLine="20"/>
        <w:jc w:val="both"/>
        <w:rPr>
          <w:rFonts w:ascii="Arial" w:hAnsi="Arial" w:cs="Arial"/>
          <w:sz w:val="22"/>
          <w:szCs w:val="22"/>
          <w:lang w:val="pt-BR"/>
        </w:rPr>
      </w:pPr>
      <w:r>
        <w:rPr>
          <w:rFonts w:ascii="Arial" w:hAnsi="Arial" w:cs="Arial"/>
          <w:b w:val="0"/>
          <w:bCs w:val="0"/>
          <w:sz w:val="22"/>
          <w:szCs w:val="22"/>
          <w:lang w:val="pt-BR"/>
        </w:rPr>
        <w:t xml:space="preserve">Exportação dos dados em formato </w:t>
      </w:r>
      <w:r>
        <w:rPr>
          <w:rStyle w:val="8"/>
          <w:rFonts w:ascii="Arial" w:hAnsi="Arial" w:cs="Arial"/>
          <w:b w:val="0"/>
          <w:bCs w:val="0"/>
          <w:sz w:val="22"/>
          <w:szCs w:val="22"/>
          <w:lang w:val="pt-BR"/>
        </w:rPr>
        <w:t>.xls</w:t>
      </w:r>
      <w:r>
        <w:rPr>
          <w:rFonts w:ascii="Arial" w:hAnsi="Arial" w:cs="Arial"/>
          <w:b w:val="0"/>
          <w:bCs w:val="0"/>
          <w:sz w:val="22"/>
          <w:szCs w:val="22"/>
          <w:lang w:val="pt-BR"/>
        </w:rPr>
        <w:t xml:space="preserve">, </w:t>
      </w:r>
      <w:r>
        <w:rPr>
          <w:rStyle w:val="8"/>
          <w:rFonts w:ascii="Arial" w:hAnsi="Arial" w:cs="Arial"/>
          <w:b w:val="0"/>
          <w:bCs w:val="0"/>
          <w:sz w:val="22"/>
          <w:szCs w:val="22"/>
          <w:lang w:val="pt-BR"/>
        </w:rPr>
        <w:t>.csv</w:t>
      </w:r>
      <w:r>
        <w:rPr>
          <w:rFonts w:ascii="Arial" w:hAnsi="Arial" w:cs="Arial"/>
          <w:b w:val="0"/>
          <w:bCs w:val="0"/>
          <w:sz w:val="22"/>
          <w:szCs w:val="22"/>
          <w:lang w:val="pt-BR"/>
        </w:rPr>
        <w:t xml:space="preserve"> e </w:t>
      </w:r>
      <w:r>
        <w:rPr>
          <w:rStyle w:val="8"/>
          <w:rFonts w:ascii="Arial" w:hAnsi="Arial" w:cs="Arial"/>
          <w:b w:val="0"/>
          <w:bCs w:val="0"/>
          <w:sz w:val="22"/>
          <w:szCs w:val="22"/>
          <w:lang w:val="pt-BR"/>
        </w:rPr>
        <w:t>.pdf</w:t>
      </w:r>
      <w:r>
        <w:rPr>
          <w:rFonts w:ascii="Arial" w:hAnsi="Arial" w:cs="Arial"/>
          <w:b w:val="0"/>
          <w:bCs w:val="0"/>
          <w:sz w:val="22"/>
          <w:szCs w:val="22"/>
          <w:lang w:val="pt-BR"/>
        </w:rPr>
        <w:t>.</w:t>
      </w:r>
    </w:p>
    <w:p w14:paraId="4C8ACD29">
      <w:pPr>
        <w:pStyle w:val="2"/>
        <w:numPr>
          <w:ilvl w:val="0"/>
          <w:numId w:val="17"/>
        </w:numPr>
        <w:tabs>
          <w:tab w:val="left" w:pos="880"/>
          <w:tab w:val="left" w:pos="1320"/>
          <w:tab w:val="left" w:pos="6652"/>
          <w:tab w:val="left" w:pos="7867"/>
          <w:tab w:val="left" w:pos="8186"/>
          <w:tab w:val="left" w:pos="9680"/>
          <w:tab w:val="clear" w:pos="425"/>
        </w:tabs>
        <w:spacing w:before="120" w:beforeLines="50" w:after="120" w:afterLines="50" w:line="360" w:lineRule="auto"/>
        <w:ind w:left="440" w:right="176" w:rightChars="80" w:firstLine="20"/>
        <w:jc w:val="both"/>
        <w:rPr>
          <w:rFonts w:ascii="Arial" w:hAnsi="Arial" w:cs="Arial"/>
          <w:sz w:val="22"/>
          <w:szCs w:val="22"/>
          <w:lang w:val="pt-BR"/>
        </w:rPr>
      </w:pPr>
      <w:r>
        <w:rPr>
          <w:rFonts w:ascii="Arial" w:hAnsi="Arial" w:cs="Arial"/>
          <w:b w:val="0"/>
          <w:bCs w:val="0"/>
          <w:sz w:val="22"/>
          <w:szCs w:val="22"/>
          <w:lang w:val="pt-BR"/>
        </w:rPr>
        <w:t>Disponibilização dos seguintes relatórios:</w:t>
      </w:r>
    </w:p>
    <w:p w14:paraId="03ED8C45">
      <w:pPr>
        <w:pStyle w:val="2"/>
        <w:numPr>
          <w:ilvl w:val="0"/>
          <w:numId w:val="17"/>
        </w:numPr>
        <w:tabs>
          <w:tab w:val="left" w:pos="880"/>
          <w:tab w:val="left" w:pos="1320"/>
          <w:tab w:val="left" w:pos="6652"/>
          <w:tab w:val="left" w:pos="7867"/>
          <w:tab w:val="left" w:pos="8186"/>
          <w:tab w:val="left" w:pos="9680"/>
          <w:tab w:val="clear" w:pos="425"/>
        </w:tabs>
        <w:spacing w:before="120" w:beforeLines="50" w:after="120" w:afterLines="50" w:line="360" w:lineRule="auto"/>
        <w:ind w:left="440" w:right="176" w:rightChars="80" w:firstLine="20"/>
        <w:jc w:val="both"/>
        <w:rPr>
          <w:rFonts w:ascii="Arial" w:hAnsi="Arial" w:cs="Arial"/>
          <w:sz w:val="22"/>
          <w:szCs w:val="22"/>
          <w:lang w:val="pt-BR"/>
        </w:rPr>
      </w:pPr>
      <w:r>
        <w:rPr>
          <w:rFonts w:ascii="Arial" w:hAnsi="Arial" w:cs="Arial"/>
          <w:b w:val="0"/>
          <w:bCs w:val="0"/>
          <w:sz w:val="22"/>
          <w:szCs w:val="22"/>
          <w:lang w:val="pt-BR"/>
        </w:rPr>
        <w:t>Relatório diário por unidade e turno: número de estudantes atendidos, fase escolar, número de refeições servidas e repetições, validados pela Diretora da Unidade Educativa e enviados para o setor de Alimentação Escolar da SME.</w:t>
      </w:r>
    </w:p>
    <w:p w14:paraId="4B2AD588">
      <w:pPr>
        <w:pStyle w:val="2"/>
        <w:numPr>
          <w:ilvl w:val="0"/>
          <w:numId w:val="17"/>
        </w:numPr>
        <w:tabs>
          <w:tab w:val="left" w:pos="880"/>
          <w:tab w:val="left" w:pos="1320"/>
          <w:tab w:val="left" w:pos="6652"/>
          <w:tab w:val="left" w:pos="7867"/>
          <w:tab w:val="left" w:pos="8186"/>
          <w:tab w:val="left" w:pos="9680"/>
          <w:tab w:val="clear" w:pos="425"/>
        </w:tabs>
        <w:spacing w:before="120" w:beforeLines="50" w:after="120" w:afterLines="50" w:line="360" w:lineRule="auto"/>
        <w:ind w:left="440" w:right="176" w:rightChars="80" w:firstLine="20"/>
        <w:jc w:val="both"/>
        <w:rPr>
          <w:rFonts w:ascii="Arial" w:hAnsi="Arial" w:cs="Arial"/>
          <w:sz w:val="22"/>
          <w:szCs w:val="22"/>
          <w:lang w:val="pt-BR"/>
        </w:rPr>
      </w:pPr>
      <w:r>
        <w:rPr>
          <w:rFonts w:ascii="Arial" w:hAnsi="Arial" w:cs="Arial"/>
          <w:b w:val="0"/>
          <w:bCs w:val="0"/>
          <w:sz w:val="22"/>
          <w:szCs w:val="22"/>
          <w:lang w:val="pt-BR"/>
        </w:rPr>
        <w:t>Relatório consolidado mensal.</w:t>
      </w:r>
    </w:p>
    <w:p w14:paraId="454EB186">
      <w:pPr>
        <w:pStyle w:val="2"/>
        <w:numPr>
          <w:ilvl w:val="0"/>
          <w:numId w:val="17"/>
        </w:numPr>
        <w:tabs>
          <w:tab w:val="left" w:pos="880"/>
          <w:tab w:val="left" w:pos="1320"/>
          <w:tab w:val="left" w:pos="6652"/>
          <w:tab w:val="left" w:pos="7867"/>
          <w:tab w:val="left" w:pos="8186"/>
          <w:tab w:val="left" w:pos="9680"/>
          <w:tab w:val="clear" w:pos="425"/>
        </w:tabs>
        <w:spacing w:before="120" w:beforeLines="50" w:after="120" w:afterLines="50" w:line="360" w:lineRule="auto"/>
        <w:ind w:left="440" w:right="176" w:rightChars="80" w:firstLine="20"/>
        <w:jc w:val="both"/>
        <w:rPr>
          <w:rFonts w:ascii="Arial" w:hAnsi="Arial" w:cs="Arial"/>
          <w:sz w:val="22"/>
          <w:szCs w:val="22"/>
          <w:lang w:val="pt-BR"/>
        </w:rPr>
      </w:pPr>
      <w:r>
        <w:rPr>
          <w:rFonts w:ascii="Arial" w:hAnsi="Arial" w:cs="Arial"/>
          <w:b w:val="0"/>
          <w:bCs w:val="0"/>
          <w:sz w:val="22"/>
          <w:szCs w:val="22"/>
          <w:lang w:val="pt-BR"/>
        </w:rPr>
        <w:t>Relatórios individuais por estudante (frequência alimentar).</w:t>
      </w:r>
    </w:p>
    <w:p w14:paraId="76FD49D4">
      <w:pPr>
        <w:pStyle w:val="2"/>
        <w:numPr>
          <w:ilvl w:val="0"/>
          <w:numId w:val="17"/>
        </w:numPr>
        <w:tabs>
          <w:tab w:val="left" w:pos="880"/>
          <w:tab w:val="left" w:pos="1320"/>
          <w:tab w:val="left" w:pos="6652"/>
          <w:tab w:val="left" w:pos="7867"/>
          <w:tab w:val="left" w:pos="8186"/>
          <w:tab w:val="left" w:pos="9680"/>
          <w:tab w:val="clear" w:pos="425"/>
        </w:tabs>
        <w:spacing w:before="120" w:beforeLines="50" w:after="120" w:afterLines="50" w:line="360" w:lineRule="auto"/>
        <w:ind w:left="440" w:right="176" w:rightChars="80" w:firstLine="20"/>
        <w:jc w:val="both"/>
        <w:rPr>
          <w:rFonts w:ascii="Arial" w:hAnsi="Arial" w:cs="Arial"/>
          <w:b w:val="0"/>
          <w:bCs w:val="0"/>
          <w:sz w:val="22"/>
          <w:szCs w:val="22"/>
          <w:lang w:val="pt-BR"/>
        </w:rPr>
      </w:pPr>
      <w:r>
        <w:rPr>
          <w:rFonts w:ascii="Arial" w:hAnsi="Arial" w:cs="Arial"/>
          <w:b w:val="0"/>
          <w:bCs w:val="0"/>
          <w:sz w:val="22"/>
          <w:szCs w:val="22"/>
          <w:lang w:val="pt-BR"/>
        </w:rPr>
        <w:t>Todos os dados devem ser armazenados por período mínimo de 12 meses, com backup automático em nuvem e criptografia de dados pessoais e biométricos em conformidade com a LGPD.</w:t>
      </w:r>
    </w:p>
    <w:p w14:paraId="6E063649">
      <w:pPr>
        <w:pStyle w:val="2"/>
        <w:numPr>
          <w:ilvl w:val="5"/>
          <w:numId w:val="3"/>
        </w:numPr>
        <w:tabs>
          <w:tab w:val="left" w:pos="425"/>
          <w:tab w:val="left" w:pos="880"/>
          <w:tab w:val="left" w:pos="1320"/>
          <w:tab w:val="left" w:pos="6652"/>
          <w:tab w:val="left" w:pos="7867"/>
          <w:tab w:val="left" w:pos="8186"/>
          <w:tab w:val="left" w:pos="9680"/>
        </w:tabs>
        <w:spacing w:before="120" w:beforeLines="50" w:after="120" w:afterLines="50" w:line="360" w:lineRule="auto"/>
        <w:ind w:left="865" w:leftChars="200" w:right="176" w:rightChars="80" w:hanging="425"/>
        <w:jc w:val="both"/>
        <w:rPr>
          <w:rFonts w:ascii="Arial" w:hAnsi="Arial" w:cs="Arial"/>
          <w:b w:val="0"/>
          <w:bCs w:val="0"/>
          <w:sz w:val="22"/>
          <w:szCs w:val="22"/>
          <w:lang w:val="pt-BR"/>
        </w:rPr>
      </w:pPr>
      <w:r>
        <w:rPr>
          <w:rFonts w:ascii="Arial" w:hAnsi="Arial" w:cs="Arial"/>
          <w:sz w:val="22"/>
          <w:szCs w:val="22"/>
          <w:lang w:val="pt-BR"/>
        </w:rPr>
        <w:t>Procedimentos de Contingência para Entrega de Relatórios:</w:t>
      </w:r>
      <w:r>
        <w:rPr>
          <w:rFonts w:ascii="Arial" w:hAnsi="Arial" w:cs="Arial"/>
          <w:b w:val="0"/>
          <w:bCs w:val="0"/>
          <w:sz w:val="22"/>
          <w:szCs w:val="22"/>
          <w:lang w:val="pt-BR"/>
        </w:rPr>
        <w:t xml:space="preserve"> </w:t>
      </w:r>
    </w:p>
    <w:p w14:paraId="7F5D7A7D">
      <w:pPr>
        <w:pStyle w:val="2"/>
        <w:numPr>
          <w:ilvl w:val="0"/>
          <w:numId w:val="18"/>
        </w:numPr>
        <w:tabs>
          <w:tab w:val="left" w:pos="880"/>
          <w:tab w:val="left" w:pos="1320"/>
          <w:tab w:val="left" w:pos="6652"/>
          <w:tab w:val="left" w:pos="7867"/>
          <w:tab w:val="left" w:pos="8186"/>
          <w:tab w:val="left" w:pos="9680"/>
        </w:tabs>
        <w:spacing w:before="120" w:beforeLines="50" w:after="120" w:afterLines="50" w:line="360" w:lineRule="auto"/>
        <w:ind w:right="176" w:rightChars="80" w:firstLine="15"/>
        <w:jc w:val="both"/>
        <w:rPr>
          <w:rFonts w:ascii="Arial" w:hAnsi="Arial" w:cs="Arial"/>
          <w:b w:val="0"/>
          <w:bCs w:val="0"/>
          <w:sz w:val="22"/>
          <w:szCs w:val="22"/>
          <w:lang w:val="pt-BR"/>
        </w:rPr>
      </w:pPr>
      <w:r>
        <w:rPr>
          <w:rFonts w:ascii="Arial" w:hAnsi="Arial" w:cs="Arial"/>
          <w:b w:val="0"/>
          <w:bCs w:val="0"/>
          <w:sz w:val="22"/>
          <w:szCs w:val="22"/>
          <w:lang w:val="pt-BR"/>
        </w:rPr>
        <w:t>Designação de cozinheira responsável: A CONTRATADA deverá designar formalmente, dentre as cozinheiras já disponibilizadas em cada unidade educativa, uma profissional responsável pelo procedimento contingencial em caso de falha do sistema ou hardware.</w:t>
      </w:r>
    </w:p>
    <w:p w14:paraId="403103DF">
      <w:pPr>
        <w:pStyle w:val="2"/>
        <w:numPr>
          <w:ilvl w:val="0"/>
          <w:numId w:val="18"/>
        </w:numPr>
        <w:tabs>
          <w:tab w:val="left" w:pos="880"/>
          <w:tab w:val="left" w:pos="1320"/>
          <w:tab w:val="left" w:pos="6652"/>
          <w:tab w:val="left" w:pos="7867"/>
          <w:tab w:val="left" w:pos="8186"/>
          <w:tab w:val="left" w:pos="9680"/>
        </w:tabs>
        <w:spacing w:before="120" w:beforeLines="50" w:after="120" w:afterLines="50" w:line="360" w:lineRule="auto"/>
        <w:ind w:right="176" w:rightChars="80" w:firstLine="15"/>
        <w:jc w:val="both"/>
        <w:rPr>
          <w:rFonts w:ascii="Arial" w:hAnsi="Arial" w:cs="Arial"/>
          <w:b w:val="0"/>
          <w:bCs w:val="0"/>
          <w:sz w:val="22"/>
          <w:szCs w:val="22"/>
          <w:lang w:val="pt-BR"/>
        </w:rPr>
      </w:pPr>
      <w:r>
        <w:rPr>
          <w:rFonts w:ascii="Arial" w:hAnsi="Arial" w:cs="Arial"/>
          <w:b w:val="0"/>
          <w:bCs w:val="0"/>
          <w:sz w:val="22"/>
          <w:szCs w:val="22"/>
          <w:lang w:val="pt-BR"/>
        </w:rPr>
        <w:t>Esta cozinheira designada devera neste caso fazer: - Emissão de relatórios manuais padronizados seguindo modelo fornecido pela SME; - Contagem e registro físico das refeições servidas, incluindo repetições; - Coleta de assinatura do Gestor Escolar validando os dados registrados manualmente.</w:t>
      </w:r>
    </w:p>
    <w:p w14:paraId="336E6298">
      <w:pPr>
        <w:pStyle w:val="2"/>
        <w:numPr>
          <w:ilvl w:val="0"/>
          <w:numId w:val="18"/>
        </w:numPr>
        <w:tabs>
          <w:tab w:val="left" w:pos="880"/>
          <w:tab w:val="left" w:pos="1320"/>
          <w:tab w:val="left" w:pos="6652"/>
          <w:tab w:val="left" w:pos="7867"/>
          <w:tab w:val="left" w:pos="8186"/>
          <w:tab w:val="left" w:pos="9680"/>
        </w:tabs>
        <w:spacing w:before="120" w:beforeLines="50" w:after="120" w:afterLines="50" w:line="360" w:lineRule="auto"/>
        <w:ind w:right="176" w:rightChars="80" w:firstLine="15"/>
        <w:jc w:val="both"/>
        <w:rPr>
          <w:rFonts w:ascii="Arial" w:hAnsi="Arial" w:cs="Arial"/>
          <w:b w:val="0"/>
          <w:bCs w:val="0"/>
          <w:sz w:val="22"/>
          <w:szCs w:val="22"/>
          <w:lang w:val="pt-BR"/>
        </w:rPr>
      </w:pPr>
      <w:r>
        <w:rPr>
          <w:rFonts w:ascii="Arial" w:hAnsi="Arial" w:cs="Arial"/>
          <w:b w:val="0"/>
          <w:bCs w:val="0"/>
          <w:sz w:val="22"/>
          <w:szCs w:val="22"/>
          <w:lang w:val="pt-BR"/>
        </w:rPr>
        <w:t xml:space="preserve">Validação técnica dos relatórios de contingência: Todos os relatórios manuais produzidos em situação de contingência deverão conter a assinatura do Responsável Técnico (RT) da CONTRATADA, atestando a veracidade e conformidade das informações registradas. </w:t>
      </w:r>
    </w:p>
    <w:p w14:paraId="2CC9403B">
      <w:pPr>
        <w:pStyle w:val="2"/>
        <w:numPr>
          <w:ilvl w:val="0"/>
          <w:numId w:val="18"/>
        </w:numPr>
        <w:tabs>
          <w:tab w:val="left" w:pos="880"/>
          <w:tab w:val="left" w:pos="1320"/>
          <w:tab w:val="left" w:pos="6652"/>
          <w:tab w:val="left" w:pos="7867"/>
          <w:tab w:val="left" w:pos="8186"/>
          <w:tab w:val="left" w:pos="9680"/>
        </w:tabs>
        <w:spacing w:before="120" w:beforeLines="50" w:after="120" w:afterLines="50" w:line="360" w:lineRule="auto"/>
        <w:ind w:right="176" w:rightChars="80" w:firstLine="15"/>
        <w:jc w:val="both"/>
        <w:rPr>
          <w:rFonts w:ascii="Arial" w:hAnsi="Arial" w:cs="Arial"/>
          <w:b w:val="0"/>
          <w:bCs w:val="0"/>
          <w:sz w:val="22"/>
          <w:szCs w:val="22"/>
          <w:lang w:val="pt-BR"/>
        </w:rPr>
      </w:pPr>
      <w:r>
        <w:rPr>
          <w:rFonts w:ascii="Arial" w:hAnsi="Arial" w:cs="Arial"/>
          <w:b w:val="0"/>
          <w:bCs w:val="0"/>
          <w:sz w:val="22"/>
          <w:szCs w:val="22"/>
          <w:lang w:val="pt-BR"/>
        </w:rPr>
        <w:t>Guarda e apresentação de documentos: A cozinheira designada deverá manter sob sua guarda os formulários de contingência e apresentá-los ao Setor de Alimentação Escolar da SME em até 24 horas após o evento de falha, já com a assinatura do RT da empresa, sendo que as Auxiliares de Nutrição Escolar verificarão presencialmente os registros contingenciais antes do encaminhamento ao Setor.</w:t>
      </w:r>
    </w:p>
    <w:p w14:paraId="3FB1D733">
      <w:pPr>
        <w:pStyle w:val="2"/>
        <w:numPr>
          <w:ilvl w:val="5"/>
          <w:numId w:val="3"/>
        </w:numPr>
        <w:tabs>
          <w:tab w:val="left" w:pos="425"/>
          <w:tab w:val="left" w:pos="1320"/>
          <w:tab w:val="left" w:pos="6652"/>
          <w:tab w:val="left" w:pos="7867"/>
          <w:tab w:val="left" w:pos="8186"/>
          <w:tab w:val="left" w:pos="9680"/>
        </w:tabs>
        <w:spacing w:before="120" w:beforeLines="50" w:after="120" w:afterLines="50" w:line="360" w:lineRule="auto"/>
        <w:ind w:left="865" w:leftChars="200" w:right="176" w:rightChars="80" w:hanging="425"/>
        <w:jc w:val="both"/>
        <w:rPr>
          <w:rStyle w:val="8"/>
          <w:rFonts w:ascii="Arial" w:hAnsi="Arial" w:cs="Arial"/>
          <w:b/>
          <w:bCs/>
          <w:sz w:val="22"/>
          <w:szCs w:val="22"/>
          <w:lang w:val="pt-BR"/>
        </w:rPr>
      </w:pPr>
      <w:r>
        <w:rPr>
          <w:rStyle w:val="8"/>
          <w:rFonts w:ascii="Arial" w:hAnsi="Arial" w:cs="Arial"/>
          <w:b/>
          <w:bCs/>
          <w:sz w:val="22"/>
          <w:szCs w:val="22"/>
          <w:lang w:val="pt-BR"/>
        </w:rPr>
        <w:t xml:space="preserve">Validação dos Relatórios pela SME: </w:t>
      </w:r>
      <w:r>
        <w:rPr>
          <w:rStyle w:val="8"/>
          <w:rFonts w:ascii="Arial" w:hAnsi="Arial" w:cs="Arial"/>
          <w:b w:val="0"/>
          <w:bCs w:val="0"/>
          <w:sz w:val="22"/>
          <w:szCs w:val="22"/>
          <w:lang w:val="pt-BR"/>
        </w:rPr>
        <w:t>O processo de validação dos relatórios gerados pelo Sistema Digital de Controle da Alimentação Escolar seguirá fluxo hierárquico em quatro etapas sucessivas, conforme detalhado a seguir</w:t>
      </w:r>
      <w:r>
        <w:rPr>
          <w:rStyle w:val="8"/>
          <w:rFonts w:ascii="Arial" w:hAnsi="Arial" w:cs="Arial"/>
          <w:b/>
          <w:bCs/>
          <w:sz w:val="22"/>
          <w:szCs w:val="22"/>
          <w:lang w:val="pt-BR"/>
        </w:rPr>
        <w:t>:</w:t>
      </w:r>
    </w:p>
    <w:p w14:paraId="2499891C">
      <w:pPr>
        <w:pStyle w:val="2"/>
        <w:numPr>
          <w:ilvl w:val="0"/>
          <w:numId w:val="19"/>
        </w:numPr>
        <w:tabs>
          <w:tab w:val="left" w:pos="880"/>
          <w:tab w:val="left" w:pos="1320"/>
          <w:tab w:val="left" w:pos="6652"/>
          <w:tab w:val="left" w:pos="7867"/>
          <w:tab w:val="left" w:pos="8186"/>
          <w:tab w:val="left" w:pos="9680"/>
          <w:tab w:val="clear" w:pos="425"/>
        </w:tabs>
        <w:spacing w:before="120" w:beforeLines="50" w:after="120" w:afterLines="50" w:line="360" w:lineRule="auto"/>
        <w:ind w:left="420" w:right="176" w:rightChars="80" w:firstLine="15"/>
        <w:jc w:val="both"/>
        <w:rPr>
          <w:rFonts w:ascii="Arial" w:hAnsi="Arial" w:cs="Arial"/>
          <w:b w:val="0"/>
          <w:bCs w:val="0"/>
          <w:sz w:val="22"/>
          <w:szCs w:val="22"/>
          <w:lang w:val="pt-BR"/>
        </w:rPr>
      </w:pPr>
      <w:r>
        <w:rPr>
          <w:rFonts w:ascii="Arial" w:hAnsi="Arial" w:cs="Arial"/>
          <w:b w:val="0"/>
          <w:bCs w:val="0"/>
          <w:sz w:val="22"/>
          <w:szCs w:val="22"/>
          <w:lang w:val="pt-BR"/>
        </w:rPr>
        <w:t>Emissão e envio pelo Setor de Alimentação Escolar: O Setor de Alimentação Escolar da SME acompanhará diariamente os dados registrados no sistema biométrico/facial e gerará relatório diário por unidade educativa até às 16h, contendo os dados consolidados das refeições servidas no dia. Este relatório será enviado simultaneamente à Auxiliar de Nutrição Escolar da unidade, ao Gestor Escolar e ao Nutricionista do Quadro Técnico (QT) responsável, por e-mail institucional ou meio digital equivalente.</w:t>
      </w:r>
    </w:p>
    <w:p w14:paraId="312DB8E3">
      <w:pPr>
        <w:pStyle w:val="2"/>
        <w:numPr>
          <w:ilvl w:val="0"/>
          <w:numId w:val="19"/>
        </w:numPr>
        <w:tabs>
          <w:tab w:val="left" w:pos="880"/>
          <w:tab w:val="left" w:pos="1320"/>
          <w:tab w:val="left" w:pos="6652"/>
          <w:tab w:val="left" w:pos="7867"/>
          <w:tab w:val="left" w:pos="8186"/>
          <w:tab w:val="left" w:pos="9680"/>
          <w:tab w:val="clear" w:pos="425"/>
        </w:tabs>
        <w:spacing w:before="120" w:beforeLines="50" w:after="120" w:afterLines="50" w:line="360" w:lineRule="auto"/>
        <w:ind w:left="420" w:right="176" w:rightChars="80" w:firstLine="15"/>
        <w:jc w:val="both"/>
        <w:rPr>
          <w:rFonts w:ascii="Arial" w:hAnsi="Arial" w:cs="Arial"/>
          <w:b w:val="0"/>
          <w:bCs w:val="0"/>
          <w:sz w:val="22"/>
          <w:szCs w:val="22"/>
          <w:lang w:val="pt-BR"/>
        </w:rPr>
      </w:pPr>
      <w:r>
        <w:rPr>
          <w:rFonts w:ascii="Arial" w:hAnsi="Arial" w:cs="Arial"/>
          <w:b w:val="0"/>
          <w:bCs w:val="0"/>
          <w:sz w:val="22"/>
          <w:szCs w:val="22"/>
          <w:lang w:val="pt-BR"/>
        </w:rPr>
        <w:t>Primeira validação - Auxiliar de Nutrição Escolar: A Auxiliar de Nutrição Escolar, no exercício de suas atribuições de acompanhamento previstas nas Leis Municipais nº 568/1999 e LC 62/2011, deverá validar o relatório até às 12h do dia útil seguinte, confrontando os dados digitais com o efetivamente executado de forma presencial, verificando: conformidade entre quantidade registrada e efetivamente servida; cumprimento do cardápio planejado; adequação das porções conforme per capita; qualidade das preparações e condições de higiene. A validação será registrada por assinatura física no relatório ou confirmação digital, com campo próprio para observações ou apontamento de não conformidades.</w:t>
      </w:r>
    </w:p>
    <w:p w14:paraId="421A9B68">
      <w:pPr>
        <w:pStyle w:val="2"/>
        <w:numPr>
          <w:ilvl w:val="0"/>
          <w:numId w:val="19"/>
        </w:numPr>
        <w:tabs>
          <w:tab w:val="left" w:pos="880"/>
          <w:tab w:val="left" w:pos="1320"/>
          <w:tab w:val="left" w:pos="6652"/>
          <w:tab w:val="left" w:pos="7867"/>
          <w:tab w:val="left" w:pos="8186"/>
          <w:tab w:val="left" w:pos="9680"/>
          <w:tab w:val="clear" w:pos="425"/>
        </w:tabs>
        <w:spacing w:before="120" w:beforeLines="50" w:after="120" w:afterLines="50" w:line="360" w:lineRule="auto"/>
        <w:ind w:left="420" w:right="176" w:rightChars="80" w:firstLine="15"/>
        <w:jc w:val="both"/>
        <w:rPr>
          <w:rFonts w:ascii="Arial" w:hAnsi="Arial" w:cs="Arial"/>
          <w:b w:val="0"/>
          <w:bCs w:val="0"/>
          <w:sz w:val="22"/>
          <w:szCs w:val="22"/>
          <w:lang w:val="pt-BR"/>
        </w:rPr>
      </w:pPr>
      <w:r>
        <w:rPr>
          <w:rFonts w:ascii="Arial" w:hAnsi="Arial" w:cs="Arial"/>
          <w:b w:val="0"/>
          <w:bCs w:val="0"/>
          <w:sz w:val="22"/>
          <w:szCs w:val="22"/>
          <w:lang w:val="pt-BR"/>
        </w:rPr>
        <w:t>Segunda validação - Gestor Escolar: O Gestor Escolar deverá validar o relatório até às 17h do dia útil seguinte ao recebimento, considerando a verificação prévia da Auxiliar de Nutrição Escolar e procedendo com análise administrativa da conformidade entre refeições servidas e frequência escolar, eventuais ocorrências ou intercorrências reportadas, e coerência geral dos dados apresentados. A validação será formalizada por assinatura física ou confirmação digital.</w:t>
      </w:r>
    </w:p>
    <w:p w14:paraId="11C8AE70">
      <w:pPr>
        <w:pStyle w:val="2"/>
        <w:numPr>
          <w:ilvl w:val="0"/>
          <w:numId w:val="19"/>
        </w:numPr>
        <w:tabs>
          <w:tab w:val="left" w:pos="880"/>
          <w:tab w:val="left" w:pos="1320"/>
          <w:tab w:val="left" w:pos="6652"/>
          <w:tab w:val="left" w:pos="7867"/>
          <w:tab w:val="left" w:pos="8186"/>
          <w:tab w:val="left" w:pos="9680"/>
          <w:tab w:val="clear" w:pos="425"/>
        </w:tabs>
        <w:spacing w:before="120" w:beforeLines="50" w:after="120" w:afterLines="50" w:line="360" w:lineRule="auto"/>
        <w:ind w:left="420" w:right="176" w:rightChars="80" w:firstLine="15"/>
        <w:jc w:val="both"/>
        <w:rPr>
          <w:rFonts w:ascii="Arial" w:hAnsi="Arial" w:cs="Arial"/>
          <w:b w:val="0"/>
          <w:bCs w:val="0"/>
          <w:sz w:val="22"/>
          <w:szCs w:val="22"/>
          <w:lang w:val="pt-BR"/>
        </w:rPr>
      </w:pPr>
      <w:r>
        <w:rPr>
          <w:rFonts w:ascii="Arial" w:hAnsi="Arial" w:cs="Arial"/>
          <w:b w:val="0"/>
          <w:bCs w:val="0"/>
          <w:sz w:val="22"/>
          <w:szCs w:val="22"/>
          <w:lang w:val="pt-BR"/>
        </w:rPr>
        <w:t>Terceira validação - Nutricionista do Quadro Técnico (QT): O Nutricionista do QT responsável pela unidade analisará o relatório já validado pela Auxiliar e pelo Gestor em até 2 (dois) dias úteis, realizando validação técnico-nutricional com verificação de: compatibilidade entre refeições servidas e alunos matriculados; conformidade entre cardápio executado e planejado; análise de discrepâncias apontadas nas etapas anteriores; coerência nutricional e cumprimento das diretrizes do PNAE. Após a validação técnica, o Nutricionista do QT devolverá o relatório validado ao Setor de Alimentação Escolar da SME.</w:t>
      </w:r>
    </w:p>
    <w:p w14:paraId="5AD8C75E">
      <w:pPr>
        <w:pStyle w:val="2"/>
        <w:numPr>
          <w:ilvl w:val="0"/>
          <w:numId w:val="19"/>
        </w:numPr>
        <w:tabs>
          <w:tab w:val="left" w:pos="880"/>
          <w:tab w:val="left" w:pos="1320"/>
          <w:tab w:val="left" w:pos="6652"/>
          <w:tab w:val="left" w:pos="7867"/>
          <w:tab w:val="left" w:pos="8186"/>
          <w:tab w:val="left" w:pos="9680"/>
          <w:tab w:val="clear" w:pos="425"/>
        </w:tabs>
        <w:spacing w:before="120" w:beforeLines="50" w:after="120" w:afterLines="50" w:line="360" w:lineRule="auto"/>
        <w:ind w:left="420" w:right="176" w:rightChars="80" w:firstLine="15"/>
        <w:jc w:val="both"/>
        <w:rPr>
          <w:rFonts w:ascii="Arial" w:hAnsi="Arial" w:cs="Arial"/>
          <w:b w:val="0"/>
          <w:bCs w:val="0"/>
          <w:sz w:val="22"/>
          <w:szCs w:val="22"/>
          <w:lang w:val="pt-BR"/>
        </w:rPr>
      </w:pPr>
      <w:r>
        <w:rPr>
          <w:rFonts w:ascii="Arial" w:hAnsi="Arial" w:cs="Arial"/>
          <w:b w:val="0"/>
          <w:bCs w:val="0"/>
          <w:sz w:val="22"/>
          <w:szCs w:val="22"/>
          <w:lang w:val="pt-BR"/>
        </w:rPr>
        <w:t>Consolidação e encaminhamento para ateste do Fiscal: O Setor de Alimentação Escolar da SME, após receber os relatórios validados pelas três instâncias anteriores, realizará consolidação mensal dos dados e encaminhará ao Fiscal do Contrato para ateste final, acompanhado de parecer técnico sobre a conformidade da execução dos serviços. O Fiscal do Contrato, munido de todas as validações anteriores, procederá com o ateste da Nota Fiscal para fins de liquidação e pagamento.</w:t>
      </w:r>
    </w:p>
    <w:p w14:paraId="49654255">
      <w:pPr>
        <w:pStyle w:val="2"/>
        <w:numPr>
          <w:ilvl w:val="0"/>
          <w:numId w:val="19"/>
        </w:numPr>
        <w:tabs>
          <w:tab w:val="left" w:pos="880"/>
          <w:tab w:val="left" w:pos="1320"/>
          <w:tab w:val="left" w:pos="6652"/>
          <w:tab w:val="left" w:pos="7867"/>
          <w:tab w:val="left" w:pos="8186"/>
          <w:tab w:val="left" w:pos="9680"/>
          <w:tab w:val="clear" w:pos="425"/>
        </w:tabs>
        <w:spacing w:before="120" w:beforeLines="50" w:after="120" w:afterLines="50" w:line="360" w:lineRule="auto"/>
        <w:ind w:left="420" w:right="176" w:rightChars="80" w:firstLine="15"/>
        <w:jc w:val="both"/>
        <w:rPr>
          <w:rFonts w:ascii="Arial" w:hAnsi="Arial" w:cs="Arial"/>
          <w:b w:val="0"/>
          <w:bCs w:val="0"/>
          <w:sz w:val="22"/>
          <w:szCs w:val="22"/>
          <w:lang w:val="pt-BR"/>
        </w:rPr>
      </w:pPr>
      <w:r>
        <w:rPr>
          <w:rFonts w:ascii="Arial" w:hAnsi="Arial" w:cs="Arial"/>
          <w:b w:val="0"/>
          <w:bCs w:val="0"/>
          <w:sz w:val="22"/>
          <w:szCs w:val="22"/>
          <w:lang w:val="pt-BR"/>
        </w:rPr>
        <w:t>Não conformidades e comunicação imediata: Identificadas quaisquer não conformidades graves pelas Auxiliares de Nutrição Escolar durante a execução dos serviços, estas deverão comunicar imediatamente ao Gestor Escolar e ao Setor de Alimentação Escolar da SME, independentemente do fluxo regular de validação, para adoção de medidas corretivas tempestivas pela CONTRATADA.</w:t>
      </w:r>
    </w:p>
    <w:p w14:paraId="4CAE80E8">
      <w:pPr>
        <w:pStyle w:val="2"/>
        <w:numPr>
          <w:ilvl w:val="0"/>
          <w:numId w:val="19"/>
        </w:numPr>
        <w:tabs>
          <w:tab w:val="left" w:pos="880"/>
          <w:tab w:val="left" w:pos="1320"/>
          <w:tab w:val="left" w:pos="6652"/>
          <w:tab w:val="left" w:pos="7867"/>
          <w:tab w:val="left" w:pos="8186"/>
          <w:tab w:val="left" w:pos="9680"/>
          <w:tab w:val="clear" w:pos="425"/>
        </w:tabs>
        <w:spacing w:before="120" w:beforeLines="50" w:after="120" w:afterLines="50" w:line="360" w:lineRule="auto"/>
        <w:ind w:left="420" w:right="176" w:rightChars="80" w:firstLine="15"/>
        <w:jc w:val="both"/>
        <w:rPr>
          <w:rFonts w:ascii="Arial" w:hAnsi="Arial" w:cs="Arial"/>
          <w:b w:val="0"/>
          <w:bCs w:val="0"/>
          <w:sz w:val="22"/>
          <w:szCs w:val="22"/>
          <w:lang w:val="pt-BR"/>
        </w:rPr>
      </w:pPr>
      <w:r>
        <w:rPr>
          <w:rFonts w:ascii="Arial" w:hAnsi="Arial" w:cs="Arial"/>
          <w:b w:val="0"/>
          <w:bCs w:val="0"/>
          <w:sz w:val="22"/>
          <w:szCs w:val="22"/>
          <w:lang w:val="pt-BR"/>
        </w:rPr>
        <w:t>Controle de prazos: O Setor de Alimentação Escolar da SME manterá controle dos prazos de validação em todas as etapas, notificando formalmente os responsáveis que não cumprirem os prazos estabelecidos.</w:t>
      </w:r>
    </w:p>
    <w:p w14:paraId="5D942FCD">
      <w:pPr>
        <w:pStyle w:val="2"/>
        <w:numPr>
          <w:ilvl w:val="0"/>
          <w:numId w:val="19"/>
        </w:numPr>
        <w:tabs>
          <w:tab w:val="left" w:pos="880"/>
          <w:tab w:val="left" w:pos="1320"/>
          <w:tab w:val="left" w:pos="6652"/>
          <w:tab w:val="left" w:pos="7867"/>
          <w:tab w:val="left" w:pos="8186"/>
          <w:tab w:val="left" w:pos="9680"/>
          <w:tab w:val="clear" w:pos="425"/>
        </w:tabs>
        <w:spacing w:before="120" w:beforeLines="50" w:after="120" w:afterLines="50" w:line="360" w:lineRule="auto"/>
        <w:ind w:left="420" w:right="176" w:rightChars="80" w:firstLine="15"/>
        <w:jc w:val="both"/>
        <w:rPr>
          <w:rFonts w:ascii="Arial" w:hAnsi="Arial" w:cs="Arial"/>
          <w:b w:val="0"/>
          <w:bCs w:val="0"/>
          <w:sz w:val="22"/>
          <w:szCs w:val="22"/>
          <w:lang w:val="pt-BR"/>
        </w:rPr>
      </w:pPr>
      <w:r>
        <w:rPr>
          <w:rFonts w:ascii="Arial" w:hAnsi="Arial" w:cs="Arial"/>
          <w:b w:val="0"/>
          <w:bCs w:val="0"/>
          <w:sz w:val="22"/>
          <w:szCs w:val="22"/>
          <w:lang w:val="pt-BR"/>
        </w:rPr>
        <w:t>Relatórios específicos: A SME poderá solicitar à CONTRATADA relatórios específicos ou complementares sobre qualquer aspecto da execução dos serviços, devendo a empresa fornecê-los no prazo máximo de 3 (três) dias úteis.</w:t>
      </w:r>
    </w:p>
    <w:p w14:paraId="18FABE6A">
      <w:pPr>
        <w:pStyle w:val="2"/>
        <w:numPr>
          <w:ilvl w:val="5"/>
          <w:numId w:val="3"/>
        </w:numPr>
        <w:tabs>
          <w:tab w:val="left" w:pos="425"/>
          <w:tab w:val="left" w:pos="1320"/>
          <w:tab w:val="left" w:pos="6652"/>
          <w:tab w:val="left" w:pos="7867"/>
          <w:tab w:val="left" w:pos="8186"/>
          <w:tab w:val="left" w:pos="9680"/>
        </w:tabs>
        <w:spacing w:before="120" w:beforeLines="50" w:after="120" w:afterLines="50" w:line="360" w:lineRule="auto"/>
        <w:ind w:left="865" w:leftChars="200" w:right="176" w:rightChars="80" w:hanging="425"/>
        <w:jc w:val="both"/>
        <w:rPr>
          <w:rFonts w:ascii="Arial" w:hAnsi="Arial" w:cs="Arial"/>
          <w:sz w:val="22"/>
          <w:szCs w:val="22"/>
          <w:lang w:val="pt-BR"/>
        </w:rPr>
      </w:pPr>
      <w:r>
        <w:rPr>
          <w:rStyle w:val="8"/>
          <w:rFonts w:ascii="Arial" w:hAnsi="Arial" w:cs="Arial"/>
          <w:b/>
          <w:bCs/>
          <w:sz w:val="22"/>
          <w:szCs w:val="22"/>
          <w:lang w:val="pt-BR"/>
        </w:rPr>
        <w:t>Processo de Pagamento:</w:t>
      </w:r>
    </w:p>
    <w:p w14:paraId="6667B468">
      <w:pPr>
        <w:pStyle w:val="2"/>
        <w:numPr>
          <w:ilvl w:val="0"/>
          <w:numId w:val="20"/>
        </w:numPr>
        <w:tabs>
          <w:tab w:val="left" w:pos="880"/>
          <w:tab w:val="left" w:pos="1320"/>
          <w:tab w:val="left" w:pos="6652"/>
          <w:tab w:val="left" w:pos="7867"/>
          <w:tab w:val="left" w:pos="8186"/>
          <w:tab w:val="left" w:pos="9680"/>
          <w:tab w:val="clear" w:pos="425"/>
        </w:tabs>
        <w:spacing w:before="120" w:beforeLines="50" w:after="120" w:afterLines="50" w:line="360" w:lineRule="auto"/>
        <w:ind w:left="440" w:right="176" w:rightChars="80" w:firstLine="20"/>
        <w:jc w:val="both"/>
        <w:rPr>
          <w:rFonts w:ascii="Arial" w:hAnsi="Arial" w:cs="Arial"/>
          <w:b w:val="0"/>
          <w:bCs w:val="0"/>
          <w:sz w:val="22"/>
          <w:szCs w:val="22"/>
          <w:lang w:val="pt-BR"/>
        </w:rPr>
      </w:pPr>
      <w:r>
        <w:rPr>
          <w:rFonts w:ascii="Arial" w:hAnsi="Arial" w:cs="Arial"/>
          <w:b w:val="0"/>
          <w:bCs w:val="0"/>
          <w:sz w:val="22"/>
          <w:szCs w:val="22"/>
          <w:lang w:val="pt-BR"/>
        </w:rPr>
        <w:t xml:space="preserve">O pagamento será efetuado </w:t>
      </w:r>
      <w:r>
        <w:rPr>
          <w:rStyle w:val="8"/>
          <w:rFonts w:ascii="Arial" w:hAnsi="Arial" w:cs="Arial"/>
          <w:b w:val="0"/>
          <w:bCs w:val="0"/>
          <w:sz w:val="22"/>
          <w:szCs w:val="22"/>
          <w:lang w:val="pt-BR"/>
        </w:rPr>
        <w:t>mensalmente</w:t>
      </w:r>
      <w:r>
        <w:rPr>
          <w:rFonts w:ascii="Arial" w:hAnsi="Arial" w:cs="Arial"/>
          <w:b w:val="0"/>
          <w:bCs w:val="0"/>
          <w:sz w:val="22"/>
          <w:szCs w:val="22"/>
          <w:lang w:val="pt-BR"/>
        </w:rPr>
        <w:t xml:space="preserve">, mediante a presentação da </w:t>
      </w:r>
      <w:r>
        <w:rPr>
          <w:rStyle w:val="8"/>
          <w:rFonts w:ascii="Arial" w:hAnsi="Arial" w:cs="Arial"/>
          <w:b w:val="0"/>
          <w:bCs w:val="0"/>
          <w:sz w:val="22"/>
          <w:szCs w:val="22"/>
          <w:lang w:val="pt-BR"/>
        </w:rPr>
        <w:t>nota fiscal</w:t>
      </w:r>
      <w:r>
        <w:rPr>
          <w:rFonts w:ascii="Arial" w:hAnsi="Arial" w:cs="Arial"/>
          <w:b w:val="0"/>
          <w:bCs w:val="0"/>
          <w:sz w:val="22"/>
          <w:szCs w:val="22"/>
          <w:lang w:val="pt-BR"/>
        </w:rPr>
        <w:t xml:space="preserve"> correspondente ao mês de competência;</w:t>
      </w:r>
    </w:p>
    <w:p w14:paraId="3380FA0F">
      <w:pPr>
        <w:pStyle w:val="2"/>
        <w:numPr>
          <w:ilvl w:val="0"/>
          <w:numId w:val="20"/>
        </w:numPr>
        <w:tabs>
          <w:tab w:val="left" w:pos="880"/>
          <w:tab w:val="left" w:pos="1320"/>
          <w:tab w:val="left" w:pos="6652"/>
          <w:tab w:val="left" w:pos="7867"/>
          <w:tab w:val="left" w:pos="8186"/>
          <w:tab w:val="left" w:pos="9680"/>
          <w:tab w:val="clear" w:pos="425"/>
        </w:tabs>
        <w:spacing w:before="120" w:beforeLines="50" w:after="120" w:afterLines="50" w:line="360" w:lineRule="auto"/>
        <w:ind w:left="440" w:right="176" w:rightChars="80" w:firstLine="20"/>
        <w:jc w:val="both"/>
        <w:rPr>
          <w:rFonts w:ascii="Arial" w:hAnsi="Arial" w:cs="Arial"/>
          <w:b w:val="0"/>
          <w:bCs w:val="0"/>
          <w:sz w:val="22"/>
          <w:szCs w:val="22"/>
          <w:lang w:val="pt-BR"/>
        </w:rPr>
      </w:pPr>
      <w:r>
        <w:rPr>
          <w:rStyle w:val="8"/>
          <w:rFonts w:ascii="Arial" w:hAnsi="Arial" w:cs="Arial"/>
          <w:b w:val="0"/>
          <w:bCs w:val="0"/>
          <w:sz w:val="22"/>
          <w:szCs w:val="22"/>
          <w:lang w:val="pt-BR"/>
        </w:rPr>
        <w:t>Validação prévia</w:t>
      </w:r>
      <w:r>
        <w:rPr>
          <w:rFonts w:ascii="Arial" w:hAnsi="Arial" w:cs="Arial"/>
          <w:b w:val="0"/>
          <w:bCs w:val="0"/>
          <w:sz w:val="22"/>
          <w:szCs w:val="22"/>
          <w:lang w:val="pt-BR"/>
        </w:rPr>
        <w:t xml:space="preserve"> dos relatórios por parte da SME;</w:t>
      </w:r>
    </w:p>
    <w:p w14:paraId="7605EA16">
      <w:pPr>
        <w:pStyle w:val="2"/>
        <w:numPr>
          <w:ilvl w:val="0"/>
          <w:numId w:val="20"/>
        </w:numPr>
        <w:tabs>
          <w:tab w:val="left" w:pos="880"/>
          <w:tab w:val="left" w:pos="1320"/>
          <w:tab w:val="left" w:pos="6652"/>
          <w:tab w:val="left" w:pos="7867"/>
          <w:tab w:val="left" w:pos="8186"/>
          <w:tab w:val="left" w:pos="9680"/>
          <w:tab w:val="clear" w:pos="425"/>
        </w:tabs>
        <w:spacing w:before="120" w:beforeLines="50" w:after="120" w:afterLines="50" w:line="360" w:lineRule="auto"/>
        <w:ind w:left="440" w:right="176" w:rightChars="80" w:firstLine="20"/>
        <w:jc w:val="both"/>
        <w:rPr>
          <w:rFonts w:ascii="Arial" w:hAnsi="Arial" w:cs="Arial"/>
          <w:b w:val="0"/>
          <w:bCs w:val="0"/>
          <w:sz w:val="22"/>
          <w:szCs w:val="22"/>
          <w:lang w:val="pt-BR"/>
        </w:rPr>
      </w:pPr>
      <w:r>
        <w:rPr>
          <w:rFonts w:ascii="Arial" w:hAnsi="Arial" w:cs="Arial"/>
          <w:b w:val="0"/>
          <w:bCs w:val="0"/>
          <w:sz w:val="22"/>
          <w:szCs w:val="22"/>
          <w:lang w:val="pt-BR"/>
        </w:rPr>
        <w:t>Parecer técnico atestando pelos fiscais do Contrato a regularidade da execução dos serviços.</w:t>
      </w:r>
    </w:p>
    <w:p w14:paraId="5BF2499F">
      <w:pPr>
        <w:pStyle w:val="2"/>
        <w:numPr>
          <w:ilvl w:val="0"/>
          <w:numId w:val="20"/>
        </w:numPr>
        <w:tabs>
          <w:tab w:val="left" w:pos="880"/>
          <w:tab w:val="left" w:pos="1320"/>
          <w:tab w:val="left" w:pos="6652"/>
          <w:tab w:val="left" w:pos="7867"/>
          <w:tab w:val="left" w:pos="8186"/>
          <w:tab w:val="left" w:pos="9680"/>
          <w:tab w:val="clear" w:pos="425"/>
        </w:tabs>
        <w:spacing w:before="120" w:beforeLines="50" w:after="120" w:afterLines="50" w:line="360" w:lineRule="auto"/>
        <w:ind w:left="440" w:right="176" w:rightChars="80" w:firstLine="20"/>
        <w:jc w:val="both"/>
        <w:rPr>
          <w:rFonts w:ascii="Arial" w:hAnsi="Arial" w:cs="Arial"/>
          <w:b w:val="0"/>
          <w:bCs w:val="0"/>
          <w:sz w:val="22"/>
          <w:szCs w:val="22"/>
          <w:lang w:val="pt-BR"/>
        </w:rPr>
      </w:pPr>
      <w:r>
        <w:rPr>
          <w:rFonts w:ascii="Arial" w:hAnsi="Arial" w:cs="Arial"/>
          <w:b w:val="0"/>
          <w:bCs w:val="0"/>
          <w:sz w:val="22"/>
          <w:szCs w:val="22"/>
          <w:lang w:val="pt-BR"/>
        </w:rPr>
        <w:t>O valor será calculado com base no número de refeições efetivamente registradas e validadas, respeitando o valor unitário contratado.</w:t>
      </w:r>
    </w:p>
    <w:p w14:paraId="78FF4DDF">
      <w:pPr>
        <w:pStyle w:val="2"/>
        <w:numPr>
          <w:ilvl w:val="0"/>
          <w:numId w:val="20"/>
        </w:numPr>
        <w:tabs>
          <w:tab w:val="left" w:pos="880"/>
          <w:tab w:val="left" w:pos="1320"/>
          <w:tab w:val="left" w:pos="6652"/>
          <w:tab w:val="left" w:pos="7867"/>
          <w:tab w:val="left" w:pos="8186"/>
          <w:tab w:val="left" w:pos="9680"/>
          <w:tab w:val="clear" w:pos="425"/>
        </w:tabs>
        <w:spacing w:before="120" w:beforeLines="50" w:after="120" w:afterLines="50" w:line="360" w:lineRule="auto"/>
        <w:ind w:left="440" w:right="176" w:rightChars="80" w:firstLine="20"/>
        <w:jc w:val="both"/>
        <w:rPr>
          <w:rFonts w:ascii="Arial" w:hAnsi="Arial" w:cs="Arial"/>
          <w:b w:val="0"/>
          <w:bCs w:val="0"/>
          <w:sz w:val="22"/>
          <w:szCs w:val="22"/>
          <w:lang w:val="pt-BR"/>
        </w:rPr>
      </w:pPr>
      <w:r>
        <w:rPr>
          <w:rFonts w:ascii="Arial" w:hAnsi="Arial" w:cs="Arial"/>
          <w:b w:val="0"/>
          <w:bCs w:val="0"/>
          <w:sz w:val="22"/>
          <w:szCs w:val="22"/>
          <w:lang w:val="pt-BR"/>
        </w:rPr>
        <w:t xml:space="preserve">O prazo para pagamento será de até </w:t>
      </w:r>
      <w:r>
        <w:rPr>
          <w:rStyle w:val="8"/>
          <w:rFonts w:ascii="Arial" w:hAnsi="Arial" w:cs="Arial"/>
          <w:b w:val="0"/>
          <w:bCs w:val="0"/>
          <w:sz w:val="22"/>
          <w:szCs w:val="22"/>
          <w:lang w:val="pt-BR"/>
        </w:rPr>
        <w:t>30 dias após a validação e aceite formal</w:t>
      </w:r>
      <w:r>
        <w:rPr>
          <w:rFonts w:ascii="Arial" w:hAnsi="Arial" w:cs="Arial"/>
          <w:b w:val="0"/>
          <w:bCs w:val="0"/>
          <w:sz w:val="22"/>
          <w:szCs w:val="22"/>
          <w:lang w:val="pt-BR"/>
        </w:rPr>
        <w:t xml:space="preserve"> da prestação dos serviços.</w:t>
      </w:r>
    </w:p>
    <w:p w14:paraId="755B608A">
      <w:pPr>
        <w:pStyle w:val="2"/>
        <w:numPr>
          <w:ilvl w:val="0"/>
          <w:numId w:val="20"/>
        </w:numPr>
        <w:tabs>
          <w:tab w:val="left" w:pos="880"/>
          <w:tab w:val="left" w:pos="1320"/>
          <w:tab w:val="left" w:pos="6652"/>
          <w:tab w:val="left" w:pos="7867"/>
          <w:tab w:val="left" w:pos="8186"/>
          <w:tab w:val="left" w:pos="9680"/>
          <w:tab w:val="clear" w:pos="425"/>
        </w:tabs>
        <w:spacing w:before="120" w:beforeLines="50" w:after="120" w:afterLines="50" w:line="360" w:lineRule="auto"/>
        <w:ind w:left="440" w:right="176" w:rightChars="80" w:firstLine="20"/>
        <w:jc w:val="both"/>
        <w:rPr>
          <w:rFonts w:ascii="Arial" w:hAnsi="Arial" w:cs="Arial"/>
          <w:b w:val="0"/>
          <w:bCs w:val="0"/>
          <w:sz w:val="22"/>
          <w:szCs w:val="22"/>
          <w:lang w:val="pt-BR"/>
        </w:rPr>
      </w:pPr>
      <w:r>
        <w:rPr>
          <w:rFonts w:ascii="Arial" w:hAnsi="Arial" w:cs="Arial"/>
          <w:b w:val="0"/>
          <w:bCs w:val="0"/>
          <w:sz w:val="22"/>
          <w:szCs w:val="22"/>
          <w:lang w:val="pt-BR"/>
        </w:rPr>
        <w:t>O não fornecimento dos relatórios nos prazos e formatos exigidos poderá acarretar, nas sanções previstas, além da impossibilidade de realizar os pagamentos.</w:t>
      </w:r>
    </w:p>
    <w:p w14:paraId="4D938A23">
      <w:pPr>
        <w:numPr>
          <w:ilvl w:val="4"/>
          <w:numId w:val="3"/>
        </w:numPr>
        <w:spacing w:before="120" w:beforeLines="50" w:after="120" w:afterLines="50" w:line="360" w:lineRule="auto"/>
        <w:ind w:left="440" w:leftChars="200" w:right="176" w:rightChars="80"/>
        <w:contextualSpacing/>
        <w:jc w:val="both"/>
        <w:rPr>
          <w:rFonts w:ascii="Arial" w:hAnsi="Arial" w:eastAsia="SimSun" w:cs="Arial"/>
          <w:b/>
          <w:bCs/>
          <w:color w:val="000000"/>
          <w:lang w:eastAsia="zh-CN" w:bidi="ar"/>
        </w:rPr>
      </w:pPr>
      <w:r>
        <w:rPr>
          <w:rFonts w:ascii="Arial" w:hAnsi="Arial" w:eastAsia="SimSun" w:cs="Arial"/>
          <w:b/>
          <w:bCs/>
          <w:color w:val="000000"/>
          <w:lang w:eastAsia="zh-CN" w:bidi="ar"/>
        </w:rPr>
        <w:t xml:space="preserve">IMPLEMENTAÇÃO E TREINAMENTO DO SISTEMA DIGITAL: </w:t>
      </w:r>
    </w:p>
    <w:p w14:paraId="3027523C">
      <w:pPr>
        <w:numPr>
          <w:ilvl w:val="0"/>
          <w:numId w:val="21"/>
        </w:numPr>
        <w:tabs>
          <w:tab w:val="left" w:pos="880"/>
          <w:tab w:val="clear" w:pos="425"/>
        </w:tabs>
        <w:spacing w:before="120" w:beforeLines="50" w:after="120" w:afterLines="50" w:line="360" w:lineRule="auto"/>
        <w:ind w:right="176" w:rightChars="80" w:firstLine="15"/>
        <w:contextualSpacing/>
        <w:jc w:val="both"/>
        <w:rPr>
          <w:rFonts w:ascii="Arial" w:hAnsi="Arial" w:eastAsia="SimSun" w:cs="Arial"/>
          <w:color w:val="000000"/>
          <w:lang w:eastAsia="zh-CN" w:bidi="ar"/>
        </w:rPr>
      </w:pPr>
      <w:r>
        <w:rPr>
          <w:rFonts w:ascii="Arial" w:hAnsi="Arial" w:eastAsia="SimSun" w:cs="Arial"/>
          <w:color w:val="000000"/>
          <w:lang w:eastAsia="zh-CN" w:bidi="ar"/>
        </w:rPr>
        <w:t>A contratada deverá fornecer treinamento específico para cada perfil de usuário:</w:t>
      </w:r>
    </w:p>
    <w:p w14:paraId="6F8A8263">
      <w:pPr>
        <w:numPr>
          <w:ilvl w:val="0"/>
          <w:numId w:val="22"/>
        </w:numPr>
        <w:tabs>
          <w:tab w:val="left" w:pos="880"/>
          <w:tab w:val="left" w:pos="1100"/>
          <w:tab w:val="left" w:pos="1320"/>
          <w:tab w:val="clear" w:pos="425"/>
        </w:tabs>
        <w:spacing w:before="120" w:beforeLines="50" w:after="120" w:afterLines="50" w:line="360" w:lineRule="auto"/>
        <w:ind w:right="176" w:rightChars="80" w:firstLine="455"/>
        <w:contextualSpacing/>
        <w:jc w:val="both"/>
        <w:rPr>
          <w:rFonts w:ascii="Arial" w:hAnsi="Arial" w:eastAsia="SimSun" w:cs="Arial"/>
          <w:color w:val="000000"/>
          <w:lang w:eastAsia="zh-CN" w:bidi="ar"/>
        </w:rPr>
      </w:pPr>
      <w:r>
        <w:rPr>
          <w:rFonts w:ascii="Arial" w:hAnsi="Arial" w:eastAsia="SimSun" w:cs="Arial"/>
          <w:color w:val="000000"/>
          <w:lang w:eastAsia="zh-CN" w:bidi="ar"/>
        </w:rPr>
        <w:t>Operadores do sistema nas unidades educativas (cozinheiras da CONTRATADA);</w:t>
      </w:r>
    </w:p>
    <w:p w14:paraId="2FB911D1">
      <w:pPr>
        <w:numPr>
          <w:ilvl w:val="0"/>
          <w:numId w:val="22"/>
        </w:numPr>
        <w:tabs>
          <w:tab w:val="left" w:pos="880"/>
          <w:tab w:val="left" w:pos="1100"/>
          <w:tab w:val="left" w:pos="1320"/>
          <w:tab w:val="clear" w:pos="425"/>
        </w:tabs>
        <w:spacing w:before="120" w:beforeLines="50" w:after="120" w:afterLines="50" w:line="360" w:lineRule="auto"/>
        <w:ind w:right="176" w:rightChars="80" w:firstLine="455"/>
        <w:contextualSpacing/>
        <w:jc w:val="both"/>
        <w:rPr>
          <w:rFonts w:ascii="Arial" w:hAnsi="Arial" w:eastAsia="SimSun" w:cs="Arial"/>
          <w:color w:val="000000"/>
          <w:lang w:eastAsia="zh-CN" w:bidi="ar"/>
        </w:rPr>
      </w:pPr>
      <w:r>
        <w:rPr>
          <w:rFonts w:ascii="Arial" w:hAnsi="Arial" w:eastAsia="SimSun" w:cs="Arial"/>
          <w:color w:val="000000"/>
          <w:lang w:eastAsia="zh-CN" w:bidi="ar"/>
        </w:rPr>
        <w:t>Auxiliares de Nutrição Escolar (para acompanhamento e verificação);</w:t>
      </w:r>
    </w:p>
    <w:p w14:paraId="69ED5085">
      <w:pPr>
        <w:numPr>
          <w:ilvl w:val="0"/>
          <w:numId w:val="22"/>
        </w:numPr>
        <w:tabs>
          <w:tab w:val="left" w:pos="880"/>
          <w:tab w:val="left" w:pos="1100"/>
          <w:tab w:val="left" w:pos="1320"/>
          <w:tab w:val="clear" w:pos="425"/>
        </w:tabs>
        <w:spacing w:before="120" w:beforeLines="50" w:after="120" w:afterLines="50" w:line="360" w:lineRule="auto"/>
        <w:ind w:right="176" w:rightChars="80" w:firstLine="455"/>
        <w:contextualSpacing/>
        <w:jc w:val="both"/>
        <w:rPr>
          <w:rFonts w:ascii="Arial" w:hAnsi="Arial" w:eastAsia="SimSun" w:cs="Arial"/>
          <w:color w:val="000000"/>
          <w:lang w:eastAsia="zh-CN" w:bidi="ar"/>
        </w:rPr>
      </w:pPr>
      <w:r>
        <w:rPr>
          <w:rFonts w:ascii="Arial" w:hAnsi="Arial" w:eastAsia="SimSun" w:cs="Arial"/>
          <w:color w:val="000000"/>
          <w:lang w:eastAsia="zh-CN" w:bidi="ar"/>
        </w:rPr>
        <w:t>Gestores escolares;</w:t>
      </w:r>
    </w:p>
    <w:p w14:paraId="5036F71A">
      <w:pPr>
        <w:numPr>
          <w:ilvl w:val="0"/>
          <w:numId w:val="22"/>
        </w:numPr>
        <w:tabs>
          <w:tab w:val="left" w:pos="880"/>
          <w:tab w:val="left" w:pos="1100"/>
          <w:tab w:val="left" w:pos="1320"/>
          <w:tab w:val="clear" w:pos="425"/>
        </w:tabs>
        <w:spacing w:before="120" w:beforeLines="50" w:after="120" w:afterLines="50" w:line="360" w:lineRule="auto"/>
        <w:ind w:right="176" w:rightChars="80" w:firstLine="455"/>
        <w:contextualSpacing/>
        <w:jc w:val="both"/>
        <w:rPr>
          <w:rFonts w:ascii="Arial" w:hAnsi="Arial" w:eastAsia="SimSun" w:cs="Arial"/>
          <w:color w:val="000000"/>
          <w:lang w:eastAsia="zh-CN" w:bidi="ar"/>
        </w:rPr>
      </w:pPr>
      <w:r>
        <w:rPr>
          <w:rFonts w:ascii="Arial" w:hAnsi="Arial" w:eastAsia="SimSun" w:cs="Arial"/>
          <w:color w:val="000000"/>
          <w:lang w:eastAsia="zh-CN" w:bidi="ar"/>
        </w:rPr>
        <w:t>Nutricionistas do Quadro Técnico;</w:t>
      </w:r>
    </w:p>
    <w:p w14:paraId="67B272CA">
      <w:pPr>
        <w:numPr>
          <w:ilvl w:val="0"/>
          <w:numId w:val="22"/>
        </w:numPr>
        <w:tabs>
          <w:tab w:val="left" w:pos="880"/>
          <w:tab w:val="left" w:pos="1100"/>
          <w:tab w:val="left" w:pos="1320"/>
          <w:tab w:val="clear" w:pos="425"/>
        </w:tabs>
        <w:spacing w:before="120" w:beforeLines="50" w:after="120" w:afterLines="50" w:line="360" w:lineRule="auto"/>
        <w:ind w:right="176" w:rightChars="80" w:firstLine="455"/>
        <w:contextualSpacing/>
        <w:jc w:val="both"/>
        <w:rPr>
          <w:rFonts w:ascii="Arial" w:hAnsi="Arial" w:eastAsia="SimSun" w:cs="Arial"/>
          <w:color w:val="000000"/>
          <w:lang w:eastAsia="zh-CN" w:bidi="ar"/>
        </w:rPr>
      </w:pPr>
      <w:r>
        <w:rPr>
          <w:rFonts w:ascii="Arial" w:hAnsi="Arial" w:eastAsia="SimSun" w:cs="Arial"/>
          <w:color w:val="000000"/>
          <w:lang w:eastAsia="zh-CN" w:bidi="ar"/>
        </w:rPr>
        <w:t>Equipe do Setor de Alimentação Escolar da SME.</w:t>
      </w:r>
    </w:p>
    <w:p w14:paraId="43EAA120">
      <w:pPr>
        <w:numPr>
          <w:ilvl w:val="0"/>
          <w:numId w:val="21"/>
        </w:numPr>
        <w:tabs>
          <w:tab w:val="left" w:pos="880"/>
        </w:tabs>
        <w:spacing w:before="120" w:beforeLines="50" w:after="120" w:afterLines="50" w:line="360" w:lineRule="auto"/>
        <w:ind w:right="176" w:rightChars="80" w:firstLine="15"/>
        <w:contextualSpacing/>
        <w:jc w:val="both"/>
        <w:rPr>
          <w:rFonts w:ascii="Arial" w:hAnsi="Arial" w:eastAsia="SimSun" w:cs="Arial"/>
          <w:color w:val="000000"/>
          <w:lang w:eastAsia="zh-CN" w:bidi="ar"/>
        </w:rPr>
      </w:pPr>
      <w:r>
        <w:rPr>
          <w:rFonts w:ascii="Arial" w:hAnsi="Arial" w:eastAsia="SimSun" w:cs="Arial"/>
          <w:color w:val="000000"/>
          <w:lang w:eastAsia="zh-CN" w:bidi="ar"/>
        </w:rPr>
        <w:t>Deverão ser disponibilizados: - Manual digital do usuário, acessível diretamente no sistema, videoaulas de capacitação para cada funcionalidade, tutorial interativo integrado ao sistema.</w:t>
      </w:r>
    </w:p>
    <w:p w14:paraId="1B341820">
      <w:pPr>
        <w:numPr>
          <w:ilvl w:val="0"/>
          <w:numId w:val="21"/>
        </w:numPr>
        <w:tabs>
          <w:tab w:val="left" w:pos="880"/>
        </w:tabs>
        <w:spacing w:before="120" w:beforeLines="50" w:after="120" w:afterLines="50" w:line="360" w:lineRule="auto"/>
        <w:ind w:right="176" w:rightChars="80" w:firstLine="15"/>
        <w:contextualSpacing/>
        <w:jc w:val="both"/>
        <w:rPr>
          <w:rFonts w:ascii="Arial" w:hAnsi="Arial" w:cs="Arial"/>
        </w:rPr>
      </w:pPr>
      <w:r>
        <w:rPr>
          <w:rFonts w:ascii="Arial" w:hAnsi="Arial" w:eastAsia="SimSun" w:cs="Arial"/>
          <w:color w:val="000000"/>
          <w:lang w:eastAsia="zh-CN" w:bidi="ar"/>
        </w:rPr>
        <w:t>O suporte técnico deverá estar disponível em horário estendido durante os primeiros 60 dias de operação.</w:t>
      </w:r>
    </w:p>
    <w:p w14:paraId="388E52C0">
      <w:pPr>
        <w:numPr>
          <w:ilvl w:val="0"/>
          <w:numId w:val="21"/>
        </w:numPr>
        <w:tabs>
          <w:tab w:val="left" w:pos="880"/>
        </w:tabs>
        <w:spacing w:before="120" w:beforeLines="50" w:after="120" w:afterLines="50" w:line="360" w:lineRule="auto"/>
        <w:ind w:right="176" w:rightChars="80" w:firstLine="15"/>
        <w:contextualSpacing/>
        <w:jc w:val="both"/>
        <w:rPr>
          <w:rFonts w:ascii="Arial" w:hAnsi="Arial" w:cs="Arial"/>
        </w:rPr>
      </w:pPr>
      <w:r>
        <w:rPr>
          <w:rFonts w:ascii="Arial" w:hAnsi="Arial" w:eastAsia="SimSun" w:cs="Arial"/>
          <w:color w:val="000000"/>
          <w:lang w:eastAsia="zh-CN" w:bidi="ar"/>
        </w:rPr>
        <w:t>A contratada deverá realizar workshops presenciais de capacitação nas unidades educativas antes do início da operação.</w:t>
      </w:r>
    </w:p>
    <w:p w14:paraId="47096265">
      <w:pPr>
        <w:numPr>
          <w:ilvl w:val="2"/>
          <w:numId w:val="3"/>
        </w:numPr>
        <w:spacing w:before="120" w:beforeLines="50" w:after="120" w:afterLines="50" w:line="360" w:lineRule="auto"/>
        <w:ind w:right="176"/>
        <w:jc w:val="both"/>
        <w:rPr>
          <w:rFonts w:ascii="Arial" w:hAnsi="Arial" w:cs="Arial"/>
        </w:rPr>
      </w:pPr>
      <w:r>
        <w:rPr>
          <w:rFonts w:ascii="Arial" w:hAnsi="Arial" w:eastAsia="Arial-BoldMT" w:cs="Arial"/>
          <w:b/>
          <w:bCs/>
          <w:color w:val="000000"/>
          <w:lang w:eastAsia="zh-CN" w:bidi="ar"/>
        </w:rPr>
        <w:t xml:space="preserve">DOS TIPOS DE ATENDIMENTO: </w:t>
      </w:r>
    </w:p>
    <w:p w14:paraId="4E10A3F1">
      <w:pPr>
        <w:numPr>
          <w:ilvl w:val="3"/>
          <w:numId w:val="3"/>
        </w:numPr>
        <w:spacing w:before="120" w:beforeLines="50" w:after="120" w:afterLines="50" w:line="360" w:lineRule="auto"/>
        <w:ind w:left="142" w:right="176"/>
        <w:jc w:val="both"/>
        <w:rPr>
          <w:rFonts w:ascii="Arial" w:hAnsi="Arial" w:cs="Arial"/>
        </w:rPr>
      </w:pPr>
      <w:r>
        <w:rPr>
          <w:rFonts w:ascii="Arial" w:hAnsi="Arial" w:eastAsia="SimSun" w:cs="Arial"/>
          <w:color w:val="000000"/>
          <w:lang w:eastAsia="zh-CN" w:bidi="ar"/>
        </w:rPr>
        <w:t xml:space="preserve">Deve-se considerar como tipos de atendimentos a produção das refeições que compõem os cardápios fornecidos pelo Setor de Alimentação Escolar para as Unidades Educativas Municipais, de acordo com a etapa, modalidade de ensino, turno, horário e os gêneros alimentícios que os compõem, conforme os cardápios em ANEXO utilizando os seguintes atendimentos: </w:t>
      </w:r>
    </w:p>
    <w:p w14:paraId="6F6E39ED">
      <w:pPr>
        <w:numPr>
          <w:ilvl w:val="0"/>
          <w:numId w:val="23"/>
        </w:numPr>
        <w:tabs>
          <w:tab w:val="left" w:pos="880"/>
          <w:tab w:val="clear" w:pos="425"/>
        </w:tabs>
        <w:spacing w:before="120" w:beforeLines="50" w:after="120" w:afterLines="50" w:line="360" w:lineRule="auto"/>
        <w:ind w:left="440" w:leftChars="200" w:right="176" w:rightChars="80" w:firstLine="15"/>
        <w:jc w:val="both"/>
        <w:rPr>
          <w:rFonts w:ascii="Arial" w:hAnsi="Arial" w:cs="Arial"/>
        </w:rPr>
      </w:pPr>
      <w:r>
        <w:rPr>
          <w:rFonts w:ascii="Arial" w:hAnsi="Arial" w:eastAsia="Arial-BoldItalicMT" w:cs="Arial"/>
          <w:b/>
          <w:bCs/>
          <w:i/>
          <w:iCs/>
          <w:color w:val="000000"/>
          <w:lang w:eastAsia="zh-CN" w:bidi="ar"/>
        </w:rPr>
        <w:t>Atendimento 1 – Desjejum/Lanche:</w:t>
      </w:r>
      <w:r>
        <w:rPr>
          <w:rFonts w:ascii="Arial" w:hAnsi="Arial" w:eastAsia="SimSun" w:cs="Arial"/>
          <w:color w:val="000000"/>
          <w:lang w:eastAsia="zh-CN" w:bidi="ar"/>
        </w:rPr>
        <w:t xml:space="preserve"> Atendimento composto por lanche (descrito nos cadápios anexo ao processo) com mão de obra, destinado aos estudantes que permanecem na escola em período parcial ou integral e consiste no fornecimento de 1 (uma) refeição, com direito à uma repetição por estudante. </w:t>
      </w:r>
    </w:p>
    <w:p w14:paraId="72B13015">
      <w:pPr>
        <w:numPr>
          <w:ilvl w:val="0"/>
          <w:numId w:val="23"/>
        </w:numPr>
        <w:tabs>
          <w:tab w:val="left" w:pos="880"/>
        </w:tabs>
        <w:spacing w:before="120" w:beforeLines="50" w:after="120" w:afterLines="50" w:line="360" w:lineRule="auto"/>
        <w:ind w:right="176" w:rightChars="80" w:firstLine="15"/>
        <w:jc w:val="both"/>
        <w:rPr>
          <w:rFonts w:ascii="Arial" w:hAnsi="Arial" w:cs="Arial"/>
        </w:rPr>
      </w:pPr>
      <w:r>
        <w:rPr>
          <w:rFonts w:ascii="Arial" w:hAnsi="Arial" w:eastAsia="Arial-BoldItalicMT" w:cs="Arial"/>
          <w:b/>
          <w:bCs/>
          <w:i/>
          <w:iCs/>
          <w:color w:val="000000"/>
          <w:lang w:eastAsia="zh-CN" w:bidi="ar"/>
        </w:rPr>
        <w:t>Atendimento 2 - Refeição Salgada (merenda):</w:t>
      </w:r>
      <w:r>
        <w:rPr>
          <w:rFonts w:ascii="Arial" w:hAnsi="Arial" w:eastAsia="SimSun" w:cs="Arial"/>
          <w:color w:val="000000"/>
          <w:lang w:eastAsia="zh-CN" w:bidi="ar"/>
        </w:rPr>
        <w:t xml:space="preserve"> Atendimento composto por refeição salgada, (descrito nos cadápios anexo ao processo) com mão de obra, destinado aos estudantes que permanecem na escola em período parcial e consiste no fornecimento de 1 (uma) refeição, com direito à uma repetição por estudante. </w:t>
      </w:r>
    </w:p>
    <w:p w14:paraId="128E808E">
      <w:pPr>
        <w:numPr>
          <w:ilvl w:val="0"/>
          <w:numId w:val="23"/>
        </w:numPr>
        <w:tabs>
          <w:tab w:val="left" w:pos="880"/>
        </w:tabs>
        <w:spacing w:before="120" w:beforeLines="50" w:after="120" w:afterLines="50" w:line="360" w:lineRule="auto"/>
        <w:ind w:right="176" w:rightChars="80" w:firstLine="15"/>
        <w:jc w:val="both"/>
        <w:rPr>
          <w:rFonts w:ascii="Arial" w:hAnsi="Arial" w:cs="Arial"/>
        </w:rPr>
      </w:pPr>
      <w:r>
        <w:rPr>
          <w:rFonts w:ascii="Arial" w:hAnsi="Arial" w:eastAsia="Arial-BoldItalicMT" w:cs="Arial"/>
          <w:b/>
          <w:bCs/>
          <w:i/>
          <w:iCs/>
          <w:color w:val="000000"/>
          <w:lang w:eastAsia="zh-CN" w:bidi="ar"/>
        </w:rPr>
        <w:t>Atendimento</w:t>
      </w:r>
      <w:r>
        <w:rPr>
          <w:rFonts w:ascii="Arial" w:hAnsi="Arial" w:eastAsia="Arial-BoldMT" w:cs="Arial"/>
          <w:b/>
          <w:bCs/>
          <w:color w:val="000000"/>
          <w:lang w:eastAsia="zh-CN" w:bidi="ar"/>
        </w:rPr>
        <w:t xml:space="preserve"> 3 - Colação/Almoço/Lanche Vespertino:</w:t>
      </w:r>
      <w:r>
        <w:rPr>
          <w:rFonts w:ascii="Arial" w:hAnsi="Arial" w:eastAsia="SimSun" w:cs="Arial"/>
          <w:color w:val="000000"/>
          <w:lang w:eastAsia="zh-CN" w:bidi="ar"/>
        </w:rPr>
        <w:t xml:space="preserve"> Atendimento composto por </w:t>
      </w:r>
      <w:r>
        <w:rPr>
          <w:rFonts w:ascii="Arial" w:hAnsi="Arial" w:eastAsia="Arial-BoldMT" w:cs="Arial"/>
          <w:color w:val="000000"/>
          <w:lang w:eastAsia="zh-CN" w:bidi="ar"/>
        </w:rPr>
        <w:t>Colação, Almoço e Lanche Vespertino</w:t>
      </w:r>
      <w:r>
        <w:rPr>
          <w:rFonts w:ascii="Arial" w:hAnsi="Arial" w:eastAsia="SimSun" w:cs="Arial"/>
          <w:color w:val="000000"/>
          <w:lang w:eastAsia="zh-CN" w:bidi="ar"/>
        </w:rPr>
        <w:t xml:space="preserve"> (descrito nos cadápios anexo ao processo) com mão de obra, destinado aos estudantes que permanecem na escola em período integral e consiste no fornecimento de 1 (uma) refeição de cada modalidade descrita no cardápio, com direito à uma repetição por estudante.</w:t>
      </w:r>
    </w:p>
    <w:p w14:paraId="7FE682DA">
      <w:pPr>
        <w:numPr>
          <w:ilvl w:val="0"/>
          <w:numId w:val="23"/>
        </w:numPr>
        <w:tabs>
          <w:tab w:val="left" w:pos="880"/>
        </w:tabs>
        <w:spacing w:before="120" w:beforeLines="50" w:after="120" w:afterLines="50" w:line="360" w:lineRule="auto"/>
        <w:ind w:right="176" w:rightChars="80" w:firstLine="15"/>
        <w:jc w:val="both"/>
        <w:rPr>
          <w:rFonts w:ascii="Arial" w:hAnsi="Arial" w:cs="Arial"/>
        </w:rPr>
      </w:pPr>
      <w:r>
        <w:rPr>
          <w:rFonts w:ascii="Arial" w:hAnsi="Arial" w:eastAsia="Arial-BoldItalicMT" w:cs="Arial"/>
          <w:b/>
          <w:bCs/>
          <w:i/>
          <w:iCs/>
          <w:color w:val="000000"/>
          <w:lang w:eastAsia="zh-CN" w:bidi="ar"/>
        </w:rPr>
        <w:t>Atendimento</w:t>
      </w:r>
      <w:r>
        <w:rPr>
          <w:rFonts w:ascii="Arial" w:hAnsi="Arial" w:eastAsia="Arial-BoldMT" w:cs="Arial"/>
          <w:b/>
          <w:bCs/>
          <w:color w:val="000000"/>
          <w:lang w:eastAsia="zh-CN" w:bidi="ar"/>
        </w:rPr>
        <w:t xml:space="preserve"> 4 - Fornecimento dos Gêneros Alimentícios e insumos: </w:t>
      </w:r>
      <w:r>
        <w:rPr>
          <w:rFonts w:ascii="Arial" w:hAnsi="Arial" w:eastAsia="SimSun" w:cs="Arial"/>
          <w:color w:val="000000"/>
          <w:lang w:eastAsia="zh-CN" w:bidi="ar"/>
        </w:rPr>
        <w:t xml:space="preserve">Atendimento </w:t>
      </w:r>
      <w:r>
        <w:rPr>
          <w:rFonts w:ascii="Arial" w:hAnsi="Arial" w:eastAsia="Arial-BoldMT" w:cs="Arial"/>
          <w:color w:val="000000"/>
          <w:lang w:eastAsia="zh-CN" w:bidi="ar"/>
        </w:rPr>
        <w:t>sem a mão de obra (cozinheiros (as).</w:t>
      </w:r>
    </w:p>
    <w:p w14:paraId="4936D909">
      <w:pPr>
        <w:numPr>
          <w:ilvl w:val="3"/>
          <w:numId w:val="3"/>
        </w:numPr>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Para os </w:t>
      </w:r>
      <w:r>
        <w:rPr>
          <w:rFonts w:ascii="Arial" w:hAnsi="Arial" w:eastAsia="SimSun" w:cs="Arial"/>
          <w:b/>
          <w:bCs/>
          <w:color w:val="000000"/>
          <w:lang w:eastAsia="zh-CN" w:bidi="ar"/>
        </w:rPr>
        <w:t>Atendimentos 1, 2 e 3</w:t>
      </w:r>
      <w:r>
        <w:rPr>
          <w:rFonts w:ascii="Arial" w:hAnsi="Arial" w:eastAsia="SimSun" w:cs="Arial"/>
          <w:color w:val="000000"/>
          <w:lang w:eastAsia="zh-CN" w:bidi="ar"/>
        </w:rPr>
        <w:t xml:space="preserve">, deverão ser executados na cozinha de cada Unidade Escolar, considerando o horário dos intervalos dos turnos letivos para a  distribuição da alimentação escolar aos estudantes. </w:t>
      </w:r>
      <w:r>
        <w:rPr>
          <w:rFonts w:ascii="Arial" w:hAnsi="Arial" w:cs="Arial"/>
        </w:rPr>
        <w:t>conforme o padrão de alimentação estabelecido, o número de alunos, os tipos de refeições respeitando os cadápios produzidos pelo Setor de Alimentação Escolar da SME e os respectivos horários definidos</w:t>
      </w:r>
      <w:r>
        <w:rPr>
          <w:rFonts w:ascii="Arial" w:hAnsi="Arial" w:eastAsia="SimSun" w:cs="Arial"/>
          <w:color w:val="000000"/>
          <w:lang w:eastAsia="zh-CN" w:bidi="ar"/>
        </w:rPr>
        <w:t xml:space="preserve">. </w:t>
      </w:r>
    </w:p>
    <w:p w14:paraId="58310137">
      <w:pPr>
        <w:numPr>
          <w:ilvl w:val="4"/>
          <w:numId w:val="3"/>
        </w:numPr>
        <w:spacing w:before="120" w:beforeLines="50" w:after="120" w:afterLines="50" w:line="360" w:lineRule="auto"/>
        <w:ind w:left="440" w:leftChars="200" w:right="176" w:rightChars="80"/>
        <w:jc w:val="both"/>
        <w:rPr>
          <w:rFonts w:ascii="Arial" w:hAnsi="Arial" w:cs="Arial"/>
        </w:rPr>
      </w:pPr>
      <w:r>
        <w:rPr>
          <w:rFonts w:ascii="Arial" w:hAnsi="Arial" w:eastAsia="SimSun" w:cs="Arial"/>
          <w:color w:val="000000"/>
          <w:lang w:eastAsia="zh-CN" w:bidi="ar"/>
        </w:rPr>
        <w:t xml:space="preserve">Os serviços para produção das refeições são: aquisição de gêneros alimentícios, exceto os fornecidos pela agricultura familiar de acordo com </w:t>
      </w:r>
      <w:r>
        <w:rPr>
          <w:rFonts w:ascii="Arial" w:hAnsi="Arial" w:eastAsia="SimSun" w:cs="Arial"/>
          <w:b/>
          <w:bCs/>
          <w:color w:val="000000"/>
          <w:lang w:eastAsia="zh-CN" w:bidi="ar"/>
        </w:rPr>
        <w:t>item 7.2.5.9.</w:t>
      </w:r>
      <w:r>
        <w:rPr>
          <w:rFonts w:ascii="Arial" w:hAnsi="Arial" w:eastAsia="SimSun" w:cs="Arial"/>
          <w:color w:val="000000"/>
          <w:lang w:eastAsia="zh-CN" w:bidi="ar"/>
        </w:rPr>
        <w:t xml:space="preserve"> deste Termo de Referência, mão de obra cozinheiros(as), logística, supervisão, manutenção preventiva, corretiva e reposição de utensílios/equipamentos e materiais para limpeza e higienização.</w:t>
      </w:r>
    </w:p>
    <w:p w14:paraId="6B0877BD">
      <w:pPr>
        <w:numPr>
          <w:ilvl w:val="3"/>
          <w:numId w:val="3"/>
        </w:numPr>
        <w:spacing w:before="120" w:beforeLines="50" w:after="120" w:afterLines="50" w:line="360" w:lineRule="auto"/>
        <w:ind w:left="220" w:leftChars="100" w:right="176" w:rightChars="80"/>
        <w:jc w:val="both"/>
        <w:rPr>
          <w:rFonts w:ascii="Arial" w:hAnsi="Arial" w:cs="Arial"/>
        </w:rPr>
      </w:pPr>
      <w:r>
        <w:rPr>
          <w:rFonts w:ascii="Arial" w:hAnsi="Arial" w:cs="Arial"/>
        </w:rPr>
        <w:t xml:space="preserve">Para o </w:t>
      </w:r>
      <w:r>
        <w:rPr>
          <w:rFonts w:ascii="Arial" w:hAnsi="Arial" w:cs="Arial"/>
          <w:b/>
          <w:bCs/>
        </w:rPr>
        <w:t xml:space="preserve">Atendimento 4, </w:t>
      </w:r>
      <w:r>
        <w:rPr>
          <w:rFonts w:ascii="Arial" w:hAnsi="Arial" w:cs="Arial"/>
        </w:rPr>
        <w:t>os gêneros alimentícios e insumos para o preparo das refeições, deverão ser entregres nas Unidades Educativas abaixo relacionadas:</w:t>
      </w:r>
    </w:p>
    <w:p w14:paraId="44D35DAF">
      <w:pPr>
        <w:widowControl/>
        <w:numPr>
          <w:ilvl w:val="0"/>
          <w:numId w:val="24"/>
        </w:numPr>
        <w:autoSpaceDE/>
        <w:autoSpaceDN/>
        <w:spacing w:before="120" w:beforeLines="50" w:after="120" w:afterLines="50" w:line="360" w:lineRule="auto"/>
        <w:ind w:right="176" w:rightChars="80" w:firstLine="15"/>
        <w:jc w:val="both"/>
        <w:rPr>
          <w:rFonts w:ascii="Arial" w:hAnsi="Arial" w:cs="Arial"/>
          <w:sz w:val="22"/>
          <w:szCs w:val="22"/>
        </w:rPr>
      </w:pPr>
      <w:r>
        <w:rPr>
          <w:rFonts w:hint="default" w:ascii="Arial" w:hAnsi="Arial" w:cs="Arial"/>
          <w:sz w:val="22"/>
          <w:szCs w:val="22"/>
          <w:lang w:val="pt-BR" w:eastAsia="zh-CN" w:bidi="ar"/>
        </w:rPr>
        <w:t xml:space="preserve">SALAS DA </w:t>
      </w:r>
      <w:r>
        <w:rPr>
          <w:rFonts w:ascii="Arial" w:hAnsi="Arial" w:cs="Arial"/>
          <w:sz w:val="22"/>
          <w:szCs w:val="22"/>
          <w:lang w:val="en-US" w:eastAsia="zh-CN" w:bidi="ar"/>
        </w:rPr>
        <w:t>EMEI PALMIRA MACHADO MENEGAZZO</w:t>
      </w:r>
      <w:r>
        <w:rPr>
          <w:rFonts w:hint="default" w:ascii="Arial" w:hAnsi="Arial" w:cs="Arial"/>
          <w:sz w:val="22"/>
          <w:szCs w:val="22"/>
          <w:lang w:val="pt-BR" w:eastAsia="zh-CN" w:bidi="ar"/>
        </w:rPr>
        <w:t xml:space="preserve"> - ANEXO A ESCOLA </w:t>
      </w:r>
      <w:r>
        <w:rPr>
          <w:rFonts w:ascii="Arial" w:hAnsi="Arial" w:cs="Arial"/>
          <w:sz w:val="22"/>
          <w:szCs w:val="22"/>
          <w:lang w:eastAsia="zh-CN" w:bidi="ar"/>
        </w:rPr>
        <w:t>VALMOR COPATI</w:t>
      </w:r>
      <w:r>
        <w:rPr>
          <w:rFonts w:hint="default" w:ascii="Arial" w:hAnsi="Arial" w:cs="Arial"/>
          <w:sz w:val="22"/>
          <w:szCs w:val="22"/>
          <w:lang w:val="pt-BR" w:eastAsia="zh-CN" w:bidi="ar"/>
        </w:rPr>
        <w:t>.</w:t>
      </w:r>
    </w:p>
    <w:p w14:paraId="78919C22">
      <w:pPr>
        <w:widowControl/>
        <w:numPr>
          <w:ilvl w:val="0"/>
          <w:numId w:val="24"/>
        </w:numPr>
        <w:autoSpaceDE/>
        <w:autoSpaceDN/>
        <w:spacing w:before="120" w:beforeLines="50" w:after="120" w:afterLines="50" w:line="360" w:lineRule="auto"/>
        <w:ind w:right="176" w:rightChars="80" w:firstLine="15"/>
        <w:jc w:val="both"/>
        <w:rPr>
          <w:rFonts w:ascii="Arial" w:hAnsi="Arial" w:cs="Arial"/>
          <w:sz w:val="22"/>
          <w:szCs w:val="22"/>
        </w:rPr>
      </w:pPr>
      <w:r>
        <w:rPr>
          <w:rFonts w:hint="default" w:ascii="Arial" w:hAnsi="Arial" w:cs="Arial"/>
          <w:sz w:val="22"/>
          <w:szCs w:val="22"/>
          <w:lang w:val="pt-BR" w:eastAsia="zh-CN" w:bidi="ar"/>
        </w:rPr>
        <w:t xml:space="preserve">SALAS DA </w:t>
      </w:r>
      <w:r>
        <w:rPr>
          <w:rFonts w:ascii="Arial" w:hAnsi="Arial" w:cs="Arial"/>
          <w:sz w:val="22"/>
          <w:szCs w:val="22"/>
          <w:lang w:val="en-US" w:eastAsia="zh-CN" w:bidi="ar"/>
        </w:rPr>
        <w:t>EMEI PALMIRA MACHADO MENEGAZZO</w:t>
      </w:r>
      <w:r>
        <w:rPr>
          <w:rFonts w:hint="default" w:ascii="Arial" w:hAnsi="Arial" w:cs="Arial"/>
          <w:sz w:val="22"/>
          <w:szCs w:val="22"/>
          <w:lang w:val="pt-BR" w:eastAsia="zh-CN" w:bidi="ar"/>
        </w:rPr>
        <w:t xml:space="preserve"> -  ANEXO A </w:t>
      </w:r>
      <w:r>
        <w:rPr>
          <w:rFonts w:ascii="Arial" w:hAnsi="Arial" w:cs="Arial"/>
          <w:sz w:val="22"/>
          <w:szCs w:val="22"/>
          <w:lang w:eastAsia="zh-CN" w:bidi="ar"/>
        </w:rPr>
        <w:t>ESCOLA ESTADUAL CARLOS DRUMMOND DE ANDRADE</w:t>
      </w:r>
      <w:r>
        <w:rPr>
          <w:rFonts w:hint="default" w:ascii="Arial" w:hAnsi="Arial" w:cs="Arial"/>
          <w:sz w:val="22"/>
          <w:szCs w:val="22"/>
          <w:lang w:val="pt-BR" w:eastAsia="zh-CN" w:bidi="ar"/>
        </w:rPr>
        <w:t>.</w:t>
      </w:r>
    </w:p>
    <w:p w14:paraId="2D1F7192">
      <w:pPr>
        <w:numPr>
          <w:ilvl w:val="4"/>
          <w:numId w:val="3"/>
        </w:numPr>
        <w:spacing w:before="120" w:beforeLines="50" w:after="120" w:afterLines="50" w:line="360" w:lineRule="auto"/>
        <w:ind w:left="440" w:leftChars="200" w:right="176" w:rightChars="80"/>
        <w:jc w:val="both"/>
        <w:rPr>
          <w:rFonts w:ascii="Arial" w:hAnsi="Arial" w:cs="Arial"/>
        </w:rPr>
      </w:pPr>
      <w:r>
        <w:rPr>
          <w:rFonts w:ascii="Arial" w:hAnsi="Arial" w:cs="Arial"/>
        </w:rPr>
        <w:t>Para o atendimento do</w:t>
      </w:r>
      <w:r>
        <w:rPr>
          <w:rFonts w:hint="default" w:ascii="Arial" w:hAnsi="Arial" w:cs="Arial"/>
          <w:lang w:val="pt-BR"/>
        </w:rPr>
        <w:t>s</w:t>
      </w:r>
      <w:r>
        <w:rPr>
          <w:rFonts w:ascii="Arial" w:hAnsi="Arial" w:cs="Arial"/>
        </w:rPr>
        <w:t xml:space="preserve"> </w:t>
      </w:r>
      <w:r>
        <w:rPr>
          <w:rFonts w:ascii="Arial" w:hAnsi="Arial" w:cs="Arial"/>
          <w:b/>
          <w:bCs/>
        </w:rPr>
        <w:t>ite</w:t>
      </w:r>
      <w:r>
        <w:rPr>
          <w:rFonts w:hint="default" w:ascii="Arial" w:hAnsi="Arial" w:cs="Arial"/>
          <w:b/>
          <w:bCs/>
          <w:lang w:val="pt-BR"/>
        </w:rPr>
        <w:t>ns</w:t>
      </w:r>
      <w:r>
        <w:rPr>
          <w:rFonts w:ascii="Arial" w:hAnsi="Arial" w:cs="Arial"/>
          <w:b/>
          <w:bCs/>
        </w:rPr>
        <w:t xml:space="preserve"> a)</w:t>
      </w:r>
      <w:r>
        <w:rPr>
          <w:rFonts w:hint="default" w:ascii="Arial" w:hAnsi="Arial" w:cs="Arial"/>
          <w:b/>
          <w:bCs/>
          <w:lang w:val="pt-BR"/>
        </w:rPr>
        <w:t xml:space="preserve"> e b)</w:t>
      </w:r>
      <w:r>
        <w:rPr>
          <w:rFonts w:ascii="Arial" w:hAnsi="Arial" w:cs="Arial"/>
        </w:rPr>
        <w:t xml:space="preserve"> dever</w:t>
      </w:r>
      <w:r>
        <w:rPr>
          <w:rFonts w:hint="default" w:ascii="Arial" w:hAnsi="Arial" w:cs="Arial"/>
          <w:lang w:val="pt-BR"/>
        </w:rPr>
        <w:t>ão</w:t>
      </w:r>
      <w:r>
        <w:rPr>
          <w:rFonts w:ascii="Arial" w:hAnsi="Arial" w:cs="Arial"/>
        </w:rPr>
        <w:t xml:space="preserve"> seguir o cronograma semanal de entrega, respeitando o mesmo cardápio conforme cada fase escolar  disponibilizado pelo Setor de Alimentação Escolar da Rede Municipal de Ensino.</w:t>
      </w:r>
    </w:p>
    <w:p w14:paraId="2A54AB7B">
      <w:pPr>
        <w:numPr>
          <w:ilvl w:val="4"/>
          <w:numId w:val="3"/>
        </w:numPr>
        <w:spacing w:before="120" w:beforeLines="50" w:after="120" w:afterLines="50" w:line="360" w:lineRule="auto"/>
        <w:ind w:left="440" w:leftChars="200" w:right="176" w:rightChars="80"/>
        <w:jc w:val="both"/>
        <w:rPr>
          <w:rFonts w:ascii="Arial" w:hAnsi="Arial" w:cs="Arial"/>
        </w:rPr>
      </w:pPr>
      <w:r>
        <w:rPr>
          <w:rFonts w:ascii="Arial" w:hAnsi="Arial" w:cs="Arial"/>
        </w:rPr>
        <w:t>Neste atendimento é dispensado os serviços de COZINHEIRAS.</w:t>
      </w:r>
    </w:p>
    <w:p w14:paraId="0D43656E">
      <w:pPr>
        <w:numPr>
          <w:ilvl w:val="2"/>
          <w:numId w:val="3"/>
        </w:numPr>
        <w:spacing w:before="120" w:beforeLines="50" w:after="120" w:afterLines="50" w:line="360" w:lineRule="auto"/>
        <w:ind w:right="176" w:rightChars="80"/>
        <w:jc w:val="both"/>
        <w:rPr>
          <w:rFonts w:ascii="Arial" w:hAnsi="Arial" w:cs="Arial"/>
        </w:rPr>
      </w:pPr>
      <w:r>
        <w:rPr>
          <w:rFonts w:ascii="Arial" w:hAnsi="Arial" w:eastAsia="Arial-BoldMT" w:cs="Arial"/>
          <w:b/>
          <w:bCs/>
          <w:color w:val="000000"/>
          <w:lang w:eastAsia="zh-CN" w:bidi="ar"/>
        </w:rPr>
        <w:t xml:space="preserve">HORÁRIO DE PREPARAÇÃO E SERVIMENTO DAS REFEIÇÕES: </w:t>
      </w:r>
    </w:p>
    <w:p w14:paraId="6D96D4F8">
      <w:pPr>
        <w:numPr>
          <w:ilvl w:val="3"/>
          <w:numId w:val="3"/>
        </w:numPr>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O Fornecimento de Refeição, deverão ser executados de segunda a sexta-feira, preparada diretamente na cozinha da Unidade Educativa (ou local apropriado em caso de obra), cujo endereço está descrito no sub </w:t>
      </w:r>
      <w:r>
        <w:rPr>
          <w:rFonts w:ascii="Arial" w:hAnsi="Arial" w:eastAsia="SimSun" w:cs="Arial"/>
          <w:b/>
          <w:bCs/>
          <w:color w:val="000000"/>
          <w:lang w:eastAsia="zh-CN" w:bidi="ar"/>
        </w:rPr>
        <w:t>Item 2.4.13.,</w:t>
      </w:r>
      <w:r>
        <w:rPr>
          <w:rFonts w:ascii="Arial" w:hAnsi="Arial" w:eastAsia="SimSun" w:cs="Arial"/>
          <w:color w:val="000000"/>
          <w:lang w:eastAsia="zh-CN" w:bidi="ar"/>
        </w:rPr>
        <w:t xml:space="preserve"> considerando o horário dos intervalos dos turnos letivos para a distribuição da alimentação escolar aos alunos. </w:t>
      </w:r>
    </w:p>
    <w:p w14:paraId="4E752E25">
      <w:pPr>
        <w:numPr>
          <w:ilvl w:val="3"/>
          <w:numId w:val="3"/>
        </w:numPr>
        <w:spacing w:before="120" w:beforeLines="50" w:after="120" w:afterLines="50" w:line="360" w:lineRule="auto"/>
        <w:ind w:left="220" w:leftChars="100" w:right="176" w:rightChars="80"/>
        <w:jc w:val="both"/>
        <w:rPr>
          <w:rFonts w:ascii="Arial" w:hAnsi="Arial" w:eastAsia="SimSun" w:cs="Arial"/>
          <w:color w:val="000000"/>
          <w:lang w:eastAsia="zh-CN" w:bidi="ar"/>
        </w:rPr>
      </w:pPr>
      <w:r>
        <w:rPr>
          <w:rFonts w:ascii="Arial" w:hAnsi="Arial" w:eastAsia="SimSun" w:cs="Arial"/>
          <w:color w:val="000000"/>
          <w:lang w:eastAsia="zh-CN" w:bidi="ar"/>
        </w:rPr>
        <w:t>Excepcionalmente poderão ocorrer Fornecimento de Refeições aos sábados e feriados, com eventos do calendário escolar ou reposição de aulas sendo que nestes casos serão emitidos comunicados à CONTRATADA no prazo de 10 (dez) dias que anteceder o evento sem que haja qualquer custo adicional à CONTRATANTE, ficando a CONTRATADA obrigada a realizar o atendimento.</w:t>
      </w:r>
    </w:p>
    <w:p w14:paraId="00782B9E">
      <w:pPr>
        <w:numPr>
          <w:ilvl w:val="3"/>
          <w:numId w:val="3"/>
        </w:numPr>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As alterações do tipo de atendimento que se fizerem necessárias poderão ser solicitadas pela CONTRATANTE, com antecedência de até 48 (quarenta e oito) horas para sua implantação. </w:t>
      </w:r>
    </w:p>
    <w:p w14:paraId="1D2E0EA3">
      <w:pPr>
        <w:numPr>
          <w:ilvl w:val="3"/>
          <w:numId w:val="3"/>
        </w:numPr>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Em caso de entrega de alimentos, está proibido o recebimento dos mesmos nos horários das refeições, devendo o entregador aguardar a finalização. A entrega dos produtos nas Unidades Educativas deve obedecer ao horário de funcionamento da unidade, não ultrapassando o período das 08:00 às 17:00, e respeitando-se o horário de recreio e almoço.</w:t>
      </w:r>
    </w:p>
    <w:p w14:paraId="0AF44C93">
      <w:pPr>
        <w:numPr>
          <w:ilvl w:val="2"/>
          <w:numId w:val="3"/>
        </w:numPr>
        <w:spacing w:before="120" w:beforeLines="50" w:after="120" w:afterLines="50" w:line="360" w:lineRule="auto"/>
        <w:ind w:right="176" w:rightChars="80"/>
        <w:jc w:val="both"/>
        <w:rPr>
          <w:rFonts w:ascii="Arial" w:hAnsi="Arial" w:cs="Arial"/>
        </w:rPr>
      </w:pPr>
      <w:r>
        <w:rPr>
          <w:rFonts w:ascii="Arial" w:hAnsi="Arial" w:eastAsia="Arial-BoldMT" w:cs="Arial"/>
          <w:b/>
          <w:bCs/>
          <w:color w:val="000000"/>
          <w:lang w:eastAsia="zh-CN" w:bidi="ar"/>
        </w:rPr>
        <w:t xml:space="preserve">CARDÁPIO: </w:t>
      </w:r>
    </w:p>
    <w:p w14:paraId="592A5BB6">
      <w:pPr>
        <w:numPr>
          <w:ilvl w:val="3"/>
          <w:numId w:val="3"/>
        </w:numPr>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Conjunto de refeições servidas aos educandos de uma Unidade Educativa durante o dia letivo. </w:t>
      </w:r>
    </w:p>
    <w:p w14:paraId="490D2F12">
      <w:pPr>
        <w:numPr>
          <w:ilvl w:val="3"/>
          <w:numId w:val="3"/>
        </w:numPr>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Os cardápios para alunos com necessidades alimentares especiais serão adaptados, e enviados à empresa pela Setor de Alimentação Escolar (artigo 17, parágrafo 1º RESOLUÇÃO Nª 06 DE 08 DE MAIO DE 2020- MINISTÉRIO DA EDUCAÇÃO/ FUNDO NACIONAL DE DESENVOLVIMENTO DA EDUCAÇÃO). </w:t>
      </w:r>
    </w:p>
    <w:p w14:paraId="19D38E86">
      <w:pPr>
        <w:numPr>
          <w:ilvl w:val="3"/>
          <w:numId w:val="3"/>
        </w:numPr>
        <w:spacing w:before="120" w:beforeLines="50" w:after="120" w:afterLines="50" w:line="360" w:lineRule="auto"/>
        <w:ind w:left="220" w:leftChars="100" w:right="176" w:rightChars="80"/>
        <w:jc w:val="both"/>
        <w:rPr>
          <w:rFonts w:ascii="Arial" w:hAnsi="Arial" w:cs="Arial"/>
        </w:rPr>
      </w:pPr>
      <w:r>
        <w:rPr>
          <w:rFonts w:ascii="Arial" w:hAnsi="Arial" w:eastAsia="SimSun" w:cs="Arial"/>
          <w:lang w:eastAsia="zh-CN" w:bidi="ar"/>
        </w:rPr>
        <w:t xml:space="preserve">No caso de alunos com necessidade de dietas enterais, a empresa deverá fornecer dieta industrializada e individual, pronta para o uso. Em hipótese algum esse tipo de dieta será preparado na cozinha da unidade escolar. </w:t>
      </w:r>
      <w:r>
        <w:rPr>
          <w:rFonts w:ascii="Arial" w:hAnsi="Arial" w:cs="Arial"/>
          <w:lang w:eastAsia="zh-CN" w:bidi="ar"/>
        </w:rPr>
        <w:t>A administração desse tipo de dieta ao aluno será de responsabilidade da CONTRATADA, POR MEIO DE PROFISSIONAL HABILITADO</w:t>
      </w:r>
      <w:r>
        <w:rPr>
          <w:rFonts w:ascii="Arial" w:hAnsi="Arial" w:eastAsia="SimSun" w:cs="Arial"/>
          <w:lang w:eastAsia="zh-CN" w:bidi="ar"/>
        </w:rPr>
        <w:t>.</w:t>
      </w:r>
    </w:p>
    <w:p w14:paraId="640F5B02">
      <w:pPr>
        <w:numPr>
          <w:ilvl w:val="3"/>
          <w:numId w:val="3"/>
        </w:numPr>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Merenda do cardápio é um dos componentes do CARDÁPIO BÁSICO/ELABORADO pelo  Setor de Alimentação Escolar da Secretaria Municipal de Educação de Sinop, servido num determinado horário ou período (como por exemplo: desjejum ou café da manhã, almoço, lanche, merenda manhã, merenda tarde).</w:t>
      </w:r>
    </w:p>
    <w:p w14:paraId="3C233BA3">
      <w:pPr>
        <w:numPr>
          <w:ilvl w:val="3"/>
          <w:numId w:val="3"/>
        </w:numPr>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A porção ofertada por refeição deverá ser diferenciada por faixa etária, de modo a atingir as necessidades nutricionais estabelecidas no artigo 17, parágrafo 5º RESOLUÇÃO Nª 06 DE 08 DE MAIO DE 2020 MINISTÉRIO DA EDUCAÇÃO/ FUNDO NACIONAL DE DESENVOLVIMENTO DA EDUCAÇÃO, em seu anexo ao Termo de Referência</w:t>
      </w:r>
      <w:r>
        <w:rPr>
          <w:rFonts w:ascii="Arial" w:hAnsi="Arial" w:cs="Arial"/>
        </w:rPr>
        <w:t>.</w:t>
      </w:r>
    </w:p>
    <w:p w14:paraId="2EB3A2E0">
      <w:pPr>
        <w:numPr>
          <w:ilvl w:val="2"/>
          <w:numId w:val="3"/>
        </w:numPr>
        <w:spacing w:before="120" w:beforeLines="50" w:after="120" w:afterLines="50" w:line="360" w:lineRule="auto"/>
        <w:ind w:right="176"/>
        <w:rPr>
          <w:rFonts w:ascii="Arial" w:hAnsi="Arial" w:cs="Arial"/>
        </w:rPr>
      </w:pPr>
      <w:r>
        <w:rPr>
          <w:rFonts w:ascii="Arial" w:hAnsi="Arial" w:eastAsia="Arial-BoldMT" w:cs="Arial"/>
          <w:b/>
          <w:bCs/>
          <w:color w:val="00000A"/>
          <w:lang w:eastAsia="zh-CN" w:bidi="ar"/>
        </w:rPr>
        <w:t xml:space="preserve">GÊNEROS ALIMENTÍCIOS: </w:t>
      </w:r>
    </w:p>
    <w:p w14:paraId="3C7C29DE">
      <w:pPr>
        <w:numPr>
          <w:ilvl w:val="3"/>
          <w:numId w:val="3"/>
        </w:numPr>
        <w:spacing w:before="120" w:beforeLines="50" w:after="120" w:afterLines="50" w:line="360" w:lineRule="auto"/>
        <w:ind w:left="220" w:leftChars="100" w:right="176" w:rightChars="80"/>
        <w:jc w:val="both"/>
        <w:rPr>
          <w:rFonts w:ascii="Arial" w:hAnsi="Arial" w:cs="Arial"/>
        </w:rPr>
      </w:pPr>
      <w:r>
        <w:rPr>
          <w:rFonts w:ascii="Arial" w:hAnsi="Arial" w:cs="Arial"/>
        </w:rPr>
        <w:t xml:space="preserve">Segue anexo ao Termo de Referênica, a relação e especificação técnica dos gêneros alimentícios que serão utilizados no preparo das refeições respeitando </w:t>
      </w:r>
      <w:r>
        <w:rPr>
          <w:rFonts w:ascii="Arial" w:hAnsi="Arial" w:eastAsia="SimSun" w:cs="Arial"/>
          <w:color w:val="000000"/>
          <w:lang w:eastAsia="zh-CN" w:bidi="ar"/>
        </w:rPr>
        <w:t>cardápios fornecidos pelo Setor de Alimentação Escolar da Secretaria Municipal de Educação de Sinop.</w:t>
      </w:r>
    </w:p>
    <w:p w14:paraId="025EEFDC">
      <w:pPr>
        <w:numPr>
          <w:ilvl w:val="3"/>
          <w:numId w:val="3"/>
        </w:numPr>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Assegurar o abastecimento nas escolas com os gêneros alimentícios necessários ao cumprimento dos cardápios fornecidos pelo Setor de Alimentação Escolar da Secretaria Municipal de Educação de Sinop, anexo ao Termo de Referênica, observando suas especificações, qualidade, quantidade e prazos de validade, bem como fazer registros diários dos produtos e das quantidades utilizadas. </w:t>
      </w:r>
    </w:p>
    <w:p w14:paraId="0F2485F8">
      <w:pPr>
        <w:numPr>
          <w:ilvl w:val="3"/>
          <w:numId w:val="3"/>
        </w:numPr>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O transporte dos gêneros alimentícios para as Unidades Escolares deve ser realizado em veículos adequados, de acordo com o </w:t>
      </w:r>
      <w:r>
        <w:fldChar w:fldCharType="begin"/>
      </w:r>
      <w:r>
        <w:instrText xml:space="preserve"> HYPERLINK "http://portal.anvisa.gov.br/documents/10181/2718376/RDC_275_2002_COMP.pdf/fce9dac0-ae57-4de2-8cf9-e286a383f254" \t "https://activecorp.com.br/transporte-de-alimentos-normas-legislacao/_blank" </w:instrText>
      </w:r>
      <w:r>
        <w:fldChar w:fldCharType="separate"/>
      </w:r>
      <w:r>
        <w:rPr>
          <w:rStyle w:val="11"/>
          <w:rFonts w:ascii="Arial" w:hAnsi="Arial" w:cs="Arial"/>
        </w:rPr>
        <w:t>Resolução nº 275 da ANVISA</w:t>
      </w:r>
      <w:r>
        <w:rPr>
          <w:rStyle w:val="11"/>
          <w:rFonts w:ascii="Arial" w:hAnsi="Arial" w:cs="Arial"/>
        </w:rPr>
        <w:fldChar w:fldCharType="end"/>
      </w:r>
      <w:r>
        <w:rPr>
          <w:rFonts w:ascii="Arial" w:hAnsi="Arial" w:cs="Arial"/>
        </w:rPr>
        <w:t xml:space="preserve">, que é um regulamento técnico com procedimentos padronizados que devem ser seguidos por empresas que lidam com alimentos. De acordo com a </w:t>
      </w:r>
      <w:r>
        <w:fldChar w:fldCharType="begin"/>
      </w:r>
      <w:r>
        <w:instrText xml:space="preserve"> HYPERLINK "https://bvsms.saude.gov.br/bvs/saudelegis/anvisa/2002/anexos/anexo_res0275_21_10_2002_rep.pdf" \t "https://activecorp.com.br/transporte-de-alimentos-normas-legislacao/_blank" </w:instrText>
      </w:r>
      <w:r>
        <w:fldChar w:fldCharType="separate"/>
      </w:r>
      <w:r>
        <w:rPr>
          <w:rStyle w:val="11"/>
          <w:rFonts w:ascii="Arial" w:hAnsi="Arial" w:cs="Arial"/>
        </w:rPr>
        <w:t>Resolução da ANVISA</w:t>
      </w:r>
      <w:r>
        <w:rPr>
          <w:rStyle w:val="11"/>
          <w:rFonts w:ascii="Arial" w:hAnsi="Arial" w:cs="Arial"/>
        </w:rPr>
        <w:fldChar w:fldCharType="end"/>
      </w:r>
      <w:r>
        <w:rPr>
          <w:rFonts w:ascii="Arial" w:hAnsi="Arial" w:cs="Arial"/>
        </w:rPr>
        <w:t xml:space="preserve">, algumas das exigências para o transporte de alimentos, deverão ser respeitadas. </w:t>
      </w:r>
    </w:p>
    <w:p w14:paraId="073433AC">
      <w:pPr>
        <w:numPr>
          <w:ilvl w:val="3"/>
          <w:numId w:val="3"/>
        </w:numPr>
        <w:spacing w:before="120" w:beforeLines="50" w:after="120" w:afterLines="50" w:line="360" w:lineRule="auto"/>
        <w:ind w:left="220" w:leftChars="100" w:right="176" w:rightChars="80"/>
        <w:jc w:val="both"/>
        <w:rPr>
          <w:rFonts w:ascii="Arial" w:hAnsi="Arial" w:cs="Arial"/>
        </w:rPr>
      </w:pPr>
      <w:r>
        <w:rPr>
          <w:rFonts w:ascii="Arial" w:hAnsi="Arial" w:cs="Arial"/>
        </w:rPr>
        <w:t xml:space="preserve">Respeitar as </w:t>
      </w:r>
      <w:r>
        <w:rPr>
          <w:rFonts w:ascii="Arial" w:hAnsi="Arial" w:eastAsia="SimSun" w:cs="Arial"/>
        </w:rPr>
        <w:t xml:space="preserve">regras que estão descritas na </w:t>
      </w:r>
      <w:r>
        <w:fldChar w:fldCharType="begin"/>
      </w:r>
      <w:r>
        <w:instrText xml:space="preserve"> HYPERLINK "http://bvsms.saude.gov.br/bvs/saudelegis/svs1/1997/prt0326_30_07_1997.html" \t "https://activecorp.com.br/transporte-de-alimentos-normas-legislacao/_blank" </w:instrText>
      </w:r>
      <w:r>
        <w:fldChar w:fldCharType="separate"/>
      </w:r>
      <w:r>
        <w:rPr>
          <w:rStyle w:val="11"/>
          <w:rFonts w:ascii="Arial" w:hAnsi="Arial" w:eastAsia="SimSun" w:cs="Arial"/>
        </w:rPr>
        <w:t>Portaria nº 326</w:t>
      </w:r>
      <w:r>
        <w:rPr>
          <w:rStyle w:val="11"/>
          <w:rFonts w:ascii="Arial" w:hAnsi="Arial" w:eastAsia="SimSun" w:cs="Arial"/>
        </w:rPr>
        <w:fldChar w:fldCharType="end"/>
      </w:r>
      <w:r>
        <w:rPr>
          <w:rFonts w:ascii="Arial" w:hAnsi="Arial" w:eastAsia="SimSun" w:cs="Arial"/>
        </w:rPr>
        <w:t xml:space="preserve">  da </w:t>
      </w:r>
      <w:r>
        <w:fldChar w:fldCharType="begin"/>
      </w:r>
      <w:r>
        <w:instrText xml:space="preserve"> HYPERLINK "http://bvsms.saude.gov.br/bvs/saudelegis/svs1/1997/prt0326_30_07_1997.html" \t "https://activecorp.com.br/transporte-de-alimentos-normas-legislacao/_blank" </w:instrText>
      </w:r>
      <w:r>
        <w:fldChar w:fldCharType="separate"/>
      </w:r>
      <w:r>
        <w:rPr>
          <w:rStyle w:val="11"/>
          <w:rFonts w:ascii="Arial" w:hAnsi="Arial" w:eastAsia="SimSun" w:cs="Arial"/>
        </w:rPr>
        <w:t>Secretaria de Vigilância Sanitária</w:t>
      </w:r>
      <w:r>
        <w:rPr>
          <w:rStyle w:val="11"/>
          <w:rFonts w:ascii="Arial" w:hAnsi="Arial" w:eastAsia="SimSun" w:cs="Arial"/>
        </w:rPr>
        <w:fldChar w:fldCharType="end"/>
      </w:r>
      <w:r>
        <w:rPr>
          <w:rFonts w:ascii="Arial" w:hAnsi="Arial" w:eastAsia="SimSun" w:cs="Arial"/>
        </w:rPr>
        <w:t>, que estabelece normas e boas práticas de higiene, fabricação e manuseio dos alimentos</w:t>
      </w:r>
      <w:r>
        <w:rPr>
          <w:rFonts w:ascii="Arial" w:hAnsi="Arial" w:eastAsia="SimSun" w:cs="Arial"/>
          <w:color w:val="000000"/>
          <w:lang w:eastAsia="zh-CN" w:bidi="ar"/>
        </w:rPr>
        <w:t xml:space="preserve">; </w:t>
      </w:r>
    </w:p>
    <w:p w14:paraId="78AEF6EB">
      <w:pPr>
        <w:numPr>
          <w:ilvl w:val="3"/>
          <w:numId w:val="3"/>
        </w:numPr>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É obrigatório efetuar a pesagem, conferência e registro do quantitativo de produtos entregues em cada unidade escolar, bem como a aferição da temperatura dos produtos resfriados e congelados (ex.: cárneos e lácteo), especificado na(s) nota(s) fiscal (is), solicitando troca imediata quando os produtos estiverem impróprios e/ou inadequados para consumo. </w:t>
      </w:r>
    </w:p>
    <w:p w14:paraId="6B43805E">
      <w:pPr>
        <w:numPr>
          <w:ilvl w:val="3"/>
          <w:numId w:val="3"/>
        </w:numPr>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Os fornecedores de gêneros alimentícios devem cumprir as normas pertinentes à sua área de atuação, devendo ser fiscalizados periodicamente pelo Setor de Alimentação Escolar da Secretaria Municipal de Educação e Fiscais do contrato. </w:t>
      </w:r>
    </w:p>
    <w:p w14:paraId="17A07EAD">
      <w:pPr>
        <w:numPr>
          <w:ilvl w:val="3"/>
          <w:numId w:val="3"/>
        </w:numPr>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Os gêneros alimentícios devem ser armazenados e estocados em obediência às disposições normativas de vigilância sanitária vigente. </w:t>
      </w:r>
    </w:p>
    <w:p w14:paraId="03287550">
      <w:pPr>
        <w:numPr>
          <w:ilvl w:val="3"/>
          <w:numId w:val="3"/>
        </w:numPr>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Devem ser priorizados os alimentos frescos, in natura, e, sempre que possível, utilizar alimentos orgânicos, preferencialmente com sua aquisição no comércio local, dentro do prazo de validade e de boa qualidade de acordo com a Resolução RDC nº 275 de 21 de outubro de 2002, Resolução RDC nº 216 de 15 de setembro de 2004, Resolução RDC nº 52 de 29 de setembro de 2014, Código Sanitário e o Código de Defesa do Consumidor, e os gêneros da Agricultura Familiar adquirido através de Chamamento Público realizado pela Secretaria Municipal de Educação de Sinop. </w:t>
      </w:r>
    </w:p>
    <w:p w14:paraId="422935F6">
      <w:pPr>
        <w:numPr>
          <w:ilvl w:val="3"/>
          <w:numId w:val="3"/>
        </w:numPr>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Considerando a Lei Federal nº 11.947, de 16 de junho de 2009, ressaltando-se o artigo 14, a Resolução FNDE Nº 06, de 08 de maio de 2020, que dispõe sobre o atendimento da alimentação escolar, a Secretaria de Municipal de Educação de Sinop é obrigada a adquirir gêneros alimentícios da agricultura familiar e do empreendedor familiar rural, ou de suas organizações, preferencialmente da agricultura orgânica e/ou agroecológica, no valor mínimo de 30% do total dos recursos provenientes do PNAE/FNDE. </w:t>
      </w:r>
    </w:p>
    <w:p w14:paraId="4207E52D">
      <w:pPr>
        <w:numPr>
          <w:ilvl w:val="3"/>
          <w:numId w:val="3"/>
        </w:numPr>
        <w:spacing w:before="120" w:beforeLines="50" w:after="120" w:afterLines="50" w:line="360" w:lineRule="auto"/>
        <w:ind w:left="220" w:leftChars="100" w:right="176" w:rightChars="80"/>
        <w:jc w:val="both"/>
        <w:rPr>
          <w:rFonts w:ascii="Arial" w:hAnsi="Arial" w:cs="Arial"/>
        </w:rPr>
      </w:pPr>
      <w:r>
        <w:rPr>
          <w:rFonts w:ascii="Arial" w:hAnsi="Arial" w:eastAsia="SimSun" w:cs="Arial"/>
        </w:rPr>
        <w:t xml:space="preserve">Mesmo com a </w:t>
      </w:r>
      <w:r>
        <w:rPr>
          <w:rStyle w:val="8"/>
          <w:rFonts w:ascii="Arial" w:hAnsi="Arial" w:eastAsia="SimSun" w:cs="Arial"/>
          <w:b w:val="0"/>
          <w:bCs w:val="0"/>
        </w:rPr>
        <w:t>terceirização da merenda escolar</w:t>
      </w:r>
      <w:r>
        <w:rPr>
          <w:rFonts w:ascii="Arial" w:hAnsi="Arial" w:eastAsia="SimSun" w:cs="Arial"/>
        </w:rPr>
        <w:t xml:space="preserve">, a </w:t>
      </w:r>
      <w:r>
        <w:rPr>
          <w:rStyle w:val="8"/>
          <w:rFonts w:ascii="Arial" w:hAnsi="Arial" w:eastAsia="SimSun" w:cs="Arial"/>
          <w:b w:val="0"/>
          <w:bCs w:val="0"/>
        </w:rPr>
        <w:t>Secretaria Municipal de Educação de Sinop</w:t>
      </w:r>
      <w:r>
        <w:rPr>
          <w:rFonts w:ascii="Arial" w:hAnsi="Arial" w:eastAsia="SimSun" w:cs="Arial"/>
        </w:rPr>
        <w:t xml:space="preserve"> continua </w:t>
      </w:r>
      <w:r>
        <w:rPr>
          <w:rStyle w:val="8"/>
          <w:rFonts w:ascii="Arial" w:hAnsi="Arial" w:eastAsia="SimSun" w:cs="Arial"/>
          <w:b w:val="0"/>
          <w:bCs w:val="0"/>
        </w:rPr>
        <w:t>obrigada a cumprir o disposto no artigo 14 da Lei Federal nº 11.947/2009</w:t>
      </w:r>
      <w:r>
        <w:rPr>
          <w:rFonts w:ascii="Arial" w:hAnsi="Arial" w:eastAsia="SimSun" w:cs="Arial"/>
        </w:rPr>
        <w:t xml:space="preserve">, bem como a </w:t>
      </w:r>
      <w:r>
        <w:rPr>
          <w:rStyle w:val="8"/>
          <w:rFonts w:ascii="Arial" w:hAnsi="Arial" w:eastAsia="SimSun" w:cs="Arial"/>
          <w:b w:val="0"/>
          <w:bCs w:val="0"/>
        </w:rPr>
        <w:t>Resolução FNDE nº 06/2020</w:t>
      </w:r>
      <w:r>
        <w:rPr>
          <w:rFonts w:ascii="Arial" w:hAnsi="Arial" w:eastAsia="SimSun" w:cs="Arial"/>
        </w:rPr>
        <w:t>. Porém ressaltamos que o município utiliza de 100</w:t>
      </w:r>
      <w:r>
        <w:rPr>
          <w:rStyle w:val="8"/>
          <w:rFonts w:ascii="Arial" w:hAnsi="Arial" w:eastAsia="SimSun" w:cs="Arial"/>
          <w:b w:val="0"/>
          <w:bCs w:val="0"/>
        </w:rPr>
        <w:t>% dos recursos financeiros repassados pelo FNDE ao município, via PNAE, devem ser utilizados na aquisição de gêneros alimentícios diretamente da agricultura familiar e do empreendedor familiar rural</w:t>
      </w:r>
      <w:r>
        <w:rPr>
          <w:rFonts w:ascii="Arial" w:hAnsi="Arial" w:eastAsia="SimSun" w:cs="Arial"/>
        </w:rPr>
        <w:t>, preferencialmente orgânicos ou agroecológicos</w:t>
      </w:r>
    </w:p>
    <w:p w14:paraId="43EFD2C7">
      <w:pPr>
        <w:numPr>
          <w:ilvl w:val="4"/>
          <w:numId w:val="3"/>
        </w:numPr>
        <w:spacing w:before="120" w:beforeLines="50" w:after="120" w:afterLines="50" w:line="360" w:lineRule="auto"/>
        <w:ind w:left="440" w:leftChars="200" w:right="176" w:rightChars="80"/>
        <w:jc w:val="both"/>
        <w:rPr>
          <w:rFonts w:ascii="Arial" w:hAnsi="Arial" w:cs="Arial"/>
        </w:rPr>
      </w:pPr>
      <w:r>
        <w:rPr>
          <w:rFonts w:ascii="Arial" w:hAnsi="Arial" w:cs="Arial"/>
        </w:rPr>
        <w:t xml:space="preserve">A prefeitura continua responsável pela </w:t>
      </w:r>
      <w:r>
        <w:rPr>
          <w:rStyle w:val="8"/>
          <w:rFonts w:ascii="Arial" w:hAnsi="Arial" w:cs="Arial"/>
          <w:b w:val="0"/>
          <w:bCs w:val="0"/>
        </w:rPr>
        <w:t xml:space="preserve">aquisição direta dos alimentos da agricultura familiar, através de </w:t>
      </w:r>
      <w:r>
        <w:rPr>
          <w:rFonts w:ascii="Arial" w:hAnsi="Arial" w:cs="Arial"/>
        </w:rPr>
        <w:t>licitação por chamamento público.</w:t>
      </w:r>
    </w:p>
    <w:p w14:paraId="6275F78E">
      <w:pPr>
        <w:numPr>
          <w:ilvl w:val="4"/>
          <w:numId w:val="3"/>
        </w:numPr>
        <w:spacing w:before="120" w:beforeLines="50" w:after="120" w:afterLines="50" w:line="360" w:lineRule="auto"/>
        <w:ind w:left="440" w:leftChars="200" w:right="176" w:rightChars="80"/>
        <w:jc w:val="both"/>
        <w:rPr>
          <w:rFonts w:ascii="Arial" w:hAnsi="Arial" w:cs="Arial"/>
        </w:rPr>
      </w:pPr>
      <w:r>
        <w:rPr>
          <w:rFonts w:ascii="Arial" w:hAnsi="Arial" w:eastAsia="SimSun" w:cs="Arial"/>
        </w:rPr>
        <w:t xml:space="preserve">A entrega desses alimentos deve ocorrer de forma coordenada entre a </w:t>
      </w:r>
      <w:r>
        <w:rPr>
          <w:rStyle w:val="8"/>
          <w:rFonts w:ascii="Arial" w:hAnsi="Arial" w:eastAsia="SimSun" w:cs="Arial"/>
          <w:b w:val="0"/>
          <w:bCs w:val="0"/>
        </w:rPr>
        <w:t>Secretaria de Educação</w:t>
      </w:r>
      <w:r>
        <w:rPr>
          <w:rFonts w:ascii="Arial" w:hAnsi="Arial" w:eastAsia="SimSun" w:cs="Arial"/>
        </w:rPr>
        <w:t xml:space="preserve">, os </w:t>
      </w:r>
      <w:r>
        <w:rPr>
          <w:rStyle w:val="8"/>
          <w:rFonts w:ascii="Arial" w:hAnsi="Arial" w:eastAsia="SimSun" w:cs="Arial"/>
          <w:b w:val="0"/>
          <w:bCs w:val="0"/>
        </w:rPr>
        <w:t>fornecedores da agricultura familiar</w:t>
      </w:r>
      <w:r>
        <w:rPr>
          <w:rFonts w:ascii="Arial" w:hAnsi="Arial" w:eastAsia="SimSun" w:cs="Arial"/>
        </w:rPr>
        <w:t xml:space="preserve">, e a </w:t>
      </w:r>
      <w:r>
        <w:rPr>
          <w:rStyle w:val="8"/>
          <w:rFonts w:ascii="Arial" w:hAnsi="Arial" w:eastAsia="SimSun" w:cs="Arial"/>
          <w:b w:val="0"/>
          <w:bCs w:val="0"/>
        </w:rPr>
        <w:t>empresa terceirizada</w:t>
      </w:r>
      <w:r>
        <w:rPr>
          <w:rFonts w:ascii="Arial" w:hAnsi="Arial" w:eastAsia="SimSun" w:cs="Arial"/>
        </w:rPr>
        <w:t>, sendo a aquisição direta pela prefeitura, com uso desses produtos pela empresa contratada</w:t>
      </w:r>
      <w:r>
        <w:rPr>
          <w:rFonts w:ascii="Arial" w:hAnsi="Arial" w:cs="Arial"/>
        </w:rPr>
        <w:t>.</w:t>
      </w:r>
    </w:p>
    <w:p w14:paraId="62A6E590">
      <w:pPr>
        <w:numPr>
          <w:ilvl w:val="4"/>
          <w:numId w:val="3"/>
        </w:numPr>
        <w:spacing w:before="120" w:beforeLines="50" w:after="120" w:afterLines="50" w:line="360" w:lineRule="auto"/>
        <w:ind w:left="440" w:leftChars="200" w:right="176" w:rightChars="80"/>
        <w:jc w:val="both"/>
        <w:rPr>
          <w:rFonts w:ascii="Arial" w:hAnsi="Arial" w:cs="Arial"/>
        </w:rPr>
      </w:pPr>
      <w:r>
        <w:rPr>
          <w:rFonts w:ascii="Arial" w:hAnsi="Arial" w:cs="Arial"/>
        </w:rPr>
        <w:t xml:space="preserve">Os produtos serão entregues diariamente </w:t>
      </w:r>
      <w:r>
        <w:rPr>
          <w:rStyle w:val="8"/>
          <w:rFonts w:ascii="Arial" w:hAnsi="Arial" w:cs="Arial"/>
          <w:b w:val="0"/>
          <w:bCs w:val="0"/>
        </w:rPr>
        <w:t>nas escolas e/ou central de distribuição da CONTRATADA</w:t>
      </w:r>
      <w:r>
        <w:rPr>
          <w:rFonts w:ascii="Arial" w:hAnsi="Arial" w:cs="Arial"/>
        </w:rPr>
        <w:t>, conforme SOLICITAÇÃO e especificações técnicas respeitando o cardápio de cada fase de ensino, enviado pelo Setor de Alimentação Escolar da SME.</w:t>
      </w:r>
    </w:p>
    <w:p w14:paraId="37C1C37E">
      <w:pPr>
        <w:numPr>
          <w:ilvl w:val="4"/>
          <w:numId w:val="3"/>
        </w:numPr>
        <w:spacing w:before="120" w:beforeLines="50" w:after="120" w:afterLines="50" w:line="360" w:lineRule="auto"/>
        <w:ind w:left="440" w:leftChars="200" w:right="176" w:rightChars="80"/>
        <w:jc w:val="both"/>
        <w:rPr>
          <w:rFonts w:ascii="Arial" w:hAnsi="Arial" w:cs="Arial"/>
        </w:rPr>
      </w:pPr>
      <w:r>
        <w:rPr>
          <w:rStyle w:val="8"/>
          <w:rFonts w:ascii="Arial" w:hAnsi="Arial" w:eastAsia="SimSun" w:cs="Arial"/>
          <w:b w:val="0"/>
          <w:bCs w:val="0"/>
        </w:rPr>
        <w:t xml:space="preserve"> Os gêneros alimentícios da agricultura familiar, quando entregues diretamente nas Unidades Educativas, serão recebidos pelas cozinheiras da CONTRATADA alocadas em cada unidade escolar, ao passo que os produtos entregues na Central de Distribuição da CONTRATADA terão recebimento sob responsabilidade exclusiva da empresa, que responderá por eventuais não conformidades identificadas posteriormente nas unidades educativas, sob supervisão e fiscalização da SME, respeitando os </w:t>
      </w:r>
      <w:r>
        <w:rPr>
          <w:rStyle w:val="8"/>
          <w:rFonts w:ascii="Arial" w:hAnsi="Arial" w:cs="Arial"/>
        </w:rPr>
        <w:t xml:space="preserve">Critérios de recebimento – conforme FNDE/Resolução nº 06/2020. </w:t>
      </w:r>
      <w:r>
        <w:rPr>
          <w:rStyle w:val="8"/>
          <w:rFonts w:ascii="Arial" w:hAnsi="Arial" w:cs="Arial"/>
          <w:b w:val="0"/>
          <w:bCs w:val="0"/>
        </w:rPr>
        <w:t>D</w:t>
      </w:r>
      <w:r>
        <w:rPr>
          <w:rFonts w:ascii="Arial" w:hAnsi="Arial" w:cs="Arial"/>
        </w:rPr>
        <w:t>evem verificar os seguintes aspectos ao receber os produtos:</w:t>
      </w:r>
    </w:p>
    <w:p w14:paraId="1F758E1E">
      <w:pPr>
        <w:numPr>
          <w:ilvl w:val="0"/>
          <w:numId w:val="25"/>
        </w:numPr>
        <w:tabs>
          <w:tab w:val="clear" w:pos="425"/>
        </w:tabs>
        <w:spacing w:before="120" w:beforeLines="50" w:after="120" w:afterLines="50" w:line="360" w:lineRule="auto"/>
        <w:ind w:left="880" w:right="176" w:rightChars="80" w:firstLine="15"/>
        <w:jc w:val="both"/>
        <w:rPr>
          <w:rFonts w:ascii="Arial" w:hAnsi="Arial" w:cs="Arial"/>
        </w:rPr>
      </w:pPr>
      <w:r>
        <w:rPr>
          <w:rStyle w:val="8"/>
          <w:rFonts w:ascii="Arial" w:hAnsi="Arial" w:cs="Arial"/>
        </w:rPr>
        <w:t>Conformidade com a Chamada Pública e o Projeto de Venda:</w:t>
      </w:r>
    </w:p>
    <w:p w14:paraId="7BD9EA77">
      <w:pPr>
        <w:numPr>
          <w:ilvl w:val="0"/>
          <w:numId w:val="26"/>
        </w:numPr>
        <w:tabs>
          <w:tab w:val="clear" w:pos="420"/>
        </w:tabs>
        <w:spacing w:before="120" w:beforeLines="50" w:after="120" w:afterLines="50" w:line="360" w:lineRule="auto"/>
        <w:ind w:left="1100" w:right="176" w:rightChars="80" w:firstLine="20"/>
        <w:jc w:val="both"/>
        <w:rPr>
          <w:rFonts w:ascii="Arial" w:hAnsi="Arial" w:cs="Arial"/>
        </w:rPr>
      </w:pPr>
      <w:r>
        <w:rPr>
          <w:rFonts w:ascii="Arial" w:hAnsi="Arial" w:cs="Arial"/>
        </w:rPr>
        <w:t xml:space="preserve">Quantidade, tipo, variedade e apresentação devem estar de acordo com o </w:t>
      </w:r>
      <w:r>
        <w:rPr>
          <w:rStyle w:val="8"/>
          <w:rFonts w:ascii="Arial" w:hAnsi="Arial" w:cs="Arial"/>
          <w:b w:val="0"/>
          <w:bCs w:val="0"/>
        </w:rPr>
        <w:t>projeto de venda aprovado</w:t>
      </w:r>
      <w:r>
        <w:rPr>
          <w:rFonts w:ascii="Arial" w:hAnsi="Arial" w:cs="Arial"/>
        </w:rPr>
        <w:t>.</w:t>
      </w:r>
    </w:p>
    <w:p w14:paraId="7204C1B3">
      <w:pPr>
        <w:numPr>
          <w:ilvl w:val="0"/>
          <w:numId w:val="26"/>
        </w:numPr>
        <w:tabs>
          <w:tab w:val="clear" w:pos="420"/>
        </w:tabs>
        <w:spacing w:before="120" w:beforeLines="50" w:after="120" w:afterLines="50" w:line="360" w:lineRule="auto"/>
        <w:ind w:left="1100" w:right="176" w:rightChars="80" w:firstLine="20"/>
        <w:jc w:val="both"/>
        <w:rPr>
          <w:rFonts w:ascii="Arial" w:hAnsi="Arial" w:cs="Arial"/>
        </w:rPr>
      </w:pPr>
      <w:r>
        <w:rPr>
          <w:rFonts w:ascii="Arial" w:hAnsi="Arial" w:cs="Arial"/>
        </w:rPr>
        <w:t>Verificar se os produtos correspondem às especificações acordadas.</w:t>
      </w:r>
    </w:p>
    <w:p w14:paraId="3B87F493">
      <w:pPr>
        <w:numPr>
          <w:ilvl w:val="0"/>
          <w:numId w:val="25"/>
        </w:numPr>
        <w:tabs>
          <w:tab w:val="clear" w:pos="425"/>
        </w:tabs>
        <w:spacing w:before="120" w:beforeLines="50" w:after="120" w:afterLines="50" w:line="360" w:lineRule="auto"/>
        <w:ind w:left="880" w:right="176" w:rightChars="80" w:firstLine="15"/>
        <w:jc w:val="both"/>
        <w:rPr>
          <w:rFonts w:ascii="Arial" w:hAnsi="Arial" w:cs="Arial"/>
        </w:rPr>
      </w:pPr>
      <w:r>
        <w:rPr>
          <w:rStyle w:val="8"/>
          <w:rFonts w:ascii="Arial" w:hAnsi="Arial" w:cs="Arial"/>
        </w:rPr>
        <w:t>Prazo de entrega e frequência:</w:t>
      </w:r>
    </w:p>
    <w:p w14:paraId="69BE91AD">
      <w:pPr>
        <w:numPr>
          <w:ilvl w:val="0"/>
          <w:numId w:val="27"/>
        </w:numPr>
        <w:tabs>
          <w:tab w:val="clear" w:pos="420"/>
        </w:tabs>
        <w:spacing w:before="120" w:beforeLines="50" w:after="120" w:afterLines="50" w:line="360" w:lineRule="auto"/>
        <w:ind w:left="1100" w:right="176" w:rightChars="80" w:firstLine="20"/>
        <w:jc w:val="both"/>
        <w:rPr>
          <w:rFonts w:ascii="Arial" w:hAnsi="Arial" w:cs="Arial"/>
        </w:rPr>
      </w:pPr>
      <w:r>
        <w:rPr>
          <w:rFonts w:ascii="Arial" w:hAnsi="Arial" w:cs="Arial"/>
        </w:rPr>
        <w:t xml:space="preserve">A entrega deve seguir o </w:t>
      </w:r>
      <w:r>
        <w:rPr>
          <w:rStyle w:val="8"/>
          <w:rFonts w:ascii="Arial" w:hAnsi="Arial" w:cs="Arial"/>
          <w:b w:val="0"/>
          <w:bCs w:val="0"/>
        </w:rPr>
        <w:t>cronograma pré-estabelecido pelo Setor de Alimentação Escolar da SME</w:t>
      </w:r>
      <w:r>
        <w:rPr>
          <w:rFonts w:ascii="Arial" w:hAnsi="Arial" w:cs="Arial"/>
        </w:rPr>
        <w:t>.</w:t>
      </w:r>
    </w:p>
    <w:p w14:paraId="4EE797BA">
      <w:pPr>
        <w:numPr>
          <w:ilvl w:val="0"/>
          <w:numId w:val="27"/>
        </w:numPr>
        <w:tabs>
          <w:tab w:val="clear" w:pos="420"/>
        </w:tabs>
        <w:spacing w:before="120" w:beforeLines="50" w:after="120" w:afterLines="50" w:line="360" w:lineRule="auto"/>
        <w:ind w:left="1100" w:right="176" w:rightChars="80" w:firstLine="20"/>
        <w:jc w:val="both"/>
        <w:rPr>
          <w:rFonts w:ascii="Arial" w:hAnsi="Arial" w:cs="Arial"/>
        </w:rPr>
      </w:pPr>
      <w:r>
        <w:rPr>
          <w:rFonts w:ascii="Arial" w:hAnsi="Arial" w:cs="Arial"/>
        </w:rPr>
        <w:t>Atrasos não justificados devem ser registrados e podem acarretar penalidades.</w:t>
      </w:r>
    </w:p>
    <w:p w14:paraId="25B49A68">
      <w:pPr>
        <w:numPr>
          <w:ilvl w:val="0"/>
          <w:numId w:val="25"/>
        </w:numPr>
        <w:tabs>
          <w:tab w:val="clear" w:pos="425"/>
        </w:tabs>
        <w:spacing w:before="120" w:beforeLines="50" w:after="120" w:afterLines="50" w:line="360" w:lineRule="auto"/>
        <w:ind w:left="880" w:right="176" w:rightChars="80" w:firstLine="15"/>
        <w:jc w:val="both"/>
        <w:rPr>
          <w:rFonts w:ascii="Arial" w:hAnsi="Arial" w:cs="Arial"/>
        </w:rPr>
      </w:pPr>
      <w:r>
        <w:rPr>
          <w:rStyle w:val="8"/>
          <w:rFonts w:ascii="Arial" w:hAnsi="Arial" w:cs="Arial"/>
        </w:rPr>
        <w:t>Condições higiênico-sanitárias:</w:t>
      </w:r>
    </w:p>
    <w:p w14:paraId="1C944779">
      <w:pPr>
        <w:numPr>
          <w:ilvl w:val="0"/>
          <w:numId w:val="28"/>
        </w:numPr>
        <w:tabs>
          <w:tab w:val="clear" w:pos="420"/>
        </w:tabs>
        <w:spacing w:before="120" w:beforeLines="50" w:after="120" w:afterLines="50" w:line="360" w:lineRule="auto"/>
        <w:ind w:left="1100" w:right="176" w:rightChars="80" w:firstLine="20"/>
        <w:jc w:val="both"/>
        <w:rPr>
          <w:rFonts w:ascii="Arial" w:hAnsi="Arial" w:cs="Arial"/>
        </w:rPr>
      </w:pPr>
      <w:r>
        <w:rPr>
          <w:rFonts w:ascii="Arial" w:hAnsi="Arial" w:cs="Arial"/>
        </w:rPr>
        <w:t xml:space="preserve">Os produtos devem estar em </w:t>
      </w:r>
      <w:r>
        <w:rPr>
          <w:rStyle w:val="8"/>
          <w:rFonts w:ascii="Arial" w:hAnsi="Arial" w:cs="Arial"/>
          <w:b w:val="0"/>
          <w:bCs w:val="0"/>
        </w:rPr>
        <w:t>boas condições de higiene</w:t>
      </w:r>
      <w:r>
        <w:rPr>
          <w:rFonts w:ascii="Arial" w:hAnsi="Arial" w:cs="Arial"/>
        </w:rPr>
        <w:t>, livres de contaminação visível (sujeira, mofo, pragas, etc.).</w:t>
      </w:r>
    </w:p>
    <w:p w14:paraId="7F86AF91">
      <w:pPr>
        <w:numPr>
          <w:ilvl w:val="0"/>
          <w:numId w:val="28"/>
        </w:numPr>
        <w:tabs>
          <w:tab w:val="clear" w:pos="420"/>
        </w:tabs>
        <w:spacing w:before="120" w:beforeLines="50" w:after="120" w:afterLines="50" w:line="360" w:lineRule="auto"/>
        <w:ind w:left="1100" w:right="176" w:rightChars="80" w:firstLine="20"/>
        <w:jc w:val="both"/>
        <w:rPr>
          <w:rFonts w:ascii="Arial" w:hAnsi="Arial" w:cs="Arial"/>
        </w:rPr>
      </w:pPr>
      <w:r>
        <w:rPr>
          <w:rFonts w:ascii="Arial" w:hAnsi="Arial" w:cs="Arial"/>
        </w:rPr>
        <w:t>Os meios de transporte e embalagens também devem seguir padrões de higiene.</w:t>
      </w:r>
    </w:p>
    <w:p w14:paraId="6D0A39DF">
      <w:pPr>
        <w:numPr>
          <w:ilvl w:val="0"/>
          <w:numId w:val="25"/>
        </w:numPr>
        <w:tabs>
          <w:tab w:val="clear" w:pos="425"/>
        </w:tabs>
        <w:spacing w:before="120" w:beforeLines="50" w:after="120" w:afterLines="50" w:line="360" w:lineRule="auto"/>
        <w:ind w:left="880" w:right="176" w:rightChars="80" w:firstLine="15"/>
        <w:jc w:val="both"/>
        <w:rPr>
          <w:rFonts w:ascii="Arial" w:hAnsi="Arial" w:cs="Arial"/>
        </w:rPr>
      </w:pPr>
      <w:r>
        <w:rPr>
          <w:rStyle w:val="8"/>
          <w:rFonts w:ascii="Arial" w:hAnsi="Arial" w:cs="Arial"/>
        </w:rPr>
        <w:t>Qualidade e integridade do alimento:</w:t>
      </w:r>
    </w:p>
    <w:p w14:paraId="3C5B04F1">
      <w:pPr>
        <w:numPr>
          <w:ilvl w:val="0"/>
          <w:numId w:val="29"/>
        </w:numPr>
        <w:tabs>
          <w:tab w:val="clear" w:pos="420"/>
        </w:tabs>
        <w:spacing w:before="120" w:beforeLines="50" w:after="120" w:afterLines="50" w:line="360" w:lineRule="auto"/>
        <w:ind w:left="1100" w:right="176" w:rightChars="80" w:firstLine="20"/>
        <w:jc w:val="both"/>
        <w:rPr>
          <w:rFonts w:ascii="Arial" w:hAnsi="Arial" w:cs="Arial"/>
        </w:rPr>
      </w:pPr>
      <w:r>
        <w:rPr>
          <w:rFonts w:ascii="Arial" w:hAnsi="Arial" w:cs="Arial"/>
        </w:rPr>
        <w:t>Produtos frescos, maduros, sem sinais de apodrecimento ou danos mecânicos.</w:t>
      </w:r>
    </w:p>
    <w:p w14:paraId="0AD95ECE">
      <w:pPr>
        <w:numPr>
          <w:ilvl w:val="0"/>
          <w:numId w:val="29"/>
        </w:numPr>
        <w:tabs>
          <w:tab w:val="clear" w:pos="420"/>
        </w:tabs>
        <w:spacing w:before="120" w:beforeLines="50" w:after="120" w:afterLines="50" w:line="360" w:lineRule="auto"/>
        <w:ind w:left="1100" w:right="176" w:rightChars="80" w:firstLine="20"/>
        <w:jc w:val="both"/>
        <w:rPr>
          <w:rFonts w:ascii="Arial" w:hAnsi="Arial" w:cs="Arial"/>
        </w:rPr>
      </w:pPr>
      <w:r>
        <w:rPr>
          <w:rFonts w:ascii="Arial" w:hAnsi="Arial" w:cs="Arial"/>
        </w:rPr>
        <w:t xml:space="preserve">Alimentos processados (como polpas, farináceos, etc.) devem ter </w:t>
      </w:r>
      <w:r>
        <w:rPr>
          <w:rStyle w:val="8"/>
          <w:rFonts w:ascii="Arial" w:hAnsi="Arial" w:cs="Arial"/>
          <w:b w:val="0"/>
          <w:bCs w:val="0"/>
        </w:rPr>
        <w:t>rotulagem adequada e prazo de validade vigente</w:t>
      </w:r>
      <w:r>
        <w:rPr>
          <w:rFonts w:ascii="Arial" w:hAnsi="Arial" w:cs="Arial"/>
        </w:rPr>
        <w:t>.</w:t>
      </w:r>
    </w:p>
    <w:p w14:paraId="5016C2BA">
      <w:pPr>
        <w:numPr>
          <w:ilvl w:val="0"/>
          <w:numId w:val="25"/>
        </w:numPr>
        <w:tabs>
          <w:tab w:val="clear" w:pos="425"/>
        </w:tabs>
        <w:spacing w:before="120" w:beforeLines="50" w:after="120" w:afterLines="50" w:line="360" w:lineRule="auto"/>
        <w:ind w:left="880" w:right="176" w:rightChars="80" w:firstLine="15"/>
        <w:jc w:val="both"/>
        <w:rPr>
          <w:rFonts w:ascii="Arial" w:hAnsi="Arial" w:cs="Arial"/>
        </w:rPr>
      </w:pPr>
      <w:r>
        <w:rPr>
          <w:rStyle w:val="8"/>
          <w:rFonts w:ascii="Arial" w:hAnsi="Arial" w:cs="Arial"/>
        </w:rPr>
        <w:t xml:space="preserve">Registro do recebimento - </w:t>
      </w:r>
      <w:r>
        <w:rPr>
          <w:rFonts w:ascii="Arial" w:hAnsi="Arial" w:cs="Arial"/>
          <w:b/>
          <w:bCs/>
        </w:rPr>
        <w:t xml:space="preserve">Deve-se preencher em 02 (duas) vias uma </w:t>
      </w:r>
      <w:r>
        <w:rPr>
          <w:rStyle w:val="8"/>
          <w:rFonts w:ascii="Arial" w:hAnsi="Arial" w:cs="Arial"/>
        </w:rPr>
        <w:t>planilha de controle ou termo de recebimento</w:t>
      </w:r>
      <w:r>
        <w:rPr>
          <w:rFonts w:ascii="Arial" w:hAnsi="Arial" w:cs="Arial"/>
          <w:b/>
          <w:bCs/>
        </w:rPr>
        <w:t>, com:</w:t>
      </w:r>
    </w:p>
    <w:p w14:paraId="143934C3">
      <w:pPr>
        <w:numPr>
          <w:ilvl w:val="0"/>
          <w:numId w:val="30"/>
        </w:numPr>
        <w:tabs>
          <w:tab w:val="clear" w:pos="420"/>
        </w:tabs>
        <w:spacing w:before="120" w:beforeLines="50" w:after="120" w:afterLines="50" w:line="360" w:lineRule="auto"/>
        <w:ind w:left="1100" w:right="176" w:rightChars="80" w:firstLine="20"/>
        <w:jc w:val="both"/>
        <w:rPr>
          <w:rFonts w:ascii="Arial" w:hAnsi="Arial" w:cs="Arial"/>
        </w:rPr>
      </w:pPr>
      <w:r>
        <w:rPr>
          <w:rFonts w:ascii="Arial" w:hAnsi="Arial" w:cs="Arial"/>
        </w:rPr>
        <w:t>Data, local, nome do fiscal e do entregador;</w:t>
      </w:r>
    </w:p>
    <w:p w14:paraId="71A9D27C">
      <w:pPr>
        <w:numPr>
          <w:ilvl w:val="0"/>
          <w:numId w:val="30"/>
        </w:numPr>
        <w:tabs>
          <w:tab w:val="clear" w:pos="420"/>
        </w:tabs>
        <w:spacing w:before="120" w:beforeLines="50" w:after="120" w:afterLines="50" w:line="360" w:lineRule="auto"/>
        <w:ind w:left="1100" w:right="176" w:rightChars="80" w:firstLine="20"/>
        <w:jc w:val="both"/>
        <w:rPr>
          <w:rFonts w:ascii="Arial" w:hAnsi="Arial" w:cs="Arial"/>
        </w:rPr>
      </w:pPr>
      <w:r>
        <w:rPr>
          <w:rFonts w:ascii="Arial" w:hAnsi="Arial" w:cs="Arial"/>
        </w:rPr>
        <w:t>Quantidades recebidas por produto;</w:t>
      </w:r>
    </w:p>
    <w:p w14:paraId="1AFCE15A">
      <w:pPr>
        <w:numPr>
          <w:ilvl w:val="0"/>
          <w:numId w:val="30"/>
        </w:numPr>
        <w:tabs>
          <w:tab w:val="clear" w:pos="420"/>
        </w:tabs>
        <w:spacing w:before="120" w:beforeLines="50" w:after="120" w:afterLines="50" w:line="360" w:lineRule="auto"/>
        <w:ind w:left="1100" w:right="176" w:rightChars="80" w:firstLine="20"/>
        <w:jc w:val="both"/>
        <w:rPr>
          <w:rFonts w:ascii="Arial" w:hAnsi="Arial" w:cs="Arial"/>
        </w:rPr>
      </w:pPr>
      <w:r>
        <w:rPr>
          <w:rFonts w:ascii="Arial" w:hAnsi="Arial" w:cs="Arial"/>
        </w:rPr>
        <w:t>Condições dos produtos;</w:t>
      </w:r>
    </w:p>
    <w:p w14:paraId="725DE85F">
      <w:pPr>
        <w:numPr>
          <w:ilvl w:val="0"/>
          <w:numId w:val="30"/>
        </w:numPr>
        <w:tabs>
          <w:tab w:val="clear" w:pos="420"/>
        </w:tabs>
        <w:spacing w:before="120" w:beforeLines="50" w:after="120" w:afterLines="50" w:line="360" w:lineRule="auto"/>
        <w:ind w:left="1100" w:right="176" w:rightChars="80" w:firstLine="20"/>
        <w:jc w:val="both"/>
        <w:rPr>
          <w:rFonts w:ascii="Arial" w:hAnsi="Arial" w:cs="Arial"/>
        </w:rPr>
      </w:pPr>
      <w:r>
        <w:rPr>
          <w:rFonts w:ascii="Arial" w:hAnsi="Arial" w:cs="Arial"/>
        </w:rPr>
        <w:t>Assinatura do fiscal e do fornecedor.</w:t>
      </w:r>
    </w:p>
    <w:p w14:paraId="17A88AF0">
      <w:pPr>
        <w:numPr>
          <w:ilvl w:val="0"/>
          <w:numId w:val="25"/>
        </w:numPr>
        <w:tabs>
          <w:tab w:val="clear" w:pos="425"/>
        </w:tabs>
        <w:spacing w:before="120" w:beforeLines="50" w:after="120" w:afterLines="50" w:line="360" w:lineRule="auto"/>
        <w:ind w:left="880" w:right="176" w:rightChars="80" w:firstLine="15"/>
        <w:jc w:val="both"/>
        <w:rPr>
          <w:rFonts w:ascii="Arial" w:hAnsi="Arial" w:cs="Arial"/>
        </w:rPr>
      </w:pPr>
      <w:r>
        <w:rPr>
          <w:rStyle w:val="8"/>
          <w:rFonts w:ascii="Arial" w:hAnsi="Arial" w:cs="Arial"/>
        </w:rPr>
        <w:t xml:space="preserve">Documentação fiscal adequada - </w:t>
      </w:r>
      <w:r>
        <w:rPr>
          <w:rFonts w:ascii="Arial" w:hAnsi="Arial" w:cs="Arial"/>
          <w:b/>
          <w:bCs/>
        </w:rPr>
        <w:t>Nota Fiscal Eletrônica (ou modelo exigido pelo PNAE), emitida em nome da Prefeitura, contendo:</w:t>
      </w:r>
    </w:p>
    <w:p w14:paraId="37E6C792">
      <w:pPr>
        <w:numPr>
          <w:ilvl w:val="0"/>
          <w:numId w:val="31"/>
        </w:numPr>
        <w:tabs>
          <w:tab w:val="clear" w:pos="420"/>
        </w:tabs>
        <w:spacing w:before="120" w:beforeLines="50" w:after="120" w:afterLines="50" w:line="360" w:lineRule="auto"/>
        <w:ind w:left="1100" w:right="176" w:rightChars="80" w:firstLine="20"/>
        <w:jc w:val="both"/>
        <w:rPr>
          <w:rFonts w:ascii="Arial" w:hAnsi="Arial" w:cs="Arial"/>
        </w:rPr>
      </w:pPr>
      <w:r>
        <w:rPr>
          <w:rFonts w:ascii="Arial" w:hAnsi="Arial" w:cs="Arial"/>
        </w:rPr>
        <w:t>Nome do agricultor ou organização;</w:t>
      </w:r>
    </w:p>
    <w:p w14:paraId="2B82F03A">
      <w:pPr>
        <w:numPr>
          <w:ilvl w:val="0"/>
          <w:numId w:val="31"/>
        </w:numPr>
        <w:tabs>
          <w:tab w:val="clear" w:pos="420"/>
        </w:tabs>
        <w:spacing w:before="120" w:beforeLines="50" w:after="120" w:afterLines="50" w:line="360" w:lineRule="auto"/>
        <w:ind w:left="1100" w:right="176" w:rightChars="80" w:firstLine="20"/>
        <w:jc w:val="both"/>
        <w:rPr>
          <w:rFonts w:ascii="Arial" w:hAnsi="Arial" w:cs="Arial"/>
        </w:rPr>
      </w:pPr>
      <w:r>
        <w:rPr>
          <w:rFonts w:ascii="Arial" w:hAnsi="Arial" w:cs="Arial"/>
        </w:rPr>
        <w:t>Número da DAP/CAF;</w:t>
      </w:r>
    </w:p>
    <w:p w14:paraId="59469FC9">
      <w:pPr>
        <w:numPr>
          <w:ilvl w:val="0"/>
          <w:numId w:val="31"/>
        </w:numPr>
        <w:tabs>
          <w:tab w:val="clear" w:pos="420"/>
        </w:tabs>
        <w:spacing w:before="120" w:beforeLines="50" w:after="120" w:afterLines="50" w:line="360" w:lineRule="auto"/>
        <w:ind w:left="1100" w:right="176" w:rightChars="80" w:firstLine="20"/>
        <w:jc w:val="both"/>
        <w:rPr>
          <w:rFonts w:ascii="Arial" w:hAnsi="Arial" w:cs="Arial"/>
        </w:rPr>
      </w:pPr>
      <w:r>
        <w:rPr>
          <w:rFonts w:ascii="Arial" w:hAnsi="Arial" w:cs="Arial"/>
        </w:rPr>
        <w:t>Identificação dos produtos entregues;</w:t>
      </w:r>
    </w:p>
    <w:p w14:paraId="056CBD23">
      <w:pPr>
        <w:numPr>
          <w:ilvl w:val="0"/>
          <w:numId w:val="31"/>
        </w:numPr>
        <w:tabs>
          <w:tab w:val="clear" w:pos="420"/>
        </w:tabs>
        <w:spacing w:before="120" w:beforeLines="50" w:after="120" w:afterLines="50" w:line="360" w:lineRule="auto"/>
        <w:ind w:left="1100" w:right="176" w:rightChars="80" w:firstLine="20"/>
        <w:jc w:val="both"/>
        <w:rPr>
          <w:rFonts w:ascii="Arial" w:hAnsi="Arial" w:cs="Arial"/>
        </w:rPr>
      </w:pPr>
      <w:r>
        <w:rPr>
          <w:rFonts w:ascii="Arial" w:hAnsi="Arial" w:cs="Arial"/>
        </w:rPr>
        <w:t>Valor compatível com o projeto de venda aprovado.</w:t>
      </w:r>
    </w:p>
    <w:p w14:paraId="37A09665">
      <w:pPr>
        <w:numPr>
          <w:ilvl w:val="4"/>
          <w:numId w:val="3"/>
        </w:numPr>
        <w:spacing w:before="120" w:beforeLines="50" w:after="120" w:afterLines="50" w:line="360" w:lineRule="auto"/>
        <w:ind w:left="440" w:leftChars="200" w:right="176" w:rightChars="80"/>
        <w:jc w:val="both"/>
        <w:rPr>
          <w:rFonts w:ascii="Arial" w:hAnsi="Arial" w:cs="Arial"/>
        </w:rPr>
      </w:pPr>
      <w:r>
        <w:rPr>
          <w:rFonts w:ascii="Arial" w:hAnsi="Arial" w:eastAsia="SimSun" w:cs="Arial"/>
          <w:color w:val="000000"/>
          <w:lang w:eastAsia="zh-CN" w:bidi="ar"/>
        </w:rPr>
        <w:t xml:space="preserve">É obrigatório utilizar na composição dos cardápios os alimentos provenientes da agricultura familiar, fornecidos pelo Empreendedor Familiar Rural ou suas organizações adquiridas pela SME; </w:t>
      </w:r>
    </w:p>
    <w:p w14:paraId="26B680C0">
      <w:pPr>
        <w:numPr>
          <w:ilvl w:val="4"/>
          <w:numId w:val="3"/>
        </w:numPr>
        <w:spacing w:before="120" w:beforeLines="50" w:after="120" w:afterLines="50" w:line="360" w:lineRule="auto"/>
        <w:ind w:left="440" w:leftChars="200" w:right="176" w:rightChars="80"/>
        <w:jc w:val="both"/>
        <w:rPr>
          <w:rFonts w:ascii="Arial" w:hAnsi="Arial" w:cs="Arial"/>
        </w:rPr>
      </w:pPr>
      <w:r>
        <w:rPr>
          <w:rFonts w:ascii="Arial" w:hAnsi="Arial" w:eastAsia="SimSun" w:cs="Arial"/>
          <w:color w:val="000000"/>
          <w:lang w:eastAsia="zh-CN" w:bidi="ar"/>
        </w:rPr>
        <w:t xml:space="preserve">A licitante vencedora fica responsável pelo pré-preparo, preparo e utilização  dos gêneros alimentícios adquiridos da Agricultura Familiar, cumprindo  os </w:t>
      </w:r>
      <w:r>
        <w:rPr>
          <w:color w:val="FF0000"/>
          <w:lang w:eastAsia="zh-CN" w:bidi="ar"/>
        </w:rPr>
        <w:t xml:space="preserve"> </w:t>
      </w:r>
      <w:r>
        <w:rPr>
          <w:rFonts w:ascii="Arial" w:hAnsi="Arial" w:cs="Arial"/>
          <w:lang w:eastAsia="zh-CN" w:bidi="ar"/>
        </w:rPr>
        <w:t xml:space="preserve">cardápios fornecidos </w:t>
      </w:r>
      <w:r>
        <w:rPr>
          <w:rFonts w:ascii="Arial" w:hAnsi="Arial" w:eastAsia="SimSun" w:cs="Arial"/>
          <w:lang w:eastAsia="zh-CN" w:bidi="ar"/>
        </w:rPr>
        <w:t xml:space="preserve"> pelo Setor de alimentação escolar da SME</w:t>
      </w:r>
      <w:r>
        <w:rPr>
          <w:rFonts w:ascii="Arial" w:hAnsi="Arial" w:cs="Arial"/>
          <w:lang w:eastAsia="zh-CN" w:bidi="ar"/>
        </w:rPr>
        <w:t>.</w:t>
      </w:r>
    </w:p>
    <w:p w14:paraId="42761A58">
      <w:pPr>
        <w:numPr>
          <w:ilvl w:val="4"/>
          <w:numId w:val="3"/>
        </w:numPr>
        <w:spacing w:before="120" w:beforeLines="50" w:after="120" w:afterLines="50" w:line="360" w:lineRule="auto"/>
        <w:ind w:left="440" w:leftChars="200" w:right="176" w:rightChars="80"/>
        <w:jc w:val="both"/>
      </w:pPr>
      <w:r>
        <w:rPr>
          <w:rFonts w:ascii="Arial" w:hAnsi="Arial" w:eastAsia="SimSun" w:cs="Arial"/>
          <w:color w:val="000000"/>
          <w:lang w:eastAsia="zh-CN" w:bidi="ar"/>
        </w:rPr>
        <w:t xml:space="preserve">.Os gêneros provenientes da Agricultura Familiar serão utilizados como complemento à alimentação escolar, não devendo, portanto, serem considerados no custo da empresa. </w:t>
      </w:r>
    </w:p>
    <w:p w14:paraId="47DD7E94">
      <w:pPr>
        <w:numPr>
          <w:ilvl w:val="4"/>
          <w:numId w:val="3"/>
        </w:numPr>
        <w:spacing w:before="120" w:beforeLines="50" w:after="120" w:afterLines="50" w:line="360" w:lineRule="auto"/>
        <w:ind w:left="440" w:leftChars="200" w:right="176" w:rightChars="80"/>
        <w:jc w:val="both"/>
      </w:pPr>
      <w:r>
        <w:rPr>
          <w:rFonts w:ascii="Arial" w:hAnsi="Arial" w:eastAsia="SimSun" w:cs="Arial"/>
          <w:color w:val="000000"/>
          <w:lang w:eastAsia="zh-CN" w:bidi="ar"/>
        </w:rPr>
        <w:t>Os produtos da agricultura familiar entregues pela(s) cooperativa(s)/associação(ões) contratada(s), para fins de faturamento mensal da CONTRATADA, deverão constar como desconto no valor total (100% cem por cento) pago  à(s) cooperativa(s)/associação(ões);</w:t>
      </w:r>
    </w:p>
    <w:p w14:paraId="174DE117">
      <w:pPr>
        <w:numPr>
          <w:ilvl w:val="4"/>
          <w:numId w:val="3"/>
        </w:numPr>
        <w:spacing w:before="120" w:beforeLines="50" w:after="120" w:afterLines="50" w:line="360" w:lineRule="auto"/>
        <w:ind w:left="440" w:leftChars="200" w:right="176" w:rightChars="80"/>
        <w:jc w:val="both"/>
      </w:pPr>
      <w:r>
        <w:rPr>
          <w:rFonts w:ascii="Arial" w:hAnsi="Arial" w:eastAsia="SimSun" w:cs="Arial"/>
          <w:color w:val="000000"/>
          <w:lang w:eastAsia="zh-CN" w:bidi="ar"/>
        </w:rPr>
        <w:t xml:space="preserve">No que se refere ao parágrafo anterior, a CONTRATADA deve considerar os valores praticados pela CONTRATANTE nos contratos firmados com os produtores e cooperativas da agricultura familiar através de Chamamento Público. </w:t>
      </w:r>
    </w:p>
    <w:p w14:paraId="21C0E35C">
      <w:pPr>
        <w:numPr>
          <w:ilvl w:val="4"/>
          <w:numId w:val="3"/>
        </w:numPr>
        <w:spacing w:before="120" w:beforeLines="50" w:after="120" w:afterLines="50" w:line="360" w:lineRule="auto"/>
        <w:ind w:left="440" w:leftChars="200" w:right="176" w:rightChars="80"/>
        <w:jc w:val="both"/>
        <w:rPr>
          <w:rFonts w:ascii="Arial" w:hAnsi="Arial" w:cs="Arial"/>
        </w:rPr>
      </w:pPr>
      <w:r>
        <w:rPr>
          <w:rFonts w:ascii="Arial" w:hAnsi="Arial" w:eastAsia="SimSun" w:cs="Arial"/>
          <w:color w:val="000000"/>
          <w:lang w:eastAsia="zh-CN" w:bidi="ar"/>
        </w:rPr>
        <w:t xml:space="preserve">No corpo da Nota de Gêneros Alimentícios deverá estar escrito: Alimentos e quantidades adquiridos para o Programa Nacional de Alimentação Escolar – PNAE de Sinop/MT, nº do Contrato e nº. </w:t>
      </w:r>
    </w:p>
    <w:p w14:paraId="7FDEF624">
      <w:pPr>
        <w:numPr>
          <w:ilvl w:val="3"/>
          <w:numId w:val="3"/>
        </w:numPr>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Quando da reprovação de algum produto, no teste de aceitabilidade, a equipe técnica do Setor de Alimentação Escolar da Secretaria Municipal de Educação poderá solicitar a substituição do produto por outro produto semelhante, mas que seja aprovado em novo teste de aceitabilidade, de acordo com a Resolução FNDE Nº 06, de 08 de maio de 2020 . </w:t>
      </w:r>
    </w:p>
    <w:p w14:paraId="2795CC59">
      <w:pPr>
        <w:numPr>
          <w:ilvl w:val="3"/>
          <w:numId w:val="3"/>
        </w:numPr>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As especificações dos gêneros alimentícios utilizados nas Necessidades Alimentares Especiais - NAE, será enviada a contratada juntamente com o Cardápio. </w:t>
      </w:r>
    </w:p>
    <w:p w14:paraId="38CD432E">
      <w:pPr>
        <w:numPr>
          <w:ilvl w:val="3"/>
          <w:numId w:val="3"/>
        </w:numPr>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No caso de inclusão de novos produtos, a equipe técnica Setor de Alimentação Escolar da SME irá comunicar com 15 dias antes da execução dos cardápios.</w:t>
      </w:r>
    </w:p>
    <w:p w14:paraId="3597152D">
      <w:pPr>
        <w:numPr>
          <w:ilvl w:val="2"/>
          <w:numId w:val="3"/>
        </w:numPr>
        <w:spacing w:before="120" w:beforeLines="50" w:after="120" w:afterLines="50" w:line="360" w:lineRule="auto"/>
        <w:ind w:right="176" w:rightChars="80"/>
        <w:jc w:val="both"/>
        <w:rPr>
          <w:rFonts w:ascii="Arial" w:hAnsi="Arial" w:cs="Arial"/>
        </w:rPr>
      </w:pPr>
      <w:r>
        <w:rPr>
          <w:rFonts w:ascii="Arial" w:hAnsi="Arial" w:eastAsia="Arial-BoldMT" w:cs="Arial"/>
          <w:b/>
          <w:bCs/>
          <w:color w:val="000000"/>
          <w:lang w:eastAsia="zh-CN" w:bidi="ar"/>
        </w:rPr>
        <w:t xml:space="preserve">PORCIONAMENTO E ACONDICIONAMENTO: </w:t>
      </w:r>
    </w:p>
    <w:p w14:paraId="0014348C">
      <w:pPr>
        <w:numPr>
          <w:ilvl w:val="3"/>
          <w:numId w:val="3"/>
        </w:numPr>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A alimentação servida aos alunos matriculados na rede municipal de ensino será produzida na própria Unidade Educativa, por turno, e as sobras limpas e sujas, caso houver, além de registrar, deverão ser descartadas conforme determinações da legislação vigente.</w:t>
      </w:r>
    </w:p>
    <w:p w14:paraId="22308021">
      <w:pPr>
        <w:numPr>
          <w:ilvl w:val="3"/>
          <w:numId w:val="3"/>
        </w:numPr>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Cabe à CONTRATADA realizar o porcionamento das preparações alimentícias conforme TABELA Per Capita anexo ao Termo de Referência, observando a faixa etária e no fracionamento das fichas técnicas. </w:t>
      </w:r>
    </w:p>
    <w:p w14:paraId="39B03E58">
      <w:pPr>
        <w:numPr>
          <w:ilvl w:val="3"/>
          <w:numId w:val="3"/>
        </w:numPr>
        <w:shd w:val="clear" w:color="auto" w:fill="FFFFFF" w:themeFill="background1"/>
        <w:spacing w:before="120" w:beforeLines="50" w:after="120" w:afterLines="50" w:line="360" w:lineRule="auto"/>
        <w:ind w:left="220" w:leftChars="100" w:right="176" w:rightChars="80"/>
        <w:jc w:val="both"/>
        <w:rPr>
          <w:rFonts w:ascii="Arial" w:hAnsi="Arial" w:cs="Arial"/>
          <w:shd w:val="clear" w:color="auto" w:fill="FFFFFF" w:themeFill="background1"/>
        </w:rPr>
      </w:pPr>
      <w:r>
        <w:rPr>
          <w:rFonts w:ascii="Arial" w:hAnsi="Arial" w:cs="Arial"/>
          <w:lang w:eastAsia="zh-CN" w:bidi="ar"/>
        </w:rPr>
        <w:t>Todas as preparações do dia que compõem o cardápio deverão estar acondicionadas em balcão térmico (quente e frio de acordo com a prepara</w:t>
      </w:r>
      <w:r>
        <w:rPr>
          <w:rFonts w:ascii="Arial" w:hAnsi="Arial" w:cs="Arial"/>
          <w:shd w:val="clear" w:color="auto" w:fill="FFFFFF" w:themeFill="background1"/>
          <w:lang w:eastAsia="zh-CN" w:bidi="ar"/>
        </w:rPr>
        <w:t xml:space="preserve">ção) devidamente higienizados e sob condições adequadas de tempo versus temperatura, respeitando a forma de fracionamento e distribuição que deverá ser no formato prato feito, correspondente aos per capitas estabelecidos e a utilização do kit medida. </w:t>
      </w:r>
      <w:r>
        <w:rPr>
          <w:shd w:val="clear" w:color="auto" w:fill="FFFFFF" w:themeFill="background1"/>
          <w:lang w:eastAsia="zh-CN" w:bidi="ar"/>
        </w:rPr>
        <w:t xml:space="preserve"> </w:t>
      </w:r>
    </w:p>
    <w:p w14:paraId="39547A9B">
      <w:pPr>
        <w:numPr>
          <w:ilvl w:val="3"/>
          <w:numId w:val="3"/>
        </w:numPr>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Cabe a CONTRATADA assegurar o abastecimento das escolas com os gêneros alimentícios necessários ao cumprimento do cardápio, observando suas especificações, qualidade, quantidade e prazos de validade. </w:t>
      </w:r>
    </w:p>
    <w:p w14:paraId="78F04E78">
      <w:pPr>
        <w:numPr>
          <w:ilvl w:val="3"/>
          <w:numId w:val="3"/>
        </w:numPr>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Deverá fornecer materiais de cozinha necessários à prestação </w:t>
      </w:r>
      <w:r>
        <w:rPr>
          <w:rFonts w:ascii="Arial" w:hAnsi="Arial" w:cs="Arial"/>
          <w:color w:val="000000"/>
        </w:rPr>
        <w:t xml:space="preserve">do objeto desta </w:t>
      </w:r>
      <w:r>
        <w:rPr>
          <w:rFonts w:ascii="Arial" w:hAnsi="Arial" w:eastAsia="SimSun" w:cs="Arial"/>
          <w:color w:val="000000"/>
          <w:lang w:eastAsia="zh-CN" w:bidi="ar"/>
        </w:rPr>
        <w:t xml:space="preserve">Licitação, tais como: fósforo, saco plástico adequado para coleta e guarda de amostra, bobina plástica picotada (para a guarda de hortaliças e outros alimentos), luva anti-térmica, luva de fio de aço, copo descartável (casos em que não for possível o uso das canecas de VIDRO OU INOX ou por problemas no abastecimento de água), guardanapos (casos em que forem servidos alimentos que necessitem do contato direto das mãos dos alunos) e demais itens necessários à distribuição da alimentação servida aos alunos. </w:t>
      </w:r>
    </w:p>
    <w:p w14:paraId="35FF3A58">
      <w:pPr>
        <w:numPr>
          <w:ilvl w:val="3"/>
          <w:numId w:val="3"/>
        </w:numPr>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Os alimentos cujas embalagens originais foram abertas deverão ser armazenados e devidamente identificados, conforme preconiza a legislação vigente.</w:t>
      </w:r>
    </w:p>
    <w:p w14:paraId="1B6E196A">
      <w:pPr>
        <w:numPr>
          <w:ilvl w:val="3"/>
          <w:numId w:val="3"/>
        </w:numPr>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Alimentos; utensílios ou outro objeto/material de consumo pertencentes as merendeiras/nutricionistas (empresa CONTRATADA), deverão ser acondicionados em ambiente próprio, </w:t>
      </w:r>
      <w:r>
        <w:rPr>
          <w:rFonts w:ascii="Arial" w:hAnsi="Arial" w:cs="Arial"/>
          <w:lang w:eastAsia="zh-CN" w:bidi="ar"/>
        </w:rPr>
        <w:t>fora da cozinha e estoque</w:t>
      </w:r>
      <w:r>
        <w:rPr>
          <w:color w:val="FF0000"/>
          <w:lang w:eastAsia="zh-CN" w:bidi="ar"/>
        </w:rPr>
        <w:t xml:space="preserve"> </w:t>
      </w:r>
      <w:r>
        <w:rPr>
          <w:rFonts w:ascii="Arial" w:hAnsi="Arial" w:eastAsia="SimSun" w:cs="Arial"/>
          <w:color w:val="000000"/>
          <w:lang w:eastAsia="zh-CN" w:bidi="ar"/>
        </w:rPr>
        <w:t xml:space="preserve">devidamente identificado. </w:t>
      </w:r>
    </w:p>
    <w:p w14:paraId="69D1AA02">
      <w:pPr>
        <w:numPr>
          <w:ilvl w:val="3"/>
          <w:numId w:val="3"/>
        </w:numPr>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Para o servimento das refeições os estudantes deverão utilizar as bandejas. </w:t>
      </w:r>
    </w:p>
    <w:p w14:paraId="2B73F8E7">
      <w:pPr>
        <w:numPr>
          <w:ilvl w:val="3"/>
          <w:numId w:val="3"/>
        </w:numPr>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O fracionamento das refeições deve ser realizado com a utilização de kit de medidas caseiras, seguindo os per capitas e fichas técnicas. </w:t>
      </w:r>
    </w:p>
    <w:p w14:paraId="1B207828">
      <w:pPr>
        <w:numPr>
          <w:ilvl w:val="3"/>
          <w:numId w:val="3"/>
        </w:numPr>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Líquidos (iogurte, leite, café, chá e sucos) devem ser distribuídos em canecas de vidro transparente com capacidade que comporte no mínimo 250 ml, fracionados de acordo com os per capitas estipulados; </w:t>
      </w:r>
    </w:p>
    <w:p w14:paraId="47AE5FE3">
      <w:pPr>
        <w:numPr>
          <w:ilvl w:val="3"/>
          <w:numId w:val="3"/>
        </w:numPr>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Pães com complemento e substitutos: com fracionamento de acordo com os per capitas estipulados; </w:t>
      </w:r>
    </w:p>
    <w:p w14:paraId="07A15AA4">
      <w:pPr>
        <w:numPr>
          <w:ilvl w:val="3"/>
          <w:numId w:val="3"/>
        </w:numPr>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Almoço: fracionados em pratos de vidro fundo  ou inox; </w:t>
      </w:r>
    </w:p>
    <w:p w14:paraId="541EEA84">
      <w:pPr>
        <w:numPr>
          <w:ilvl w:val="3"/>
          <w:numId w:val="3"/>
        </w:numPr>
        <w:spacing w:before="120" w:beforeLines="50" w:after="120" w:afterLines="50" w:line="360" w:lineRule="auto"/>
        <w:ind w:left="220" w:leftChars="100" w:right="176" w:rightChars="80"/>
        <w:jc w:val="both"/>
        <w:rPr>
          <w:rFonts w:ascii="Arial" w:hAnsi="Arial" w:cs="Arial"/>
        </w:rPr>
      </w:pPr>
      <w:r>
        <w:rPr>
          <w:rFonts w:ascii="Arial"/>
          <w:lang w:eastAsia="zh-CN" w:bidi="ar"/>
        </w:rPr>
        <w:t>As saladas deverão ser servidas no mesmo prato e junto à preparação quente</w:t>
      </w:r>
      <w:r>
        <w:rPr>
          <w:rFonts w:ascii="Arial" w:hAnsi="Arial" w:eastAsia="SimSun" w:cs="Arial"/>
          <w:lang w:eastAsia="zh-CN" w:bidi="ar"/>
        </w:rPr>
        <w:t xml:space="preserve">; </w:t>
      </w:r>
    </w:p>
    <w:p w14:paraId="4117B8D9">
      <w:pPr>
        <w:numPr>
          <w:ilvl w:val="3"/>
          <w:numId w:val="3"/>
        </w:numPr>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Doces regionais/frutas em pedaços (Ex. saladas de frutas, canjica, arroz doce.): fracionadas em tigela/bowl com capacidade de 250 ml, fracionado de acordo com os per capitas estipulados; </w:t>
      </w:r>
    </w:p>
    <w:p w14:paraId="461B3014">
      <w:pPr>
        <w:numPr>
          <w:ilvl w:val="3"/>
          <w:numId w:val="3"/>
        </w:numPr>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Frutas: distribuídas conforme per capita estabelecido no Termo de Referênica e ficha </w:t>
      </w:r>
      <w:r>
        <w:rPr>
          <w:rFonts w:ascii="Arial" w:hAnsi="Arial" w:eastAsia="SimSun" w:cs="Arial"/>
          <w:lang w:eastAsia="zh-CN" w:bidi="ar"/>
        </w:rPr>
        <w:t xml:space="preserve">técnicas . No caso de </w:t>
      </w:r>
      <w:r>
        <w:rPr>
          <w:rFonts w:ascii="Arial" w:hAnsi="Arial" w:cs="Arial"/>
          <w:lang w:eastAsia="zh-CN" w:bidi="ar"/>
        </w:rPr>
        <w:t>laranja, mamão, melão, manga, melancia e abacaxi deverão ser servida cortada e descascada,</w:t>
      </w:r>
    </w:p>
    <w:p w14:paraId="1C10418A">
      <w:pPr>
        <w:numPr>
          <w:ilvl w:val="2"/>
          <w:numId w:val="3"/>
        </w:numPr>
        <w:spacing w:before="120" w:beforeLines="50" w:after="120" w:afterLines="50" w:line="360" w:lineRule="auto"/>
        <w:ind w:right="176" w:rightChars="80"/>
        <w:jc w:val="both"/>
        <w:rPr>
          <w:rFonts w:ascii="Arial" w:hAnsi="Arial" w:cs="Arial"/>
        </w:rPr>
      </w:pPr>
      <w:r>
        <w:rPr>
          <w:rFonts w:ascii="Arial" w:hAnsi="Arial" w:eastAsia="Arial-BoldMT" w:cs="Arial"/>
          <w:b/>
          <w:bCs/>
          <w:color w:val="000000"/>
          <w:lang w:eastAsia="zh-CN" w:bidi="ar"/>
        </w:rPr>
        <w:t xml:space="preserve">CONTAGEM DO ATENDIMENTO E REPETIÇÃO: </w:t>
      </w:r>
    </w:p>
    <w:p w14:paraId="36AF0F8B">
      <w:pPr>
        <w:numPr>
          <w:ilvl w:val="3"/>
          <w:numId w:val="3"/>
        </w:numPr>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A contagem das refeições será por meio eletrônico, SISTEMA DIGITAL (BIOMÉTRICO OU FACIAL) DE AFERIÇÃO E CONTROLE DIÁRIO DE REFEIÇÃO POR ALUNO, POSSIBILITANDO RELATÓRIOS E ACESSO EM TEMPO REAL pelo Setor de Alimentação Escolar da SME, disponibilizado pela CONTRATADA, com a quantidade necessária respeitando o porte de cada Unidade,. </w:t>
      </w:r>
    </w:p>
    <w:p w14:paraId="74F41B1D">
      <w:pPr>
        <w:numPr>
          <w:ilvl w:val="3"/>
          <w:numId w:val="3"/>
        </w:numPr>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Será computado o número de refeições efetivamente consumidas da alimentação escolar, mediante a comprovação realizada conforme </w:t>
      </w:r>
      <w:r>
        <w:rPr>
          <w:rFonts w:ascii="Arial" w:hAnsi="Arial" w:eastAsia="SimSun" w:cs="Arial"/>
          <w:b/>
          <w:bCs/>
          <w:lang w:eastAsia="zh-CN" w:bidi="ar"/>
        </w:rPr>
        <w:t>Item 2.4.1.5.7.</w:t>
      </w:r>
    </w:p>
    <w:p w14:paraId="53C11CA6">
      <w:pPr>
        <w:numPr>
          <w:ilvl w:val="3"/>
          <w:numId w:val="3"/>
        </w:numPr>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A alimentação deverá ser preparada diariamente, considerando acréscimo máximo de 10% ao total previsto para o cardápio do dia. </w:t>
      </w:r>
    </w:p>
    <w:p w14:paraId="3274E28C">
      <w:pPr>
        <w:numPr>
          <w:ilvl w:val="3"/>
          <w:numId w:val="3"/>
        </w:numPr>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Para o estudante que solicitar repetição da refeição, deverá disponibilizar apenas uma repetição, sendo que a contabilização dessa refeição estará condicionada à oferta de todos os gêneros alimentícios necessários ao cumprimento do cardápio, exceto para casos de alunos com dietas especiais, </w:t>
      </w:r>
      <w:r>
        <w:rPr>
          <w:rFonts w:ascii="Arial" w:hAnsi="Arial" w:eastAsia="SimSun" w:cs="Arial"/>
          <w:lang w:eastAsia="zh-CN" w:bidi="ar"/>
        </w:rPr>
        <w:t>n</w:t>
      </w:r>
      <w:r>
        <w:rPr>
          <w:rFonts w:ascii="Arial" w:hAnsi="Arial" w:cs="Arial"/>
          <w:lang w:eastAsia="zh-CN" w:bidi="ar"/>
        </w:rPr>
        <w:t>utrição enteral</w:t>
      </w:r>
      <w:r>
        <w:rPr>
          <w:rFonts w:ascii="Arial" w:hAnsi="Arial" w:eastAsia="SimSun" w:cs="Arial"/>
          <w:lang w:eastAsia="zh-CN" w:bidi="ar"/>
        </w:rPr>
        <w:t xml:space="preserve"> </w:t>
      </w:r>
      <w:r>
        <w:rPr>
          <w:rFonts w:ascii="Arial" w:hAnsi="Arial" w:eastAsia="SimSun" w:cs="Arial"/>
          <w:color w:val="000000"/>
          <w:lang w:eastAsia="zh-CN" w:bidi="ar"/>
        </w:rPr>
        <w:t xml:space="preserve">e/ou hábitos religiosos. </w:t>
      </w:r>
    </w:p>
    <w:p w14:paraId="4923F152">
      <w:pPr>
        <w:numPr>
          <w:ilvl w:val="3"/>
          <w:numId w:val="3"/>
        </w:numPr>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Caso ocorra necessidade de alteração de um dos cardápios ou da forma de preparo, deverá solicitar por escrito à equipe técnica do Setor de Alimentação Escolar da SME, através do e-mail institucional, até 03 dias úteis anteriores a execução do cardápio com a devida justificativa que respalde o pedido de alteração. A equipe técnica do Setor de Alimentação Escolar da SME após análise da justificativa, emitirá o deferimento ou indeferimento do pedido.</w:t>
      </w:r>
    </w:p>
    <w:p w14:paraId="02EDB62D">
      <w:pPr>
        <w:numPr>
          <w:ilvl w:val="3"/>
          <w:numId w:val="3"/>
        </w:numPr>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Não serão computados cardápios substituídos sem autorização da equipe técnica do Setor de Alimentação Escolar da SME ou cardápios em que estejam faltando quaisquer itens, ou ainda, que os per capitas/fracionamentos sejam inferiores aos estabelecidos neste TR, do início ao fim do período de distribuição.</w:t>
      </w:r>
    </w:p>
    <w:p w14:paraId="74729896">
      <w:pPr>
        <w:numPr>
          <w:ilvl w:val="2"/>
          <w:numId w:val="3"/>
        </w:numPr>
        <w:spacing w:before="120" w:beforeLines="50" w:after="120" w:afterLines="50" w:line="360" w:lineRule="auto"/>
        <w:ind w:right="176" w:rightChars="80"/>
        <w:jc w:val="both"/>
        <w:rPr>
          <w:rFonts w:ascii="Arial" w:hAnsi="Arial" w:cs="Arial"/>
        </w:rPr>
      </w:pPr>
      <w:r>
        <w:rPr>
          <w:rFonts w:ascii="Arial" w:hAnsi="Arial" w:eastAsia="Arial-BoldMT" w:cs="Arial"/>
          <w:b/>
          <w:bCs/>
          <w:color w:val="000000"/>
          <w:lang w:eastAsia="zh-CN" w:bidi="ar"/>
        </w:rPr>
        <w:t xml:space="preserve">MÃO DE OBRA: COZINHEIROS(AS) E NUTRICIONISTAS: </w:t>
      </w:r>
    </w:p>
    <w:p w14:paraId="6B54B431">
      <w:pPr>
        <w:numPr>
          <w:ilvl w:val="3"/>
          <w:numId w:val="3"/>
        </w:numPr>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A CONTRATADA deverá manter quadro completo de pessoal técnico, operacional e administrativo, de forma a atender o cumprimento das obrigações assumidas.</w:t>
      </w:r>
    </w:p>
    <w:p w14:paraId="2B91BCC1">
      <w:pPr>
        <w:numPr>
          <w:ilvl w:val="3"/>
          <w:numId w:val="3"/>
        </w:numPr>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Todos os profissionais envolvidos no fornecimento </w:t>
      </w:r>
      <w:r>
        <w:rPr>
          <w:rFonts w:ascii="Arial" w:hAnsi="Arial" w:cs="Arial"/>
          <w:color w:val="000000"/>
        </w:rPr>
        <w:t xml:space="preserve">do objeto desta </w:t>
      </w:r>
      <w:r>
        <w:rPr>
          <w:rFonts w:ascii="Arial" w:hAnsi="Arial" w:eastAsia="SimSun" w:cs="Arial"/>
          <w:color w:val="000000"/>
          <w:lang w:eastAsia="zh-CN" w:bidi="ar"/>
        </w:rPr>
        <w:t xml:space="preserve">Licitação. deverão ser capacitados para o cumprimento de todos os atendimentos, inclusive para os atendimentos dos cardápios das necessidades alimentares especiais, como celíacos, diabéticos, intolerantes à lactose, etc, com permanente vigilância aos gêneros alimentícios, preparos e utensílios utilizados, de forma a evitar a contaminação cruzada. </w:t>
      </w:r>
    </w:p>
    <w:p w14:paraId="110302D2">
      <w:pPr>
        <w:numPr>
          <w:ilvl w:val="3"/>
          <w:numId w:val="3"/>
        </w:numPr>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Todos os manipuladores de alimentos (cozinheiros (as)) deverão ser capacitados quanto às recomendações d</w:t>
      </w:r>
      <w:r>
        <w:rPr>
          <w:rFonts w:ascii="Arial" w:hAnsi="Arial" w:eastAsia="SimSun" w:cs="Arial"/>
          <w:lang w:eastAsia="zh-CN" w:bidi="ar"/>
        </w:rPr>
        <w:t xml:space="preserve">o PNAE </w:t>
      </w:r>
      <w:r>
        <w:rPr>
          <w:rFonts w:ascii="Arial" w:hAnsi="Arial" w:cs="Arial"/>
          <w:lang w:eastAsia="zh-CN" w:bidi="ar"/>
        </w:rPr>
        <w:t>e demais legislações vigentes</w:t>
      </w:r>
      <w:r>
        <w:rPr>
          <w:rFonts w:ascii="Arial" w:hAnsi="Arial" w:eastAsia="SimSun" w:cs="Arial"/>
          <w:lang w:eastAsia="zh-CN" w:bidi="ar"/>
        </w:rPr>
        <w:t xml:space="preserve">. </w:t>
      </w:r>
    </w:p>
    <w:p w14:paraId="3B8FE970">
      <w:pPr>
        <w:numPr>
          <w:ilvl w:val="3"/>
          <w:numId w:val="3"/>
        </w:numPr>
        <w:spacing w:before="120" w:beforeLines="50" w:after="120" w:afterLines="50" w:line="360" w:lineRule="auto"/>
        <w:ind w:left="220" w:leftChars="100" w:right="176" w:rightChars="80"/>
        <w:jc w:val="both"/>
        <w:rPr>
          <w:rFonts w:ascii="Arial" w:hAnsi="Arial" w:cs="Arial"/>
        </w:rPr>
      </w:pPr>
      <w:r>
        <w:rPr>
          <w:rFonts w:ascii="Arial" w:hAnsi="Arial" w:eastAsia="SimSun" w:cs="Arial"/>
          <w:lang w:eastAsia="zh-CN" w:bidi="ar"/>
        </w:rPr>
        <w:t>Para contratação de cozinheiras que comporão o quadro próprio de funcionários da CONTRATADA</w:t>
      </w:r>
      <w:r>
        <w:rPr>
          <w:rFonts w:ascii="Arial" w:hAnsi="Arial" w:eastAsia="SimSun" w:cs="Arial"/>
          <w:color w:val="000000"/>
          <w:lang w:eastAsia="zh-CN" w:bidi="ar"/>
        </w:rPr>
        <w:t xml:space="preserve">, o processo de seleção é de exclusiva responsabilidade da CONTRATADA, observado o grau de escolaridade mínima de Ensino fundamental completo e curso de profissionalização, devendo ser analisado as condições de alfabetização mediante teste de conhecimento e leitura, considerando que o trabalho a ser executado irá requerer conhecimentos de medidas, controle de estoque, cálculo de per capitas, leitura e aplicação de cardápios e receitas.  </w:t>
      </w:r>
    </w:p>
    <w:p w14:paraId="1AFB3B8A">
      <w:pPr>
        <w:numPr>
          <w:ilvl w:val="3"/>
          <w:numId w:val="3"/>
        </w:numPr>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Disponibilizar cozinheiros (as) em número suficiente para o serviço de preparo e distribuição da alimentação escolar, de modo a não causar sobrecarga de atividades e atrasos no atendimento. </w:t>
      </w:r>
    </w:p>
    <w:p w14:paraId="3327EC68">
      <w:pPr>
        <w:numPr>
          <w:ilvl w:val="3"/>
          <w:numId w:val="3"/>
        </w:numPr>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Segue o quadro de cozinheiros (as), de acordo com o PORTE de cada Unidade Educativa, estabelecido no Decreto municipal nº 304/2024, Art. 16:  Durante a execução </w:t>
      </w:r>
      <w:r>
        <w:rPr>
          <w:rFonts w:ascii="Arial" w:hAnsi="Arial" w:cs="Arial"/>
          <w:color w:val="000000"/>
        </w:rPr>
        <w:t xml:space="preserve">do objeto desta </w:t>
      </w:r>
      <w:r>
        <w:rPr>
          <w:rFonts w:ascii="Arial" w:hAnsi="Arial" w:eastAsia="SimSun" w:cs="Arial"/>
          <w:color w:val="000000"/>
          <w:lang w:eastAsia="zh-CN" w:bidi="ar"/>
        </w:rPr>
        <w:t>Licitação. deverá ser de no mínimo o que consta, conforme estabelecido no QUADRO abaixo:</w:t>
      </w:r>
    </w:p>
    <w:tbl>
      <w:tblPr>
        <w:tblStyle w:val="7"/>
        <w:tblW w:w="9364" w:type="dxa"/>
        <w:jc w:val="center"/>
        <w:tblLayout w:type="fixed"/>
        <w:tblCellMar>
          <w:top w:w="0" w:type="dxa"/>
          <w:left w:w="108" w:type="dxa"/>
          <w:bottom w:w="0" w:type="dxa"/>
          <w:right w:w="108" w:type="dxa"/>
        </w:tblCellMar>
      </w:tblPr>
      <w:tblGrid>
        <w:gridCol w:w="710"/>
        <w:gridCol w:w="1713"/>
        <w:gridCol w:w="5976"/>
        <w:gridCol w:w="965"/>
      </w:tblGrid>
      <w:tr w14:paraId="1ABCCC38">
        <w:tblPrEx>
          <w:tblCellMar>
            <w:top w:w="0" w:type="dxa"/>
            <w:left w:w="108" w:type="dxa"/>
            <w:bottom w:w="0" w:type="dxa"/>
            <w:right w:w="108" w:type="dxa"/>
          </w:tblCellMar>
        </w:tblPrEx>
        <w:trPr>
          <w:trHeight w:val="375" w:hRule="atLeast"/>
          <w:jc w:val="center"/>
        </w:trPr>
        <w:tc>
          <w:tcPr>
            <w:tcW w:w="710" w:type="dxa"/>
            <w:tcBorders>
              <w:top w:val="single" w:color="000000" w:sz="2" w:space="0"/>
              <w:left w:val="single" w:color="000000" w:sz="2" w:space="0"/>
              <w:bottom w:val="single" w:color="000000" w:sz="2" w:space="0"/>
              <w:right w:val="single" w:color="000000" w:sz="2" w:space="0"/>
            </w:tcBorders>
            <w:shd w:val="clear" w:color="auto" w:fill="F1F1F1" w:themeFill="background1" w:themeFillShade="F2"/>
            <w:noWrap/>
            <w:vAlign w:val="center"/>
          </w:tcPr>
          <w:p w14:paraId="4DAC9891">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bidi="ar"/>
              </w:rPr>
            </w:pPr>
            <w:r>
              <w:rPr>
                <w:rFonts w:ascii="Arial" w:hAnsi="Arial" w:cs="Arial"/>
                <w:sz w:val="20"/>
                <w:szCs w:val="20"/>
                <w:lang w:eastAsia="zh-CN" w:bidi="ar"/>
              </w:rPr>
              <w:t>Nº</w:t>
            </w:r>
          </w:p>
        </w:tc>
        <w:tc>
          <w:tcPr>
            <w:tcW w:w="1713" w:type="dxa"/>
            <w:tcBorders>
              <w:top w:val="single" w:color="000000" w:sz="2" w:space="0"/>
              <w:left w:val="single" w:color="000000" w:sz="2" w:space="0"/>
              <w:bottom w:val="single" w:color="000000" w:sz="2" w:space="0"/>
              <w:right w:val="single" w:color="000000" w:sz="2" w:space="0"/>
            </w:tcBorders>
            <w:shd w:val="clear" w:color="auto" w:fill="F1F1F1" w:themeFill="background1" w:themeFillShade="F2"/>
            <w:noWrap/>
            <w:vAlign w:val="center"/>
          </w:tcPr>
          <w:p w14:paraId="07FB3EA6">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bidi="ar"/>
              </w:rPr>
            </w:pPr>
            <w:r>
              <w:rPr>
                <w:rFonts w:ascii="Arial" w:hAnsi="Arial" w:cs="Arial"/>
                <w:sz w:val="20"/>
                <w:szCs w:val="20"/>
                <w:lang w:eastAsia="zh-CN" w:bidi="ar"/>
              </w:rPr>
              <w:t>PORTE</w:t>
            </w:r>
          </w:p>
        </w:tc>
        <w:tc>
          <w:tcPr>
            <w:tcW w:w="5976" w:type="dxa"/>
            <w:tcBorders>
              <w:top w:val="single" w:color="000000" w:sz="2" w:space="0"/>
              <w:left w:val="single" w:color="000000" w:sz="2" w:space="0"/>
              <w:bottom w:val="single" w:color="000000" w:sz="2" w:space="0"/>
              <w:right w:val="single" w:color="000000" w:sz="2" w:space="0"/>
            </w:tcBorders>
            <w:shd w:val="clear" w:color="auto" w:fill="F1F1F1" w:themeFill="background1" w:themeFillShade="F2"/>
            <w:noWrap/>
            <w:vAlign w:val="center"/>
          </w:tcPr>
          <w:p w14:paraId="3A87A237">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rPr>
            </w:pPr>
            <w:r>
              <w:rPr>
                <w:rFonts w:ascii="Arial" w:hAnsi="Arial" w:cs="Arial"/>
                <w:sz w:val="20"/>
                <w:szCs w:val="20"/>
              </w:rPr>
              <w:t>UNIDADE EDUCATIVA</w:t>
            </w:r>
          </w:p>
        </w:tc>
        <w:tc>
          <w:tcPr>
            <w:tcW w:w="965" w:type="dxa"/>
            <w:tcBorders>
              <w:top w:val="single" w:color="000000" w:sz="2" w:space="0"/>
              <w:left w:val="single" w:color="000000" w:sz="2" w:space="0"/>
              <w:bottom w:val="single" w:color="000000" w:sz="2" w:space="0"/>
              <w:right w:val="single" w:color="000000" w:sz="2" w:space="0"/>
            </w:tcBorders>
            <w:shd w:val="clear" w:color="auto" w:fill="F1F1F1" w:themeFill="background1" w:themeFillShade="F2"/>
            <w:noWrap/>
            <w:vAlign w:val="center"/>
          </w:tcPr>
          <w:p w14:paraId="0C4D91C3">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rPr>
            </w:pPr>
            <w:r>
              <w:rPr>
                <w:rFonts w:ascii="Arial" w:hAnsi="Arial" w:cs="Arial"/>
                <w:sz w:val="20"/>
                <w:szCs w:val="20"/>
                <w:lang w:eastAsia="zh-CN" w:bidi="ar"/>
              </w:rPr>
              <w:t>TOTAL</w:t>
            </w:r>
          </w:p>
        </w:tc>
      </w:tr>
      <w:tr w14:paraId="75BE9606">
        <w:tblPrEx>
          <w:tblCellMar>
            <w:top w:w="0" w:type="dxa"/>
            <w:left w:w="108" w:type="dxa"/>
            <w:bottom w:w="0" w:type="dxa"/>
            <w:right w:w="108" w:type="dxa"/>
          </w:tblCellMar>
        </w:tblPrEx>
        <w:trPr>
          <w:trHeight w:val="300" w:hRule="atLeast"/>
          <w:jc w:val="center"/>
        </w:trPr>
        <w:tc>
          <w:tcPr>
            <w:tcW w:w="710" w:type="dxa"/>
            <w:tcBorders>
              <w:top w:val="single" w:color="000000" w:sz="2" w:space="0"/>
              <w:left w:val="single" w:color="000000" w:sz="2" w:space="0"/>
              <w:bottom w:val="single" w:color="000000" w:sz="2" w:space="0"/>
              <w:right w:val="single" w:color="000000" w:sz="2" w:space="0"/>
            </w:tcBorders>
            <w:noWrap/>
            <w:vAlign w:val="center"/>
          </w:tcPr>
          <w:p w14:paraId="4092F004">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rPr>
            </w:pPr>
            <w:r>
              <w:rPr>
                <w:rFonts w:hint="default" w:ascii="Arial" w:hAnsi="Arial" w:cs="Arial"/>
                <w:sz w:val="20"/>
                <w:szCs w:val="20"/>
                <w:lang w:val="pt-BR" w:eastAsia="zh-CN" w:bidi="ar"/>
              </w:rPr>
              <w:t>01</w:t>
            </w:r>
          </w:p>
        </w:tc>
        <w:tc>
          <w:tcPr>
            <w:tcW w:w="1713" w:type="dxa"/>
            <w:tcBorders>
              <w:top w:val="single" w:color="000000" w:sz="2" w:space="0"/>
              <w:left w:val="single" w:color="000000" w:sz="2" w:space="0"/>
              <w:bottom w:val="single" w:color="000000" w:sz="2" w:space="0"/>
              <w:right w:val="single" w:color="000000" w:sz="2" w:space="0"/>
            </w:tcBorders>
            <w:noWrap/>
            <w:vAlign w:val="center"/>
          </w:tcPr>
          <w:p w14:paraId="33F9F2C8">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bidi="ar"/>
              </w:rPr>
            </w:pPr>
            <w:r>
              <w:rPr>
                <w:rFonts w:ascii="Arial" w:hAnsi="Arial" w:cs="Arial"/>
                <w:sz w:val="20"/>
                <w:szCs w:val="20"/>
                <w:lang w:val="en-US" w:eastAsia="zh-CN" w:bidi="ar"/>
              </w:rPr>
              <w:t>Médio Porte I</w:t>
            </w:r>
          </w:p>
        </w:tc>
        <w:tc>
          <w:tcPr>
            <w:tcW w:w="5976" w:type="dxa"/>
            <w:tcBorders>
              <w:top w:val="single" w:color="000000" w:sz="2" w:space="0"/>
              <w:left w:val="single" w:color="000000" w:sz="2" w:space="0"/>
              <w:bottom w:val="single" w:color="000000" w:sz="2" w:space="0"/>
              <w:right w:val="single" w:color="000000" w:sz="2" w:space="0"/>
            </w:tcBorders>
            <w:noWrap/>
            <w:vAlign w:val="center"/>
          </w:tcPr>
          <w:p w14:paraId="48B6DFD7">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rPr>
            </w:pPr>
            <w:r>
              <w:rPr>
                <w:rFonts w:hint="default" w:ascii="Arial" w:hAnsi="Arial"/>
                <w:sz w:val="20"/>
                <w:szCs w:val="20"/>
                <w:lang w:val="en-US" w:eastAsia="zh-CN"/>
              </w:rPr>
              <w:t>EMEB MARIA APARECIDA AMARO DE SOUZA</w:t>
            </w:r>
          </w:p>
        </w:tc>
        <w:tc>
          <w:tcPr>
            <w:tcW w:w="965" w:type="dxa"/>
            <w:tcBorders>
              <w:top w:val="single" w:color="000000" w:sz="2" w:space="0"/>
              <w:left w:val="single" w:color="000000" w:sz="2" w:space="0"/>
              <w:bottom w:val="single" w:color="000000" w:sz="2" w:space="0"/>
              <w:right w:val="single" w:color="000000" w:sz="2" w:space="0"/>
            </w:tcBorders>
            <w:noWrap/>
            <w:vAlign w:val="center"/>
          </w:tcPr>
          <w:p w14:paraId="3CDBDB7D">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sz w:val="20"/>
                <w:szCs w:val="20"/>
                <w:lang w:val="pt-BR"/>
              </w:rPr>
            </w:pPr>
            <w:r>
              <w:rPr>
                <w:rFonts w:hint="default" w:ascii="Arial" w:hAnsi="Arial" w:cs="Arial"/>
                <w:sz w:val="20"/>
                <w:szCs w:val="20"/>
                <w:lang w:val="pt-BR"/>
              </w:rPr>
              <w:t>5</w:t>
            </w:r>
          </w:p>
        </w:tc>
      </w:tr>
      <w:tr w14:paraId="64D80538">
        <w:tblPrEx>
          <w:tblCellMar>
            <w:top w:w="0" w:type="dxa"/>
            <w:left w:w="108" w:type="dxa"/>
            <w:bottom w:w="0" w:type="dxa"/>
            <w:right w:w="108" w:type="dxa"/>
          </w:tblCellMar>
        </w:tblPrEx>
        <w:trPr>
          <w:trHeight w:val="299" w:hRule="atLeast"/>
          <w:jc w:val="center"/>
        </w:trPr>
        <w:tc>
          <w:tcPr>
            <w:tcW w:w="710" w:type="dxa"/>
            <w:tcBorders>
              <w:top w:val="single" w:color="000000" w:sz="2" w:space="0"/>
              <w:left w:val="single" w:color="000000" w:sz="2" w:space="0"/>
              <w:bottom w:val="single" w:color="000000" w:sz="2" w:space="0"/>
              <w:right w:val="single" w:color="000000" w:sz="2" w:space="0"/>
            </w:tcBorders>
            <w:noWrap/>
            <w:vAlign w:val="center"/>
          </w:tcPr>
          <w:p w14:paraId="3E04E5C3">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rPr>
            </w:pPr>
            <w:r>
              <w:rPr>
                <w:rFonts w:hint="default" w:ascii="Arial" w:hAnsi="Arial" w:cs="Arial"/>
                <w:sz w:val="20"/>
                <w:szCs w:val="20"/>
                <w:lang w:val="pt-BR" w:eastAsia="zh-CN" w:bidi="ar"/>
              </w:rPr>
              <w:t>02</w:t>
            </w:r>
          </w:p>
        </w:tc>
        <w:tc>
          <w:tcPr>
            <w:tcW w:w="1713" w:type="dxa"/>
            <w:tcBorders>
              <w:top w:val="single" w:color="000000" w:sz="2" w:space="0"/>
              <w:left w:val="single" w:color="000000" w:sz="2" w:space="0"/>
              <w:bottom w:val="single" w:color="000000" w:sz="2" w:space="0"/>
              <w:right w:val="single" w:color="000000" w:sz="2" w:space="0"/>
            </w:tcBorders>
            <w:noWrap/>
            <w:vAlign w:val="center"/>
          </w:tcPr>
          <w:p w14:paraId="60745AE7">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bidi="ar"/>
              </w:rPr>
            </w:pPr>
            <w:r>
              <w:rPr>
                <w:rFonts w:ascii="Arial" w:hAnsi="Arial" w:cs="Arial"/>
                <w:sz w:val="20"/>
                <w:szCs w:val="20"/>
                <w:lang w:val="en-US" w:eastAsia="zh-CN" w:bidi="ar"/>
              </w:rPr>
              <w:t>Grande Porte</w:t>
            </w:r>
          </w:p>
        </w:tc>
        <w:tc>
          <w:tcPr>
            <w:tcW w:w="5976" w:type="dxa"/>
            <w:tcBorders>
              <w:top w:val="single" w:color="000000" w:sz="2" w:space="0"/>
              <w:left w:val="single" w:color="000000" w:sz="2" w:space="0"/>
              <w:bottom w:val="single" w:color="000000" w:sz="2" w:space="0"/>
              <w:right w:val="single" w:color="000000" w:sz="2" w:space="0"/>
            </w:tcBorders>
            <w:noWrap/>
            <w:vAlign w:val="center"/>
          </w:tcPr>
          <w:p w14:paraId="36C08129">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rPr>
            </w:pPr>
            <w:r>
              <w:rPr>
                <w:rFonts w:hint="default" w:ascii="Arial" w:hAnsi="Arial"/>
                <w:sz w:val="20"/>
                <w:szCs w:val="20"/>
                <w:lang w:val="en-US" w:eastAsia="zh-CN"/>
              </w:rPr>
              <w:t>EMEB RODRIGO DAMASCENO</w:t>
            </w:r>
          </w:p>
        </w:tc>
        <w:tc>
          <w:tcPr>
            <w:tcW w:w="965" w:type="dxa"/>
            <w:tcBorders>
              <w:top w:val="single" w:color="000000" w:sz="2" w:space="0"/>
              <w:left w:val="single" w:color="000000" w:sz="2" w:space="0"/>
              <w:bottom w:val="single" w:color="000000" w:sz="2" w:space="0"/>
              <w:right w:val="single" w:color="000000" w:sz="2" w:space="0"/>
            </w:tcBorders>
            <w:noWrap/>
            <w:vAlign w:val="center"/>
          </w:tcPr>
          <w:p w14:paraId="516814EE">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sz w:val="20"/>
                <w:szCs w:val="20"/>
                <w:lang w:val="pt-BR"/>
              </w:rPr>
            </w:pPr>
            <w:r>
              <w:rPr>
                <w:rFonts w:hint="default" w:ascii="Arial" w:hAnsi="Arial" w:cs="Arial"/>
                <w:sz w:val="20"/>
                <w:szCs w:val="20"/>
                <w:lang w:val="pt-BR"/>
              </w:rPr>
              <w:t>6</w:t>
            </w:r>
          </w:p>
        </w:tc>
      </w:tr>
      <w:tr w14:paraId="5B788FD7">
        <w:tblPrEx>
          <w:tblCellMar>
            <w:top w:w="0" w:type="dxa"/>
            <w:left w:w="108" w:type="dxa"/>
            <w:bottom w:w="0" w:type="dxa"/>
            <w:right w:w="108" w:type="dxa"/>
          </w:tblCellMar>
        </w:tblPrEx>
        <w:trPr>
          <w:trHeight w:val="300" w:hRule="atLeast"/>
          <w:jc w:val="center"/>
        </w:trPr>
        <w:tc>
          <w:tcPr>
            <w:tcW w:w="710" w:type="dxa"/>
            <w:tcBorders>
              <w:top w:val="single" w:color="000000" w:sz="2" w:space="0"/>
              <w:left w:val="single" w:color="000000" w:sz="2" w:space="0"/>
              <w:bottom w:val="single" w:color="000000" w:sz="2" w:space="0"/>
              <w:right w:val="single" w:color="000000" w:sz="2" w:space="0"/>
            </w:tcBorders>
            <w:noWrap/>
            <w:vAlign w:val="center"/>
          </w:tcPr>
          <w:p w14:paraId="4EFAF675">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rPr>
            </w:pPr>
            <w:r>
              <w:rPr>
                <w:rFonts w:hint="default" w:ascii="Arial" w:hAnsi="Arial" w:cs="Arial"/>
                <w:sz w:val="20"/>
                <w:szCs w:val="20"/>
                <w:lang w:val="pt-BR" w:eastAsia="zh-CN" w:bidi="ar"/>
              </w:rPr>
              <w:t>03</w:t>
            </w:r>
          </w:p>
        </w:tc>
        <w:tc>
          <w:tcPr>
            <w:tcW w:w="1713" w:type="dxa"/>
            <w:tcBorders>
              <w:top w:val="single" w:color="000000" w:sz="2" w:space="0"/>
              <w:left w:val="single" w:color="000000" w:sz="2" w:space="0"/>
              <w:bottom w:val="single" w:color="000000" w:sz="2" w:space="0"/>
              <w:right w:val="single" w:color="000000" w:sz="2" w:space="0"/>
            </w:tcBorders>
            <w:noWrap/>
            <w:vAlign w:val="center"/>
          </w:tcPr>
          <w:p w14:paraId="3C60566A">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bidi="ar"/>
              </w:rPr>
            </w:pPr>
            <w:r>
              <w:rPr>
                <w:rFonts w:ascii="Arial" w:hAnsi="Arial" w:cs="Arial"/>
                <w:sz w:val="20"/>
                <w:szCs w:val="20"/>
                <w:lang w:val="en-US" w:eastAsia="zh-CN" w:bidi="ar"/>
              </w:rPr>
              <w:t>Grande Porte</w:t>
            </w:r>
          </w:p>
        </w:tc>
        <w:tc>
          <w:tcPr>
            <w:tcW w:w="5976" w:type="dxa"/>
            <w:tcBorders>
              <w:top w:val="single" w:color="000000" w:sz="2" w:space="0"/>
              <w:left w:val="single" w:color="000000" w:sz="2" w:space="0"/>
              <w:bottom w:val="single" w:color="000000" w:sz="2" w:space="0"/>
              <w:right w:val="single" w:color="000000" w:sz="2" w:space="0"/>
            </w:tcBorders>
            <w:noWrap/>
            <w:vAlign w:val="center"/>
          </w:tcPr>
          <w:p w14:paraId="4E4D73C1">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rPr>
            </w:pPr>
            <w:r>
              <w:rPr>
                <w:rFonts w:hint="default" w:ascii="Arial" w:hAnsi="Arial"/>
                <w:sz w:val="20"/>
                <w:szCs w:val="20"/>
                <w:lang w:val="en-US" w:eastAsia="zh-CN"/>
              </w:rPr>
              <w:t>EMEB SADAO WATANABE</w:t>
            </w:r>
          </w:p>
        </w:tc>
        <w:tc>
          <w:tcPr>
            <w:tcW w:w="965" w:type="dxa"/>
            <w:tcBorders>
              <w:top w:val="single" w:color="000000" w:sz="2" w:space="0"/>
              <w:left w:val="single" w:color="000000" w:sz="2" w:space="0"/>
              <w:bottom w:val="single" w:color="000000" w:sz="2" w:space="0"/>
              <w:right w:val="single" w:color="000000" w:sz="2" w:space="0"/>
            </w:tcBorders>
            <w:noWrap/>
            <w:vAlign w:val="center"/>
          </w:tcPr>
          <w:p w14:paraId="4FDBC147">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sz w:val="20"/>
                <w:szCs w:val="20"/>
                <w:lang w:val="pt-BR"/>
              </w:rPr>
            </w:pPr>
            <w:r>
              <w:rPr>
                <w:rFonts w:hint="default" w:ascii="Arial" w:hAnsi="Arial" w:cs="Arial"/>
                <w:sz w:val="20"/>
                <w:szCs w:val="20"/>
                <w:lang w:val="pt-BR"/>
              </w:rPr>
              <w:t>6</w:t>
            </w:r>
          </w:p>
        </w:tc>
      </w:tr>
      <w:tr w14:paraId="27065B80">
        <w:tblPrEx>
          <w:tblCellMar>
            <w:top w:w="0" w:type="dxa"/>
            <w:left w:w="108" w:type="dxa"/>
            <w:bottom w:w="0" w:type="dxa"/>
            <w:right w:w="108" w:type="dxa"/>
          </w:tblCellMar>
        </w:tblPrEx>
        <w:trPr>
          <w:trHeight w:val="300" w:hRule="atLeast"/>
          <w:jc w:val="center"/>
        </w:trPr>
        <w:tc>
          <w:tcPr>
            <w:tcW w:w="710" w:type="dxa"/>
            <w:tcBorders>
              <w:top w:val="single" w:color="000000" w:sz="2" w:space="0"/>
              <w:left w:val="single" w:color="000000" w:sz="2" w:space="0"/>
              <w:bottom w:val="single" w:color="000000" w:sz="2" w:space="0"/>
              <w:right w:val="single" w:color="000000" w:sz="2" w:space="0"/>
            </w:tcBorders>
            <w:noWrap/>
            <w:vAlign w:val="center"/>
          </w:tcPr>
          <w:p w14:paraId="46199684">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rPr>
            </w:pPr>
            <w:r>
              <w:rPr>
                <w:rFonts w:hint="default" w:ascii="Arial" w:hAnsi="Arial" w:cs="Arial"/>
                <w:sz w:val="20"/>
                <w:szCs w:val="20"/>
                <w:lang w:val="pt-BR" w:eastAsia="zh-CN" w:bidi="ar"/>
              </w:rPr>
              <w:t>04</w:t>
            </w:r>
          </w:p>
        </w:tc>
        <w:tc>
          <w:tcPr>
            <w:tcW w:w="1713" w:type="dxa"/>
            <w:tcBorders>
              <w:top w:val="single" w:color="000000" w:sz="2" w:space="0"/>
              <w:left w:val="single" w:color="000000" w:sz="2" w:space="0"/>
              <w:bottom w:val="single" w:color="000000" w:sz="2" w:space="0"/>
              <w:right w:val="single" w:color="000000" w:sz="2" w:space="0"/>
            </w:tcBorders>
            <w:noWrap/>
            <w:vAlign w:val="center"/>
          </w:tcPr>
          <w:p w14:paraId="7EEE454C">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bidi="ar"/>
              </w:rPr>
            </w:pPr>
            <w:r>
              <w:rPr>
                <w:rFonts w:ascii="Arial" w:hAnsi="Arial" w:cs="Arial"/>
                <w:sz w:val="20"/>
                <w:szCs w:val="20"/>
                <w:lang w:val="en-US" w:eastAsia="zh-CN" w:bidi="ar"/>
              </w:rPr>
              <w:t>Pequeno Porte</w:t>
            </w:r>
          </w:p>
        </w:tc>
        <w:tc>
          <w:tcPr>
            <w:tcW w:w="5976" w:type="dxa"/>
            <w:tcBorders>
              <w:top w:val="single" w:color="000000" w:sz="2" w:space="0"/>
              <w:left w:val="single" w:color="000000" w:sz="2" w:space="0"/>
              <w:bottom w:val="single" w:color="000000" w:sz="2" w:space="0"/>
              <w:right w:val="single" w:color="000000" w:sz="2" w:space="0"/>
            </w:tcBorders>
            <w:noWrap/>
            <w:vAlign w:val="center"/>
          </w:tcPr>
          <w:p w14:paraId="49B2D11C">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rPr>
            </w:pPr>
            <w:r>
              <w:rPr>
                <w:rFonts w:ascii="Arial" w:hAnsi="Arial" w:cs="Arial"/>
                <w:sz w:val="20"/>
                <w:szCs w:val="20"/>
                <w:lang w:val="en-US" w:eastAsia="zh-CN" w:bidi="ar"/>
              </w:rPr>
              <w:t>EMEB SILVANA</w:t>
            </w:r>
          </w:p>
        </w:tc>
        <w:tc>
          <w:tcPr>
            <w:tcW w:w="965" w:type="dxa"/>
            <w:tcBorders>
              <w:top w:val="single" w:color="000000" w:sz="2" w:space="0"/>
              <w:left w:val="single" w:color="000000" w:sz="2" w:space="0"/>
              <w:bottom w:val="single" w:color="000000" w:sz="2" w:space="0"/>
              <w:right w:val="single" w:color="000000" w:sz="2" w:space="0"/>
            </w:tcBorders>
            <w:noWrap/>
            <w:vAlign w:val="center"/>
          </w:tcPr>
          <w:p w14:paraId="676B67C7">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sz w:val="20"/>
                <w:szCs w:val="20"/>
                <w:lang w:val="pt-BR"/>
              </w:rPr>
            </w:pPr>
            <w:r>
              <w:rPr>
                <w:rFonts w:hint="default" w:ascii="Arial" w:hAnsi="Arial" w:cs="Arial"/>
                <w:sz w:val="20"/>
                <w:szCs w:val="20"/>
                <w:lang w:val="pt-BR"/>
              </w:rPr>
              <w:t>4</w:t>
            </w:r>
          </w:p>
        </w:tc>
      </w:tr>
      <w:tr w14:paraId="465EF0F4">
        <w:tblPrEx>
          <w:tblCellMar>
            <w:top w:w="0" w:type="dxa"/>
            <w:left w:w="108" w:type="dxa"/>
            <w:bottom w:w="0" w:type="dxa"/>
            <w:right w:w="108" w:type="dxa"/>
          </w:tblCellMar>
        </w:tblPrEx>
        <w:trPr>
          <w:trHeight w:val="300" w:hRule="atLeast"/>
          <w:jc w:val="center"/>
        </w:trPr>
        <w:tc>
          <w:tcPr>
            <w:tcW w:w="710" w:type="dxa"/>
            <w:tcBorders>
              <w:top w:val="single" w:color="000000" w:sz="2" w:space="0"/>
              <w:left w:val="single" w:color="000000" w:sz="2" w:space="0"/>
              <w:bottom w:val="single" w:color="000000" w:sz="2" w:space="0"/>
              <w:right w:val="single" w:color="000000" w:sz="2" w:space="0"/>
            </w:tcBorders>
            <w:noWrap/>
            <w:vAlign w:val="center"/>
          </w:tcPr>
          <w:p w14:paraId="2E96BE64">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rPr>
            </w:pPr>
            <w:r>
              <w:rPr>
                <w:rFonts w:hint="default" w:ascii="Arial" w:hAnsi="Arial" w:cs="Arial"/>
                <w:sz w:val="20"/>
                <w:szCs w:val="20"/>
                <w:lang w:val="pt-BR" w:eastAsia="zh-CN" w:bidi="ar"/>
              </w:rPr>
              <w:t>05</w:t>
            </w:r>
          </w:p>
        </w:tc>
        <w:tc>
          <w:tcPr>
            <w:tcW w:w="1713" w:type="dxa"/>
            <w:tcBorders>
              <w:top w:val="single" w:color="000000" w:sz="2" w:space="0"/>
              <w:left w:val="single" w:color="000000" w:sz="2" w:space="0"/>
              <w:bottom w:val="single" w:color="000000" w:sz="2" w:space="0"/>
              <w:right w:val="single" w:color="000000" w:sz="2" w:space="0"/>
            </w:tcBorders>
            <w:noWrap/>
            <w:vAlign w:val="center"/>
          </w:tcPr>
          <w:p w14:paraId="6280A68A">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bidi="ar"/>
              </w:rPr>
            </w:pPr>
            <w:r>
              <w:rPr>
                <w:rFonts w:ascii="Arial" w:hAnsi="Arial" w:cs="Arial"/>
                <w:sz w:val="20"/>
                <w:szCs w:val="20"/>
                <w:lang w:val="en-US" w:eastAsia="zh-CN" w:bidi="ar"/>
              </w:rPr>
              <w:t>Pequeno Porte</w:t>
            </w:r>
          </w:p>
        </w:tc>
        <w:tc>
          <w:tcPr>
            <w:tcW w:w="5976" w:type="dxa"/>
            <w:tcBorders>
              <w:top w:val="single" w:color="000000" w:sz="2" w:space="0"/>
              <w:left w:val="single" w:color="000000" w:sz="2" w:space="0"/>
              <w:bottom w:val="single" w:color="000000" w:sz="2" w:space="0"/>
              <w:right w:val="single" w:color="000000" w:sz="2" w:space="0"/>
            </w:tcBorders>
            <w:noWrap/>
            <w:vAlign w:val="center"/>
          </w:tcPr>
          <w:p w14:paraId="399D8FA6">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rPr>
            </w:pPr>
            <w:r>
              <w:rPr>
                <w:rFonts w:hint="default" w:ascii="Arial" w:hAnsi="Arial"/>
                <w:sz w:val="20"/>
                <w:szCs w:val="20"/>
                <w:lang w:val="en-US" w:eastAsia="zh-CN"/>
              </w:rPr>
              <w:t>EMEB UILIBALDO VIEIRA GOBBO</w:t>
            </w:r>
          </w:p>
        </w:tc>
        <w:tc>
          <w:tcPr>
            <w:tcW w:w="965" w:type="dxa"/>
            <w:tcBorders>
              <w:top w:val="single" w:color="000000" w:sz="2" w:space="0"/>
              <w:left w:val="single" w:color="000000" w:sz="2" w:space="0"/>
              <w:bottom w:val="single" w:color="000000" w:sz="2" w:space="0"/>
              <w:right w:val="single" w:color="000000" w:sz="2" w:space="0"/>
            </w:tcBorders>
            <w:noWrap/>
            <w:vAlign w:val="center"/>
          </w:tcPr>
          <w:p w14:paraId="4386DFD3">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sz w:val="20"/>
                <w:szCs w:val="20"/>
                <w:lang w:val="pt-BR"/>
              </w:rPr>
            </w:pPr>
            <w:r>
              <w:rPr>
                <w:rFonts w:hint="default" w:ascii="Arial" w:hAnsi="Arial" w:cs="Arial"/>
                <w:sz w:val="20"/>
                <w:szCs w:val="20"/>
                <w:lang w:val="pt-BR"/>
              </w:rPr>
              <w:t>4</w:t>
            </w:r>
          </w:p>
        </w:tc>
      </w:tr>
      <w:tr w14:paraId="135D81C5">
        <w:tblPrEx>
          <w:tblCellMar>
            <w:top w:w="0" w:type="dxa"/>
            <w:left w:w="108" w:type="dxa"/>
            <w:bottom w:w="0" w:type="dxa"/>
            <w:right w:w="108" w:type="dxa"/>
          </w:tblCellMar>
        </w:tblPrEx>
        <w:trPr>
          <w:trHeight w:val="300" w:hRule="atLeast"/>
          <w:jc w:val="center"/>
        </w:trPr>
        <w:tc>
          <w:tcPr>
            <w:tcW w:w="710" w:type="dxa"/>
            <w:tcBorders>
              <w:top w:val="single" w:color="000000" w:sz="2" w:space="0"/>
              <w:left w:val="single" w:color="000000" w:sz="2" w:space="0"/>
              <w:bottom w:val="single" w:color="000000" w:sz="2" w:space="0"/>
              <w:right w:val="single" w:color="000000" w:sz="2" w:space="0"/>
            </w:tcBorders>
            <w:noWrap/>
            <w:vAlign w:val="center"/>
          </w:tcPr>
          <w:p w14:paraId="0631B552">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rPr>
            </w:pPr>
            <w:r>
              <w:rPr>
                <w:rFonts w:hint="default" w:ascii="Arial" w:hAnsi="Arial" w:cs="Arial"/>
                <w:sz w:val="20"/>
                <w:szCs w:val="20"/>
                <w:lang w:val="pt-BR" w:eastAsia="zh-CN" w:bidi="ar"/>
              </w:rPr>
              <w:t>06</w:t>
            </w:r>
          </w:p>
        </w:tc>
        <w:tc>
          <w:tcPr>
            <w:tcW w:w="1713" w:type="dxa"/>
            <w:tcBorders>
              <w:top w:val="single" w:color="000000" w:sz="2" w:space="0"/>
              <w:left w:val="single" w:color="000000" w:sz="2" w:space="0"/>
              <w:bottom w:val="single" w:color="000000" w:sz="2" w:space="0"/>
              <w:right w:val="single" w:color="000000" w:sz="2" w:space="0"/>
            </w:tcBorders>
            <w:noWrap/>
            <w:vAlign w:val="center"/>
          </w:tcPr>
          <w:p w14:paraId="0F1DE61B">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bidi="ar"/>
              </w:rPr>
            </w:pPr>
            <w:r>
              <w:rPr>
                <w:rFonts w:ascii="Arial" w:hAnsi="Arial" w:cs="Arial"/>
                <w:sz w:val="20"/>
                <w:szCs w:val="20"/>
                <w:lang w:val="en-US" w:eastAsia="zh-CN" w:bidi="ar"/>
              </w:rPr>
              <w:t>Médio Porte II</w:t>
            </w:r>
          </w:p>
        </w:tc>
        <w:tc>
          <w:tcPr>
            <w:tcW w:w="5976" w:type="dxa"/>
            <w:tcBorders>
              <w:top w:val="single" w:color="000000" w:sz="2" w:space="0"/>
              <w:left w:val="single" w:color="000000" w:sz="2" w:space="0"/>
              <w:bottom w:val="single" w:color="000000" w:sz="2" w:space="0"/>
              <w:right w:val="single" w:color="000000" w:sz="2" w:space="0"/>
            </w:tcBorders>
            <w:noWrap/>
            <w:vAlign w:val="center"/>
          </w:tcPr>
          <w:p w14:paraId="4FD8AB6E">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rPr>
            </w:pPr>
            <w:r>
              <w:rPr>
                <w:rFonts w:ascii="Arial" w:hAnsi="Arial" w:cs="Arial"/>
                <w:sz w:val="20"/>
                <w:szCs w:val="20"/>
                <w:lang w:val="en-US" w:eastAsia="zh-CN" w:bidi="ar"/>
              </w:rPr>
              <w:t>EMEB VEREADOR RODOLFO VALTER KUNZE</w:t>
            </w:r>
          </w:p>
        </w:tc>
        <w:tc>
          <w:tcPr>
            <w:tcW w:w="965" w:type="dxa"/>
            <w:tcBorders>
              <w:top w:val="single" w:color="000000" w:sz="2" w:space="0"/>
              <w:left w:val="single" w:color="000000" w:sz="2" w:space="0"/>
              <w:bottom w:val="single" w:color="000000" w:sz="2" w:space="0"/>
              <w:right w:val="single" w:color="000000" w:sz="2" w:space="0"/>
            </w:tcBorders>
            <w:noWrap/>
            <w:vAlign w:val="center"/>
          </w:tcPr>
          <w:p w14:paraId="673DE209">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sz w:val="20"/>
                <w:szCs w:val="20"/>
                <w:lang w:val="pt-BR"/>
              </w:rPr>
            </w:pPr>
            <w:r>
              <w:rPr>
                <w:rFonts w:hint="default" w:ascii="Arial" w:hAnsi="Arial" w:cs="Arial"/>
                <w:sz w:val="20"/>
                <w:szCs w:val="20"/>
                <w:lang w:val="pt-BR"/>
              </w:rPr>
              <w:t>6</w:t>
            </w:r>
          </w:p>
        </w:tc>
      </w:tr>
      <w:tr w14:paraId="2C97F85A">
        <w:tblPrEx>
          <w:tblCellMar>
            <w:top w:w="0" w:type="dxa"/>
            <w:left w:w="108" w:type="dxa"/>
            <w:bottom w:w="0" w:type="dxa"/>
            <w:right w:w="108" w:type="dxa"/>
          </w:tblCellMar>
        </w:tblPrEx>
        <w:trPr>
          <w:trHeight w:val="300" w:hRule="atLeast"/>
          <w:jc w:val="center"/>
        </w:trPr>
        <w:tc>
          <w:tcPr>
            <w:tcW w:w="710" w:type="dxa"/>
            <w:tcBorders>
              <w:top w:val="single" w:color="000000" w:sz="2" w:space="0"/>
              <w:left w:val="single" w:color="000000" w:sz="2" w:space="0"/>
              <w:bottom w:val="single" w:color="000000" w:sz="2" w:space="0"/>
              <w:right w:val="single" w:color="000000" w:sz="2" w:space="0"/>
            </w:tcBorders>
            <w:noWrap/>
            <w:vAlign w:val="center"/>
          </w:tcPr>
          <w:p w14:paraId="23CFAF2B">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rPr>
            </w:pPr>
            <w:r>
              <w:rPr>
                <w:rFonts w:hint="default" w:ascii="Arial" w:hAnsi="Arial" w:cs="Arial"/>
                <w:sz w:val="20"/>
                <w:szCs w:val="20"/>
                <w:lang w:val="pt-BR" w:eastAsia="zh-CN" w:bidi="ar"/>
              </w:rPr>
              <w:t>07</w:t>
            </w:r>
          </w:p>
        </w:tc>
        <w:tc>
          <w:tcPr>
            <w:tcW w:w="1713" w:type="dxa"/>
            <w:tcBorders>
              <w:top w:val="single" w:color="000000" w:sz="2" w:space="0"/>
              <w:left w:val="single" w:color="000000" w:sz="2" w:space="0"/>
              <w:bottom w:val="single" w:color="000000" w:sz="2" w:space="0"/>
              <w:right w:val="single" w:color="000000" w:sz="2" w:space="0"/>
            </w:tcBorders>
            <w:noWrap/>
            <w:vAlign w:val="center"/>
          </w:tcPr>
          <w:p w14:paraId="4696BA9D">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bidi="ar"/>
              </w:rPr>
            </w:pPr>
            <w:r>
              <w:rPr>
                <w:rFonts w:ascii="Arial" w:hAnsi="Arial" w:cs="Arial"/>
                <w:sz w:val="20"/>
                <w:szCs w:val="20"/>
                <w:lang w:val="en-US" w:eastAsia="zh-CN" w:bidi="ar"/>
              </w:rPr>
              <w:t>Grande Porte</w:t>
            </w:r>
          </w:p>
        </w:tc>
        <w:tc>
          <w:tcPr>
            <w:tcW w:w="5976" w:type="dxa"/>
            <w:tcBorders>
              <w:top w:val="single" w:color="000000" w:sz="2" w:space="0"/>
              <w:left w:val="single" w:color="000000" w:sz="2" w:space="0"/>
              <w:bottom w:val="single" w:color="000000" w:sz="2" w:space="0"/>
              <w:right w:val="single" w:color="000000" w:sz="2" w:space="0"/>
            </w:tcBorders>
            <w:noWrap/>
            <w:vAlign w:val="center"/>
          </w:tcPr>
          <w:p w14:paraId="4416D501">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rPr>
            </w:pPr>
            <w:r>
              <w:rPr>
                <w:rFonts w:ascii="Arial" w:hAnsi="Arial" w:cs="Arial"/>
                <w:sz w:val="20"/>
                <w:szCs w:val="20"/>
                <w:lang w:val="en-US" w:eastAsia="zh-CN" w:bidi="ar"/>
              </w:rPr>
              <w:t>CENTRO EDUCACIONAL LINDOLFO JOSE TRIERWEILLER</w:t>
            </w:r>
          </w:p>
        </w:tc>
        <w:tc>
          <w:tcPr>
            <w:tcW w:w="965" w:type="dxa"/>
            <w:tcBorders>
              <w:top w:val="single" w:color="000000" w:sz="2" w:space="0"/>
              <w:left w:val="single" w:color="000000" w:sz="2" w:space="0"/>
              <w:bottom w:val="single" w:color="000000" w:sz="2" w:space="0"/>
              <w:right w:val="single" w:color="000000" w:sz="2" w:space="0"/>
            </w:tcBorders>
            <w:noWrap/>
            <w:vAlign w:val="center"/>
          </w:tcPr>
          <w:p w14:paraId="4F265FBA">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sz w:val="20"/>
                <w:szCs w:val="20"/>
                <w:lang w:val="pt-BR"/>
              </w:rPr>
            </w:pPr>
            <w:r>
              <w:rPr>
                <w:rFonts w:hint="default" w:ascii="Arial" w:hAnsi="Arial" w:cs="Arial"/>
                <w:sz w:val="20"/>
                <w:szCs w:val="20"/>
                <w:lang w:val="pt-BR"/>
              </w:rPr>
              <w:t>6</w:t>
            </w:r>
          </w:p>
        </w:tc>
      </w:tr>
      <w:tr w14:paraId="4AA1E0C9">
        <w:tblPrEx>
          <w:tblCellMar>
            <w:top w:w="0" w:type="dxa"/>
            <w:left w:w="108" w:type="dxa"/>
            <w:bottom w:w="0" w:type="dxa"/>
            <w:right w:w="108" w:type="dxa"/>
          </w:tblCellMar>
        </w:tblPrEx>
        <w:trPr>
          <w:trHeight w:val="300" w:hRule="atLeast"/>
          <w:jc w:val="center"/>
        </w:trPr>
        <w:tc>
          <w:tcPr>
            <w:tcW w:w="710" w:type="dxa"/>
            <w:tcBorders>
              <w:top w:val="single" w:color="000000" w:sz="2" w:space="0"/>
              <w:left w:val="single" w:color="000000" w:sz="2" w:space="0"/>
              <w:bottom w:val="single" w:color="000000" w:sz="2" w:space="0"/>
              <w:right w:val="single" w:color="000000" w:sz="2" w:space="0"/>
            </w:tcBorders>
            <w:noWrap/>
            <w:vAlign w:val="center"/>
          </w:tcPr>
          <w:p w14:paraId="30AB0806">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rPr>
            </w:pPr>
            <w:r>
              <w:rPr>
                <w:rFonts w:hint="default" w:ascii="Arial" w:hAnsi="Arial" w:cs="Arial"/>
                <w:sz w:val="20"/>
                <w:szCs w:val="20"/>
                <w:lang w:val="pt-BR" w:eastAsia="zh-CN" w:bidi="ar"/>
              </w:rPr>
              <w:t>08</w:t>
            </w:r>
          </w:p>
        </w:tc>
        <w:tc>
          <w:tcPr>
            <w:tcW w:w="1713" w:type="dxa"/>
            <w:tcBorders>
              <w:top w:val="single" w:color="000000" w:sz="2" w:space="0"/>
              <w:left w:val="single" w:color="000000" w:sz="2" w:space="0"/>
              <w:bottom w:val="single" w:color="000000" w:sz="2" w:space="0"/>
              <w:right w:val="single" w:color="000000" w:sz="2" w:space="0"/>
            </w:tcBorders>
            <w:noWrap/>
            <w:vAlign w:val="center"/>
          </w:tcPr>
          <w:p w14:paraId="1E7DFF7C">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bidi="ar"/>
              </w:rPr>
            </w:pPr>
            <w:r>
              <w:rPr>
                <w:rFonts w:ascii="Arial" w:hAnsi="Arial" w:cs="Arial"/>
                <w:sz w:val="20"/>
                <w:szCs w:val="20"/>
                <w:lang w:val="en-US" w:eastAsia="zh-CN" w:bidi="ar"/>
              </w:rPr>
              <w:t>Pequeno Porte</w:t>
            </w:r>
          </w:p>
        </w:tc>
        <w:tc>
          <w:tcPr>
            <w:tcW w:w="5976" w:type="dxa"/>
            <w:tcBorders>
              <w:top w:val="single" w:color="000000" w:sz="2" w:space="0"/>
              <w:left w:val="single" w:color="000000" w:sz="2" w:space="0"/>
              <w:bottom w:val="single" w:color="000000" w:sz="2" w:space="0"/>
              <w:right w:val="single" w:color="000000" w:sz="2" w:space="0"/>
            </w:tcBorders>
            <w:noWrap/>
            <w:vAlign w:val="center"/>
          </w:tcPr>
          <w:p w14:paraId="11EB9482">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rPr>
            </w:pPr>
            <w:r>
              <w:rPr>
                <w:rFonts w:ascii="Arial" w:hAnsi="Arial" w:cs="Arial"/>
                <w:sz w:val="20"/>
                <w:szCs w:val="20"/>
                <w:lang w:val="en-US" w:eastAsia="zh-CN" w:bidi="ar"/>
              </w:rPr>
              <w:t>EMEI UNIÃO</w:t>
            </w:r>
          </w:p>
        </w:tc>
        <w:tc>
          <w:tcPr>
            <w:tcW w:w="965" w:type="dxa"/>
            <w:tcBorders>
              <w:top w:val="single" w:color="000000" w:sz="2" w:space="0"/>
              <w:left w:val="single" w:color="000000" w:sz="2" w:space="0"/>
              <w:bottom w:val="single" w:color="000000" w:sz="2" w:space="0"/>
              <w:right w:val="single" w:color="000000" w:sz="2" w:space="0"/>
            </w:tcBorders>
            <w:noWrap/>
            <w:vAlign w:val="center"/>
          </w:tcPr>
          <w:p w14:paraId="1F7EEF4D">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sz w:val="20"/>
                <w:szCs w:val="20"/>
                <w:lang w:val="pt-BR"/>
              </w:rPr>
            </w:pPr>
            <w:r>
              <w:rPr>
                <w:rFonts w:hint="default" w:ascii="Arial" w:hAnsi="Arial" w:cs="Arial"/>
                <w:sz w:val="20"/>
                <w:szCs w:val="20"/>
                <w:lang w:val="pt-BR"/>
              </w:rPr>
              <w:t>4</w:t>
            </w:r>
          </w:p>
        </w:tc>
      </w:tr>
      <w:tr w14:paraId="5306E806">
        <w:tblPrEx>
          <w:tblCellMar>
            <w:top w:w="0" w:type="dxa"/>
            <w:left w:w="108" w:type="dxa"/>
            <w:bottom w:w="0" w:type="dxa"/>
            <w:right w:w="108" w:type="dxa"/>
          </w:tblCellMar>
        </w:tblPrEx>
        <w:trPr>
          <w:trHeight w:val="300" w:hRule="atLeast"/>
          <w:jc w:val="center"/>
        </w:trPr>
        <w:tc>
          <w:tcPr>
            <w:tcW w:w="710" w:type="dxa"/>
            <w:tcBorders>
              <w:top w:val="single" w:color="000000" w:sz="2" w:space="0"/>
              <w:left w:val="single" w:color="000000" w:sz="2" w:space="0"/>
              <w:bottom w:val="single" w:color="000000" w:sz="2" w:space="0"/>
              <w:right w:val="single" w:color="000000" w:sz="2" w:space="0"/>
            </w:tcBorders>
            <w:noWrap/>
            <w:vAlign w:val="center"/>
          </w:tcPr>
          <w:p w14:paraId="09590493">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rPr>
            </w:pPr>
            <w:r>
              <w:rPr>
                <w:rFonts w:hint="default" w:ascii="Arial" w:hAnsi="Arial" w:cs="Arial"/>
                <w:sz w:val="20"/>
                <w:szCs w:val="20"/>
                <w:lang w:val="pt-BR" w:eastAsia="zh-CN" w:bidi="ar"/>
              </w:rPr>
              <w:t>09</w:t>
            </w:r>
          </w:p>
        </w:tc>
        <w:tc>
          <w:tcPr>
            <w:tcW w:w="1713" w:type="dxa"/>
            <w:tcBorders>
              <w:top w:val="single" w:color="000000" w:sz="2" w:space="0"/>
              <w:left w:val="single" w:color="000000" w:sz="2" w:space="0"/>
              <w:bottom w:val="single" w:color="000000" w:sz="2" w:space="0"/>
              <w:right w:val="single" w:color="000000" w:sz="2" w:space="0"/>
            </w:tcBorders>
            <w:noWrap/>
            <w:vAlign w:val="center"/>
          </w:tcPr>
          <w:p w14:paraId="4965E7B3">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bidi="ar"/>
              </w:rPr>
            </w:pPr>
            <w:r>
              <w:rPr>
                <w:rFonts w:ascii="Arial" w:hAnsi="Arial" w:cs="Arial"/>
                <w:sz w:val="20"/>
                <w:szCs w:val="20"/>
                <w:lang w:val="en-US" w:eastAsia="zh-CN" w:bidi="ar"/>
              </w:rPr>
              <w:t>Médio Porte I</w:t>
            </w:r>
          </w:p>
        </w:tc>
        <w:tc>
          <w:tcPr>
            <w:tcW w:w="5976" w:type="dxa"/>
            <w:tcBorders>
              <w:top w:val="single" w:color="000000" w:sz="2" w:space="0"/>
              <w:left w:val="single" w:color="000000" w:sz="2" w:space="0"/>
              <w:bottom w:val="single" w:color="000000" w:sz="2" w:space="0"/>
              <w:right w:val="single" w:color="000000" w:sz="2" w:space="0"/>
            </w:tcBorders>
            <w:noWrap/>
            <w:vAlign w:val="center"/>
          </w:tcPr>
          <w:p w14:paraId="3A8BE1D2">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rPr>
            </w:pPr>
            <w:r>
              <w:rPr>
                <w:rFonts w:ascii="Arial" w:hAnsi="Arial" w:cs="Arial"/>
                <w:sz w:val="20"/>
                <w:szCs w:val="20"/>
                <w:lang w:val="en-US" w:eastAsia="zh-CN" w:bidi="ar"/>
              </w:rPr>
              <w:t>EMEI SÃO CRISTÓVÃO</w:t>
            </w:r>
          </w:p>
        </w:tc>
        <w:tc>
          <w:tcPr>
            <w:tcW w:w="965" w:type="dxa"/>
            <w:tcBorders>
              <w:top w:val="single" w:color="000000" w:sz="2" w:space="0"/>
              <w:left w:val="single" w:color="000000" w:sz="2" w:space="0"/>
              <w:bottom w:val="single" w:color="000000" w:sz="2" w:space="0"/>
              <w:right w:val="single" w:color="000000" w:sz="2" w:space="0"/>
            </w:tcBorders>
            <w:noWrap/>
            <w:vAlign w:val="center"/>
          </w:tcPr>
          <w:p w14:paraId="367DC384">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sz w:val="20"/>
                <w:szCs w:val="20"/>
                <w:lang w:val="pt-BR"/>
              </w:rPr>
            </w:pPr>
            <w:r>
              <w:rPr>
                <w:rFonts w:hint="default" w:ascii="Arial" w:hAnsi="Arial" w:cs="Arial"/>
                <w:sz w:val="20"/>
                <w:szCs w:val="20"/>
                <w:lang w:val="pt-BR"/>
              </w:rPr>
              <w:t>4</w:t>
            </w:r>
          </w:p>
        </w:tc>
      </w:tr>
      <w:tr w14:paraId="64409AA1">
        <w:tblPrEx>
          <w:tblCellMar>
            <w:top w:w="0" w:type="dxa"/>
            <w:left w:w="108" w:type="dxa"/>
            <w:bottom w:w="0" w:type="dxa"/>
            <w:right w:w="108" w:type="dxa"/>
          </w:tblCellMar>
        </w:tblPrEx>
        <w:trPr>
          <w:trHeight w:val="300" w:hRule="atLeast"/>
          <w:jc w:val="center"/>
        </w:trPr>
        <w:tc>
          <w:tcPr>
            <w:tcW w:w="710" w:type="dxa"/>
            <w:tcBorders>
              <w:top w:val="single" w:color="000000" w:sz="2" w:space="0"/>
              <w:left w:val="single" w:color="000000" w:sz="2" w:space="0"/>
              <w:bottom w:val="single" w:color="000000" w:sz="2" w:space="0"/>
              <w:right w:val="single" w:color="000000" w:sz="2" w:space="0"/>
            </w:tcBorders>
            <w:noWrap/>
            <w:vAlign w:val="center"/>
          </w:tcPr>
          <w:p w14:paraId="3780256A">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rPr>
            </w:pPr>
            <w:r>
              <w:rPr>
                <w:rFonts w:hint="default" w:ascii="Arial" w:hAnsi="Arial" w:cs="Arial"/>
                <w:sz w:val="20"/>
                <w:szCs w:val="20"/>
                <w:lang w:val="pt-BR" w:eastAsia="zh-CN" w:bidi="ar"/>
              </w:rPr>
              <w:t>10</w:t>
            </w:r>
          </w:p>
        </w:tc>
        <w:tc>
          <w:tcPr>
            <w:tcW w:w="1713" w:type="dxa"/>
            <w:tcBorders>
              <w:top w:val="single" w:color="000000" w:sz="2" w:space="0"/>
              <w:left w:val="single" w:color="000000" w:sz="2" w:space="0"/>
              <w:bottom w:val="single" w:color="000000" w:sz="2" w:space="0"/>
              <w:right w:val="single" w:color="000000" w:sz="2" w:space="0"/>
            </w:tcBorders>
            <w:noWrap/>
            <w:vAlign w:val="center"/>
          </w:tcPr>
          <w:p w14:paraId="3824F374">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bidi="ar"/>
              </w:rPr>
            </w:pPr>
            <w:r>
              <w:rPr>
                <w:rFonts w:ascii="Arial" w:hAnsi="Arial" w:cs="Arial"/>
                <w:sz w:val="20"/>
                <w:szCs w:val="20"/>
                <w:lang w:val="en-US" w:eastAsia="zh-CN" w:bidi="ar"/>
              </w:rPr>
              <w:t>Pequeno Porte</w:t>
            </w:r>
          </w:p>
        </w:tc>
        <w:tc>
          <w:tcPr>
            <w:tcW w:w="5976" w:type="dxa"/>
            <w:tcBorders>
              <w:top w:val="single" w:color="000000" w:sz="2" w:space="0"/>
              <w:left w:val="single" w:color="000000" w:sz="2" w:space="0"/>
              <w:bottom w:val="single" w:color="000000" w:sz="2" w:space="0"/>
              <w:right w:val="single" w:color="000000" w:sz="2" w:space="0"/>
            </w:tcBorders>
            <w:noWrap/>
            <w:vAlign w:val="center"/>
          </w:tcPr>
          <w:p w14:paraId="01B2BE7D">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rPr>
            </w:pPr>
            <w:r>
              <w:rPr>
                <w:rFonts w:ascii="Arial" w:hAnsi="Arial" w:cs="Arial"/>
                <w:sz w:val="20"/>
                <w:szCs w:val="20"/>
                <w:lang w:val="en-US" w:eastAsia="zh-CN" w:bidi="ar"/>
              </w:rPr>
              <w:t>EMEI SÃO FRANCISCO DE ASSIS</w:t>
            </w:r>
          </w:p>
        </w:tc>
        <w:tc>
          <w:tcPr>
            <w:tcW w:w="965" w:type="dxa"/>
            <w:tcBorders>
              <w:top w:val="single" w:color="000000" w:sz="2" w:space="0"/>
              <w:left w:val="single" w:color="000000" w:sz="2" w:space="0"/>
              <w:bottom w:val="single" w:color="000000" w:sz="2" w:space="0"/>
              <w:right w:val="single" w:color="000000" w:sz="2" w:space="0"/>
            </w:tcBorders>
            <w:noWrap/>
            <w:vAlign w:val="center"/>
          </w:tcPr>
          <w:p w14:paraId="022C3F34">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sz w:val="20"/>
                <w:szCs w:val="20"/>
                <w:lang w:val="pt-BR"/>
              </w:rPr>
            </w:pPr>
            <w:r>
              <w:rPr>
                <w:rFonts w:hint="default" w:ascii="Arial" w:hAnsi="Arial" w:cs="Arial"/>
                <w:sz w:val="20"/>
                <w:szCs w:val="20"/>
                <w:lang w:val="pt-BR"/>
              </w:rPr>
              <w:t>4</w:t>
            </w:r>
          </w:p>
        </w:tc>
      </w:tr>
      <w:tr w14:paraId="7CD28724">
        <w:tblPrEx>
          <w:tblCellMar>
            <w:top w:w="0" w:type="dxa"/>
            <w:left w:w="108" w:type="dxa"/>
            <w:bottom w:w="0" w:type="dxa"/>
            <w:right w:w="108" w:type="dxa"/>
          </w:tblCellMar>
        </w:tblPrEx>
        <w:trPr>
          <w:trHeight w:val="300" w:hRule="atLeast"/>
          <w:jc w:val="center"/>
        </w:trPr>
        <w:tc>
          <w:tcPr>
            <w:tcW w:w="710" w:type="dxa"/>
            <w:tcBorders>
              <w:top w:val="single" w:color="000000" w:sz="2" w:space="0"/>
              <w:left w:val="single" w:color="000000" w:sz="2" w:space="0"/>
              <w:bottom w:val="single" w:color="000000" w:sz="2" w:space="0"/>
              <w:right w:val="single" w:color="000000" w:sz="2" w:space="0"/>
            </w:tcBorders>
            <w:noWrap/>
            <w:vAlign w:val="center"/>
          </w:tcPr>
          <w:p w14:paraId="0AD3C74D">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rPr>
            </w:pPr>
            <w:r>
              <w:rPr>
                <w:rFonts w:hint="default" w:ascii="Arial" w:hAnsi="Arial" w:cs="Arial"/>
                <w:sz w:val="20"/>
                <w:szCs w:val="20"/>
                <w:lang w:val="pt-BR" w:eastAsia="zh-CN" w:bidi="ar"/>
              </w:rPr>
              <w:t>11</w:t>
            </w:r>
          </w:p>
        </w:tc>
        <w:tc>
          <w:tcPr>
            <w:tcW w:w="1713" w:type="dxa"/>
            <w:tcBorders>
              <w:top w:val="single" w:color="000000" w:sz="2" w:space="0"/>
              <w:left w:val="single" w:color="000000" w:sz="2" w:space="0"/>
              <w:bottom w:val="single" w:color="000000" w:sz="2" w:space="0"/>
              <w:right w:val="single" w:color="000000" w:sz="2" w:space="0"/>
            </w:tcBorders>
            <w:noWrap/>
            <w:vAlign w:val="center"/>
          </w:tcPr>
          <w:p w14:paraId="6FE73400">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bidi="ar"/>
              </w:rPr>
            </w:pPr>
            <w:r>
              <w:rPr>
                <w:rFonts w:ascii="Arial" w:hAnsi="Arial" w:cs="Arial"/>
                <w:sz w:val="20"/>
                <w:szCs w:val="20"/>
                <w:lang w:val="en-US" w:eastAsia="zh-CN" w:bidi="ar"/>
              </w:rPr>
              <w:t>Médio Porte I</w:t>
            </w:r>
          </w:p>
        </w:tc>
        <w:tc>
          <w:tcPr>
            <w:tcW w:w="5976" w:type="dxa"/>
            <w:tcBorders>
              <w:top w:val="single" w:color="000000" w:sz="2" w:space="0"/>
              <w:left w:val="single" w:color="000000" w:sz="2" w:space="0"/>
              <w:bottom w:val="single" w:color="000000" w:sz="2" w:space="0"/>
              <w:right w:val="single" w:color="000000" w:sz="2" w:space="0"/>
            </w:tcBorders>
            <w:noWrap/>
            <w:vAlign w:val="center"/>
          </w:tcPr>
          <w:p w14:paraId="5006855C">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rPr>
            </w:pPr>
            <w:r>
              <w:rPr>
                <w:rFonts w:ascii="Arial" w:hAnsi="Arial" w:cs="Arial"/>
                <w:sz w:val="20"/>
                <w:szCs w:val="20"/>
                <w:lang w:val="en-US" w:eastAsia="zh-CN" w:bidi="ar"/>
              </w:rPr>
              <w:t>EMEI SANTO ANTÔNIO</w:t>
            </w:r>
          </w:p>
        </w:tc>
        <w:tc>
          <w:tcPr>
            <w:tcW w:w="965" w:type="dxa"/>
            <w:tcBorders>
              <w:top w:val="single" w:color="000000" w:sz="2" w:space="0"/>
              <w:left w:val="single" w:color="000000" w:sz="2" w:space="0"/>
              <w:bottom w:val="single" w:color="000000" w:sz="2" w:space="0"/>
              <w:right w:val="single" w:color="000000" w:sz="2" w:space="0"/>
            </w:tcBorders>
            <w:noWrap/>
            <w:vAlign w:val="center"/>
          </w:tcPr>
          <w:p w14:paraId="552B1488">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sz w:val="20"/>
                <w:szCs w:val="20"/>
                <w:lang w:val="pt-BR"/>
              </w:rPr>
            </w:pPr>
            <w:r>
              <w:rPr>
                <w:rFonts w:hint="default" w:ascii="Arial" w:hAnsi="Arial" w:cs="Arial"/>
                <w:sz w:val="20"/>
                <w:szCs w:val="20"/>
                <w:lang w:val="pt-BR"/>
              </w:rPr>
              <w:t>4</w:t>
            </w:r>
          </w:p>
        </w:tc>
      </w:tr>
      <w:tr w14:paraId="4CBBAABB">
        <w:tblPrEx>
          <w:tblCellMar>
            <w:top w:w="0" w:type="dxa"/>
            <w:left w:w="108" w:type="dxa"/>
            <w:bottom w:w="0" w:type="dxa"/>
            <w:right w:w="108" w:type="dxa"/>
          </w:tblCellMar>
        </w:tblPrEx>
        <w:trPr>
          <w:trHeight w:val="300" w:hRule="atLeast"/>
          <w:jc w:val="center"/>
        </w:trPr>
        <w:tc>
          <w:tcPr>
            <w:tcW w:w="710" w:type="dxa"/>
            <w:tcBorders>
              <w:top w:val="single" w:color="000000" w:sz="2" w:space="0"/>
              <w:left w:val="single" w:color="000000" w:sz="2" w:space="0"/>
              <w:bottom w:val="single" w:color="000000" w:sz="2" w:space="0"/>
              <w:right w:val="single" w:color="000000" w:sz="2" w:space="0"/>
            </w:tcBorders>
            <w:noWrap/>
            <w:vAlign w:val="center"/>
          </w:tcPr>
          <w:p w14:paraId="2C73E4B6">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rPr>
            </w:pPr>
            <w:r>
              <w:rPr>
                <w:rFonts w:hint="default" w:ascii="Arial" w:hAnsi="Arial" w:cs="Arial"/>
                <w:sz w:val="20"/>
                <w:szCs w:val="20"/>
                <w:lang w:val="pt-BR" w:eastAsia="zh-CN" w:bidi="ar"/>
              </w:rPr>
              <w:t>12</w:t>
            </w:r>
          </w:p>
        </w:tc>
        <w:tc>
          <w:tcPr>
            <w:tcW w:w="1713" w:type="dxa"/>
            <w:tcBorders>
              <w:top w:val="single" w:color="000000" w:sz="2" w:space="0"/>
              <w:left w:val="single" w:color="000000" w:sz="2" w:space="0"/>
              <w:bottom w:val="single" w:color="000000" w:sz="2" w:space="0"/>
              <w:right w:val="single" w:color="000000" w:sz="2" w:space="0"/>
            </w:tcBorders>
            <w:noWrap/>
            <w:vAlign w:val="center"/>
          </w:tcPr>
          <w:p w14:paraId="07BC6E4A">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bidi="ar"/>
              </w:rPr>
            </w:pPr>
            <w:r>
              <w:rPr>
                <w:rFonts w:ascii="Arial" w:hAnsi="Arial" w:cs="Arial"/>
                <w:sz w:val="20"/>
                <w:szCs w:val="20"/>
                <w:lang w:val="en-US" w:eastAsia="zh-CN" w:bidi="ar"/>
              </w:rPr>
              <w:t>Médio Porte II</w:t>
            </w:r>
          </w:p>
        </w:tc>
        <w:tc>
          <w:tcPr>
            <w:tcW w:w="5976" w:type="dxa"/>
            <w:tcBorders>
              <w:top w:val="single" w:color="000000" w:sz="2" w:space="0"/>
              <w:left w:val="single" w:color="000000" w:sz="2" w:space="0"/>
              <w:bottom w:val="single" w:color="000000" w:sz="2" w:space="0"/>
              <w:right w:val="single" w:color="000000" w:sz="2" w:space="0"/>
            </w:tcBorders>
            <w:noWrap/>
            <w:vAlign w:val="center"/>
          </w:tcPr>
          <w:p w14:paraId="6A0D0A64">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rPr>
            </w:pPr>
            <w:r>
              <w:rPr>
                <w:rFonts w:ascii="Arial" w:hAnsi="Arial" w:cs="Arial"/>
                <w:sz w:val="20"/>
                <w:szCs w:val="20"/>
                <w:lang w:val="en-US" w:eastAsia="zh-CN" w:bidi="ar"/>
              </w:rPr>
              <w:t>EMEB</w:t>
            </w:r>
            <w:r>
              <w:rPr>
                <w:rFonts w:hint="default" w:ascii="Arial" w:hAnsi="Arial" w:cs="Arial"/>
                <w:sz w:val="20"/>
                <w:szCs w:val="20"/>
                <w:lang w:val="pt-BR" w:eastAsia="zh-CN" w:bidi="ar"/>
              </w:rPr>
              <w:t xml:space="preserve"> </w:t>
            </w:r>
            <w:r>
              <w:rPr>
                <w:rFonts w:ascii="Arial" w:hAnsi="Arial" w:cs="Arial"/>
                <w:sz w:val="20"/>
                <w:szCs w:val="20"/>
                <w:lang w:val="en-US" w:eastAsia="zh-CN" w:bidi="ar"/>
              </w:rPr>
              <w:t>ALEIXO SCHENATTO</w:t>
            </w:r>
          </w:p>
        </w:tc>
        <w:tc>
          <w:tcPr>
            <w:tcW w:w="965" w:type="dxa"/>
            <w:tcBorders>
              <w:top w:val="single" w:color="000000" w:sz="2" w:space="0"/>
              <w:left w:val="single" w:color="000000" w:sz="2" w:space="0"/>
              <w:bottom w:val="single" w:color="000000" w:sz="2" w:space="0"/>
              <w:right w:val="single" w:color="000000" w:sz="2" w:space="0"/>
            </w:tcBorders>
            <w:noWrap/>
            <w:vAlign w:val="center"/>
          </w:tcPr>
          <w:p w14:paraId="387FBD3D">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sz w:val="20"/>
                <w:szCs w:val="20"/>
                <w:lang w:val="pt-BR"/>
              </w:rPr>
            </w:pPr>
            <w:r>
              <w:rPr>
                <w:rFonts w:hint="default" w:ascii="Arial" w:hAnsi="Arial" w:cs="Arial"/>
                <w:sz w:val="20"/>
                <w:szCs w:val="20"/>
                <w:lang w:val="pt-BR"/>
              </w:rPr>
              <w:t>5</w:t>
            </w:r>
          </w:p>
        </w:tc>
      </w:tr>
      <w:tr w14:paraId="3322150F">
        <w:tblPrEx>
          <w:tblCellMar>
            <w:top w:w="0" w:type="dxa"/>
            <w:left w:w="108" w:type="dxa"/>
            <w:bottom w:w="0" w:type="dxa"/>
            <w:right w:w="108" w:type="dxa"/>
          </w:tblCellMar>
        </w:tblPrEx>
        <w:trPr>
          <w:trHeight w:val="300" w:hRule="atLeast"/>
          <w:jc w:val="center"/>
        </w:trPr>
        <w:tc>
          <w:tcPr>
            <w:tcW w:w="710" w:type="dxa"/>
            <w:tcBorders>
              <w:top w:val="single" w:color="000000" w:sz="2" w:space="0"/>
              <w:left w:val="single" w:color="000000" w:sz="2" w:space="0"/>
              <w:bottom w:val="single" w:color="000000" w:sz="2" w:space="0"/>
              <w:right w:val="single" w:color="000000" w:sz="2" w:space="0"/>
            </w:tcBorders>
            <w:noWrap/>
            <w:vAlign w:val="center"/>
          </w:tcPr>
          <w:p w14:paraId="6FFECF2A">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rPr>
            </w:pPr>
            <w:r>
              <w:rPr>
                <w:rFonts w:hint="default" w:ascii="Arial" w:hAnsi="Arial" w:cs="Arial"/>
                <w:sz w:val="20"/>
                <w:szCs w:val="20"/>
                <w:lang w:val="pt-BR" w:eastAsia="zh-CN" w:bidi="ar"/>
              </w:rPr>
              <w:t>13</w:t>
            </w:r>
          </w:p>
        </w:tc>
        <w:tc>
          <w:tcPr>
            <w:tcW w:w="1713" w:type="dxa"/>
            <w:tcBorders>
              <w:top w:val="single" w:color="000000" w:sz="2" w:space="0"/>
              <w:left w:val="single" w:color="000000" w:sz="2" w:space="0"/>
              <w:bottom w:val="single" w:color="000000" w:sz="2" w:space="0"/>
              <w:right w:val="single" w:color="000000" w:sz="2" w:space="0"/>
            </w:tcBorders>
            <w:noWrap/>
            <w:vAlign w:val="center"/>
          </w:tcPr>
          <w:p w14:paraId="65093B5F">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bidi="ar"/>
              </w:rPr>
            </w:pPr>
            <w:r>
              <w:rPr>
                <w:rFonts w:ascii="Arial" w:hAnsi="Arial" w:cs="Arial"/>
                <w:sz w:val="20"/>
                <w:szCs w:val="20"/>
                <w:lang w:val="en-US" w:eastAsia="zh-CN" w:bidi="ar"/>
              </w:rPr>
              <w:t>Grande Porte</w:t>
            </w:r>
          </w:p>
        </w:tc>
        <w:tc>
          <w:tcPr>
            <w:tcW w:w="5976" w:type="dxa"/>
            <w:tcBorders>
              <w:top w:val="single" w:color="000000" w:sz="2" w:space="0"/>
              <w:left w:val="single" w:color="000000" w:sz="2" w:space="0"/>
              <w:bottom w:val="single" w:color="000000" w:sz="2" w:space="0"/>
              <w:right w:val="single" w:color="000000" w:sz="2" w:space="0"/>
            </w:tcBorders>
            <w:noWrap/>
            <w:vAlign w:val="center"/>
          </w:tcPr>
          <w:p w14:paraId="45923309">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rPr>
            </w:pPr>
            <w:r>
              <w:rPr>
                <w:rFonts w:ascii="Arial" w:hAnsi="Arial" w:cs="Arial"/>
                <w:sz w:val="20"/>
                <w:szCs w:val="20"/>
                <w:lang w:val="en-US" w:eastAsia="zh-CN" w:bidi="ar"/>
              </w:rPr>
              <w:t>EMEB ARMANDO DIAS</w:t>
            </w:r>
          </w:p>
        </w:tc>
        <w:tc>
          <w:tcPr>
            <w:tcW w:w="965" w:type="dxa"/>
            <w:tcBorders>
              <w:top w:val="single" w:color="000000" w:sz="2" w:space="0"/>
              <w:left w:val="single" w:color="000000" w:sz="2" w:space="0"/>
              <w:bottom w:val="single" w:color="000000" w:sz="2" w:space="0"/>
              <w:right w:val="single" w:color="000000" w:sz="2" w:space="0"/>
            </w:tcBorders>
            <w:noWrap/>
            <w:vAlign w:val="center"/>
          </w:tcPr>
          <w:p w14:paraId="1A4DFBE2">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sz w:val="20"/>
                <w:szCs w:val="20"/>
                <w:lang w:val="pt-BR"/>
              </w:rPr>
            </w:pPr>
            <w:r>
              <w:rPr>
                <w:rFonts w:hint="default" w:ascii="Arial" w:hAnsi="Arial" w:cs="Arial"/>
                <w:sz w:val="20"/>
                <w:szCs w:val="20"/>
                <w:lang w:val="pt-BR"/>
              </w:rPr>
              <w:t>6</w:t>
            </w:r>
          </w:p>
        </w:tc>
      </w:tr>
      <w:tr w14:paraId="4BC1ECB2">
        <w:tblPrEx>
          <w:tblCellMar>
            <w:top w:w="0" w:type="dxa"/>
            <w:left w:w="108" w:type="dxa"/>
            <w:bottom w:w="0" w:type="dxa"/>
            <w:right w:w="108" w:type="dxa"/>
          </w:tblCellMar>
        </w:tblPrEx>
        <w:trPr>
          <w:trHeight w:val="300" w:hRule="atLeast"/>
          <w:jc w:val="center"/>
        </w:trPr>
        <w:tc>
          <w:tcPr>
            <w:tcW w:w="710" w:type="dxa"/>
            <w:tcBorders>
              <w:top w:val="single" w:color="000000" w:sz="2" w:space="0"/>
              <w:left w:val="single" w:color="000000" w:sz="2" w:space="0"/>
              <w:bottom w:val="single" w:color="000000" w:sz="2" w:space="0"/>
              <w:right w:val="single" w:color="000000" w:sz="2" w:space="0"/>
            </w:tcBorders>
            <w:noWrap/>
            <w:vAlign w:val="center"/>
          </w:tcPr>
          <w:p w14:paraId="34D8EE7F">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rPr>
            </w:pPr>
            <w:r>
              <w:rPr>
                <w:rFonts w:hint="default" w:ascii="Arial" w:hAnsi="Arial" w:cs="Arial"/>
                <w:sz w:val="20"/>
                <w:szCs w:val="20"/>
                <w:lang w:val="pt-BR" w:eastAsia="zh-CN" w:bidi="ar"/>
              </w:rPr>
              <w:t>14</w:t>
            </w:r>
          </w:p>
        </w:tc>
        <w:tc>
          <w:tcPr>
            <w:tcW w:w="1713" w:type="dxa"/>
            <w:tcBorders>
              <w:top w:val="single" w:color="000000" w:sz="2" w:space="0"/>
              <w:left w:val="single" w:color="000000" w:sz="2" w:space="0"/>
              <w:bottom w:val="single" w:color="000000" w:sz="2" w:space="0"/>
              <w:right w:val="single" w:color="000000" w:sz="2" w:space="0"/>
            </w:tcBorders>
            <w:noWrap/>
            <w:vAlign w:val="center"/>
          </w:tcPr>
          <w:p w14:paraId="64DF4045">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bidi="ar"/>
              </w:rPr>
            </w:pPr>
            <w:r>
              <w:rPr>
                <w:rFonts w:ascii="Arial" w:hAnsi="Arial" w:cs="Arial"/>
                <w:sz w:val="20"/>
                <w:szCs w:val="20"/>
                <w:lang w:val="en-US" w:eastAsia="zh-CN" w:bidi="ar"/>
              </w:rPr>
              <w:t>Médio Porte II</w:t>
            </w:r>
          </w:p>
        </w:tc>
        <w:tc>
          <w:tcPr>
            <w:tcW w:w="5976" w:type="dxa"/>
            <w:tcBorders>
              <w:top w:val="single" w:color="000000" w:sz="2" w:space="0"/>
              <w:left w:val="single" w:color="000000" w:sz="2" w:space="0"/>
              <w:bottom w:val="single" w:color="000000" w:sz="2" w:space="0"/>
              <w:right w:val="single" w:color="000000" w:sz="2" w:space="0"/>
            </w:tcBorders>
            <w:noWrap/>
            <w:vAlign w:val="center"/>
          </w:tcPr>
          <w:p w14:paraId="3F7F80D9">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rPr>
            </w:pPr>
            <w:r>
              <w:rPr>
                <w:rFonts w:hint="default" w:ascii="Arial" w:hAnsi="Arial"/>
                <w:sz w:val="20"/>
                <w:szCs w:val="20"/>
                <w:lang w:val="en-US" w:eastAsia="zh-CN"/>
              </w:rPr>
              <w:t>EMEB PROFESSOR JURANDIR LIBERINO DE MESQUITA</w:t>
            </w:r>
          </w:p>
        </w:tc>
        <w:tc>
          <w:tcPr>
            <w:tcW w:w="965" w:type="dxa"/>
            <w:tcBorders>
              <w:top w:val="single" w:color="000000" w:sz="2" w:space="0"/>
              <w:left w:val="single" w:color="000000" w:sz="2" w:space="0"/>
              <w:bottom w:val="single" w:color="000000" w:sz="2" w:space="0"/>
              <w:right w:val="single" w:color="000000" w:sz="2" w:space="0"/>
            </w:tcBorders>
            <w:noWrap/>
            <w:vAlign w:val="center"/>
          </w:tcPr>
          <w:p w14:paraId="0E6E1FB6">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sz w:val="20"/>
                <w:szCs w:val="20"/>
                <w:lang w:val="pt-BR"/>
              </w:rPr>
            </w:pPr>
            <w:r>
              <w:rPr>
                <w:rFonts w:hint="default" w:ascii="Arial" w:hAnsi="Arial" w:cs="Arial"/>
                <w:sz w:val="20"/>
                <w:szCs w:val="20"/>
                <w:lang w:val="pt-BR"/>
              </w:rPr>
              <w:t>5</w:t>
            </w:r>
          </w:p>
        </w:tc>
      </w:tr>
      <w:tr w14:paraId="6A79CA9E">
        <w:tblPrEx>
          <w:tblCellMar>
            <w:top w:w="0" w:type="dxa"/>
            <w:left w:w="108" w:type="dxa"/>
            <w:bottom w:w="0" w:type="dxa"/>
            <w:right w:w="108" w:type="dxa"/>
          </w:tblCellMar>
        </w:tblPrEx>
        <w:trPr>
          <w:trHeight w:val="300" w:hRule="atLeast"/>
          <w:jc w:val="center"/>
        </w:trPr>
        <w:tc>
          <w:tcPr>
            <w:tcW w:w="710" w:type="dxa"/>
            <w:tcBorders>
              <w:top w:val="single" w:color="000000" w:sz="2" w:space="0"/>
              <w:left w:val="single" w:color="000000" w:sz="2" w:space="0"/>
              <w:bottom w:val="single" w:color="000000" w:sz="2" w:space="0"/>
              <w:right w:val="single" w:color="000000" w:sz="2" w:space="0"/>
            </w:tcBorders>
            <w:noWrap/>
            <w:vAlign w:val="center"/>
          </w:tcPr>
          <w:p w14:paraId="71174226">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rPr>
            </w:pPr>
            <w:r>
              <w:rPr>
                <w:rFonts w:hint="default" w:ascii="Arial" w:hAnsi="Arial" w:cs="Arial"/>
                <w:sz w:val="20"/>
                <w:szCs w:val="20"/>
                <w:lang w:val="pt-BR" w:eastAsia="zh-CN" w:bidi="ar"/>
              </w:rPr>
              <w:t>15</w:t>
            </w:r>
          </w:p>
        </w:tc>
        <w:tc>
          <w:tcPr>
            <w:tcW w:w="1713" w:type="dxa"/>
            <w:tcBorders>
              <w:top w:val="single" w:color="000000" w:sz="2" w:space="0"/>
              <w:left w:val="single" w:color="000000" w:sz="2" w:space="0"/>
              <w:bottom w:val="single" w:color="000000" w:sz="2" w:space="0"/>
              <w:right w:val="single" w:color="000000" w:sz="2" w:space="0"/>
            </w:tcBorders>
            <w:noWrap/>
            <w:vAlign w:val="center"/>
          </w:tcPr>
          <w:p w14:paraId="30E69292">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bidi="ar"/>
              </w:rPr>
            </w:pPr>
            <w:r>
              <w:rPr>
                <w:rFonts w:ascii="Arial" w:hAnsi="Arial" w:cs="Arial"/>
                <w:sz w:val="20"/>
                <w:szCs w:val="20"/>
                <w:lang w:val="en-US" w:eastAsia="zh-CN" w:bidi="ar"/>
              </w:rPr>
              <w:t>Médio Porte I</w:t>
            </w:r>
          </w:p>
        </w:tc>
        <w:tc>
          <w:tcPr>
            <w:tcW w:w="5976" w:type="dxa"/>
            <w:tcBorders>
              <w:top w:val="single" w:color="000000" w:sz="2" w:space="0"/>
              <w:left w:val="single" w:color="000000" w:sz="2" w:space="0"/>
              <w:bottom w:val="single" w:color="000000" w:sz="2" w:space="0"/>
              <w:right w:val="single" w:color="000000" w:sz="2" w:space="0"/>
            </w:tcBorders>
            <w:noWrap/>
            <w:vAlign w:val="center"/>
          </w:tcPr>
          <w:p w14:paraId="7C7A53F5">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rPr>
            </w:pPr>
            <w:r>
              <w:rPr>
                <w:rFonts w:ascii="Arial" w:hAnsi="Arial" w:cs="Arial"/>
                <w:sz w:val="20"/>
                <w:szCs w:val="20"/>
                <w:lang w:val="en-US" w:eastAsia="zh-CN" w:bidi="ar"/>
              </w:rPr>
              <w:t>EMEI ALVORADA</w:t>
            </w:r>
          </w:p>
        </w:tc>
        <w:tc>
          <w:tcPr>
            <w:tcW w:w="965" w:type="dxa"/>
            <w:tcBorders>
              <w:top w:val="single" w:color="000000" w:sz="2" w:space="0"/>
              <w:left w:val="single" w:color="000000" w:sz="2" w:space="0"/>
              <w:bottom w:val="single" w:color="000000" w:sz="2" w:space="0"/>
              <w:right w:val="single" w:color="000000" w:sz="2" w:space="0"/>
            </w:tcBorders>
            <w:noWrap/>
            <w:vAlign w:val="center"/>
          </w:tcPr>
          <w:p w14:paraId="15CB98D1">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sz w:val="20"/>
                <w:szCs w:val="20"/>
                <w:lang w:val="pt-BR"/>
              </w:rPr>
            </w:pPr>
            <w:r>
              <w:rPr>
                <w:rFonts w:hint="default" w:ascii="Arial" w:hAnsi="Arial" w:cs="Arial"/>
                <w:sz w:val="20"/>
                <w:szCs w:val="20"/>
                <w:lang w:val="pt-BR"/>
              </w:rPr>
              <w:t>4</w:t>
            </w:r>
          </w:p>
        </w:tc>
      </w:tr>
      <w:tr w14:paraId="28356602">
        <w:tblPrEx>
          <w:tblCellMar>
            <w:top w:w="0" w:type="dxa"/>
            <w:left w:w="108" w:type="dxa"/>
            <w:bottom w:w="0" w:type="dxa"/>
            <w:right w:w="108" w:type="dxa"/>
          </w:tblCellMar>
        </w:tblPrEx>
        <w:trPr>
          <w:trHeight w:val="300" w:hRule="atLeast"/>
          <w:jc w:val="center"/>
        </w:trPr>
        <w:tc>
          <w:tcPr>
            <w:tcW w:w="710" w:type="dxa"/>
            <w:tcBorders>
              <w:top w:val="single" w:color="000000" w:sz="2" w:space="0"/>
              <w:left w:val="single" w:color="000000" w:sz="2" w:space="0"/>
              <w:bottom w:val="single" w:color="000000" w:sz="2" w:space="0"/>
              <w:right w:val="single" w:color="000000" w:sz="2" w:space="0"/>
            </w:tcBorders>
            <w:noWrap/>
            <w:vAlign w:val="center"/>
          </w:tcPr>
          <w:p w14:paraId="5200B61A">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rPr>
            </w:pPr>
            <w:r>
              <w:rPr>
                <w:rFonts w:hint="default" w:ascii="Arial" w:hAnsi="Arial" w:cs="Arial"/>
                <w:sz w:val="20"/>
                <w:szCs w:val="20"/>
                <w:lang w:val="pt-BR" w:eastAsia="zh-CN" w:bidi="ar"/>
              </w:rPr>
              <w:t>16</w:t>
            </w:r>
          </w:p>
        </w:tc>
        <w:tc>
          <w:tcPr>
            <w:tcW w:w="1713" w:type="dxa"/>
            <w:tcBorders>
              <w:top w:val="single" w:color="000000" w:sz="2" w:space="0"/>
              <w:left w:val="single" w:color="000000" w:sz="2" w:space="0"/>
              <w:bottom w:val="single" w:color="000000" w:sz="2" w:space="0"/>
              <w:right w:val="single" w:color="000000" w:sz="2" w:space="0"/>
            </w:tcBorders>
            <w:noWrap/>
            <w:vAlign w:val="center"/>
          </w:tcPr>
          <w:p w14:paraId="3C776AB5">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bidi="ar"/>
              </w:rPr>
            </w:pPr>
            <w:r>
              <w:rPr>
                <w:rFonts w:ascii="Arial" w:hAnsi="Arial" w:cs="Arial"/>
                <w:sz w:val="20"/>
                <w:szCs w:val="20"/>
                <w:lang w:val="en-US" w:eastAsia="zh-CN" w:bidi="ar"/>
              </w:rPr>
              <w:t>Médio Porte I</w:t>
            </w:r>
          </w:p>
        </w:tc>
        <w:tc>
          <w:tcPr>
            <w:tcW w:w="5976" w:type="dxa"/>
            <w:tcBorders>
              <w:top w:val="single" w:color="000000" w:sz="2" w:space="0"/>
              <w:left w:val="single" w:color="000000" w:sz="2" w:space="0"/>
              <w:bottom w:val="single" w:color="000000" w:sz="2" w:space="0"/>
              <w:right w:val="single" w:color="000000" w:sz="2" w:space="0"/>
            </w:tcBorders>
            <w:noWrap/>
            <w:vAlign w:val="center"/>
          </w:tcPr>
          <w:p w14:paraId="6B442D71">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rPr>
            </w:pPr>
            <w:r>
              <w:rPr>
                <w:rFonts w:ascii="Arial" w:hAnsi="Arial" w:cs="Arial"/>
                <w:sz w:val="20"/>
                <w:szCs w:val="20"/>
                <w:lang w:val="en-US" w:eastAsia="zh-CN" w:bidi="ar"/>
              </w:rPr>
              <w:t>EMEI CECÍLIA MEIRELES</w:t>
            </w:r>
          </w:p>
        </w:tc>
        <w:tc>
          <w:tcPr>
            <w:tcW w:w="965" w:type="dxa"/>
            <w:tcBorders>
              <w:top w:val="single" w:color="000000" w:sz="2" w:space="0"/>
              <w:left w:val="single" w:color="000000" w:sz="2" w:space="0"/>
              <w:bottom w:val="single" w:color="000000" w:sz="2" w:space="0"/>
              <w:right w:val="single" w:color="000000" w:sz="2" w:space="0"/>
            </w:tcBorders>
            <w:noWrap/>
            <w:vAlign w:val="center"/>
          </w:tcPr>
          <w:p w14:paraId="7CF30C47">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sz w:val="20"/>
                <w:szCs w:val="20"/>
                <w:lang w:val="pt-BR"/>
              </w:rPr>
            </w:pPr>
            <w:r>
              <w:rPr>
                <w:rFonts w:hint="default" w:ascii="Arial" w:hAnsi="Arial" w:cs="Arial"/>
                <w:sz w:val="20"/>
                <w:szCs w:val="20"/>
                <w:lang w:val="pt-BR"/>
              </w:rPr>
              <w:t>4</w:t>
            </w:r>
          </w:p>
        </w:tc>
      </w:tr>
      <w:tr w14:paraId="6E381221">
        <w:tblPrEx>
          <w:tblCellMar>
            <w:top w:w="0" w:type="dxa"/>
            <w:left w:w="108" w:type="dxa"/>
            <w:bottom w:w="0" w:type="dxa"/>
            <w:right w:w="108" w:type="dxa"/>
          </w:tblCellMar>
        </w:tblPrEx>
        <w:trPr>
          <w:trHeight w:val="300" w:hRule="atLeast"/>
          <w:jc w:val="center"/>
        </w:trPr>
        <w:tc>
          <w:tcPr>
            <w:tcW w:w="710" w:type="dxa"/>
            <w:tcBorders>
              <w:top w:val="single" w:color="000000" w:sz="2" w:space="0"/>
              <w:left w:val="single" w:color="000000" w:sz="2" w:space="0"/>
              <w:bottom w:val="single" w:color="000000" w:sz="2" w:space="0"/>
              <w:right w:val="single" w:color="000000" w:sz="2" w:space="0"/>
            </w:tcBorders>
            <w:noWrap/>
            <w:vAlign w:val="center"/>
          </w:tcPr>
          <w:p w14:paraId="6B1B408D">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rPr>
            </w:pPr>
            <w:r>
              <w:rPr>
                <w:rFonts w:hint="default" w:ascii="Arial" w:hAnsi="Arial" w:cs="Arial"/>
                <w:sz w:val="20"/>
                <w:szCs w:val="20"/>
                <w:lang w:val="pt-BR" w:eastAsia="zh-CN" w:bidi="ar"/>
              </w:rPr>
              <w:t>17</w:t>
            </w:r>
          </w:p>
        </w:tc>
        <w:tc>
          <w:tcPr>
            <w:tcW w:w="1713" w:type="dxa"/>
            <w:tcBorders>
              <w:top w:val="single" w:color="000000" w:sz="2" w:space="0"/>
              <w:left w:val="single" w:color="000000" w:sz="2" w:space="0"/>
              <w:bottom w:val="single" w:color="000000" w:sz="2" w:space="0"/>
              <w:right w:val="single" w:color="000000" w:sz="2" w:space="0"/>
            </w:tcBorders>
            <w:noWrap/>
            <w:vAlign w:val="center"/>
          </w:tcPr>
          <w:p w14:paraId="57AC668B">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bidi="ar"/>
              </w:rPr>
            </w:pPr>
            <w:r>
              <w:rPr>
                <w:rFonts w:ascii="Arial" w:hAnsi="Arial" w:cs="Arial"/>
                <w:sz w:val="20"/>
                <w:szCs w:val="20"/>
                <w:lang w:val="en-US" w:eastAsia="zh-CN" w:bidi="ar"/>
              </w:rPr>
              <w:t>Médio Porte I</w:t>
            </w:r>
          </w:p>
        </w:tc>
        <w:tc>
          <w:tcPr>
            <w:tcW w:w="5976" w:type="dxa"/>
            <w:tcBorders>
              <w:top w:val="single" w:color="000000" w:sz="2" w:space="0"/>
              <w:left w:val="single" w:color="000000" w:sz="2" w:space="0"/>
              <w:bottom w:val="single" w:color="000000" w:sz="2" w:space="0"/>
              <w:right w:val="single" w:color="000000" w:sz="2" w:space="0"/>
            </w:tcBorders>
            <w:noWrap/>
            <w:vAlign w:val="center"/>
          </w:tcPr>
          <w:p w14:paraId="12F47C2F">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rPr>
            </w:pPr>
            <w:r>
              <w:rPr>
                <w:rFonts w:ascii="Arial" w:hAnsi="Arial" w:cs="Arial"/>
                <w:sz w:val="20"/>
                <w:szCs w:val="20"/>
                <w:lang w:val="en-US" w:eastAsia="zh-CN" w:bidi="ar"/>
              </w:rPr>
              <w:t>EMEI VINÍCIUS DE MORAES</w:t>
            </w:r>
          </w:p>
        </w:tc>
        <w:tc>
          <w:tcPr>
            <w:tcW w:w="965" w:type="dxa"/>
            <w:tcBorders>
              <w:top w:val="single" w:color="000000" w:sz="2" w:space="0"/>
              <w:left w:val="single" w:color="000000" w:sz="2" w:space="0"/>
              <w:bottom w:val="single" w:color="000000" w:sz="2" w:space="0"/>
              <w:right w:val="single" w:color="000000" w:sz="2" w:space="0"/>
            </w:tcBorders>
            <w:noWrap/>
            <w:vAlign w:val="center"/>
          </w:tcPr>
          <w:p w14:paraId="1D4E5A79">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sz w:val="20"/>
                <w:szCs w:val="20"/>
                <w:lang w:val="pt-BR"/>
              </w:rPr>
            </w:pPr>
            <w:r>
              <w:rPr>
                <w:rFonts w:hint="default" w:ascii="Arial" w:hAnsi="Arial" w:cs="Arial"/>
                <w:sz w:val="20"/>
                <w:szCs w:val="20"/>
                <w:lang w:val="pt-BR"/>
              </w:rPr>
              <w:t>4</w:t>
            </w:r>
          </w:p>
        </w:tc>
      </w:tr>
      <w:tr w14:paraId="32973624">
        <w:tblPrEx>
          <w:tblCellMar>
            <w:top w:w="0" w:type="dxa"/>
            <w:left w:w="108" w:type="dxa"/>
            <w:bottom w:w="0" w:type="dxa"/>
            <w:right w:w="108" w:type="dxa"/>
          </w:tblCellMar>
        </w:tblPrEx>
        <w:trPr>
          <w:trHeight w:val="300" w:hRule="atLeast"/>
          <w:jc w:val="center"/>
        </w:trPr>
        <w:tc>
          <w:tcPr>
            <w:tcW w:w="710" w:type="dxa"/>
            <w:tcBorders>
              <w:top w:val="single" w:color="000000" w:sz="2" w:space="0"/>
              <w:left w:val="single" w:color="000000" w:sz="2" w:space="0"/>
              <w:bottom w:val="single" w:color="000000" w:sz="2" w:space="0"/>
              <w:right w:val="single" w:color="000000" w:sz="2" w:space="0"/>
            </w:tcBorders>
            <w:noWrap/>
            <w:vAlign w:val="center"/>
          </w:tcPr>
          <w:p w14:paraId="26F9069E">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rPr>
            </w:pPr>
            <w:r>
              <w:rPr>
                <w:rFonts w:hint="default" w:ascii="Arial" w:hAnsi="Arial" w:cs="Arial"/>
                <w:sz w:val="20"/>
                <w:szCs w:val="20"/>
                <w:lang w:val="pt-BR" w:eastAsia="zh-CN" w:bidi="ar"/>
              </w:rPr>
              <w:t>18</w:t>
            </w:r>
          </w:p>
        </w:tc>
        <w:tc>
          <w:tcPr>
            <w:tcW w:w="1713" w:type="dxa"/>
            <w:tcBorders>
              <w:top w:val="single" w:color="000000" w:sz="2" w:space="0"/>
              <w:left w:val="single" w:color="000000" w:sz="2" w:space="0"/>
              <w:bottom w:val="single" w:color="000000" w:sz="2" w:space="0"/>
              <w:right w:val="single" w:color="000000" w:sz="2" w:space="0"/>
            </w:tcBorders>
            <w:noWrap/>
            <w:vAlign w:val="center"/>
          </w:tcPr>
          <w:p w14:paraId="66F7CEA4">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bidi="ar"/>
              </w:rPr>
            </w:pPr>
            <w:r>
              <w:rPr>
                <w:rFonts w:ascii="Arial" w:hAnsi="Arial" w:cs="Arial"/>
                <w:sz w:val="20"/>
                <w:szCs w:val="20"/>
                <w:lang w:val="en-US" w:eastAsia="zh-CN" w:bidi="ar"/>
              </w:rPr>
              <w:t>Médio Porte I</w:t>
            </w:r>
          </w:p>
        </w:tc>
        <w:tc>
          <w:tcPr>
            <w:tcW w:w="5976" w:type="dxa"/>
            <w:tcBorders>
              <w:top w:val="single" w:color="000000" w:sz="2" w:space="0"/>
              <w:left w:val="single" w:color="000000" w:sz="2" w:space="0"/>
              <w:bottom w:val="single" w:color="000000" w:sz="2" w:space="0"/>
              <w:right w:val="single" w:color="000000" w:sz="2" w:space="0"/>
            </w:tcBorders>
            <w:noWrap/>
            <w:vAlign w:val="center"/>
          </w:tcPr>
          <w:p w14:paraId="58373CA2">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rPr>
            </w:pPr>
            <w:r>
              <w:rPr>
                <w:rFonts w:ascii="Arial" w:hAnsi="Arial" w:cs="Arial"/>
                <w:sz w:val="20"/>
                <w:szCs w:val="20"/>
                <w:lang w:val="en-US" w:eastAsia="zh-CN" w:bidi="ar"/>
              </w:rPr>
              <w:t>EMEB JOSÉ REINALDO DE OLIVEIRA</w:t>
            </w:r>
          </w:p>
        </w:tc>
        <w:tc>
          <w:tcPr>
            <w:tcW w:w="965" w:type="dxa"/>
            <w:tcBorders>
              <w:top w:val="single" w:color="000000" w:sz="2" w:space="0"/>
              <w:left w:val="single" w:color="000000" w:sz="2" w:space="0"/>
              <w:bottom w:val="single" w:color="000000" w:sz="2" w:space="0"/>
              <w:right w:val="single" w:color="000000" w:sz="2" w:space="0"/>
            </w:tcBorders>
            <w:noWrap/>
            <w:vAlign w:val="center"/>
          </w:tcPr>
          <w:p w14:paraId="64299DF5">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sz w:val="20"/>
                <w:szCs w:val="20"/>
                <w:lang w:val="pt-BR"/>
              </w:rPr>
            </w:pPr>
            <w:r>
              <w:rPr>
                <w:rFonts w:hint="default" w:ascii="Arial" w:hAnsi="Arial" w:cs="Arial"/>
                <w:sz w:val="20"/>
                <w:szCs w:val="20"/>
                <w:lang w:val="pt-BR"/>
              </w:rPr>
              <w:t>4</w:t>
            </w:r>
          </w:p>
        </w:tc>
      </w:tr>
      <w:tr w14:paraId="1E386100">
        <w:tblPrEx>
          <w:tblCellMar>
            <w:top w:w="0" w:type="dxa"/>
            <w:left w:w="108" w:type="dxa"/>
            <w:bottom w:w="0" w:type="dxa"/>
            <w:right w:w="108" w:type="dxa"/>
          </w:tblCellMar>
        </w:tblPrEx>
        <w:trPr>
          <w:trHeight w:val="300" w:hRule="atLeast"/>
          <w:jc w:val="center"/>
        </w:trPr>
        <w:tc>
          <w:tcPr>
            <w:tcW w:w="710" w:type="dxa"/>
            <w:tcBorders>
              <w:top w:val="single" w:color="000000" w:sz="2" w:space="0"/>
              <w:left w:val="single" w:color="000000" w:sz="2" w:space="0"/>
              <w:bottom w:val="single" w:color="000000" w:sz="2" w:space="0"/>
              <w:right w:val="single" w:color="000000" w:sz="2" w:space="0"/>
            </w:tcBorders>
            <w:noWrap/>
            <w:vAlign w:val="center"/>
          </w:tcPr>
          <w:p w14:paraId="7FCA8026">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rPr>
            </w:pPr>
            <w:r>
              <w:rPr>
                <w:rFonts w:hint="default" w:ascii="Arial" w:hAnsi="Arial" w:cs="Arial"/>
                <w:sz w:val="20"/>
                <w:szCs w:val="20"/>
                <w:lang w:val="pt-BR" w:eastAsia="zh-CN" w:bidi="ar"/>
              </w:rPr>
              <w:t>19</w:t>
            </w:r>
          </w:p>
        </w:tc>
        <w:tc>
          <w:tcPr>
            <w:tcW w:w="1713" w:type="dxa"/>
            <w:tcBorders>
              <w:top w:val="single" w:color="000000" w:sz="2" w:space="0"/>
              <w:left w:val="single" w:color="000000" w:sz="2" w:space="0"/>
              <w:bottom w:val="single" w:color="000000" w:sz="2" w:space="0"/>
              <w:right w:val="single" w:color="000000" w:sz="2" w:space="0"/>
            </w:tcBorders>
            <w:noWrap/>
            <w:vAlign w:val="center"/>
          </w:tcPr>
          <w:p w14:paraId="20C4A2ED">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bidi="ar"/>
              </w:rPr>
            </w:pPr>
            <w:r>
              <w:rPr>
                <w:rFonts w:ascii="Arial" w:hAnsi="Arial" w:cs="Arial"/>
                <w:sz w:val="20"/>
                <w:szCs w:val="20"/>
                <w:lang w:val="en-US" w:eastAsia="zh-CN" w:bidi="ar"/>
              </w:rPr>
              <w:t>Médio Porte I</w:t>
            </w:r>
          </w:p>
        </w:tc>
        <w:tc>
          <w:tcPr>
            <w:tcW w:w="5976" w:type="dxa"/>
            <w:tcBorders>
              <w:top w:val="single" w:color="000000" w:sz="2" w:space="0"/>
              <w:left w:val="single" w:color="000000" w:sz="2" w:space="0"/>
              <w:bottom w:val="single" w:color="000000" w:sz="2" w:space="0"/>
              <w:right w:val="single" w:color="000000" w:sz="2" w:space="0"/>
            </w:tcBorders>
            <w:noWrap/>
            <w:vAlign w:val="center"/>
          </w:tcPr>
          <w:p w14:paraId="652EF695">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rPr>
            </w:pPr>
            <w:r>
              <w:rPr>
                <w:rFonts w:ascii="Arial" w:hAnsi="Arial" w:cs="Arial"/>
                <w:sz w:val="20"/>
                <w:szCs w:val="20"/>
                <w:lang w:val="en-US" w:eastAsia="zh-CN" w:bidi="ar"/>
              </w:rPr>
              <w:t>EMEI GÉRSON PIRES DA SILVA</w:t>
            </w:r>
          </w:p>
        </w:tc>
        <w:tc>
          <w:tcPr>
            <w:tcW w:w="965" w:type="dxa"/>
            <w:tcBorders>
              <w:top w:val="single" w:color="000000" w:sz="2" w:space="0"/>
              <w:left w:val="single" w:color="000000" w:sz="2" w:space="0"/>
              <w:bottom w:val="single" w:color="000000" w:sz="2" w:space="0"/>
              <w:right w:val="single" w:color="000000" w:sz="2" w:space="0"/>
            </w:tcBorders>
            <w:noWrap/>
            <w:vAlign w:val="center"/>
          </w:tcPr>
          <w:p w14:paraId="54ABDAF0">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sz w:val="20"/>
                <w:szCs w:val="20"/>
                <w:lang w:val="pt-BR"/>
              </w:rPr>
            </w:pPr>
            <w:r>
              <w:rPr>
                <w:rFonts w:hint="default" w:ascii="Arial" w:hAnsi="Arial" w:cs="Arial"/>
                <w:sz w:val="20"/>
                <w:szCs w:val="20"/>
                <w:lang w:val="pt-BR"/>
              </w:rPr>
              <w:t>4</w:t>
            </w:r>
          </w:p>
        </w:tc>
      </w:tr>
      <w:tr w14:paraId="4FA8B131">
        <w:tblPrEx>
          <w:tblCellMar>
            <w:top w:w="0" w:type="dxa"/>
            <w:left w:w="108" w:type="dxa"/>
            <w:bottom w:w="0" w:type="dxa"/>
            <w:right w:w="108" w:type="dxa"/>
          </w:tblCellMar>
        </w:tblPrEx>
        <w:trPr>
          <w:trHeight w:val="300" w:hRule="atLeast"/>
          <w:jc w:val="center"/>
        </w:trPr>
        <w:tc>
          <w:tcPr>
            <w:tcW w:w="710" w:type="dxa"/>
            <w:tcBorders>
              <w:top w:val="single" w:color="000000" w:sz="2" w:space="0"/>
              <w:left w:val="single" w:color="000000" w:sz="2" w:space="0"/>
              <w:bottom w:val="single" w:color="000000" w:sz="2" w:space="0"/>
              <w:right w:val="single" w:color="000000" w:sz="2" w:space="0"/>
            </w:tcBorders>
            <w:noWrap/>
            <w:vAlign w:val="center"/>
          </w:tcPr>
          <w:p w14:paraId="540D68FA">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rPr>
            </w:pPr>
            <w:r>
              <w:rPr>
                <w:rFonts w:hint="default" w:ascii="Arial" w:hAnsi="Arial" w:cs="Arial"/>
                <w:sz w:val="20"/>
                <w:szCs w:val="20"/>
                <w:lang w:val="pt-BR" w:eastAsia="zh-CN" w:bidi="ar"/>
              </w:rPr>
              <w:t>20</w:t>
            </w:r>
          </w:p>
        </w:tc>
        <w:tc>
          <w:tcPr>
            <w:tcW w:w="1713" w:type="dxa"/>
            <w:tcBorders>
              <w:top w:val="single" w:color="000000" w:sz="2" w:space="0"/>
              <w:left w:val="single" w:color="000000" w:sz="2" w:space="0"/>
              <w:bottom w:val="single" w:color="000000" w:sz="2" w:space="0"/>
              <w:right w:val="single" w:color="000000" w:sz="2" w:space="0"/>
            </w:tcBorders>
            <w:noWrap/>
            <w:vAlign w:val="center"/>
          </w:tcPr>
          <w:p w14:paraId="0F5B701E">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bidi="ar"/>
              </w:rPr>
            </w:pPr>
            <w:r>
              <w:rPr>
                <w:rFonts w:ascii="Arial" w:hAnsi="Arial" w:cs="Arial"/>
                <w:sz w:val="20"/>
                <w:szCs w:val="20"/>
                <w:lang w:val="en-US" w:eastAsia="zh-CN" w:bidi="ar"/>
              </w:rPr>
              <w:t>Médio Porte II</w:t>
            </w:r>
          </w:p>
        </w:tc>
        <w:tc>
          <w:tcPr>
            <w:tcW w:w="5976" w:type="dxa"/>
            <w:tcBorders>
              <w:top w:val="single" w:color="000000" w:sz="2" w:space="0"/>
              <w:left w:val="single" w:color="000000" w:sz="2" w:space="0"/>
              <w:bottom w:val="single" w:color="000000" w:sz="2" w:space="0"/>
              <w:right w:val="single" w:color="000000" w:sz="2" w:space="0"/>
            </w:tcBorders>
            <w:noWrap/>
            <w:vAlign w:val="center"/>
          </w:tcPr>
          <w:p w14:paraId="04184782">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rPr>
            </w:pPr>
            <w:r>
              <w:rPr>
                <w:rFonts w:ascii="Arial" w:hAnsi="Arial" w:cs="Arial"/>
                <w:sz w:val="20"/>
                <w:szCs w:val="20"/>
                <w:lang w:val="en-US" w:eastAsia="zh-CN" w:bidi="ar"/>
              </w:rPr>
              <w:t>EMEB LIZAMARA APARECIDA OLIVA DE ALMEIDA</w:t>
            </w:r>
          </w:p>
        </w:tc>
        <w:tc>
          <w:tcPr>
            <w:tcW w:w="965" w:type="dxa"/>
            <w:tcBorders>
              <w:top w:val="single" w:color="000000" w:sz="2" w:space="0"/>
              <w:left w:val="single" w:color="000000" w:sz="2" w:space="0"/>
              <w:bottom w:val="single" w:color="000000" w:sz="2" w:space="0"/>
              <w:right w:val="single" w:color="000000" w:sz="2" w:space="0"/>
            </w:tcBorders>
            <w:noWrap/>
            <w:vAlign w:val="center"/>
          </w:tcPr>
          <w:p w14:paraId="0EA83079">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sz w:val="20"/>
                <w:szCs w:val="20"/>
                <w:lang w:val="pt-BR"/>
              </w:rPr>
            </w:pPr>
            <w:r>
              <w:rPr>
                <w:rFonts w:hint="default" w:ascii="Arial" w:hAnsi="Arial" w:cs="Arial"/>
                <w:sz w:val="20"/>
                <w:szCs w:val="20"/>
                <w:lang w:val="pt-BR"/>
              </w:rPr>
              <w:t>5</w:t>
            </w:r>
          </w:p>
        </w:tc>
      </w:tr>
      <w:tr w14:paraId="1CEB5B74">
        <w:tblPrEx>
          <w:tblCellMar>
            <w:top w:w="0" w:type="dxa"/>
            <w:left w:w="108" w:type="dxa"/>
            <w:bottom w:w="0" w:type="dxa"/>
            <w:right w:w="108" w:type="dxa"/>
          </w:tblCellMar>
        </w:tblPrEx>
        <w:trPr>
          <w:trHeight w:val="300" w:hRule="atLeast"/>
          <w:jc w:val="center"/>
        </w:trPr>
        <w:tc>
          <w:tcPr>
            <w:tcW w:w="710" w:type="dxa"/>
            <w:tcBorders>
              <w:top w:val="single" w:color="000000" w:sz="2" w:space="0"/>
              <w:left w:val="single" w:color="000000" w:sz="2" w:space="0"/>
              <w:bottom w:val="single" w:color="000000" w:sz="2" w:space="0"/>
              <w:right w:val="single" w:color="000000" w:sz="2" w:space="0"/>
            </w:tcBorders>
            <w:noWrap/>
            <w:vAlign w:val="center"/>
          </w:tcPr>
          <w:p w14:paraId="1135931F">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rPr>
            </w:pPr>
            <w:r>
              <w:rPr>
                <w:rFonts w:hint="default" w:ascii="Arial" w:hAnsi="Arial" w:cs="Arial"/>
                <w:sz w:val="20"/>
                <w:szCs w:val="20"/>
                <w:lang w:val="pt-BR" w:eastAsia="zh-CN" w:bidi="ar"/>
              </w:rPr>
              <w:t>21</w:t>
            </w:r>
          </w:p>
        </w:tc>
        <w:tc>
          <w:tcPr>
            <w:tcW w:w="1713" w:type="dxa"/>
            <w:tcBorders>
              <w:top w:val="single" w:color="000000" w:sz="2" w:space="0"/>
              <w:left w:val="single" w:color="000000" w:sz="2" w:space="0"/>
              <w:bottom w:val="single" w:color="000000" w:sz="2" w:space="0"/>
              <w:right w:val="single" w:color="000000" w:sz="2" w:space="0"/>
            </w:tcBorders>
            <w:noWrap/>
            <w:vAlign w:val="center"/>
          </w:tcPr>
          <w:p w14:paraId="52C36952">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bidi="ar"/>
              </w:rPr>
            </w:pPr>
            <w:r>
              <w:rPr>
                <w:rFonts w:ascii="Arial" w:hAnsi="Arial" w:cs="Arial"/>
                <w:sz w:val="20"/>
                <w:szCs w:val="20"/>
                <w:lang w:val="en-US" w:eastAsia="zh-CN" w:bidi="ar"/>
              </w:rPr>
              <w:t>Médio Porte II</w:t>
            </w:r>
          </w:p>
        </w:tc>
        <w:tc>
          <w:tcPr>
            <w:tcW w:w="5976" w:type="dxa"/>
            <w:tcBorders>
              <w:top w:val="single" w:color="000000" w:sz="2" w:space="0"/>
              <w:left w:val="single" w:color="000000" w:sz="2" w:space="0"/>
              <w:bottom w:val="single" w:color="000000" w:sz="2" w:space="0"/>
              <w:right w:val="single" w:color="000000" w:sz="2" w:space="0"/>
            </w:tcBorders>
            <w:noWrap/>
            <w:vAlign w:val="center"/>
          </w:tcPr>
          <w:p w14:paraId="77645974">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rPr>
            </w:pPr>
            <w:r>
              <w:rPr>
                <w:rFonts w:ascii="Arial" w:hAnsi="Arial" w:cs="Arial"/>
                <w:sz w:val="20"/>
                <w:szCs w:val="20"/>
                <w:lang w:val="en-US" w:eastAsia="zh-CN" w:bidi="ar"/>
              </w:rPr>
              <w:t>EMEI CLARA TEIXEIRA</w:t>
            </w:r>
          </w:p>
        </w:tc>
        <w:tc>
          <w:tcPr>
            <w:tcW w:w="965" w:type="dxa"/>
            <w:tcBorders>
              <w:top w:val="single" w:color="000000" w:sz="2" w:space="0"/>
              <w:left w:val="single" w:color="000000" w:sz="2" w:space="0"/>
              <w:bottom w:val="single" w:color="000000" w:sz="2" w:space="0"/>
              <w:right w:val="single" w:color="000000" w:sz="2" w:space="0"/>
            </w:tcBorders>
            <w:noWrap/>
            <w:vAlign w:val="center"/>
          </w:tcPr>
          <w:p w14:paraId="665B8BB2">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sz w:val="20"/>
                <w:szCs w:val="20"/>
                <w:lang w:val="pt-BR"/>
              </w:rPr>
            </w:pPr>
            <w:r>
              <w:rPr>
                <w:rFonts w:hint="default" w:ascii="Arial" w:hAnsi="Arial" w:cs="Arial"/>
                <w:sz w:val="20"/>
                <w:szCs w:val="20"/>
                <w:lang w:val="pt-BR"/>
              </w:rPr>
              <w:t>6</w:t>
            </w:r>
          </w:p>
        </w:tc>
      </w:tr>
      <w:tr w14:paraId="24ABEEB5">
        <w:tblPrEx>
          <w:tblCellMar>
            <w:top w:w="0" w:type="dxa"/>
            <w:left w:w="108" w:type="dxa"/>
            <w:bottom w:w="0" w:type="dxa"/>
            <w:right w:w="108" w:type="dxa"/>
          </w:tblCellMar>
        </w:tblPrEx>
        <w:trPr>
          <w:trHeight w:val="300" w:hRule="atLeast"/>
          <w:jc w:val="center"/>
        </w:trPr>
        <w:tc>
          <w:tcPr>
            <w:tcW w:w="710" w:type="dxa"/>
            <w:tcBorders>
              <w:top w:val="single" w:color="000000" w:sz="2" w:space="0"/>
              <w:left w:val="single" w:color="000000" w:sz="2" w:space="0"/>
              <w:bottom w:val="single" w:color="000000" w:sz="2" w:space="0"/>
              <w:right w:val="single" w:color="000000" w:sz="2" w:space="0"/>
            </w:tcBorders>
            <w:noWrap/>
            <w:vAlign w:val="center"/>
          </w:tcPr>
          <w:p w14:paraId="6BF80A25">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rPr>
            </w:pPr>
            <w:r>
              <w:rPr>
                <w:rFonts w:hint="default" w:ascii="Arial" w:hAnsi="Arial" w:cs="Arial"/>
                <w:sz w:val="20"/>
                <w:szCs w:val="20"/>
                <w:lang w:val="pt-BR" w:eastAsia="zh-CN" w:bidi="ar"/>
              </w:rPr>
              <w:t>22</w:t>
            </w:r>
          </w:p>
        </w:tc>
        <w:tc>
          <w:tcPr>
            <w:tcW w:w="1713" w:type="dxa"/>
            <w:tcBorders>
              <w:top w:val="single" w:color="000000" w:sz="2" w:space="0"/>
              <w:left w:val="single" w:color="000000" w:sz="2" w:space="0"/>
              <w:bottom w:val="single" w:color="000000" w:sz="2" w:space="0"/>
              <w:right w:val="single" w:color="000000" w:sz="2" w:space="0"/>
            </w:tcBorders>
            <w:noWrap/>
            <w:vAlign w:val="center"/>
          </w:tcPr>
          <w:p w14:paraId="72FDBDDA">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bidi="ar"/>
              </w:rPr>
            </w:pPr>
            <w:r>
              <w:rPr>
                <w:rFonts w:ascii="Arial" w:hAnsi="Arial" w:cs="Arial"/>
                <w:sz w:val="20"/>
                <w:szCs w:val="20"/>
                <w:lang w:val="en-US" w:eastAsia="zh-CN" w:bidi="ar"/>
              </w:rPr>
              <w:t>Médio Porte I</w:t>
            </w:r>
          </w:p>
        </w:tc>
        <w:tc>
          <w:tcPr>
            <w:tcW w:w="5976" w:type="dxa"/>
            <w:tcBorders>
              <w:top w:val="single" w:color="000000" w:sz="2" w:space="0"/>
              <w:left w:val="single" w:color="000000" w:sz="2" w:space="0"/>
              <w:bottom w:val="single" w:color="000000" w:sz="2" w:space="0"/>
              <w:right w:val="single" w:color="000000" w:sz="2" w:space="0"/>
            </w:tcBorders>
            <w:noWrap/>
            <w:vAlign w:val="center"/>
          </w:tcPr>
          <w:p w14:paraId="0E1915CD">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rPr>
            </w:pPr>
            <w:r>
              <w:rPr>
                <w:rFonts w:ascii="Arial" w:hAnsi="Arial" w:cs="Arial"/>
                <w:sz w:val="20"/>
                <w:szCs w:val="20"/>
                <w:lang w:val="en-US" w:eastAsia="zh-CN" w:bidi="ar"/>
              </w:rPr>
              <w:t>EMEI DORACY MARQUES AMORIN</w:t>
            </w:r>
          </w:p>
        </w:tc>
        <w:tc>
          <w:tcPr>
            <w:tcW w:w="965" w:type="dxa"/>
            <w:tcBorders>
              <w:top w:val="single" w:color="000000" w:sz="2" w:space="0"/>
              <w:left w:val="single" w:color="000000" w:sz="2" w:space="0"/>
              <w:bottom w:val="single" w:color="000000" w:sz="2" w:space="0"/>
              <w:right w:val="single" w:color="000000" w:sz="2" w:space="0"/>
            </w:tcBorders>
            <w:noWrap/>
            <w:vAlign w:val="center"/>
          </w:tcPr>
          <w:p w14:paraId="451D622A">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sz w:val="20"/>
                <w:szCs w:val="20"/>
                <w:lang w:val="pt-BR"/>
              </w:rPr>
            </w:pPr>
            <w:r>
              <w:rPr>
                <w:rFonts w:hint="default" w:ascii="Arial" w:hAnsi="Arial" w:cs="Arial"/>
                <w:sz w:val="20"/>
                <w:szCs w:val="20"/>
                <w:lang w:val="pt-BR"/>
              </w:rPr>
              <w:t>4</w:t>
            </w:r>
          </w:p>
        </w:tc>
      </w:tr>
      <w:tr w14:paraId="79944EB8">
        <w:tblPrEx>
          <w:tblCellMar>
            <w:top w:w="0" w:type="dxa"/>
            <w:left w:w="108" w:type="dxa"/>
            <w:bottom w:w="0" w:type="dxa"/>
            <w:right w:w="108" w:type="dxa"/>
          </w:tblCellMar>
        </w:tblPrEx>
        <w:trPr>
          <w:trHeight w:val="300" w:hRule="atLeast"/>
          <w:jc w:val="center"/>
        </w:trPr>
        <w:tc>
          <w:tcPr>
            <w:tcW w:w="710" w:type="dxa"/>
            <w:tcBorders>
              <w:top w:val="single" w:color="000000" w:sz="2" w:space="0"/>
              <w:left w:val="single" w:color="000000" w:sz="2" w:space="0"/>
              <w:bottom w:val="single" w:color="000000" w:sz="2" w:space="0"/>
              <w:right w:val="single" w:color="000000" w:sz="2" w:space="0"/>
            </w:tcBorders>
            <w:noWrap/>
            <w:vAlign w:val="center"/>
          </w:tcPr>
          <w:p w14:paraId="7F2A982E">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bidi="ar"/>
              </w:rPr>
            </w:pPr>
            <w:r>
              <w:rPr>
                <w:rFonts w:hint="default" w:ascii="Arial" w:hAnsi="Arial" w:cs="Arial"/>
                <w:sz w:val="20"/>
                <w:szCs w:val="20"/>
                <w:lang w:val="pt-BR" w:eastAsia="zh-CN" w:bidi="ar"/>
              </w:rPr>
              <w:t>23</w:t>
            </w:r>
          </w:p>
        </w:tc>
        <w:tc>
          <w:tcPr>
            <w:tcW w:w="1713" w:type="dxa"/>
            <w:tcBorders>
              <w:top w:val="single" w:color="000000" w:sz="2" w:space="0"/>
              <w:left w:val="single" w:color="000000" w:sz="2" w:space="0"/>
              <w:bottom w:val="single" w:color="000000" w:sz="2" w:space="0"/>
              <w:right w:val="single" w:color="000000" w:sz="2" w:space="0"/>
            </w:tcBorders>
            <w:noWrap/>
            <w:vAlign w:val="center"/>
          </w:tcPr>
          <w:p w14:paraId="7CEC103F">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bidi="ar"/>
              </w:rPr>
            </w:pPr>
            <w:r>
              <w:rPr>
                <w:rFonts w:ascii="Arial" w:hAnsi="Arial" w:cs="Arial"/>
                <w:sz w:val="20"/>
                <w:szCs w:val="20"/>
                <w:lang w:val="en-US" w:eastAsia="zh-CN" w:bidi="ar"/>
              </w:rPr>
              <w:t>Médio Porte I</w:t>
            </w:r>
          </w:p>
        </w:tc>
        <w:tc>
          <w:tcPr>
            <w:tcW w:w="5976" w:type="dxa"/>
            <w:tcBorders>
              <w:top w:val="single" w:color="000000" w:sz="2" w:space="0"/>
              <w:left w:val="single" w:color="000000" w:sz="2" w:space="0"/>
              <w:bottom w:val="single" w:color="000000" w:sz="2" w:space="0"/>
              <w:right w:val="single" w:color="000000" w:sz="2" w:space="0"/>
            </w:tcBorders>
            <w:noWrap/>
            <w:vAlign w:val="center"/>
          </w:tcPr>
          <w:p w14:paraId="0089C81A">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rPr>
            </w:pPr>
            <w:r>
              <w:rPr>
                <w:rFonts w:ascii="Arial" w:hAnsi="Arial" w:cs="Arial"/>
                <w:sz w:val="20"/>
                <w:szCs w:val="20"/>
                <w:lang w:val="en-US" w:eastAsia="zh-CN" w:bidi="ar"/>
              </w:rPr>
              <w:t>EMEI NEUZA NADIR FUZINATTO GRAF</w:t>
            </w:r>
          </w:p>
        </w:tc>
        <w:tc>
          <w:tcPr>
            <w:tcW w:w="965" w:type="dxa"/>
            <w:tcBorders>
              <w:top w:val="single" w:color="000000" w:sz="2" w:space="0"/>
              <w:left w:val="single" w:color="000000" w:sz="2" w:space="0"/>
              <w:bottom w:val="single" w:color="000000" w:sz="2" w:space="0"/>
              <w:right w:val="single" w:color="000000" w:sz="2" w:space="0"/>
            </w:tcBorders>
            <w:noWrap/>
            <w:vAlign w:val="center"/>
          </w:tcPr>
          <w:p w14:paraId="7FA44C4C">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sz w:val="20"/>
                <w:szCs w:val="20"/>
                <w:lang w:val="pt-BR"/>
              </w:rPr>
            </w:pPr>
            <w:r>
              <w:rPr>
                <w:rFonts w:hint="default" w:ascii="Arial" w:hAnsi="Arial" w:cs="Arial"/>
                <w:sz w:val="20"/>
                <w:szCs w:val="20"/>
                <w:lang w:val="pt-BR"/>
              </w:rPr>
              <w:t>4</w:t>
            </w:r>
          </w:p>
        </w:tc>
      </w:tr>
      <w:tr w14:paraId="23E21D74">
        <w:tblPrEx>
          <w:tblCellMar>
            <w:top w:w="0" w:type="dxa"/>
            <w:left w:w="108" w:type="dxa"/>
            <w:bottom w:w="0" w:type="dxa"/>
            <w:right w:w="108" w:type="dxa"/>
          </w:tblCellMar>
        </w:tblPrEx>
        <w:trPr>
          <w:trHeight w:val="300" w:hRule="atLeast"/>
          <w:jc w:val="center"/>
        </w:trPr>
        <w:tc>
          <w:tcPr>
            <w:tcW w:w="710" w:type="dxa"/>
            <w:tcBorders>
              <w:top w:val="single" w:color="000000" w:sz="2" w:space="0"/>
              <w:left w:val="single" w:color="000000" w:sz="2" w:space="0"/>
              <w:bottom w:val="single" w:color="000000" w:sz="2" w:space="0"/>
              <w:right w:val="single" w:color="000000" w:sz="2" w:space="0"/>
            </w:tcBorders>
            <w:noWrap/>
            <w:vAlign w:val="center"/>
          </w:tcPr>
          <w:p w14:paraId="707EA213">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rPr>
            </w:pPr>
            <w:r>
              <w:rPr>
                <w:rFonts w:hint="default" w:ascii="Arial" w:hAnsi="Arial" w:cs="Arial"/>
                <w:sz w:val="20"/>
                <w:szCs w:val="20"/>
                <w:lang w:val="pt-BR" w:eastAsia="zh-CN" w:bidi="ar"/>
              </w:rPr>
              <w:t>24</w:t>
            </w:r>
          </w:p>
        </w:tc>
        <w:tc>
          <w:tcPr>
            <w:tcW w:w="1713" w:type="dxa"/>
            <w:tcBorders>
              <w:top w:val="single" w:color="000000" w:sz="2" w:space="0"/>
              <w:left w:val="single" w:color="000000" w:sz="2" w:space="0"/>
              <w:bottom w:val="single" w:color="000000" w:sz="2" w:space="0"/>
              <w:right w:val="single" w:color="000000" w:sz="2" w:space="0"/>
            </w:tcBorders>
            <w:noWrap/>
            <w:vAlign w:val="center"/>
          </w:tcPr>
          <w:p w14:paraId="3099DBAB">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bidi="ar"/>
              </w:rPr>
            </w:pPr>
            <w:r>
              <w:rPr>
                <w:rFonts w:ascii="Arial" w:hAnsi="Arial" w:cs="Arial"/>
                <w:sz w:val="20"/>
                <w:szCs w:val="20"/>
                <w:lang w:val="en-US" w:eastAsia="zh-CN" w:bidi="ar"/>
              </w:rPr>
              <w:t>Grande Porte</w:t>
            </w:r>
          </w:p>
        </w:tc>
        <w:tc>
          <w:tcPr>
            <w:tcW w:w="5976" w:type="dxa"/>
            <w:tcBorders>
              <w:top w:val="single" w:color="000000" w:sz="2" w:space="0"/>
              <w:left w:val="single" w:color="000000" w:sz="2" w:space="0"/>
              <w:bottom w:val="single" w:color="000000" w:sz="2" w:space="0"/>
              <w:right w:val="single" w:color="000000" w:sz="2" w:space="0"/>
            </w:tcBorders>
            <w:noWrap/>
            <w:vAlign w:val="center"/>
          </w:tcPr>
          <w:p w14:paraId="29C1A5E8">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lang w:eastAsia="zh-CN" w:bidi="ar"/>
              </w:rPr>
            </w:pPr>
            <w:r>
              <w:rPr>
                <w:rFonts w:ascii="Arial" w:hAnsi="Arial" w:cs="Arial"/>
                <w:sz w:val="20"/>
                <w:szCs w:val="20"/>
                <w:lang w:val="en-US" w:eastAsia="zh-CN" w:bidi="ar"/>
              </w:rPr>
              <w:t>EMEB PROF. ANA CRISTINA DE SENA</w:t>
            </w:r>
          </w:p>
        </w:tc>
        <w:tc>
          <w:tcPr>
            <w:tcW w:w="965" w:type="dxa"/>
            <w:tcBorders>
              <w:top w:val="single" w:color="000000" w:sz="2" w:space="0"/>
              <w:left w:val="single" w:color="000000" w:sz="2" w:space="0"/>
              <w:bottom w:val="single" w:color="000000" w:sz="2" w:space="0"/>
              <w:right w:val="single" w:color="000000" w:sz="2" w:space="0"/>
            </w:tcBorders>
            <w:noWrap/>
            <w:vAlign w:val="center"/>
          </w:tcPr>
          <w:p w14:paraId="4C60F773">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sz w:val="20"/>
                <w:szCs w:val="20"/>
                <w:lang w:val="pt-BR" w:eastAsia="zh-CN" w:bidi="ar"/>
              </w:rPr>
            </w:pPr>
            <w:r>
              <w:rPr>
                <w:rFonts w:hint="default" w:ascii="Arial" w:hAnsi="Arial" w:cs="Arial"/>
                <w:sz w:val="20"/>
                <w:szCs w:val="20"/>
                <w:lang w:val="pt-BR" w:eastAsia="zh-CN" w:bidi="ar"/>
              </w:rPr>
              <w:t>6</w:t>
            </w:r>
          </w:p>
        </w:tc>
      </w:tr>
      <w:tr w14:paraId="5F240682">
        <w:tblPrEx>
          <w:tblCellMar>
            <w:top w:w="0" w:type="dxa"/>
            <w:left w:w="108" w:type="dxa"/>
            <w:bottom w:w="0" w:type="dxa"/>
            <w:right w:w="108" w:type="dxa"/>
          </w:tblCellMar>
        </w:tblPrEx>
        <w:trPr>
          <w:trHeight w:val="300" w:hRule="atLeast"/>
          <w:jc w:val="center"/>
        </w:trPr>
        <w:tc>
          <w:tcPr>
            <w:tcW w:w="710" w:type="dxa"/>
            <w:tcBorders>
              <w:top w:val="single" w:color="000000" w:sz="2" w:space="0"/>
              <w:left w:val="single" w:color="000000" w:sz="2" w:space="0"/>
              <w:bottom w:val="single" w:color="000000" w:sz="2" w:space="0"/>
              <w:right w:val="single" w:color="000000" w:sz="2" w:space="0"/>
            </w:tcBorders>
            <w:noWrap/>
            <w:vAlign w:val="center"/>
          </w:tcPr>
          <w:p w14:paraId="0BE5DAD5">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rPr>
            </w:pPr>
            <w:r>
              <w:rPr>
                <w:rFonts w:hint="default" w:ascii="Arial" w:hAnsi="Arial" w:cs="Arial"/>
                <w:sz w:val="20"/>
                <w:szCs w:val="20"/>
                <w:lang w:val="pt-BR" w:eastAsia="zh-CN" w:bidi="ar"/>
              </w:rPr>
              <w:t>25</w:t>
            </w:r>
          </w:p>
        </w:tc>
        <w:tc>
          <w:tcPr>
            <w:tcW w:w="1713" w:type="dxa"/>
            <w:tcBorders>
              <w:top w:val="single" w:color="000000" w:sz="2" w:space="0"/>
              <w:left w:val="single" w:color="000000" w:sz="2" w:space="0"/>
              <w:bottom w:val="single" w:color="000000" w:sz="2" w:space="0"/>
              <w:right w:val="single" w:color="000000" w:sz="2" w:space="0"/>
            </w:tcBorders>
            <w:noWrap/>
            <w:vAlign w:val="center"/>
          </w:tcPr>
          <w:p w14:paraId="0E601A4C">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bidi="ar"/>
              </w:rPr>
            </w:pPr>
            <w:r>
              <w:rPr>
                <w:rFonts w:ascii="Arial" w:hAnsi="Arial" w:cs="Arial"/>
                <w:sz w:val="20"/>
                <w:szCs w:val="20"/>
                <w:lang w:val="en-US" w:eastAsia="zh-CN" w:bidi="ar"/>
              </w:rPr>
              <w:t>Médio Porte I</w:t>
            </w:r>
          </w:p>
        </w:tc>
        <w:tc>
          <w:tcPr>
            <w:tcW w:w="5976" w:type="dxa"/>
            <w:tcBorders>
              <w:top w:val="single" w:color="000000" w:sz="2" w:space="0"/>
              <w:left w:val="single" w:color="000000" w:sz="2" w:space="0"/>
              <w:bottom w:val="single" w:color="000000" w:sz="2" w:space="0"/>
              <w:right w:val="single" w:color="000000" w:sz="2" w:space="0"/>
            </w:tcBorders>
            <w:noWrap/>
            <w:vAlign w:val="center"/>
          </w:tcPr>
          <w:p w14:paraId="1B901BB6">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rPr>
            </w:pPr>
            <w:r>
              <w:rPr>
                <w:rFonts w:ascii="Arial" w:hAnsi="Arial" w:cs="Arial"/>
                <w:sz w:val="20"/>
                <w:szCs w:val="20"/>
                <w:lang w:val="en-US" w:eastAsia="zh-CN" w:bidi="ar"/>
              </w:rPr>
              <w:t>EMEI PROF. SOLANGE MARIA FERRONATO</w:t>
            </w:r>
          </w:p>
        </w:tc>
        <w:tc>
          <w:tcPr>
            <w:tcW w:w="965" w:type="dxa"/>
            <w:tcBorders>
              <w:top w:val="single" w:color="000000" w:sz="2" w:space="0"/>
              <w:left w:val="single" w:color="000000" w:sz="2" w:space="0"/>
              <w:bottom w:val="single" w:color="000000" w:sz="2" w:space="0"/>
              <w:right w:val="single" w:color="000000" w:sz="2" w:space="0"/>
            </w:tcBorders>
            <w:noWrap/>
            <w:vAlign w:val="center"/>
          </w:tcPr>
          <w:p w14:paraId="1604B777">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sz w:val="20"/>
                <w:szCs w:val="20"/>
                <w:lang w:val="pt-BR"/>
              </w:rPr>
            </w:pPr>
            <w:r>
              <w:rPr>
                <w:rFonts w:hint="default" w:ascii="Arial" w:hAnsi="Arial" w:cs="Arial"/>
                <w:sz w:val="20"/>
                <w:szCs w:val="20"/>
                <w:lang w:val="pt-BR"/>
              </w:rPr>
              <w:t>4</w:t>
            </w:r>
          </w:p>
        </w:tc>
      </w:tr>
      <w:tr w14:paraId="775D0FBE">
        <w:tblPrEx>
          <w:tblCellMar>
            <w:top w:w="0" w:type="dxa"/>
            <w:left w:w="108" w:type="dxa"/>
            <w:bottom w:w="0" w:type="dxa"/>
            <w:right w:w="108" w:type="dxa"/>
          </w:tblCellMar>
        </w:tblPrEx>
        <w:trPr>
          <w:trHeight w:val="300" w:hRule="atLeast"/>
          <w:jc w:val="center"/>
        </w:trPr>
        <w:tc>
          <w:tcPr>
            <w:tcW w:w="710" w:type="dxa"/>
            <w:vMerge w:val="restart"/>
            <w:tcBorders>
              <w:top w:val="single" w:color="000000" w:sz="2" w:space="0"/>
              <w:left w:val="single" w:color="000000" w:sz="2" w:space="0"/>
              <w:right w:val="single" w:color="000000" w:sz="2" w:space="0"/>
            </w:tcBorders>
            <w:noWrap/>
            <w:vAlign w:val="center"/>
          </w:tcPr>
          <w:p w14:paraId="6A67120B">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rPr>
            </w:pPr>
            <w:r>
              <w:rPr>
                <w:rFonts w:ascii="Arial" w:hAnsi="Arial" w:cs="Arial"/>
                <w:sz w:val="20"/>
                <w:szCs w:val="20"/>
                <w:lang w:val="en-US" w:eastAsia="zh-CN" w:bidi="ar"/>
              </w:rPr>
              <w:t>26</w:t>
            </w:r>
          </w:p>
        </w:tc>
        <w:tc>
          <w:tcPr>
            <w:tcW w:w="1713" w:type="dxa"/>
            <w:vMerge w:val="restart"/>
            <w:tcBorders>
              <w:top w:val="single" w:color="000000" w:sz="2" w:space="0"/>
              <w:left w:val="single" w:color="000000" w:sz="2" w:space="0"/>
              <w:right w:val="single" w:color="000000" w:sz="2" w:space="0"/>
            </w:tcBorders>
            <w:noWrap/>
            <w:vAlign w:val="center"/>
          </w:tcPr>
          <w:p w14:paraId="13CEF842">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bidi="ar"/>
              </w:rPr>
            </w:pPr>
            <w:r>
              <w:rPr>
                <w:rFonts w:ascii="Arial" w:hAnsi="Arial" w:cs="Arial"/>
                <w:sz w:val="20"/>
                <w:szCs w:val="20"/>
                <w:lang w:val="en-US" w:eastAsia="zh-CN" w:bidi="ar"/>
              </w:rPr>
              <w:t>Médio Porte I</w:t>
            </w:r>
          </w:p>
        </w:tc>
        <w:tc>
          <w:tcPr>
            <w:tcW w:w="5976" w:type="dxa"/>
            <w:tcBorders>
              <w:top w:val="single" w:color="000000" w:sz="2" w:space="0"/>
              <w:left w:val="single" w:color="000000" w:sz="2" w:space="0"/>
              <w:bottom w:val="single" w:color="000000" w:sz="2" w:space="0"/>
              <w:right w:val="single" w:color="000000" w:sz="2" w:space="0"/>
            </w:tcBorders>
            <w:noWrap/>
            <w:vAlign w:val="center"/>
          </w:tcPr>
          <w:p w14:paraId="06A8268E">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rPr>
            </w:pPr>
            <w:r>
              <w:rPr>
                <w:rFonts w:ascii="Arial" w:hAnsi="Arial" w:cs="Arial"/>
                <w:sz w:val="20"/>
                <w:szCs w:val="20"/>
                <w:lang w:val="en-US" w:eastAsia="zh-CN" w:bidi="ar"/>
              </w:rPr>
              <w:t>EMEI PALMIRA MACHADO MENEGAZZO</w:t>
            </w:r>
          </w:p>
        </w:tc>
        <w:tc>
          <w:tcPr>
            <w:tcW w:w="965" w:type="dxa"/>
            <w:tcBorders>
              <w:top w:val="single" w:color="000000" w:sz="2" w:space="0"/>
              <w:left w:val="single" w:color="000000" w:sz="2" w:space="0"/>
              <w:bottom w:val="single" w:color="000000" w:sz="2" w:space="0"/>
              <w:right w:val="single" w:color="000000" w:sz="2" w:space="0"/>
            </w:tcBorders>
            <w:noWrap/>
            <w:vAlign w:val="center"/>
          </w:tcPr>
          <w:p w14:paraId="30B395F6">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sz w:val="20"/>
                <w:szCs w:val="20"/>
                <w:lang w:val="pt-BR"/>
              </w:rPr>
            </w:pPr>
            <w:r>
              <w:rPr>
                <w:rFonts w:hint="default" w:ascii="Arial" w:hAnsi="Arial" w:cs="Arial"/>
                <w:sz w:val="20"/>
                <w:szCs w:val="20"/>
                <w:lang w:val="pt-BR"/>
              </w:rPr>
              <w:t>4</w:t>
            </w:r>
          </w:p>
        </w:tc>
      </w:tr>
      <w:tr w14:paraId="28752B71">
        <w:tblPrEx>
          <w:tblCellMar>
            <w:top w:w="0" w:type="dxa"/>
            <w:left w:w="108" w:type="dxa"/>
            <w:bottom w:w="0" w:type="dxa"/>
            <w:right w:w="108" w:type="dxa"/>
          </w:tblCellMar>
        </w:tblPrEx>
        <w:trPr>
          <w:trHeight w:val="300" w:hRule="atLeast"/>
          <w:jc w:val="center"/>
        </w:trPr>
        <w:tc>
          <w:tcPr>
            <w:tcW w:w="710" w:type="dxa"/>
            <w:vMerge w:val="continue"/>
            <w:tcBorders>
              <w:left w:val="single" w:color="000000" w:sz="2" w:space="0"/>
              <w:right w:val="single" w:color="000000" w:sz="2" w:space="0"/>
            </w:tcBorders>
            <w:noWrap/>
            <w:vAlign w:val="center"/>
          </w:tcPr>
          <w:p w14:paraId="1B428780">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rPr>
            </w:pPr>
          </w:p>
        </w:tc>
        <w:tc>
          <w:tcPr>
            <w:tcW w:w="1713" w:type="dxa"/>
            <w:vMerge w:val="continue"/>
            <w:tcBorders>
              <w:left w:val="single" w:color="000000" w:sz="2" w:space="0"/>
              <w:right w:val="single" w:color="000000" w:sz="2" w:space="0"/>
            </w:tcBorders>
            <w:noWrap/>
            <w:vAlign w:val="center"/>
          </w:tcPr>
          <w:p w14:paraId="09B56D9A">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bidi="ar"/>
              </w:rPr>
            </w:pPr>
          </w:p>
        </w:tc>
        <w:tc>
          <w:tcPr>
            <w:tcW w:w="5976" w:type="dxa"/>
            <w:tcBorders>
              <w:top w:val="single" w:color="000000" w:sz="2" w:space="0"/>
              <w:left w:val="single" w:color="000000" w:sz="2" w:space="0"/>
              <w:bottom w:val="single" w:color="000000" w:sz="2" w:space="0"/>
              <w:right w:val="single" w:color="000000" w:sz="2" w:space="0"/>
            </w:tcBorders>
            <w:noWrap/>
            <w:vAlign w:val="center"/>
          </w:tcPr>
          <w:p w14:paraId="09B8C2D5">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rPr>
            </w:pPr>
            <w:r>
              <w:rPr>
                <w:rFonts w:hint="default" w:ascii="Arial" w:hAnsi="Arial" w:cs="Arial"/>
                <w:sz w:val="20"/>
                <w:szCs w:val="20"/>
                <w:lang w:val="pt-BR" w:eastAsia="zh-CN" w:bidi="ar"/>
              </w:rPr>
              <w:t xml:space="preserve">SALAS DA </w:t>
            </w:r>
            <w:r>
              <w:rPr>
                <w:rFonts w:ascii="Arial" w:hAnsi="Arial" w:cs="Arial"/>
                <w:sz w:val="20"/>
                <w:szCs w:val="20"/>
                <w:lang w:val="en-US" w:eastAsia="zh-CN" w:bidi="ar"/>
              </w:rPr>
              <w:t>EMEI PALMIRA MACHADO MENEGAZZO</w:t>
            </w:r>
            <w:r>
              <w:rPr>
                <w:rFonts w:hint="default" w:ascii="Arial" w:hAnsi="Arial" w:cs="Arial"/>
                <w:sz w:val="20"/>
                <w:szCs w:val="20"/>
                <w:lang w:val="pt-BR" w:eastAsia="zh-CN" w:bidi="ar"/>
              </w:rPr>
              <w:t xml:space="preserve"> - ANEXO A ESCOLA </w:t>
            </w:r>
            <w:r>
              <w:rPr>
                <w:rFonts w:ascii="Arial" w:hAnsi="Arial" w:cs="Arial"/>
                <w:sz w:val="20"/>
                <w:szCs w:val="20"/>
                <w:lang w:eastAsia="zh-CN" w:bidi="ar"/>
              </w:rPr>
              <w:t>VALMOR COPATI</w:t>
            </w:r>
          </w:p>
        </w:tc>
        <w:tc>
          <w:tcPr>
            <w:tcW w:w="965" w:type="dxa"/>
            <w:tcBorders>
              <w:top w:val="single" w:color="000000" w:sz="2" w:space="0"/>
              <w:left w:val="single" w:color="000000" w:sz="2" w:space="0"/>
              <w:bottom w:val="single" w:color="000000" w:sz="2" w:space="0"/>
              <w:right w:val="single" w:color="000000" w:sz="2" w:space="0"/>
            </w:tcBorders>
            <w:noWrap/>
            <w:vAlign w:val="center"/>
          </w:tcPr>
          <w:p w14:paraId="49C88EAB">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sz w:val="20"/>
                <w:szCs w:val="20"/>
                <w:lang w:val="pt-BR"/>
              </w:rPr>
            </w:pPr>
            <w:r>
              <w:rPr>
                <w:rFonts w:hint="default" w:ascii="Arial" w:hAnsi="Arial" w:cs="Arial"/>
                <w:sz w:val="20"/>
                <w:szCs w:val="20"/>
                <w:lang w:val="pt-BR"/>
              </w:rPr>
              <w:t>0</w:t>
            </w:r>
          </w:p>
        </w:tc>
      </w:tr>
      <w:tr w14:paraId="7B012BAA">
        <w:tblPrEx>
          <w:tblCellMar>
            <w:top w:w="0" w:type="dxa"/>
            <w:left w:w="108" w:type="dxa"/>
            <w:bottom w:w="0" w:type="dxa"/>
            <w:right w:w="108" w:type="dxa"/>
          </w:tblCellMar>
        </w:tblPrEx>
        <w:trPr>
          <w:trHeight w:val="300" w:hRule="atLeast"/>
          <w:jc w:val="center"/>
        </w:trPr>
        <w:tc>
          <w:tcPr>
            <w:tcW w:w="710" w:type="dxa"/>
            <w:vMerge w:val="continue"/>
            <w:tcBorders>
              <w:left w:val="single" w:color="000000" w:sz="2" w:space="0"/>
              <w:bottom w:val="single" w:color="000000" w:sz="2" w:space="0"/>
              <w:right w:val="single" w:color="000000" w:sz="2" w:space="0"/>
            </w:tcBorders>
            <w:noWrap/>
            <w:vAlign w:val="center"/>
          </w:tcPr>
          <w:p w14:paraId="25E08D0A">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rPr>
            </w:pPr>
          </w:p>
        </w:tc>
        <w:tc>
          <w:tcPr>
            <w:tcW w:w="1713" w:type="dxa"/>
            <w:vMerge w:val="continue"/>
            <w:tcBorders>
              <w:left w:val="single" w:color="000000" w:sz="2" w:space="0"/>
              <w:bottom w:val="single" w:color="000000" w:sz="2" w:space="0"/>
              <w:right w:val="single" w:color="000000" w:sz="2" w:space="0"/>
            </w:tcBorders>
            <w:noWrap/>
            <w:vAlign w:val="center"/>
          </w:tcPr>
          <w:p w14:paraId="20A94B30">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bidi="ar"/>
              </w:rPr>
            </w:pPr>
          </w:p>
        </w:tc>
        <w:tc>
          <w:tcPr>
            <w:tcW w:w="5976" w:type="dxa"/>
            <w:tcBorders>
              <w:top w:val="single" w:color="000000" w:sz="2" w:space="0"/>
              <w:left w:val="single" w:color="000000" w:sz="2" w:space="0"/>
              <w:bottom w:val="single" w:color="000000" w:sz="2" w:space="0"/>
              <w:right w:val="single" w:color="000000" w:sz="2" w:space="0"/>
            </w:tcBorders>
            <w:noWrap/>
            <w:vAlign w:val="center"/>
          </w:tcPr>
          <w:p w14:paraId="35DDABE4">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cs="Arial"/>
                <w:sz w:val="20"/>
                <w:szCs w:val="20"/>
              </w:rPr>
            </w:pPr>
            <w:r>
              <w:rPr>
                <w:rFonts w:hint="default" w:ascii="Arial" w:hAnsi="Arial" w:cs="Arial"/>
                <w:sz w:val="20"/>
                <w:szCs w:val="20"/>
                <w:lang w:val="pt-BR" w:eastAsia="zh-CN" w:bidi="ar"/>
              </w:rPr>
              <w:t xml:space="preserve">SALAS DA </w:t>
            </w:r>
            <w:r>
              <w:rPr>
                <w:rFonts w:ascii="Arial" w:hAnsi="Arial" w:cs="Arial"/>
                <w:sz w:val="20"/>
                <w:szCs w:val="20"/>
                <w:lang w:val="en-US" w:eastAsia="zh-CN" w:bidi="ar"/>
              </w:rPr>
              <w:t>EMEI PALMIRA MACHADO MENEGAZZO</w:t>
            </w:r>
            <w:r>
              <w:rPr>
                <w:rFonts w:hint="default" w:ascii="Arial" w:hAnsi="Arial" w:cs="Arial"/>
                <w:sz w:val="20"/>
                <w:szCs w:val="20"/>
                <w:lang w:val="pt-BR" w:eastAsia="zh-CN" w:bidi="ar"/>
              </w:rPr>
              <w:t xml:space="preserve"> -  ANEXO A </w:t>
            </w:r>
            <w:r>
              <w:rPr>
                <w:rFonts w:ascii="Arial" w:hAnsi="Arial" w:cs="Arial"/>
                <w:sz w:val="20"/>
                <w:szCs w:val="20"/>
                <w:lang w:eastAsia="zh-CN" w:bidi="ar"/>
              </w:rPr>
              <w:t>ESCOLA ESTADUAL CARLOS DRUMMOND DE ANDRADE</w:t>
            </w:r>
          </w:p>
        </w:tc>
        <w:tc>
          <w:tcPr>
            <w:tcW w:w="965" w:type="dxa"/>
            <w:tcBorders>
              <w:top w:val="single" w:color="000000" w:sz="2" w:space="0"/>
              <w:left w:val="single" w:color="000000" w:sz="2" w:space="0"/>
              <w:bottom w:val="single" w:color="000000" w:sz="2" w:space="0"/>
              <w:right w:val="single" w:color="000000" w:sz="2" w:space="0"/>
            </w:tcBorders>
            <w:noWrap/>
            <w:vAlign w:val="center"/>
          </w:tcPr>
          <w:p w14:paraId="125926A3">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sz w:val="20"/>
                <w:szCs w:val="20"/>
                <w:lang w:val="pt-BR"/>
              </w:rPr>
            </w:pPr>
            <w:r>
              <w:rPr>
                <w:rFonts w:hint="default" w:ascii="Arial" w:hAnsi="Arial" w:cs="Arial"/>
                <w:sz w:val="20"/>
                <w:szCs w:val="20"/>
                <w:lang w:val="pt-BR"/>
              </w:rPr>
              <w:t>0</w:t>
            </w:r>
          </w:p>
        </w:tc>
      </w:tr>
      <w:tr w14:paraId="393A8B73">
        <w:tblPrEx>
          <w:tblCellMar>
            <w:top w:w="0" w:type="dxa"/>
            <w:left w:w="108" w:type="dxa"/>
            <w:bottom w:w="0" w:type="dxa"/>
            <w:right w:w="108" w:type="dxa"/>
          </w:tblCellMar>
        </w:tblPrEx>
        <w:trPr>
          <w:trHeight w:val="300" w:hRule="atLeast"/>
          <w:jc w:val="center"/>
        </w:trPr>
        <w:tc>
          <w:tcPr>
            <w:tcW w:w="710" w:type="dxa"/>
            <w:tcBorders>
              <w:top w:val="single" w:color="000000" w:sz="2" w:space="0"/>
              <w:left w:val="single" w:color="000000" w:sz="2" w:space="0"/>
              <w:bottom w:val="single" w:color="000000" w:sz="2" w:space="0"/>
              <w:right w:val="single" w:color="000000" w:sz="2" w:space="0"/>
            </w:tcBorders>
            <w:noWrap/>
            <w:vAlign w:val="center"/>
          </w:tcPr>
          <w:p w14:paraId="0A6B6E1C">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rPr>
            </w:pPr>
            <w:r>
              <w:rPr>
                <w:rFonts w:hint="default" w:ascii="Arial" w:hAnsi="Arial" w:cs="Arial"/>
                <w:sz w:val="20"/>
                <w:szCs w:val="20"/>
                <w:lang w:val="pt-BR" w:eastAsia="zh-CN" w:bidi="ar"/>
              </w:rPr>
              <w:t>27</w:t>
            </w:r>
          </w:p>
        </w:tc>
        <w:tc>
          <w:tcPr>
            <w:tcW w:w="1713" w:type="dxa"/>
            <w:tcBorders>
              <w:top w:val="single" w:color="000000" w:sz="2" w:space="0"/>
              <w:left w:val="single" w:color="000000" w:sz="2" w:space="0"/>
              <w:bottom w:val="single" w:color="000000" w:sz="2" w:space="0"/>
              <w:right w:val="single" w:color="000000" w:sz="2" w:space="0"/>
            </w:tcBorders>
            <w:noWrap/>
            <w:vAlign w:val="center"/>
          </w:tcPr>
          <w:p w14:paraId="20F3D856">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bidi="ar"/>
              </w:rPr>
            </w:pPr>
            <w:r>
              <w:rPr>
                <w:rFonts w:ascii="Arial" w:hAnsi="Arial" w:cs="Arial"/>
                <w:sz w:val="20"/>
                <w:szCs w:val="20"/>
                <w:lang w:val="en-US" w:eastAsia="zh-CN" w:bidi="ar"/>
              </w:rPr>
              <w:t>Pequeno Porte</w:t>
            </w:r>
          </w:p>
        </w:tc>
        <w:tc>
          <w:tcPr>
            <w:tcW w:w="5976" w:type="dxa"/>
            <w:tcBorders>
              <w:top w:val="single" w:color="000000" w:sz="2" w:space="0"/>
              <w:left w:val="single" w:color="000000" w:sz="2" w:space="0"/>
              <w:bottom w:val="single" w:color="000000" w:sz="2" w:space="0"/>
              <w:right w:val="single" w:color="000000" w:sz="2" w:space="0"/>
            </w:tcBorders>
            <w:noWrap/>
            <w:vAlign w:val="center"/>
          </w:tcPr>
          <w:p w14:paraId="7DEA30D1">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rPr>
            </w:pPr>
            <w:r>
              <w:rPr>
                <w:rFonts w:ascii="Arial" w:hAnsi="Arial" w:cs="Arial"/>
                <w:sz w:val="20"/>
                <w:szCs w:val="20"/>
                <w:lang w:val="en-US" w:eastAsia="zh-CN" w:bidi="ar"/>
              </w:rPr>
              <w:t xml:space="preserve">EMEI </w:t>
            </w:r>
            <w:r>
              <w:rPr>
                <w:rFonts w:hint="default" w:ascii="Arial" w:hAnsi="Arial" w:cs="Arial"/>
                <w:sz w:val="20"/>
                <w:szCs w:val="20"/>
                <w:lang w:val="pt-BR" w:eastAsia="zh-CN" w:bidi="ar"/>
              </w:rPr>
              <w:t xml:space="preserve">CLARICE ALVES CORREA DOS SANTOS </w:t>
            </w:r>
          </w:p>
        </w:tc>
        <w:tc>
          <w:tcPr>
            <w:tcW w:w="965" w:type="dxa"/>
            <w:tcBorders>
              <w:top w:val="single" w:color="000000" w:sz="2" w:space="0"/>
              <w:left w:val="single" w:color="000000" w:sz="2" w:space="0"/>
              <w:bottom w:val="single" w:color="000000" w:sz="2" w:space="0"/>
              <w:right w:val="single" w:color="000000" w:sz="2" w:space="0"/>
            </w:tcBorders>
            <w:noWrap/>
            <w:vAlign w:val="center"/>
          </w:tcPr>
          <w:p w14:paraId="67A747BB">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sz w:val="20"/>
                <w:szCs w:val="20"/>
                <w:lang w:val="pt-BR"/>
              </w:rPr>
            </w:pPr>
            <w:r>
              <w:rPr>
                <w:rFonts w:hint="default" w:ascii="Arial" w:hAnsi="Arial" w:cs="Arial"/>
                <w:sz w:val="20"/>
                <w:szCs w:val="20"/>
                <w:lang w:val="pt-BR"/>
              </w:rPr>
              <w:t>4</w:t>
            </w:r>
          </w:p>
        </w:tc>
      </w:tr>
      <w:tr w14:paraId="11C53AEB">
        <w:tblPrEx>
          <w:tblCellMar>
            <w:top w:w="0" w:type="dxa"/>
            <w:left w:w="108" w:type="dxa"/>
            <w:bottom w:w="0" w:type="dxa"/>
            <w:right w:w="108" w:type="dxa"/>
          </w:tblCellMar>
        </w:tblPrEx>
        <w:trPr>
          <w:trHeight w:val="300" w:hRule="atLeast"/>
          <w:jc w:val="center"/>
        </w:trPr>
        <w:tc>
          <w:tcPr>
            <w:tcW w:w="710" w:type="dxa"/>
            <w:tcBorders>
              <w:top w:val="single" w:color="000000" w:sz="2" w:space="0"/>
              <w:left w:val="single" w:color="000000" w:sz="2" w:space="0"/>
              <w:bottom w:val="single" w:color="000000" w:sz="2" w:space="0"/>
              <w:right w:val="single" w:color="000000" w:sz="2" w:space="0"/>
            </w:tcBorders>
            <w:noWrap/>
            <w:vAlign w:val="center"/>
          </w:tcPr>
          <w:p w14:paraId="12D22096">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rPr>
            </w:pPr>
            <w:r>
              <w:rPr>
                <w:rFonts w:hint="default" w:ascii="Arial" w:hAnsi="Arial" w:cs="Arial"/>
                <w:sz w:val="20"/>
                <w:szCs w:val="20"/>
                <w:lang w:val="pt-BR" w:eastAsia="zh-CN" w:bidi="ar"/>
              </w:rPr>
              <w:t>28</w:t>
            </w:r>
          </w:p>
        </w:tc>
        <w:tc>
          <w:tcPr>
            <w:tcW w:w="1713" w:type="dxa"/>
            <w:tcBorders>
              <w:top w:val="single" w:color="000000" w:sz="2" w:space="0"/>
              <w:left w:val="single" w:color="000000" w:sz="2" w:space="0"/>
              <w:bottom w:val="single" w:color="000000" w:sz="2" w:space="0"/>
              <w:right w:val="single" w:color="000000" w:sz="2" w:space="0"/>
            </w:tcBorders>
            <w:noWrap/>
            <w:vAlign w:val="center"/>
          </w:tcPr>
          <w:p w14:paraId="15E1C01D">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bidi="ar"/>
              </w:rPr>
            </w:pPr>
            <w:r>
              <w:rPr>
                <w:rFonts w:ascii="Arial" w:hAnsi="Arial" w:cs="Arial"/>
                <w:sz w:val="20"/>
                <w:szCs w:val="20"/>
                <w:lang w:val="en-US" w:eastAsia="zh-CN" w:bidi="ar"/>
              </w:rPr>
              <w:t>Grande Porte</w:t>
            </w:r>
          </w:p>
        </w:tc>
        <w:tc>
          <w:tcPr>
            <w:tcW w:w="5976" w:type="dxa"/>
            <w:tcBorders>
              <w:top w:val="single" w:color="000000" w:sz="2" w:space="0"/>
              <w:left w:val="single" w:color="000000" w:sz="2" w:space="0"/>
              <w:bottom w:val="single" w:color="000000" w:sz="2" w:space="0"/>
              <w:right w:val="single" w:color="000000" w:sz="2" w:space="0"/>
            </w:tcBorders>
            <w:noWrap/>
            <w:vAlign w:val="center"/>
          </w:tcPr>
          <w:p w14:paraId="33E4B939">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rPr>
            </w:pPr>
            <w:r>
              <w:rPr>
                <w:rFonts w:ascii="Arial" w:hAnsi="Arial" w:cs="Arial"/>
                <w:sz w:val="20"/>
                <w:szCs w:val="20"/>
                <w:lang w:val="en-US" w:eastAsia="zh-CN" w:bidi="ar"/>
              </w:rPr>
              <w:t>EMEB BASILIANO DO CARMO DE JESUS</w:t>
            </w:r>
          </w:p>
        </w:tc>
        <w:tc>
          <w:tcPr>
            <w:tcW w:w="965" w:type="dxa"/>
            <w:tcBorders>
              <w:top w:val="single" w:color="000000" w:sz="2" w:space="0"/>
              <w:left w:val="single" w:color="000000" w:sz="2" w:space="0"/>
              <w:bottom w:val="single" w:color="000000" w:sz="2" w:space="0"/>
              <w:right w:val="single" w:color="000000" w:sz="2" w:space="0"/>
            </w:tcBorders>
            <w:noWrap/>
            <w:vAlign w:val="center"/>
          </w:tcPr>
          <w:p w14:paraId="3BE715D6">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sz w:val="20"/>
                <w:szCs w:val="20"/>
                <w:lang w:val="pt-BR"/>
              </w:rPr>
            </w:pPr>
            <w:r>
              <w:rPr>
                <w:rFonts w:hint="default" w:ascii="Arial" w:hAnsi="Arial" w:cs="Arial"/>
                <w:sz w:val="20"/>
                <w:szCs w:val="20"/>
                <w:lang w:val="pt-BR"/>
              </w:rPr>
              <w:t>6</w:t>
            </w:r>
          </w:p>
        </w:tc>
      </w:tr>
      <w:tr w14:paraId="1AB6AF77">
        <w:tblPrEx>
          <w:tblCellMar>
            <w:top w:w="0" w:type="dxa"/>
            <w:left w:w="108" w:type="dxa"/>
            <w:bottom w:w="0" w:type="dxa"/>
            <w:right w:w="108" w:type="dxa"/>
          </w:tblCellMar>
        </w:tblPrEx>
        <w:trPr>
          <w:trHeight w:val="300" w:hRule="atLeast"/>
          <w:jc w:val="center"/>
        </w:trPr>
        <w:tc>
          <w:tcPr>
            <w:tcW w:w="710" w:type="dxa"/>
            <w:tcBorders>
              <w:top w:val="single" w:color="000000" w:sz="2" w:space="0"/>
              <w:left w:val="single" w:color="000000" w:sz="2" w:space="0"/>
              <w:bottom w:val="single" w:color="000000" w:sz="2" w:space="0"/>
              <w:right w:val="single" w:color="000000" w:sz="2" w:space="0"/>
            </w:tcBorders>
            <w:noWrap/>
            <w:vAlign w:val="center"/>
          </w:tcPr>
          <w:p w14:paraId="43991CB9">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rPr>
            </w:pPr>
            <w:r>
              <w:rPr>
                <w:rFonts w:hint="default" w:ascii="Arial" w:hAnsi="Arial" w:cs="Arial"/>
                <w:sz w:val="20"/>
                <w:szCs w:val="20"/>
                <w:lang w:val="pt-BR" w:eastAsia="zh-CN" w:bidi="ar"/>
              </w:rPr>
              <w:t>29</w:t>
            </w:r>
          </w:p>
        </w:tc>
        <w:tc>
          <w:tcPr>
            <w:tcW w:w="1713" w:type="dxa"/>
            <w:tcBorders>
              <w:top w:val="single" w:color="000000" w:sz="2" w:space="0"/>
              <w:left w:val="single" w:color="000000" w:sz="2" w:space="0"/>
              <w:bottom w:val="single" w:color="000000" w:sz="2" w:space="0"/>
              <w:right w:val="single" w:color="000000" w:sz="2" w:space="0"/>
            </w:tcBorders>
            <w:noWrap/>
            <w:vAlign w:val="center"/>
          </w:tcPr>
          <w:p w14:paraId="6B99B587">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bidi="ar"/>
              </w:rPr>
            </w:pPr>
            <w:r>
              <w:rPr>
                <w:rFonts w:ascii="Arial" w:hAnsi="Arial" w:cs="Arial"/>
                <w:sz w:val="20"/>
                <w:szCs w:val="20"/>
                <w:lang w:val="en-US" w:eastAsia="zh-CN" w:bidi="ar"/>
              </w:rPr>
              <w:t>Médio Porte I</w:t>
            </w:r>
          </w:p>
        </w:tc>
        <w:tc>
          <w:tcPr>
            <w:tcW w:w="5976" w:type="dxa"/>
            <w:tcBorders>
              <w:top w:val="single" w:color="000000" w:sz="2" w:space="0"/>
              <w:left w:val="single" w:color="000000" w:sz="2" w:space="0"/>
              <w:bottom w:val="single" w:color="000000" w:sz="2" w:space="0"/>
              <w:right w:val="single" w:color="000000" w:sz="2" w:space="0"/>
            </w:tcBorders>
            <w:noWrap/>
            <w:vAlign w:val="center"/>
          </w:tcPr>
          <w:p w14:paraId="08F13080">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rPr>
            </w:pPr>
            <w:r>
              <w:rPr>
                <w:rFonts w:ascii="Arial" w:hAnsi="Arial" w:cs="Arial"/>
                <w:sz w:val="20"/>
                <w:szCs w:val="20"/>
                <w:lang w:val="en-US" w:eastAsia="zh-CN" w:bidi="ar"/>
              </w:rPr>
              <w:t>EMEI PEQUENO PRÍNCIPE</w:t>
            </w:r>
          </w:p>
        </w:tc>
        <w:tc>
          <w:tcPr>
            <w:tcW w:w="965" w:type="dxa"/>
            <w:tcBorders>
              <w:top w:val="single" w:color="000000" w:sz="2" w:space="0"/>
              <w:left w:val="single" w:color="000000" w:sz="2" w:space="0"/>
              <w:bottom w:val="single" w:color="000000" w:sz="2" w:space="0"/>
              <w:right w:val="single" w:color="000000" w:sz="2" w:space="0"/>
            </w:tcBorders>
            <w:noWrap/>
            <w:vAlign w:val="center"/>
          </w:tcPr>
          <w:p w14:paraId="014C850E">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sz w:val="20"/>
                <w:szCs w:val="20"/>
                <w:lang w:val="pt-BR"/>
              </w:rPr>
            </w:pPr>
            <w:r>
              <w:rPr>
                <w:rFonts w:hint="default" w:ascii="Arial" w:hAnsi="Arial" w:cs="Arial"/>
                <w:sz w:val="20"/>
                <w:szCs w:val="20"/>
                <w:lang w:val="pt-BR"/>
              </w:rPr>
              <w:t>4</w:t>
            </w:r>
          </w:p>
        </w:tc>
      </w:tr>
      <w:tr w14:paraId="7945E29D">
        <w:tblPrEx>
          <w:tblCellMar>
            <w:top w:w="0" w:type="dxa"/>
            <w:left w:w="108" w:type="dxa"/>
            <w:bottom w:w="0" w:type="dxa"/>
            <w:right w:w="108" w:type="dxa"/>
          </w:tblCellMar>
        </w:tblPrEx>
        <w:trPr>
          <w:trHeight w:val="300" w:hRule="atLeast"/>
          <w:jc w:val="center"/>
        </w:trPr>
        <w:tc>
          <w:tcPr>
            <w:tcW w:w="710" w:type="dxa"/>
            <w:tcBorders>
              <w:top w:val="single" w:color="000000" w:sz="2" w:space="0"/>
              <w:left w:val="single" w:color="000000" w:sz="2" w:space="0"/>
              <w:bottom w:val="single" w:color="000000" w:sz="2" w:space="0"/>
              <w:right w:val="single" w:color="000000" w:sz="2" w:space="0"/>
            </w:tcBorders>
            <w:noWrap/>
            <w:vAlign w:val="center"/>
          </w:tcPr>
          <w:p w14:paraId="600D2DAC">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rPr>
            </w:pPr>
            <w:r>
              <w:rPr>
                <w:rFonts w:hint="default" w:ascii="Arial" w:hAnsi="Arial" w:cs="Arial"/>
                <w:sz w:val="20"/>
                <w:szCs w:val="20"/>
                <w:lang w:val="pt-BR" w:eastAsia="zh-CN" w:bidi="ar"/>
              </w:rPr>
              <w:t>30</w:t>
            </w:r>
          </w:p>
        </w:tc>
        <w:tc>
          <w:tcPr>
            <w:tcW w:w="1713" w:type="dxa"/>
            <w:tcBorders>
              <w:top w:val="single" w:color="000000" w:sz="2" w:space="0"/>
              <w:left w:val="single" w:color="000000" w:sz="2" w:space="0"/>
              <w:bottom w:val="single" w:color="000000" w:sz="2" w:space="0"/>
              <w:right w:val="single" w:color="000000" w:sz="2" w:space="0"/>
            </w:tcBorders>
            <w:noWrap/>
            <w:vAlign w:val="center"/>
          </w:tcPr>
          <w:p w14:paraId="22045AC0">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bidi="ar"/>
              </w:rPr>
            </w:pPr>
            <w:r>
              <w:rPr>
                <w:rFonts w:ascii="Arial" w:hAnsi="Arial" w:cs="Arial"/>
                <w:sz w:val="20"/>
                <w:szCs w:val="20"/>
                <w:lang w:val="en-US" w:eastAsia="zh-CN" w:bidi="ar"/>
              </w:rPr>
              <w:t>Médio Porte I</w:t>
            </w:r>
          </w:p>
        </w:tc>
        <w:tc>
          <w:tcPr>
            <w:tcW w:w="5976" w:type="dxa"/>
            <w:tcBorders>
              <w:top w:val="single" w:color="000000" w:sz="2" w:space="0"/>
              <w:left w:val="single" w:color="000000" w:sz="2" w:space="0"/>
              <w:bottom w:val="single" w:color="000000" w:sz="2" w:space="0"/>
              <w:right w:val="single" w:color="000000" w:sz="2" w:space="0"/>
            </w:tcBorders>
            <w:noWrap/>
            <w:vAlign w:val="center"/>
          </w:tcPr>
          <w:p w14:paraId="60B70B02">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rPr>
            </w:pPr>
            <w:r>
              <w:rPr>
                <w:rFonts w:ascii="Arial" w:hAnsi="Arial" w:cs="Arial"/>
                <w:sz w:val="20"/>
                <w:szCs w:val="20"/>
                <w:lang w:val="en-US" w:eastAsia="zh-CN" w:bidi="ar"/>
              </w:rPr>
              <w:t>EMEI TARSILA DO AMARAL</w:t>
            </w:r>
          </w:p>
        </w:tc>
        <w:tc>
          <w:tcPr>
            <w:tcW w:w="965" w:type="dxa"/>
            <w:tcBorders>
              <w:top w:val="single" w:color="000000" w:sz="2" w:space="0"/>
              <w:left w:val="single" w:color="000000" w:sz="2" w:space="0"/>
              <w:bottom w:val="single" w:color="000000" w:sz="2" w:space="0"/>
              <w:right w:val="single" w:color="000000" w:sz="2" w:space="0"/>
            </w:tcBorders>
            <w:noWrap/>
            <w:vAlign w:val="center"/>
          </w:tcPr>
          <w:p w14:paraId="3B4D0C3D">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sz w:val="20"/>
                <w:szCs w:val="20"/>
                <w:lang w:val="pt-BR"/>
              </w:rPr>
            </w:pPr>
            <w:r>
              <w:rPr>
                <w:rFonts w:hint="default" w:ascii="Arial" w:hAnsi="Arial" w:cs="Arial"/>
                <w:sz w:val="20"/>
                <w:szCs w:val="20"/>
                <w:lang w:val="pt-BR"/>
              </w:rPr>
              <w:t>4</w:t>
            </w:r>
          </w:p>
        </w:tc>
      </w:tr>
      <w:tr w14:paraId="3CAE7E50">
        <w:tblPrEx>
          <w:tblCellMar>
            <w:top w:w="0" w:type="dxa"/>
            <w:left w:w="108" w:type="dxa"/>
            <w:bottom w:w="0" w:type="dxa"/>
            <w:right w:w="108" w:type="dxa"/>
          </w:tblCellMar>
        </w:tblPrEx>
        <w:trPr>
          <w:trHeight w:val="300" w:hRule="atLeast"/>
          <w:jc w:val="center"/>
        </w:trPr>
        <w:tc>
          <w:tcPr>
            <w:tcW w:w="710" w:type="dxa"/>
            <w:tcBorders>
              <w:top w:val="single" w:color="000000" w:sz="2" w:space="0"/>
              <w:left w:val="single" w:color="000000" w:sz="2" w:space="0"/>
              <w:bottom w:val="single" w:color="000000" w:sz="2" w:space="0"/>
              <w:right w:val="single" w:color="000000" w:sz="2" w:space="0"/>
            </w:tcBorders>
            <w:noWrap/>
            <w:vAlign w:val="center"/>
          </w:tcPr>
          <w:p w14:paraId="03C349E2">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rPr>
            </w:pPr>
            <w:r>
              <w:rPr>
                <w:rFonts w:hint="default" w:ascii="Arial" w:hAnsi="Arial" w:cs="Arial"/>
                <w:sz w:val="20"/>
                <w:szCs w:val="20"/>
                <w:lang w:val="pt-BR" w:eastAsia="zh-CN" w:bidi="ar"/>
              </w:rPr>
              <w:t>31</w:t>
            </w:r>
          </w:p>
        </w:tc>
        <w:tc>
          <w:tcPr>
            <w:tcW w:w="1713" w:type="dxa"/>
            <w:tcBorders>
              <w:top w:val="single" w:color="000000" w:sz="2" w:space="0"/>
              <w:left w:val="single" w:color="000000" w:sz="2" w:space="0"/>
              <w:bottom w:val="single" w:color="000000" w:sz="2" w:space="0"/>
              <w:right w:val="single" w:color="000000" w:sz="2" w:space="0"/>
            </w:tcBorders>
            <w:noWrap/>
            <w:vAlign w:val="center"/>
          </w:tcPr>
          <w:p w14:paraId="3F11EC32">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bidi="ar"/>
              </w:rPr>
            </w:pPr>
            <w:r>
              <w:rPr>
                <w:rFonts w:ascii="Arial" w:hAnsi="Arial" w:cs="Arial"/>
                <w:sz w:val="20"/>
                <w:szCs w:val="20"/>
                <w:lang w:val="en-US" w:eastAsia="zh-CN" w:bidi="ar"/>
              </w:rPr>
              <w:t>Médio Porte I</w:t>
            </w:r>
          </w:p>
        </w:tc>
        <w:tc>
          <w:tcPr>
            <w:tcW w:w="5976" w:type="dxa"/>
            <w:tcBorders>
              <w:top w:val="single" w:color="000000" w:sz="2" w:space="0"/>
              <w:left w:val="single" w:color="000000" w:sz="2" w:space="0"/>
              <w:bottom w:val="single" w:color="000000" w:sz="2" w:space="0"/>
              <w:right w:val="single" w:color="000000" w:sz="2" w:space="0"/>
            </w:tcBorders>
            <w:noWrap/>
            <w:vAlign w:val="center"/>
          </w:tcPr>
          <w:p w14:paraId="4E3029AA">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rPr>
            </w:pPr>
            <w:r>
              <w:rPr>
                <w:rFonts w:ascii="Arial" w:hAnsi="Arial" w:cs="Arial"/>
                <w:sz w:val="20"/>
                <w:szCs w:val="20"/>
                <w:lang w:val="en-US" w:eastAsia="zh-CN" w:bidi="ar"/>
              </w:rPr>
              <w:t>EMEB MONTEIRO LOBATO</w:t>
            </w:r>
          </w:p>
        </w:tc>
        <w:tc>
          <w:tcPr>
            <w:tcW w:w="965" w:type="dxa"/>
            <w:tcBorders>
              <w:top w:val="single" w:color="000000" w:sz="2" w:space="0"/>
              <w:left w:val="single" w:color="000000" w:sz="2" w:space="0"/>
              <w:bottom w:val="single" w:color="000000" w:sz="2" w:space="0"/>
              <w:right w:val="single" w:color="000000" w:sz="2" w:space="0"/>
            </w:tcBorders>
            <w:noWrap/>
            <w:vAlign w:val="center"/>
          </w:tcPr>
          <w:p w14:paraId="487D7DB3">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sz w:val="20"/>
                <w:szCs w:val="20"/>
                <w:lang w:val="pt-BR"/>
              </w:rPr>
            </w:pPr>
            <w:r>
              <w:rPr>
                <w:rFonts w:hint="default" w:ascii="Arial" w:hAnsi="Arial" w:cs="Arial"/>
                <w:sz w:val="20"/>
                <w:szCs w:val="20"/>
                <w:lang w:val="pt-BR"/>
              </w:rPr>
              <w:t>4</w:t>
            </w:r>
          </w:p>
        </w:tc>
      </w:tr>
      <w:tr w14:paraId="0175CA05">
        <w:tblPrEx>
          <w:tblCellMar>
            <w:top w:w="0" w:type="dxa"/>
            <w:left w:w="108" w:type="dxa"/>
            <w:bottom w:w="0" w:type="dxa"/>
            <w:right w:w="108" w:type="dxa"/>
          </w:tblCellMar>
        </w:tblPrEx>
        <w:trPr>
          <w:trHeight w:val="300" w:hRule="atLeast"/>
          <w:jc w:val="center"/>
        </w:trPr>
        <w:tc>
          <w:tcPr>
            <w:tcW w:w="710" w:type="dxa"/>
            <w:tcBorders>
              <w:top w:val="single" w:color="000000" w:sz="2" w:space="0"/>
              <w:left w:val="single" w:color="000000" w:sz="2" w:space="0"/>
              <w:bottom w:val="single" w:color="000000" w:sz="2" w:space="0"/>
              <w:right w:val="single" w:color="000000" w:sz="2" w:space="0"/>
            </w:tcBorders>
            <w:noWrap/>
            <w:vAlign w:val="center"/>
          </w:tcPr>
          <w:p w14:paraId="2DD89457">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rPr>
            </w:pPr>
            <w:r>
              <w:rPr>
                <w:rFonts w:hint="default" w:ascii="Arial" w:hAnsi="Arial" w:cs="Arial"/>
                <w:sz w:val="20"/>
                <w:szCs w:val="20"/>
                <w:lang w:val="pt-BR" w:eastAsia="zh-CN" w:bidi="ar"/>
              </w:rPr>
              <w:t>32</w:t>
            </w:r>
          </w:p>
        </w:tc>
        <w:tc>
          <w:tcPr>
            <w:tcW w:w="1713" w:type="dxa"/>
            <w:tcBorders>
              <w:top w:val="single" w:color="000000" w:sz="2" w:space="0"/>
              <w:left w:val="single" w:color="000000" w:sz="2" w:space="0"/>
              <w:bottom w:val="single" w:color="000000" w:sz="2" w:space="0"/>
              <w:right w:val="single" w:color="000000" w:sz="2" w:space="0"/>
            </w:tcBorders>
            <w:noWrap/>
            <w:vAlign w:val="center"/>
          </w:tcPr>
          <w:p w14:paraId="7183640E">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bidi="ar"/>
              </w:rPr>
            </w:pPr>
            <w:r>
              <w:rPr>
                <w:rFonts w:ascii="Arial" w:hAnsi="Arial" w:cs="Arial"/>
                <w:sz w:val="20"/>
                <w:szCs w:val="20"/>
                <w:lang w:val="en-US" w:eastAsia="zh-CN" w:bidi="ar"/>
              </w:rPr>
              <w:t>Médio Porte I</w:t>
            </w:r>
          </w:p>
        </w:tc>
        <w:tc>
          <w:tcPr>
            <w:tcW w:w="5976" w:type="dxa"/>
            <w:tcBorders>
              <w:top w:val="single" w:color="000000" w:sz="2" w:space="0"/>
              <w:left w:val="single" w:color="000000" w:sz="2" w:space="0"/>
              <w:bottom w:val="single" w:color="000000" w:sz="2" w:space="0"/>
              <w:right w:val="single" w:color="000000" w:sz="2" w:space="0"/>
            </w:tcBorders>
            <w:noWrap/>
            <w:vAlign w:val="center"/>
          </w:tcPr>
          <w:p w14:paraId="3D905982">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rPr>
            </w:pPr>
            <w:r>
              <w:rPr>
                <w:rFonts w:ascii="Arial" w:hAnsi="Arial" w:cs="Arial"/>
                <w:sz w:val="20"/>
                <w:szCs w:val="20"/>
                <w:lang w:val="en-US" w:eastAsia="zh-CN" w:bidi="ar"/>
              </w:rPr>
              <w:t>EMEI TEMPO DE INFÂNCIA</w:t>
            </w:r>
          </w:p>
        </w:tc>
        <w:tc>
          <w:tcPr>
            <w:tcW w:w="965" w:type="dxa"/>
            <w:tcBorders>
              <w:top w:val="single" w:color="000000" w:sz="2" w:space="0"/>
              <w:left w:val="single" w:color="000000" w:sz="2" w:space="0"/>
              <w:bottom w:val="single" w:color="000000" w:sz="2" w:space="0"/>
              <w:right w:val="single" w:color="000000" w:sz="2" w:space="0"/>
            </w:tcBorders>
            <w:noWrap/>
            <w:vAlign w:val="center"/>
          </w:tcPr>
          <w:p w14:paraId="4E7B8561">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sz w:val="20"/>
                <w:szCs w:val="20"/>
                <w:lang w:val="pt-BR"/>
              </w:rPr>
            </w:pPr>
            <w:r>
              <w:rPr>
                <w:rFonts w:hint="default" w:ascii="Arial" w:hAnsi="Arial" w:cs="Arial"/>
                <w:sz w:val="20"/>
                <w:szCs w:val="20"/>
                <w:lang w:val="pt-BR"/>
              </w:rPr>
              <w:t>4</w:t>
            </w:r>
          </w:p>
        </w:tc>
      </w:tr>
      <w:tr w14:paraId="45B9A37E">
        <w:tblPrEx>
          <w:tblCellMar>
            <w:top w:w="0" w:type="dxa"/>
            <w:left w:w="108" w:type="dxa"/>
            <w:bottom w:w="0" w:type="dxa"/>
            <w:right w:w="108" w:type="dxa"/>
          </w:tblCellMar>
        </w:tblPrEx>
        <w:trPr>
          <w:trHeight w:val="300" w:hRule="atLeast"/>
          <w:jc w:val="center"/>
        </w:trPr>
        <w:tc>
          <w:tcPr>
            <w:tcW w:w="710" w:type="dxa"/>
            <w:tcBorders>
              <w:top w:val="single" w:color="000000" w:sz="2" w:space="0"/>
              <w:left w:val="single" w:color="000000" w:sz="2" w:space="0"/>
              <w:bottom w:val="single" w:color="000000" w:sz="2" w:space="0"/>
              <w:right w:val="single" w:color="000000" w:sz="2" w:space="0"/>
            </w:tcBorders>
            <w:noWrap/>
            <w:vAlign w:val="center"/>
          </w:tcPr>
          <w:p w14:paraId="58A1B12B">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rPr>
            </w:pPr>
            <w:r>
              <w:rPr>
                <w:rFonts w:ascii="Arial" w:hAnsi="Arial" w:cs="Arial"/>
                <w:sz w:val="20"/>
                <w:szCs w:val="20"/>
                <w:lang w:val="en-US" w:eastAsia="zh-CN" w:bidi="ar"/>
              </w:rPr>
              <w:t>3</w:t>
            </w:r>
            <w:r>
              <w:rPr>
                <w:rFonts w:hint="default" w:ascii="Arial" w:hAnsi="Arial" w:cs="Arial"/>
                <w:sz w:val="20"/>
                <w:szCs w:val="20"/>
                <w:lang w:val="pt-BR" w:eastAsia="zh-CN" w:bidi="ar"/>
              </w:rPr>
              <w:t>3</w:t>
            </w:r>
          </w:p>
        </w:tc>
        <w:tc>
          <w:tcPr>
            <w:tcW w:w="1713" w:type="dxa"/>
            <w:tcBorders>
              <w:top w:val="single" w:color="000000" w:sz="2" w:space="0"/>
              <w:left w:val="single" w:color="000000" w:sz="2" w:space="0"/>
              <w:bottom w:val="single" w:color="000000" w:sz="2" w:space="0"/>
              <w:right w:val="single" w:color="000000" w:sz="2" w:space="0"/>
            </w:tcBorders>
            <w:noWrap/>
            <w:vAlign w:val="center"/>
          </w:tcPr>
          <w:p w14:paraId="2EDF9405">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bidi="ar"/>
              </w:rPr>
            </w:pPr>
            <w:r>
              <w:rPr>
                <w:rFonts w:ascii="Arial" w:hAnsi="Arial" w:cs="Arial"/>
                <w:sz w:val="20"/>
                <w:szCs w:val="20"/>
                <w:lang w:val="en-US" w:eastAsia="zh-CN" w:bidi="ar"/>
              </w:rPr>
              <w:t>Médio Porte I</w:t>
            </w:r>
          </w:p>
        </w:tc>
        <w:tc>
          <w:tcPr>
            <w:tcW w:w="5976" w:type="dxa"/>
            <w:tcBorders>
              <w:top w:val="single" w:color="000000" w:sz="2" w:space="0"/>
              <w:left w:val="single" w:color="000000" w:sz="2" w:space="0"/>
              <w:bottom w:val="single" w:color="000000" w:sz="2" w:space="0"/>
              <w:right w:val="single" w:color="000000" w:sz="2" w:space="0"/>
            </w:tcBorders>
            <w:noWrap/>
            <w:vAlign w:val="center"/>
          </w:tcPr>
          <w:p w14:paraId="4570342E">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rPr>
            </w:pPr>
            <w:r>
              <w:rPr>
                <w:rFonts w:ascii="Arial" w:hAnsi="Arial" w:cs="Arial"/>
                <w:sz w:val="20"/>
                <w:szCs w:val="20"/>
                <w:lang w:val="en-US" w:eastAsia="zh-CN" w:bidi="ar"/>
              </w:rPr>
              <w:t>EMEI GENTE FELIZ</w:t>
            </w:r>
          </w:p>
        </w:tc>
        <w:tc>
          <w:tcPr>
            <w:tcW w:w="965" w:type="dxa"/>
            <w:tcBorders>
              <w:top w:val="single" w:color="000000" w:sz="2" w:space="0"/>
              <w:left w:val="single" w:color="000000" w:sz="2" w:space="0"/>
              <w:bottom w:val="single" w:color="000000" w:sz="2" w:space="0"/>
              <w:right w:val="single" w:color="000000" w:sz="2" w:space="0"/>
            </w:tcBorders>
            <w:noWrap/>
            <w:vAlign w:val="center"/>
          </w:tcPr>
          <w:p w14:paraId="6142E218">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sz w:val="20"/>
                <w:szCs w:val="20"/>
                <w:lang w:val="pt-BR"/>
              </w:rPr>
            </w:pPr>
            <w:r>
              <w:rPr>
                <w:rFonts w:hint="default" w:ascii="Arial" w:hAnsi="Arial" w:cs="Arial"/>
                <w:sz w:val="20"/>
                <w:szCs w:val="20"/>
                <w:lang w:val="pt-BR"/>
              </w:rPr>
              <w:t>4</w:t>
            </w:r>
          </w:p>
        </w:tc>
      </w:tr>
      <w:tr w14:paraId="253FE004">
        <w:tblPrEx>
          <w:tblCellMar>
            <w:top w:w="0" w:type="dxa"/>
            <w:left w:w="108" w:type="dxa"/>
            <w:bottom w:w="0" w:type="dxa"/>
            <w:right w:w="108" w:type="dxa"/>
          </w:tblCellMar>
        </w:tblPrEx>
        <w:trPr>
          <w:trHeight w:val="300" w:hRule="atLeast"/>
          <w:jc w:val="center"/>
        </w:trPr>
        <w:tc>
          <w:tcPr>
            <w:tcW w:w="710" w:type="dxa"/>
            <w:tcBorders>
              <w:top w:val="single" w:color="000000" w:sz="2" w:space="0"/>
              <w:left w:val="single" w:color="000000" w:sz="2" w:space="0"/>
              <w:bottom w:val="single" w:color="000000" w:sz="2" w:space="0"/>
              <w:right w:val="single" w:color="000000" w:sz="2" w:space="0"/>
            </w:tcBorders>
            <w:noWrap/>
            <w:vAlign w:val="center"/>
          </w:tcPr>
          <w:p w14:paraId="4D7FAD08">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rPr>
            </w:pPr>
            <w:r>
              <w:rPr>
                <w:rFonts w:hint="default" w:ascii="Arial" w:hAnsi="Arial" w:cs="Arial"/>
                <w:sz w:val="20"/>
                <w:szCs w:val="20"/>
                <w:lang w:val="pt-BR" w:eastAsia="zh-CN" w:bidi="ar"/>
              </w:rPr>
              <w:t>34</w:t>
            </w:r>
          </w:p>
        </w:tc>
        <w:tc>
          <w:tcPr>
            <w:tcW w:w="1713" w:type="dxa"/>
            <w:tcBorders>
              <w:top w:val="single" w:color="000000" w:sz="2" w:space="0"/>
              <w:left w:val="single" w:color="000000" w:sz="2" w:space="0"/>
              <w:bottom w:val="single" w:color="000000" w:sz="2" w:space="0"/>
              <w:right w:val="single" w:color="000000" w:sz="2" w:space="0"/>
            </w:tcBorders>
            <w:noWrap/>
            <w:vAlign w:val="center"/>
          </w:tcPr>
          <w:p w14:paraId="625D7D84">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bidi="ar"/>
              </w:rPr>
            </w:pPr>
            <w:r>
              <w:rPr>
                <w:rFonts w:ascii="Arial" w:hAnsi="Arial" w:cs="Arial"/>
                <w:sz w:val="20"/>
                <w:szCs w:val="20"/>
                <w:lang w:val="en-US" w:eastAsia="zh-CN" w:bidi="ar"/>
              </w:rPr>
              <w:t>Médio Porte II</w:t>
            </w:r>
          </w:p>
        </w:tc>
        <w:tc>
          <w:tcPr>
            <w:tcW w:w="5976" w:type="dxa"/>
            <w:tcBorders>
              <w:top w:val="single" w:color="000000" w:sz="2" w:space="0"/>
              <w:left w:val="single" w:color="000000" w:sz="2" w:space="0"/>
              <w:bottom w:val="single" w:color="000000" w:sz="2" w:space="0"/>
              <w:right w:val="single" w:color="000000" w:sz="2" w:space="0"/>
            </w:tcBorders>
            <w:noWrap/>
            <w:vAlign w:val="center"/>
          </w:tcPr>
          <w:p w14:paraId="0DE78D24">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rPr>
            </w:pPr>
            <w:r>
              <w:rPr>
                <w:rFonts w:ascii="Arial" w:hAnsi="Arial" w:cs="Arial"/>
                <w:sz w:val="20"/>
                <w:szCs w:val="20"/>
                <w:lang w:val="en-US" w:eastAsia="zh-CN" w:bidi="ar"/>
              </w:rPr>
              <w:t>EMEB PROF</w:t>
            </w:r>
            <w:r>
              <w:rPr>
                <w:rFonts w:hint="default" w:ascii="Arial" w:hAnsi="Arial" w:cs="Arial"/>
                <w:sz w:val="20"/>
                <w:szCs w:val="20"/>
                <w:lang w:val="pt-BR" w:eastAsia="zh-CN" w:bidi="ar"/>
              </w:rPr>
              <w:t>ESSORA</w:t>
            </w:r>
            <w:r>
              <w:rPr>
                <w:rFonts w:ascii="Arial" w:hAnsi="Arial" w:cs="Arial"/>
                <w:sz w:val="20"/>
                <w:szCs w:val="20"/>
                <w:lang w:val="en-US" w:eastAsia="zh-CN" w:bidi="ar"/>
              </w:rPr>
              <w:t xml:space="preserve"> LENI TERESINHA BENEDETTI</w:t>
            </w:r>
          </w:p>
        </w:tc>
        <w:tc>
          <w:tcPr>
            <w:tcW w:w="965" w:type="dxa"/>
            <w:tcBorders>
              <w:top w:val="single" w:color="000000" w:sz="2" w:space="0"/>
              <w:left w:val="single" w:color="000000" w:sz="2" w:space="0"/>
              <w:bottom w:val="single" w:color="000000" w:sz="2" w:space="0"/>
              <w:right w:val="single" w:color="000000" w:sz="2" w:space="0"/>
            </w:tcBorders>
            <w:noWrap/>
            <w:vAlign w:val="center"/>
          </w:tcPr>
          <w:p w14:paraId="6D16BB36">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sz w:val="20"/>
                <w:szCs w:val="20"/>
                <w:lang w:val="pt-BR"/>
              </w:rPr>
            </w:pPr>
            <w:r>
              <w:rPr>
                <w:rFonts w:hint="default" w:ascii="Arial" w:hAnsi="Arial" w:cs="Arial"/>
                <w:sz w:val="20"/>
                <w:szCs w:val="20"/>
                <w:lang w:val="pt-BR"/>
              </w:rPr>
              <w:t>5</w:t>
            </w:r>
          </w:p>
        </w:tc>
      </w:tr>
      <w:tr w14:paraId="66631CC1">
        <w:tblPrEx>
          <w:tblCellMar>
            <w:top w:w="0" w:type="dxa"/>
            <w:left w:w="108" w:type="dxa"/>
            <w:bottom w:w="0" w:type="dxa"/>
            <w:right w:w="108" w:type="dxa"/>
          </w:tblCellMar>
        </w:tblPrEx>
        <w:trPr>
          <w:trHeight w:val="300" w:hRule="atLeast"/>
          <w:jc w:val="center"/>
        </w:trPr>
        <w:tc>
          <w:tcPr>
            <w:tcW w:w="710" w:type="dxa"/>
            <w:tcBorders>
              <w:top w:val="single" w:color="000000" w:sz="2" w:space="0"/>
              <w:left w:val="single" w:color="000000" w:sz="2" w:space="0"/>
              <w:bottom w:val="single" w:color="000000" w:sz="2" w:space="0"/>
              <w:right w:val="single" w:color="000000" w:sz="2" w:space="0"/>
            </w:tcBorders>
            <w:noWrap/>
            <w:vAlign w:val="center"/>
          </w:tcPr>
          <w:p w14:paraId="4CCF8804">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rPr>
            </w:pPr>
            <w:r>
              <w:rPr>
                <w:rFonts w:hint="default" w:ascii="Arial" w:hAnsi="Arial" w:cs="Arial"/>
                <w:sz w:val="20"/>
                <w:szCs w:val="20"/>
                <w:lang w:val="pt-BR" w:eastAsia="zh-CN" w:bidi="ar"/>
              </w:rPr>
              <w:t>35</w:t>
            </w:r>
          </w:p>
        </w:tc>
        <w:tc>
          <w:tcPr>
            <w:tcW w:w="1713" w:type="dxa"/>
            <w:tcBorders>
              <w:top w:val="single" w:color="000000" w:sz="2" w:space="0"/>
              <w:left w:val="single" w:color="000000" w:sz="2" w:space="0"/>
              <w:bottom w:val="single" w:color="000000" w:sz="2" w:space="0"/>
              <w:right w:val="single" w:color="000000" w:sz="2" w:space="0"/>
            </w:tcBorders>
            <w:noWrap/>
            <w:vAlign w:val="center"/>
          </w:tcPr>
          <w:p w14:paraId="7F4ABF21">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bidi="ar"/>
              </w:rPr>
            </w:pPr>
            <w:r>
              <w:rPr>
                <w:rFonts w:ascii="Arial" w:hAnsi="Arial" w:cs="Arial"/>
                <w:sz w:val="20"/>
                <w:szCs w:val="20"/>
                <w:lang w:val="en-US" w:eastAsia="zh-CN" w:bidi="ar"/>
              </w:rPr>
              <w:t>Médio Porte II</w:t>
            </w:r>
          </w:p>
        </w:tc>
        <w:tc>
          <w:tcPr>
            <w:tcW w:w="5976" w:type="dxa"/>
            <w:tcBorders>
              <w:top w:val="single" w:color="000000" w:sz="2" w:space="0"/>
              <w:left w:val="single" w:color="000000" w:sz="2" w:space="0"/>
              <w:bottom w:val="single" w:color="000000" w:sz="2" w:space="0"/>
              <w:right w:val="single" w:color="000000" w:sz="2" w:space="0"/>
            </w:tcBorders>
            <w:noWrap/>
            <w:vAlign w:val="center"/>
          </w:tcPr>
          <w:p w14:paraId="2778814F">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rPr>
            </w:pPr>
            <w:r>
              <w:rPr>
                <w:rFonts w:ascii="Arial" w:hAnsi="Arial" w:cs="Arial"/>
                <w:sz w:val="20"/>
                <w:szCs w:val="20"/>
                <w:lang w:val="en-US" w:eastAsia="zh-CN" w:bidi="ar"/>
              </w:rPr>
              <w:t>EMEB PROF</w:t>
            </w:r>
            <w:r>
              <w:rPr>
                <w:rFonts w:hint="default" w:ascii="Arial" w:hAnsi="Arial" w:cs="Arial"/>
                <w:sz w:val="20"/>
                <w:szCs w:val="20"/>
                <w:lang w:val="pt-BR" w:eastAsia="zh-CN" w:bidi="ar"/>
              </w:rPr>
              <w:t>ESSORA</w:t>
            </w:r>
            <w:r>
              <w:rPr>
                <w:rFonts w:ascii="Arial" w:hAnsi="Arial" w:cs="Arial"/>
                <w:sz w:val="20"/>
                <w:szCs w:val="20"/>
                <w:lang w:val="en-US" w:eastAsia="zh-CN" w:bidi="ar"/>
              </w:rPr>
              <w:t xml:space="preserve"> TACIANA BALTH JORDÃO</w:t>
            </w:r>
          </w:p>
        </w:tc>
        <w:tc>
          <w:tcPr>
            <w:tcW w:w="965" w:type="dxa"/>
            <w:tcBorders>
              <w:top w:val="single" w:color="000000" w:sz="2" w:space="0"/>
              <w:left w:val="single" w:color="000000" w:sz="2" w:space="0"/>
              <w:bottom w:val="single" w:color="000000" w:sz="2" w:space="0"/>
              <w:right w:val="single" w:color="000000" w:sz="2" w:space="0"/>
            </w:tcBorders>
            <w:noWrap/>
            <w:vAlign w:val="center"/>
          </w:tcPr>
          <w:p w14:paraId="2C95F9FC">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sz w:val="20"/>
                <w:szCs w:val="20"/>
                <w:lang w:val="pt-BR"/>
              </w:rPr>
            </w:pPr>
            <w:r>
              <w:rPr>
                <w:rFonts w:hint="default" w:ascii="Arial" w:hAnsi="Arial" w:cs="Arial"/>
                <w:sz w:val="20"/>
                <w:szCs w:val="20"/>
                <w:lang w:val="pt-BR"/>
              </w:rPr>
              <w:t>5</w:t>
            </w:r>
          </w:p>
        </w:tc>
      </w:tr>
      <w:tr w14:paraId="08EA69FA">
        <w:tblPrEx>
          <w:tblCellMar>
            <w:top w:w="0" w:type="dxa"/>
            <w:left w:w="108" w:type="dxa"/>
            <w:bottom w:w="0" w:type="dxa"/>
            <w:right w:w="108" w:type="dxa"/>
          </w:tblCellMar>
        </w:tblPrEx>
        <w:trPr>
          <w:trHeight w:val="300" w:hRule="atLeast"/>
          <w:jc w:val="center"/>
        </w:trPr>
        <w:tc>
          <w:tcPr>
            <w:tcW w:w="710" w:type="dxa"/>
            <w:tcBorders>
              <w:top w:val="single" w:color="000000" w:sz="2" w:space="0"/>
              <w:left w:val="single" w:color="000000" w:sz="2" w:space="0"/>
              <w:bottom w:val="single" w:color="000000" w:sz="2" w:space="0"/>
              <w:right w:val="single" w:color="000000" w:sz="2" w:space="0"/>
            </w:tcBorders>
            <w:noWrap/>
            <w:vAlign w:val="center"/>
          </w:tcPr>
          <w:p w14:paraId="510989AE">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rPr>
            </w:pPr>
            <w:r>
              <w:rPr>
                <w:rFonts w:hint="default" w:ascii="Arial" w:hAnsi="Arial" w:cs="Arial"/>
                <w:sz w:val="20"/>
                <w:szCs w:val="20"/>
                <w:lang w:val="pt-BR" w:eastAsia="zh-CN" w:bidi="ar"/>
              </w:rPr>
              <w:t>36</w:t>
            </w:r>
          </w:p>
        </w:tc>
        <w:tc>
          <w:tcPr>
            <w:tcW w:w="1713" w:type="dxa"/>
            <w:tcBorders>
              <w:top w:val="single" w:color="000000" w:sz="2" w:space="0"/>
              <w:left w:val="single" w:color="000000" w:sz="2" w:space="0"/>
              <w:bottom w:val="single" w:color="000000" w:sz="2" w:space="0"/>
              <w:right w:val="single" w:color="000000" w:sz="2" w:space="0"/>
            </w:tcBorders>
            <w:noWrap/>
            <w:vAlign w:val="center"/>
          </w:tcPr>
          <w:p w14:paraId="6508C253">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bidi="ar"/>
              </w:rPr>
            </w:pPr>
            <w:r>
              <w:rPr>
                <w:rFonts w:ascii="Arial" w:hAnsi="Arial" w:cs="Arial"/>
                <w:sz w:val="20"/>
                <w:szCs w:val="20"/>
                <w:lang w:val="en-US" w:eastAsia="zh-CN" w:bidi="ar"/>
              </w:rPr>
              <w:t>Pequeno Porte</w:t>
            </w:r>
          </w:p>
        </w:tc>
        <w:tc>
          <w:tcPr>
            <w:tcW w:w="5976" w:type="dxa"/>
            <w:tcBorders>
              <w:top w:val="single" w:color="000000" w:sz="2" w:space="0"/>
              <w:left w:val="single" w:color="000000" w:sz="2" w:space="0"/>
              <w:bottom w:val="single" w:color="000000" w:sz="2" w:space="0"/>
              <w:right w:val="single" w:color="000000" w:sz="2" w:space="0"/>
            </w:tcBorders>
            <w:noWrap/>
            <w:vAlign w:val="center"/>
          </w:tcPr>
          <w:p w14:paraId="18FB6C8C">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rPr>
            </w:pPr>
            <w:r>
              <w:rPr>
                <w:rFonts w:ascii="Arial" w:hAnsi="Arial" w:cs="Arial"/>
                <w:sz w:val="20"/>
                <w:szCs w:val="20"/>
                <w:lang w:val="en-US" w:eastAsia="zh-CN" w:bidi="ar"/>
              </w:rPr>
              <w:t>EMEI SYLVIA ORTHOF</w:t>
            </w:r>
          </w:p>
        </w:tc>
        <w:tc>
          <w:tcPr>
            <w:tcW w:w="965" w:type="dxa"/>
            <w:tcBorders>
              <w:top w:val="single" w:color="000000" w:sz="2" w:space="0"/>
              <w:left w:val="single" w:color="000000" w:sz="2" w:space="0"/>
              <w:bottom w:val="single" w:color="000000" w:sz="2" w:space="0"/>
              <w:right w:val="single" w:color="000000" w:sz="2" w:space="0"/>
            </w:tcBorders>
            <w:noWrap/>
            <w:vAlign w:val="center"/>
          </w:tcPr>
          <w:p w14:paraId="1E7EC784">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sz w:val="20"/>
                <w:szCs w:val="20"/>
                <w:lang w:val="pt-BR"/>
              </w:rPr>
            </w:pPr>
            <w:r>
              <w:rPr>
                <w:rFonts w:hint="default" w:ascii="Arial" w:hAnsi="Arial" w:cs="Arial"/>
                <w:sz w:val="20"/>
                <w:szCs w:val="20"/>
                <w:lang w:val="pt-BR"/>
              </w:rPr>
              <w:t>4</w:t>
            </w:r>
          </w:p>
        </w:tc>
      </w:tr>
      <w:tr w14:paraId="1F0A2799">
        <w:tblPrEx>
          <w:tblCellMar>
            <w:top w:w="0" w:type="dxa"/>
            <w:left w:w="108" w:type="dxa"/>
            <w:bottom w:w="0" w:type="dxa"/>
            <w:right w:w="108" w:type="dxa"/>
          </w:tblCellMar>
        </w:tblPrEx>
        <w:trPr>
          <w:trHeight w:val="300" w:hRule="atLeast"/>
          <w:jc w:val="center"/>
        </w:trPr>
        <w:tc>
          <w:tcPr>
            <w:tcW w:w="710" w:type="dxa"/>
            <w:tcBorders>
              <w:top w:val="single" w:color="000000" w:sz="2" w:space="0"/>
              <w:left w:val="single" w:color="000000" w:sz="2" w:space="0"/>
              <w:bottom w:val="single" w:color="000000" w:sz="2" w:space="0"/>
              <w:right w:val="single" w:color="000000" w:sz="2" w:space="0"/>
            </w:tcBorders>
            <w:noWrap/>
            <w:vAlign w:val="center"/>
          </w:tcPr>
          <w:p w14:paraId="7E5BD51E">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rPr>
            </w:pPr>
            <w:r>
              <w:rPr>
                <w:rFonts w:hint="default" w:ascii="Arial" w:hAnsi="Arial" w:cs="Arial"/>
                <w:sz w:val="20"/>
                <w:szCs w:val="20"/>
                <w:lang w:val="pt-BR" w:eastAsia="zh-CN" w:bidi="ar"/>
              </w:rPr>
              <w:t>37</w:t>
            </w:r>
          </w:p>
        </w:tc>
        <w:tc>
          <w:tcPr>
            <w:tcW w:w="1713" w:type="dxa"/>
            <w:tcBorders>
              <w:top w:val="single" w:color="000000" w:sz="2" w:space="0"/>
              <w:left w:val="single" w:color="000000" w:sz="2" w:space="0"/>
              <w:bottom w:val="single" w:color="000000" w:sz="2" w:space="0"/>
              <w:right w:val="single" w:color="000000" w:sz="2" w:space="0"/>
            </w:tcBorders>
            <w:noWrap/>
            <w:vAlign w:val="center"/>
          </w:tcPr>
          <w:p w14:paraId="7D847D0D">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bidi="ar"/>
              </w:rPr>
            </w:pPr>
            <w:r>
              <w:rPr>
                <w:rFonts w:ascii="Arial" w:hAnsi="Arial" w:cs="Arial"/>
                <w:sz w:val="20"/>
                <w:szCs w:val="20"/>
                <w:lang w:val="en-US" w:eastAsia="zh-CN" w:bidi="ar"/>
              </w:rPr>
              <w:t>Médio Porte I</w:t>
            </w:r>
          </w:p>
        </w:tc>
        <w:tc>
          <w:tcPr>
            <w:tcW w:w="5976" w:type="dxa"/>
            <w:tcBorders>
              <w:top w:val="single" w:color="000000" w:sz="2" w:space="0"/>
              <w:left w:val="single" w:color="000000" w:sz="2" w:space="0"/>
              <w:bottom w:val="single" w:color="000000" w:sz="2" w:space="0"/>
              <w:right w:val="single" w:color="000000" w:sz="2" w:space="0"/>
            </w:tcBorders>
            <w:noWrap/>
            <w:vAlign w:val="center"/>
          </w:tcPr>
          <w:p w14:paraId="659B6284">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rPr>
            </w:pPr>
            <w:r>
              <w:rPr>
                <w:rFonts w:ascii="Arial" w:hAnsi="Arial" w:cs="Arial"/>
                <w:sz w:val="20"/>
                <w:szCs w:val="20"/>
                <w:lang w:val="en-US" w:eastAsia="zh-CN" w:bidi="ar"/>
              </w:rPr>
              <w:t>EMEI TATIANA BELINKY</w:t>
            </w:r>
          </w:p>
        </w:tc>
        <w:tc>
          <w:tcPr>
            <w:tcW w:w="965" w:type="dxa"/>
            <w:tcBorders>
              <w:top w:val="single" w:color="000000" w:sz="2" w:space="0"/>
              <w:left w:val="single" w:color="000000" w:sz="2" w:space="0"/>
              <w:bottom w:val="single" w:color="000000" w:sz="2" w:space="0"/>
              <w:right w:val="single" w:color="000000" w:sz="2" w:space="0"/>
            </w:tcBorders>
            <w:noWrap/>
            <w:vAlign w:val="center"/>
          </w:tcPr>
          <w:p w14:paraId="5F328012">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sz w:val="20"/>
                <w:szCs w:val="20"/>
                <w:lang w:val="pt-BR"/>
              </w:rPr>
            </w:pPr>
            <w:r>
              <w:rPr>
                <w:rFonts w:hint="default" w:ascii="Arial" w:hAnsi="Arial" w:cs="Arial"/>
                <w:sz w:val="20"/>
                <w:szCs w:val="20"/>
                <w:lang w:val="pt-BR"/>
              </w:rPr>
              <w:t>4</w:t>
            </w:r>
          </w:p>
        </w:tc>
      </w:tr>
      <w:tr w14:paraId="10B1C3B8">
        <w:tblPrEx>
          <w:tblCellMar>
            <w:top w:w="0" w:type="dxa"/>
            <w:left w:w="108" w:type="dxa"/>
            <w:bottom w:w="0" w:type="dxa"/>
            <w:right w:w="108" w:type="dxa"/>
          </w:tblCellMar>
        </w:tblPrEx>
        <w:trPr>
          <w:trHeight w:val="300" w:hRule="atLeast"/>
          <w:jc w:val="center"/>
        </w:trPr>
        <w:tc>
          <w:tcPr>
            <w:tcW w:w="710" w:type="dxa"/>
            <w:tcBorders>
              <w:top w:val="single" w:color="000000" w:sz="2" w:space="0"/>
              <w:left w:val="single" w:color="000000" w:sz="2" w:space="0"/>
              <w:bottom w:val="single" w:color="000000" w:sz="2" w:space="0"/>
              <w:right w:val="single" w:color="000000" w:sz="2" w:space="0"/>
            </w:tcBorders>
            <w:noWrap/>
            <w:vAlign w:val="center"/>
          </w:tcPr>
          <w:p w14:paraId="3F9010D0">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rPr>
            </w:pPr>
            <w:r>
              <w:rPr>
                <w:rFonts w:hint="default" w:ascii="Arial" w:hAnsi="Arial" w:cs="Arial"/>
                <w:sz w:val="20"/>
                <w:szCs w:val="20"/>
                <w:lang w:val="pt-BR" w:eastAsia="zh-CN" w:bidi="ar"/>
              </w:rPr>
              <w:t>38</w:t>
            </w:r>
          </w:p>
        </w:tc>
        <w:tc>
          <w:tcPr>
            <w:tcW w:w="1713" w:type="dxa"/>
            <w:tcBorders>
              <w:top w:val="single" w:color="000000" w:sz="2" w:space="0"/>
              <w:left w:val="single" w:color="000000" w:sz="2" w:space="0"/>
              <w:bottom w:val="single" w:color="000000" w:sz="2" w:space="0"/>
              <w:right w:val="single" w:color="000000" w:sz="2" w:space="0"/>
            </w:tcBorders>
            <w:noWrap/>
            <w:vAlign w:val="center"/>
          </w:tcPr>
          <w:p w14:paraId="03035323">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bidi="ar"/>
              </w:rPr>
            </w:pPr>
            <w:r>
              <w:rPr>
                <w:rFonts w:ascii="Arial" w:hAnsi="Arial" w:cs="Arial"/>
                <w:sz w:val="20"/>
                <w:szCs w:val="20"/>
                <w:lang w:val="en-US" w:eastAsia="zh-CN" w:bidi="ar"/>
              </w:rPr>
              <w:t>Médio Porte I</w:t>
            </w:r>
          </w:p>
        </w:tc>
        <w:tc>
          <w:tcPr>
            <w:tcW w:w="5976" w:type="dxa"/>
            <w:tcBorders>
              <w:top w:val="single" w:color="000000" w:sz="2" w:space="0"/>
              <w:left w:val="single" w:color="000000" w:sz="2" w:space="0"/>
              <w:bottom w:val="single" w:color="000000" w:sz="2" w:space="0"/>
              <w:right w:val="single" w:color="000000" w:sz="2" w:space="0"/>
            </w:tcBorders>
            <w:noWrap/>
            <w:vAlign w:val="center"/>
          </w:tcPr>
          <w:p w14:paraId="50DD1265">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rPr>
            </w:pPr>
            <w:r>
              <w:rPr>
                <w:rFonts w:ascii="Arial" w:hAnsi="Arial" w:cs="Arial"/>
                <w:sz w:val="20"/>
                <w:szCs w:val="20"/>
                <w:lang w:val="en-US" w:eastAsia="zh-CN" w:bidi="ar"/>
              </w:rPr>
              <w:t>EMEI ELIZETE DALLABRIDA</w:t>
            </w:r>
          </w:p>
        </w:tc>
        <w:tc>
          <w:tcPr>
            <w:tcW w:w="965" w:type="dxa"/>
            <w:tcBorders>
              <w:top w:val="single" w:color="000000" w:sz="2" w:space="0"/>
              <w:left w:val="single" w:color="000000" w:sz="2" w:space="0"/>
              <w:bottom w:val="single" w:color="000000" w:sz="2" w:space="0"/>
              <w:right w:val="single" w:color="000000" w:sz="2" w:space="0"/>
            </w:tcBorders>
            <w:noWrap/>
            <w:vAlign w:val="center"/>
          </w:tcPr>
          <w:p w14:paraId="3166A9AD">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sz w:val="20"/>
                <w:szCs w:val="20"/>
                <w:lang w:val="pt-BR"/>
              </w:rPr>
            </w:pPr>
            <w:r>
              <w:rPr>
                <w:rFonts w:hint="default" w:ascii="Arial" w:hAnsi="Arial" w:cs="Arial"/>
                <w:sz w:val="20"/>
                <w:szCs w:val="20"/>
                <w:lang w:val="pt-BR"/>
              </w:rPr>
              <w:t>4</w:t>
            </w:r>
          </w:p>
        </w:tc>
      </w:tr>
      <w:tr w14:paraId="2F9240D8">
        <w:tblPrEx>
          <w:tblCellMar>
            <w:top w:w="0" w:type="dxa"/>
            <w:left w:w="108" w:type="dxa"/>
            <w:bottom w:w="0" w:type="dxa"/>
            <w:right w:w="108" w:type="dxa"/>
          </w:tblCellMar>
        </w:tblPrEx>
        <w:trPr>
          <w:trHeight w:val="300" w:hRule="atLeast"/>
          <w:jc w:val="center"/>
        </w:trPr>
        <w:tc>
          <w:tcPr>
            <w:tcW w:w="710" w:type="dxa"/>
            <w:tcBorders>
              <w:top w:val="single" w:color="000000" w:sz="2" w:space="0"/>
              <w:left w:val="single" w:color="000000" w:sz="2" w:space="0"/>
              <w:bottom w:val="single" w:color="000000" w:sz="2" w:space="0"/>
              <w:right w:val="single" w:color="000000" w:sz="2" w:space="0"/>
            </w:tcBorders>
            <w:noWrap/>
            <w:vAlign w:val="center"/>
          </w:tcPr>
          <w:p w14:paraId="60D07E83">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rPr>
            </w:pPr>
            <w:r>
              <w:rPr>
                <w:rFonts w:hint="default" w:ascii="Arial" w:hAnsi="Arial" w:cs="Arial"/>
                <w:sz w:val="20"/>
                <w:szCs w:val="20"/>
                <w:lang w:val="pt-BR" w:eastAsia="zh-CN" w:bidi="ar"/>
              </w:rPr>
              <w:t>39</w:t>
            </w:r>
          </w:p>
        </w:tc>
        <w:tc>
          <w:tcPr>
            <w:tcW w:w="1713" w:type="dxa"/>
            <w:tcBorders>
              <w:top w:val="single" w:color="000000" w:sz="2" w:space="0"/>
              <w:left w:val="single" w:color="000000" w:sz="2" w:space="0"/>
              <w:bottom w:val="single" w:color="000000" w:sz="2" w:space="0"/>
              <w:right w:val="single" w:color="000000" w:sz="2" w:space="0"/>
            </w:tcBorders>
            <w:noWrap/>
            <w:vAlign w:val="center"/>
          </w:tcPr>
          <w:p w14:paraId="10708BCB">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bidi="ar"/>
              </w:rPr>
            </w:pPr>
            <w:r>
              <w:rPr>
                <w:rFonts w:ascii="Arial" w:hAnsi="Arial" w:cs="Arial"/>
                <w:sz w:val="20"/>
                <w:szCs w:val="20"/>
                <w:lang w:val="en-US" w:eastAsia="zh-CN" w:bidi="ar"/>
              </w:rPr>
              <w:t>Médio Porte I</w:t>
            </w:r>
          </w:p>
        </w:tc>
        <w:tc>
          <w:tcPr>
            <w:tcW w:w="5976" w:type="dxa"/>
            <w:tcBorders>
              <w:top w:val="single" w:color="000000" w:sz="2" w:space="0"/>
              <w:left w:val="single" w:color="000000" w:sz="2" w:space="0"/>
              <w:bottom w:val="single" w:color="000000" w:sz="2" w:space="0"/>
              <w:right w:val="single" w:color="000000" w:sz="2" w:space="0"/>
            </w:tcBorders>
            <w:noWrap/>
            <w:vAlign w:val="center"/>
          </w:tcPr>
          <w:p w14:paraId="00D4F2F5">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rPr>
            </w:pPr>
            <w:r>
              <w:rPr>
                <w:rFonts w:ascii="Arial" w:hAnsi="Arial" w:cs="Arial"/>
                <w:sz w:val="20"/>
                <w:szCs w:val="20"/>
                <w:lang w:val="en-US" w:eastAsia="zh-CN" w:bidi="ar"/>
              </w:rPr>
              <w:t>EMEB SIMAO FLACH</w:t>
            </w:r>
          </w:p>
        </w:tc>
        <w:tc>
          <w:tcPr>
            <w:tcW w:w="965" w:type="dxa"/>
            <w:tcBorders>
              <w:top w:val="single" w:color="000000" w:sz="2" w:space="0"/>
              <w:left w:val="single" w:color="000000" w:sz="2" w:space="0"/>
              <w:bottom w:val="single" w:color="000000" w:sz="2" w:space="0"/>
              <w:right w:val="single" w:color="000000" w:sz="2" w:space="0"/>
            </w:tcBorders>
            <w:noWrap/>
            <w:vAlign w:val="center"/>
          </w:tcPr>
          <w:p w14:paraId="5CD22C2D">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sz w:val="20"/>
                <w:szCs w:val="20"/>
                <w:lang w:val="pt-BR"/>
              </w:rPr>
            </w:pPr>
            <w:r>
              <w:rPr>
                <w:rFonts w:hint="default" w:ascii="Arial" w:hAnsi="Arial" w:cs="Arial"/>
                <w:sz w:val="20"/>
                <w:szCs w:val="20"/>
                <w:lang w:val="pt-BR"/>
              </w:rPr>
              <w:t>4</w:t>
            </w:r>
          </w:p>
        </w:tc>
      </w:tr>
      <w:tr w14:paraId="70B5C3E0">
        <w:tblPrEx>
          <w:tblCellMar>
            <w:top w:w="0" w:type="dxa"/>
            <w:left w:w="108" w:type="dxa"/>
            <w:bottom w:w="0" w:type="dxa"/>
            <w:right w:w="108" w:type="dxa"/>
          </w:tblCellMar>
        </w:tblPrEx>
        <w:trPr>
          <w:trHeight w:val="300" w:hRule="atLeast"/>
          <w:jc w:val="center"/>
        </w:trPr>
        <w:tc>
          <w:tcPr>
            <w:tcW w:w="710" w:type="dxa"/>
            <w:tcBorders>
              <w:top w:val="single" w:color="000000" w:sz="2" w:space="0"/>
              <w:left w:val="single" w:color="000000" w:sz="2" w:space="0"/>
              <w:bottom w:val="single" w:color="000000" w:sz="2" w:space="0"/>
              <w:right w:val="single" w:color="000000" w:sz="2" w:space="0"/>
            </w:tcBorders>
            <w:noWrap/>
            <w:vAlign w:val="center"/>
          </w:tcPr>
          <w:p w14:paraId="37BCE16E">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rPr>
            </w:pPr>
            <w:r>
              <w:rPr>
                <w:rFonts w:hint="default" w:ascii="Arial" w:hAnsi="Arial" w:cs="Arial"/>
                <w:sz w:val="20"/>
                <w:szCs w:val="20"/>
                <w:lang w:val="pt-BR" w:eastAsia="zh-CN" w:bidi="ar"/>
              </w:rPr>
              <w:t>40</w:t>
            </w:r>
          </w:p>
        </w:tc>
        <w:tc>
          <w:tcPr>
            <w:tcW w:w="1713" w:type="dxa"/>
            <w:tcBorders>
              <w:top w:val="single" w:color="000000" w:sz="2" w:space="0"/>
              <w:left w:val="single" w:color="000000" w:sz="2" w:space="0"/>
              <w:bottom w:val="single" w:color="000000" w:sz="2" w:space="0"/>
              <w:right w:val="single" w:color="000000" w:sz="2" w:space="0"/>
            </w:tcBorders>
            <w:noWrap/>
            <w:vAlign w:val="center"/>
          </w:tcPr>
          <w:p w14:paraId="4BCCB13E">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bidi="ar"/>
              </w:rPr>
            </w:pPr>
            <w:r>
              <w:rPr>
                <w:rFonts w:ascii="Arial" w:hAnsi="Arial" w:cs="Arial"/>
                <w:sz w:val="20"/>
                <w:szCs w:val="20"/>
                <w:lang w:val="en-US" w:eastAsia="zh-CN" w:bidi="ar"/>
              </w:rPr>
              <w:t>Médio Porte I</w:t>
            </w:r>
          </w:p>
        </w:tc>
        <w:tc>
          <w:tcPr>
            <w:tcW w:w="5976" w:type="dxa"/>
            <w:tcBorders>
              <w:top w:val="single" w:color="000000" w:sz="2" w:space="0"/>
              <w:left w:val="single" w:color="000000" w:sz="2" w:space="0"/>
              <w:bottom w:val="single" w:color="000000" w:sz="2" w:space="0"/>
              <w:right w:val="single" w:color="000000" w:sz="2" w:space="0"/>
            </w:tcBorders>
            <w:noWrap/>
            <w:vAlign w:val="center"/>
          </w:tcPr>
          <w:p w14:paraId="6925A05C">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rPr>
            </w:pPr>
            <w:r>
              <w:rPr>
                <w:rFonts w:ascii="Arial" w:hAnsi="Arial" w:cs="Arial"/>
                <w:sz w:val="20"/>
                <w:szCs w:val="20"/>
                <w:lang w:val="en-US" w:eastAsia="zh-CN" w:bidi="ar"/>
              </w:rPr>
              <w:t xml:space="preserve">EMEB </w:t>
            </w:r>
            <w:r>
              <w:rPr>
                <w:rFonts w:hint="default" w:ascii="Arial" w:hAnsi="Arial" w:cs="Arial"/>
                <w:sz w:val="20"/>
                <w:szCs w:val="20"/>
                <w:lang w:val="pt-BR" w:eastAsia="zh-CN" w:bidi="ar"/>
              </w:rPr>
              <w:t>LISIANE FUCKS BOHRER</w:t>
            </w:r>
          </w:p>
        </w:tc>
        <w:tc>
          <w:tcPr>
            <w:tcW w:w="965" w:type="dxa"/>
            <w:tcBorders>
              <w:top w:val="single" w:color="000000" w:sz="2" w:space="0"/>
              <w:left w:val="single" w:color="000000" w:sz="2" w:space="0"/>
              <w:bottom w:val="single" w:color="000000" w:sz="2" w:space="0"/>
              <w:right w:val="single" w:color="000000" w:sz="2" w:space="0"/>
            </w:tcBorders>
            <w:noWrap/>
            <w:vAlign w:val="center"/>
          </w:tcPr>
          <w:p w14:paraId="5F5C679B">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sz w:val="20"/>
                <w:szCs w:val="20"/>
                <w:lang w:val="pt-BR"/>
              </w:rPr>
            </w:pPr>
            <w:r>
              <w:rPr>
                <w:rFonts w:hint="default" w:ascii="Arial" w:hAnsi="Arial" w:cs="Arial"/>
                <w:sz w:val="20"/>
                <w:szCs w:val="20"/>
                <w:lang w:val="pt-BR"/>
              </w:rPr>
              <w:t>4</w:t>
            </w:r>
          </w:p>
        </w:tc>
      </w:tr>
      <w:tr w14:paraId="572BBAAD">
        <w:tblPrEx>
          <w:tblCellMar>
            <w:top w:w="0" w:type="dxa"/>
            <w:left w:w="108" w:type="dxa"/>
            <w:bottom w:w="0" w:type="dxa"/>
            <w:right w:w="108" w:type="dxa"/>
          </w:tblCellMar>
        </w:tblPrEx>
        <w:trPr>
          <w:trHeight w:val="300" w:hRule="atLeast"/>
          <w:jc w:val="center"/>
        </w:trPr>
        <w:tc>
          <w:tcPr>
            <w:tcW w:w="710" w:type="dxa"/>
            <w:tcBorders>
              <w:top w:val="single" w:color="000000" w:sz="2" w:space="0"/>
              <w:left w:val="single" w:color="000000" w:sz="2" w:space="0"/>
              <w:bottom w:val="single" w:color="000000" w:sz="2" w:space="0"/>
              <w:right w:val="single" w:color="000000" w:sz="2" w:space="0"/>
            </w:tcBorders>
            <w:noWrap/>
            <w:vAlign w:val="center"/>
          </w:tcPr>
          <w:p w14:paraId="50162B16">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rPr>
            </w:pPr>
            <w:r>
              <w:rPr>
                <w:rFonts w:hint="default" w:ascii="Arial" w:hAnsi="Arial" w:cs="Arial"/>
                <w:sz w:val="20"/>
                <w:szCs w:val="20"/>
                <w:lang w:val="pt-BR" w:eastAsia="zh-CN" w:bidi="ar"/>
              </w:rPr>
              <w:t>41</w:t>
            </w:r>
          </w:p>
        </w:tc>
        <w:tc>
          <w:tcPr>
            <w:tcW w:w="1713" w:type="dxa"/>
            <w:tcBorders>
              <w:top w:val="single" w:color="000000" w:sz="2" w:space="0"/>
              <w:left w:val="single" w:color="000000" w:sz="2" w:space="0"/>
              <w:bottom w:val="single" w:color="000000" w:sz="2" w:space="0"/>
              <w:right w:val="single" w:color="000000" w:sz="2" w:space="0"/>
            </w:tcBorders>
            <w:noWrap/>
            <w:vAlign w:val="center"/>
          </w:tcPr>
          <w:p w14:paraId="00C68A1C">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bidi="ar"/>
              </w:rPr>
            </w:pPr>
            <w:r>
              <w:rPr>
                <w:rFonts w:ascii="Arial" w:hAnsi="Arial" w:cs="Arial"/>
                <w:sz w:val="20"/>
                <w:szCs w:val="20"/>
                <w:lang w:val="en-US" w:eastAsia="zh-CN" w:bidi="ar"/>
              </w:rPr>
              <w:t>Médio Porte II</w:t>
            </w:r>
          </w:p>
        </w:tc>
        <w:tc>
          <w:tcPr>
            <w:tcW w:w="5976" w:type="dxa"/>
            <w:tcBorders>
              <w:top w:val="single" w:color="000000" w:sz="2" w:space="0"/>
              <w:left w:val="single" w:color="000000" w:sz="2" w:space="0"/>
              <w:bottom w:val="single" w:color="000000" w:sz="2" w:space="0"/>
              <w:right w:val="single" w:color="000000" w:sz="2" w:space="0"/>
            </w:tcBorders>
            <w:noWrap/>
            <w:vAlign w:val="center"/>
          </w:tcPr>
          <w:p w14:paraId="149958D7">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rPr>
            </w:pPr>
            <w:r>
              <w:rPr>
                <w:rFonts w:ascii="Arial" w:hAnsi="Arial" w:cs="Arial"/>
                <w:sz w:val="20"/>
                <w:szCs w:val="20"/>
                <w:lang w:val="en-US" w:eastAsia="zh-CN" w:bidi="ar"/>
              </w:rPr>
              <w:t>EMEB PROF</w:t>
            </w:r>
            <w:r>
              <w:rPr>
                <w:rFonts w:hint="default" w:ascii="Arial" w:hAnsi="Arial" w:cs="Arial"/>
                <w:sz w:val="20"/>
                <w:szCs w:val="20"/>
                <w:lang w:val="pt-BR" w:eastAsia="zh-CN" w:bidi="ar"/>
              </w:rPr>
              <w:t>ESSORA</w:t>
            </w:r>
            <w:r>
              <w:rPr>
                <w:rFonts w:ascii="Arial" w:hAnsi="Arial" w:cs="Arial"/>
                <w:sz w:val="20"/>
                <w:szCs w:val="20"/>
                <w:lang w:val="en-US" w:eastAsia="zh-CN" w:bidi="ar"/>
              </w:rPr>
              <w:t xml:space="preserve"> MARIZETE WEBER</w:t>
            </w:r>
          </w:p>
        </w:tc>
        <w:tc>
          <w:tcPr>
            <w:tcW w:w="965" w:type="dxa"/>
            <w:tcBorders>
              <w:top w:val="single" w:color="000000" w:sz="2" w:space="0"/>
              <w:left w:val="single" w:color="000000" w:sz="2" w:space="0"/>
              <w:bottom w:val="single" w:color="000000" w:sz="2" w:space="0"/>
              <w:right w:val="single" w:color="000000" w:sz="2" w:space="0"/>
            </w:tcBorders>
            <w:noWrap/>
            <w:vAlign w:val="center"/>
          </w:tcPr>
          <w:p w14:paraId="4D19DD10">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sz w:val="20"/>
                <w:szCs w:val="20"/>
                <w:lang w:val="pt-BR"/>
              </w:rPr>
            </w:pPr>
            <w:r>
              <w:rPr>
                <w:rFonts w:hint="default" w:ascii="Arial" w:hAnsi="Arial" w:cs="Arial"/>
                <w:sz w:val="20"/>
                <w:szCs w:val="20"/>
                <w:lang w:val="pt-BR"/>
              </w:rPr>
              <w:t>5</w:t>
            </w:r>
          </w:p>
        </w:tc>
      </w:tr>
      <w:tr w14:paraId="1F45A06F">
        <w:tblPrEx>
          <w:tblCellMar>
            <w:top w:w="0" w:type="dxa"/>
            <w:left w:w="108" w:type="dxa"/>
            <w:bottom w:w="0" w:type="dxa"/>
            <w:right w:w="108" w:type="dxa"/>
          </w:tblCellMar>
        </w:tblPrEx>
        <w:trPr>
          <w:trHeight w:val="300" w:hRule="atLeast"/>
          <w:jc w:val="center"/>
        </w:trPr>
        <w:tc>
          <w:tcPr>
            <w:tcW w:w="710" w:type="dxa"/>
            <w:tcBorders>
              <w:top w:val="single" w:color="000000" w:sz="2" w:space="0"/>
              <w:left w:val="single" w:color="000000" w:sz="2" w:space="0"/>
              <w:bottom w:val="single" w:color="000000" w:sz="2" w:space="0"/>
              <w:right w:val="single" w:color="000000" w:sz="2" w:space="0"/>
            </w:tcBorders>
            <w:noWrap/>
            <w:vAlign w:val="center"/>
          </w:tcPr>
          <w:p w14:paraId="451A8DFE">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rPr>
            </w:pPr>
            <w:r>
              <w:rPr>
                <w:rFonts w:hint="default" w:ascii="Arial" w:hAnsi="Arial" w:cs="Arial"/>
                <w:sz w:val="20"/>
                <w:szCs w:val="20"/>
                <w:lang w:val="pt-BR" w:eastAsia="zh-CN" w:bidi="ar"/>
              </w:rPr>
              <w:t>42</w:t>
            </w:r>
          </w:p>
        </w:tc>
        <w:tc>
          <w:tcPr>
            <w:tcW w:w="1713" w:type="dxa"/>
            <w:tcBorders>
              <w:top w:val="single" w:color="000000" w:sz="2" w:space="0"/>
              <w:left w:val="single" w:color="000000" w:sz="2" w:space="0"/>
              <w:bottom w:val="single" w:color="000000" w:sz="2" w:space="0"/>
              <w:right w:val="single" w:color="000000" w:sz="2" w:space="0"/>
            </w:tcBorders>
            <w:noWrap/>
            <w:vAlign w:val="center"/>
          </w:tcPr>
          <w:p w14:paraId="27220F03">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bidi="ar"/>
              </w:rPr>
            </w:pPr>
            <w:r>
              <w:rPr>
                <w:rFonts w:ascii="Arial" w:hAnsi="Arial" w:cs="Arial"/>
                <w:sz w:val="20"/>
                <w:szCs w:val="20"/>
                <w:lang w:val="en-US" w:eastAsia="zh-CN" w:bidi="ar"/>
              </w:rPr>
              <w:t>Médio Porte I</w:t>
            </w:r>
          </w:p>
        </w:tc>
        <w:tc>
          <w:tcPr>
            <w:tcW w:w="5976" w:type="dxa"/>
            <w:tcBorders>
              <w:top w:val="single" w:color="000000" w:sz="2" w:space="0"/>
              <w:left w:val="single" w:color="000000" w:sz="2" w:space="0"/>
              <w:bottom w:val="single" w:color="000000" w:sz="2" w:space="0"/>
              <w:right w:val="single" w:color="000000" w:sz="2" w:space="0"/>
            </w:tcBorders>
            <w:noWrap/>
            <w:vAlign w:val="center"/>
          </w:tcPr>
          <w:p w14:paraId="7093FCCC">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rPr>
            </w:pPr>
            <w:r>
              <w:rPr>
                <w:rFonts w:ascii="Arial" w:hAnsi="Arial" w:cs="Arial"/>
                <w:sz w:val="20"/>
                <w:szCs w:val="20"/>
                <w:lang w:val="en-US" w:eastAsia="zh-CN" w:bidi="ar"/>
              </w:rPr>
              <w:t>EMEB PROF</w:t>
            </w:r>
            <w:r>
              <w:rPr>
                <w:rFonts w:hint="default" w:ascii="Arial" w:hAnsi="Arial" w:cs="Arial"/>
                <w:sz w:val="20"/>
                <w:szCs w:val="20"/>
                <w:lang w:val="pt-BR" w:eastAsia="zh-CN" w:bidi="ar"/>
              </w:rPr>
              <w:t>ESSORA</w:t>
            </w:r>
            <w:r>
              <w:rPr>
                <w:rFonts w:ascii="Arial" w:hAnsi="Arial" w:cs="Arial"/>
                <w:sz w:val="20"/>
                <w:szCs w:val="20"/>
                <w:lang w:val="en-US" w:eastAsia="zh-CN" w:bidi="ar"/>
              </w:rPr>
              <w:t xml:space="preserve"> SHIELEY DA COSTA FORTUNA</w:t>
            </w:r>
          </w:p>
        </w:tc>
        <w:tc>
          <w:tcPr>
            <w:tcW w:w="965" w:type="dxa"/>
            <w:tcBorders>
              <w:top w:val="single" w:color="000000" w:sz="2" w:space="0"/>
              <w:left w:val="single" w:color="000000" w:sz="2" w:space="0"/>
              <w:bottom w:val="single" w:color="000000" w:sz="2" w:space="0"/>
              <w:right w:val="single" w:color="000000" w:sz="2" w:space="0"/>
            </w:tcBorders>
            <w:noWrap/>
            <w:vAlign w:val="center"/>
          </w:tcPr>
          <w:p w14:paraId="04DE2100">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sz w:val="20"/>
                <w:szCs w:val="20"/>
                <w:lang w:val="pt-BR"/>
              </w:rPr>
            </w:pPr>
            <w:r>
              <w:rPr>
                <w:rFonts w:hint="default" w:ascii="Arial" w:hAnsi="Arial" w:cs="Arial"/>
                <w:sz w:val="20"/>
                <w:szCs w:val="20"/>
                <w:lang w:val="pt-BR"/>
              </w:rPr>
              <w:t>4</w:t>
            </w:r>
          </w:p>
        </w:tc>
      </w:tr>
      <w:tr w14:paraId="2E06561B">
        <w:tblPrEx>
          <w:tblCellMar>
            <w:top w:w="0" w:type="dxa"/>
            <w:left w:w="108" w:type="dxa"/>
            <w:bottom w:w="0" w:type="dxa"/>
            <w:right w:w="108" w:type="dxa"/>
          </w:tblCellMar>
        </w:tblPrEx>
        <w:trPr>
          <w:trHeight w:val="300" w:hRule="atLeast"/>
          <w:jc w:val="center"/>
        </w:trPr>
        <w:tc>
          <w:tcPr>
            <w:tcW w:w="710" w:type="dxa"/>
            <w:tcBorders>
              <w:top w:val="single" w:color="000000" w:sz="2" w:space="0"/>
              <w:left w:val="single" w:color="000000" w:sz="2" w:space="0"/>
              <w:bottom w:val="single" w:color="000000" w:sz="2" w:space="0"/>
              <w:right w:val="single" w:color="000000" w:sz="2" w:space="0"/>
            </w:tcBorders>
            <w:noWrap/>
            <w:vAlign w:val="center"/>
          </w:tcPr>
          <w:p w14:paraId="1E3E6314">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rPr>
            </w:pPr>
            <w:r>
              <w:rPr>
                <w:rFonts w:hint="default" w:ascii="Arial" w:hAnsi="Arial" w:cs="Arial"/>
                <w:sz w:val="20"/>
                <w:szCs w:val="20"/>
                <w:lang w:val="pt-BR" w:eastAsia="zh-CN" w:bidi="ar"/>
              </w:rPr>
              <w:t>43</w:t>
            </w:r>
          </w:p>
        </w:tc>
        <w:tc>
          <w:tcPr>
            <w:tcW w:w="1713" w:type="dxa"/>
            <w:tcBorders>
              <w:top w:val="single" w:color="000000" w:sz="2" w:space="0"/>
              <w:left w:val="single" w:color="000000" w:sz="2" w:space="0"/>
              <w:bottom w:val="single" w:color="000000" w:sz="2" w:space="0"/>
              <w:right w:val="single" w:color="000000" w:sz="2" w:space="0"/>
            </w:tcBorders>
            <w:noWrap/>
            <w:vAlign w:val="center"/>
          </w:tcPr>
          <w:p w14:paraId="4B82468E">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bidi="ar"/>
              </w:rPr>
            </w:pPr>
            <w:r>
              <w:rPr>
                <w:rFonts w:ascii="Arial" w:hAnsi="Arial" w:cs="Arial"/>
                <w:sz w:val="20"/>
                <w:szCs w:val="20"/>
                <w:lang w:val="en-US" w:eastAsia="zh-CN" w:bidi="ar"/>
              </w:rPr>
              <w:t>Médio Porte I</w:t>
            </w:r>
          </w:p>
        </w:tc>
        <w:tc>
          <w:tcPr>
            <w:tcW w:w="5976" w:type="dxa"/>
            <w:tcBorders>
              <w:top w:val="single" w:color="000000" w:sz="2" w:space="0"/>
              <w:left w:val="single" w:color="000000" w:sz="2" w:space="0"/>
              <w:bottom w:val="single" w:color="000000" w:sz="2" w:space="0"/>
              <w:right w:val="single" w:color="000000" w:sz="2" w:space="0"/>
            </w:tcBorders>
            <w:noWrap/>
            <w:vAlign w:val="center"/>
          </w:tcPr>
          <w:p w14:paraId="5B4A075A">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rPr>
            </w:pPr>
            <w:r>
              <w:rPr>
                <w:rFonts w:ascii="Arial" w:hAnsi="Arial" w:cs="Arial"/>
                <w:sz w:val="20"/>
                <w:szCs w:val="20"/>
                <w:lang w:val="en-US" w:eastAsia="zh-CN" w:bidi="ar"/>
              </w:rPr>
              <w:t>EMEB PROF</w:t>
            </w:r>
            <w:r>
              <w:rPr>
                <w:rFonts w:hint="default" w:ascii="Arial" w:hAnsi="Arial" w:cs="Arial"/>
                <w:sz w:val="20"/>
                <w:szCs w:val="20"/>
                <w:lang w:val="pt-BR" w:eastAsia="zh-CN" w:bidi="ar"/>
              </w:rPr>
              <w:t>ESSORA</w:t>
            </w:r>
            <w:r>
              <w:rPr>
                <w:rFonts w:ascii="Arial" w:hAnsi="Arial" w:cs="Arial"/>
                <w:sz w:val="20"/>
                <w:szCs w:val="20"/>
                <w:lang w:val="en-US" w:eastAsia="zh-CN" w:bidi="ar"/>
              </w:rPr>
              <w:t xml:space="preserve"> ALCÍDIA DIVANIR SIMOES SALES PAVAN</w:t>
            </w:r>
          </w:p>
        </w:tc>
        <w:tc>
          <w:tcPr>
            <w:tcW w:w="965" w:type="dxa"/>
            <w:tcBorders>
              <w:top w:val="single" w:color="000000" w:sz="2" w:space="0"/>
              <w:left w:val="single" w:color="000000" w:sz="2" w:space="0"/>
              <w:bottom w:val="single" w:color="000000" w:sz="2" w:space="0"/>
              <w:right w:val="single" w:color="000000" w:sz="2" w:space="0"/>
            </w:tcBorders>
            <w:noWrap/>
            <w:vAlign w:val="center"/>
          </w:tcPr>
          <w:p w14:paraId="46121476">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sz w:val="20"/>
                <w:szCs w:val="20"/>
                <w:lang w:val="pt-BR"/>
              </w:rPr>
            </w:pPr>
            <w:r>
              <w:rPr>
                <w:rFonts w:hint="default" w:ascii="Arial" w:hAnsi="Arial" w:cs="Arial"/>
                <w:sz w:val="20"/>
                <w:szCs w:val="20"/>
                <w:lang w:val="pt-BR"/>
              </w:rPr>
              <w:t>4</w:t>
            </w:r>
          </w:p>
        </w:tc>
      </w:tr>
      <w:tr w14:paraId="4CDE87F2">
        <w:tblPrEx>
          <w:tblCellMar>
            <w:top w:w="0" w:type="dxa"/>
            <w:left w:w="108" w:type="dxa"/>
            <w:bottom w:w="0" w:type="dxa"/>
            <w:right w:w="108" w:type="dxa"/>
          </w:tblCellMar>
        </w:tblPrEx>
        <w:trPr>
          <w:trHeight w:val="300" w:hRule="atLeast"/>
          <w:jc w:val="center"/>
        </w:trPr>
        <w:tc>
          <w:tcPr>
            <w:tcW w:w="710" w:type="dxa"/>
            <w:tcBorders>
              <w:top w:val="single" w:color="000000" w:sz="2" w:space="0"/>
              <w:left w:val="single" w:color="000000" w:sz="2" w:space="0"/>
              <w:bottom w:val="single" w:color="000000" w:sz="2" w:space="0"/>
              <w:right w:val="single" w:color="000000" w:sz="2" w:space="0"/>
            </w:tcBorders>
            <w:noWrap/>
            <w:vAlign w:val="center"/>
          </w:tcPr>
          <w:p w14:paraId="6977B4AE">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rPr>
            </w:pPr>
            <w:r>
              <w:rPr>
                <w:rFonts w:hint="default" w:ascii="Arial" w:hAnsi="Arial" w:cs="Arial"/>
                <w:sz w:val="20"/>
                <w:szCs w:val="20"/>
                <w:lang w:val="pt-BR" w:eastAsia="zh-CN" w:bidi="ar"/>
              </w:rPr>
              <w:t>44</w:t>
            </w:r>
          </w:p>
        </w:tc>
        <w:tc>
          <w:tcPr>
            <w:tcW w:w="1713" w:type="dxa"/>
            <w:tcBorders>
              <w:top w:val="single" w:color="000000" w:sz="2" w:space="0"/>
              <w:left w:val="single" w:color="000000" w:sz="2" w:space="0"/>
              <w:bottom w:val="single" w:color="000000" w:sz="2" w:space="0"/>
              <w:right w:val="single" w:color="000000" w:sz="2" w:space="0"/>
            </w:tcBorders>
            <w:noWrap/>
            <w:vAlign w:val="center"/>
          </w:tcPr>
          <w:p w14:paraId="555E23F9">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bidi="ar"/>
              </w:rPr>
            </w:pPr>
            <w:r>
              <w:rPr>
                <w:rFonts w:ascii="Arial" w:hAnsi="Arial" w:cs="Arial"/>
                <w:sz w:val="20"/>
                <w:szCs w:val="20"/>
                <w:lang w:val="en-US" w:eastAsia="zh-CN" w:bidi="ar"/>
              </w:rPr>
              <w:t>Médio Porte I</w:t>
            </w:r>
          </w:p>
        </w:tc>
        <w:tc>
          <w:tcPr>
            <w:tcW w:w="5976" w:type="dxa"/>
            <w:tcBorders>
              <w:top w:val="single" w:color="000000" w:sz="2" w:space="0"/>
              <w:left w:val="single" w:color="000000" w:sz="2" w:space="0"/>
              <w:bottom w:val="single" w:color="000000" w:sz="2" w:space="0"/>
              <w:right w:val="single" w:color="000000" w:sz="2" w:space="0"/>
            </w:tcBorders>
            <w:noWrap/>
            <w:vAlign w:val="center"/>
          </w:tcPr>
          <w:p w14:paraId="22D2841D">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rPr>
            </w:pPr>
            <w:r>
              <w:rPr>
                <w:rFonts w:ascii="Arial" w:hAnsi="Arial" w:cs="Arial"/>
                <w:sz w:val="20"/>
                <w:szCs w:val="20"/>
                <w:lang w:val="en-US" w:eastAsia="zh-CN" w:bidi="ar"/>
              </w:rPr>
              <w:t xml:space="preserve">EMEB </w:t>
            </w:r>
            <w:r>
              <w:rPr>
                <w:rFonts w:ascii="Arial" w:hAnsi="Arial" w:cs="Arial"/>
                <w:sz w:val="20"/>
                <w:szCs w:val="20"/>
                <w:lang w:eastAsia="zh-CN" w:bidi="ar"/>
              </w:rPr>
              <w:t>LAURA HERONDINA</w:t>
            </w:r>
            <w:r>
              <w:rPr>
                <w:rFonts w:hint="default" w:ascii="Arial" w:hAnsi="Arial" w:cs="Arial"/>
                <w:sz w:val="20"/>
                <w:szCs w:val="20"/>
                <w:lang w:val="pt-BR" w:eastAsia="zh-CN" w:bidi="ar"/>
              </w:rPr>
              <w:t xml:space="preserve"> DE MORAES</w:t>
            </w:r>
          </w:p>
        </w:tc>
        <w:tc>
          <w:tcPr>
            <w:tcW w:w="965" w:type="dxa"/>
            <w:tcBorders>
              <w:top w:val="single" w:color="000000" w:sz="2" w:space="0"/>
              <w:left w:val="single" w:color="000000" w:sz="2" w:space="0"/>
              <w:bottom w:val="single" w:color="000000" w:sz="2" w:space="0"/>
              <w:right w:val="single" w:color="000000" w:sz="2" w:space="0"/>
            </w:tcBorders>
            <w:noWrap/>
            <w:vAlign w:val="center"/>
          </w:tcPr>
          <w:p w14:paraId="1D63AFB9">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sz w:val="20"/>
                <w:szCs w:val="20"/>
                <w:lang w:val="pt-BR"/>
              </w:rPr>
            </w:pPr>
            <w:r>
              <w:rPr>
                <w:rFonts w:hint="default" w:ascii="Arial" w:hAnsi="Arial" w:cs="Arial"/>
                <w:sz w:val="20"/>
                <w:szCs w:val="20"/>
                <w:lang w:val="pt-BR"/>
              </w:rPr>
              <w:t>4</w:t>
            </w:r>
          </w:p>
        </w:tc>
      </w:tr>
      <w:tr w14:paraId="2D270649">
        <w:tblPrEx>
          <w:tblCellMar>
            <w:top w:w="0" w:type="dxa"/>
            <w:left w:w="108" w:type="dxa"/>
            <w:bottom w:w="0" w:type="dxa"/>
            <w:right w:w="108" w:type="dxa"/>
          </w:tblCellMar>
        </w:tblPrEx>
        <w:trPr>
          <w:trHeight w:val="300" w:hRule="atLeast"/>
          <w:jc w:val="center"/>
        </w:trPr>
        <w:tc>
          <w:tcPr>
            <w:tcW w:w="710" w:type="dxa"/>
            <w:tcBorders>
              <w:top w:val="single" w:color="000000" w:sz="2" w:space="0"/>
              <w:left w:val="single" w:color="000000" w:sz="2" w:space="0"/>
              <w:bottom w:val="single" w:color="000000" w:sz="2" w:space="0"/>
              <w:right w:val="single" w:color="000000" w:sz="2" w:space="0"/>
            </w:tcBorders>
            <w:noWrap/>
            <w:vAlign w:val="center"/>
          </w:tcPr>
          <w:p w14:paraId="33E72B6B">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rPr>
            </w:pPr>
            <w:r>
              <w:rPr>
                <w:rFonts w:hint="default" w:ascii="Arial" w:hAnsi="Arial" w:cs="Arial"/>
                <w:sz w:val="20"/>
                <w:szCs w:val="20"/>
                <w:lang w:val="pt-BR" w:eastAsia="zh-CN" w:bidi="ar"/>
              </w:rPr>
              <w:t>45</w:t>
            </w:r>
          </w:p>
        </w:tc>
        <w:tc>
          <w:tcPr>
            <w:tcW w:w="1713" w:type="dxa"/>
            <w:tcBorders>
              <w:top w:val="single" w:color="000000" w:sz="2" w:space="0"/>
              <w:left w:val="single" w:color="000000" w:sz="2" w:space="0"/>
              <w:bottom w:val="single" w:color="000000" w:sz="2" w:space="0"/>
              <w:right w:val="single" w:color="000000" w:sz="2" w:space="0"/>
            </w:tcBorders>
            <w:noWrap/>
            <w:vAlign w:val="center"/>
          </w:tcPr>
          <w:p w14:paraId="762BA79C">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bidi="ar"/>
              </w:rPr>
            </w:pPr>
            <w:r>
              <w:rPr>
                <w:rFonts w:ascii="Arial" w:hAnsi="Arial" w:cs="Arial"/>
                <w:sz w:val="20"/>
                <w:szCs w:val="20"/>
                <w:lang w:val="en-US" w:eastAsia="zh-CN" w:bidi="ar"/>
              </w:rPr>
              <w:t>Médio Porte I</w:t>
            </w:r>
          </w:p>
        </w:tc>
        <w:tc>
          <w:tcPr>
            <w:tcW w:w="5976" w:type="dxa"/>
            <w:tcBorders>
              <w:top w:val="single" w:color="000000" w:sz="2" w:space="0"/>
              <w:left w:val="single" w:color="000000" w:sz="2" w:space="0"/>
              <w:bottom w:val="single" w:color="000000" w:sz="2" w:space="0"/>
              <w:right w:val="single" w:color="000000" w:sz="2" w:space="0"/>
            </w:tcBorders>
            <w:noWrap/>
            <w:vAlign w:val="center"/>
          </w:tcPr>
          <w:p w14:paraId="6C8BF029">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rPr>
            </w:pPr>
            <w:r>
              <w:rPr>
                <w:rFonts w:ascii="Arial" w:hAnsi="Arial" w:cs="Arial"/>
                <w:sz w:val="20"/>
                <w:szCs w:val="20"/>
                <w:lang w:val="en-US" w:eastAsia="zh-CN" w:bidi="ar"/>
              </w:rPr>
              <w:t>EMEB J</w:t>
            </w:r>
            <w:r>
              <w:rPr>
                <w:rFonts w:ascii="Arial" w:hAnsi="Arial" w:cs="Arial"/>
                <w:sz w:val="20"/>
                <w:szCs w:val="20"/>
                <w:lang w:eastAsia="zh-CN" w:bidi="ar"/>
              </w:rPr>
              <w:t>OSÉ MÁRCIO</w:t>
            </w:r>
            <w:r>
              <w:rPr>
                <w:rFonts w:hint="default" w:ascii="Arial" w:hAnsi="Arial" w:cs="Arial"/>
                <w:sz w:val="20"/>
                <w:szCs w:val="20"/>
                <w:lang w:val="pt-BR" w:eastAsia="zh-CN" w:bidi="ar"/>
              </w:rPr>
              <w:t xml:space="preserve"> MENDONÇA DA SILA</w:t>
            </w:r>
          </w:p>
        </w:tc>
        <w:tc>
          <w:tcPr>
            <w:tcW w:w="965" w:type="dxa"/>
            <w:tcBorders>
              <w:top w:val="single" w:color="000000" w:sz="2" w:space="0"/>
              <w:left w:val="single" w:color="000000" w:sz="2" w:space="0"/>
              <w:bottom w:val="single" w:color="000000" w:sz="2" w:space="0"/>
              <w:right w:val="single" w:color="000000" w:sz="2" w:space="0"/>
            </w:tcBorders>
            <w:noWrap/>
            <w:vAlign w:val="center"/>
          </w:tcPr>
          <w:p w14:paraId="1302F47A">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sz w:val="20"/>
                <w:szCs w:val="20"/>
                <w:lang w:val="pt-BR"/>
              </w:rPr>
            </w:pPr>
            <w:r>
              <w:rPr>
                <w:rFonts w:hint="default" w:ascii="Arial" w:hAnsi="Arial" w:cs="Arial"/>
                <w:sz w:val="20"/>
                <w:szCs w:val="20"/>
                <w:lang w:val="pt-BR"/>
              </w:rPr>
              <w:t>4</w:t>
            </w:r>
          </w:p>
        </w:tc>
      </w:tr>
      <w:tr w14:paraId="04906E84">
        <w:tblPrEx>
          <w:tblCellMar>
            <w:top w:w="0" w:type="dxa"/>
            <w:left w:w="108" w:type="dxa"/>
            <w:bottom w:w="0" w:type="dxa"/>
            <w:right w:w="108" w:type="dxa"/>
          </w:tblCellMar>
        </w:tblPrEx>
        <w:trPr>
          <w:trHeight w:val="300" w:hRule="atLeast"/>
          <w:jc w:val="center"/>
        </w:trPr>
        <w:tc>
          <w:tcPr>
            <w:tcW w:w="710" w:type="dxa"/>
            <w:tcBorders>
              <w:top w:val="single" w:color="000000" w:sz="2" w:space="0"/>
              <w:left w:val="single" w:color="000000" w:sz="2" w:space="0"/>
              <w:bottom w:val="single" w:color="000000" w:sz="2" w:space="0"/>
              <w:right w:val="single" w:color="000000" w:sz="2" w:space="0"/>
            </w:tcBorders>
            <w:noWrap/>
            <w:vAlign w:val="center"/>
          </w:tcPr>
          <w:p w14:paraId="68F9F92F">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rPr>
            </w:pPr>
            <w:r>
              <w:rPr>
                <w:rFonts w:hint="default" w:ascii="Arial" w:hAnsi="Arial" w:cs="Arial"/>
                <w:sz w:val="20"/>
                <w:szCs w:val="20"/>
                <w:lang w:val="pt-BR" w:eastAsia="zh-CN" w:bidi="ar"/>
              </w:rPr>
              <w:t>46</w:t>
            </w:r>
          </w:p>
        </w:tc>
        <w:tc>
          <w:tcPr>
            <w:tcW w:w="1713" w:type="dxa"/>
            <w:tcBorders>
              <w:top w:val="single" w:color="000000" w:sz="2" w:space="0"/>
              <w:left w:val="single" w:color="000000" w:sz="2" w:space="0"/>
              <w:bottom w:val="single" w:color="000000" w:sz="2" w:space="0"/>
              <w:right w:val="single" w:color="000000" w:sz="2" w:space="0"/>
            </w:tcBorders>
            <w:noWrap/>
            <w:vAlign w:val="center"/>
          </w:tcPr>
          <w:p w14:paraId="791FD9ED">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bidi="ar"/>
              </w:rPr>
            </w:pPr>
            <w:r>
              <w:rPr>
                <w:rFonts w:ascii="Arial" w:hAnsi="Arial" w:cs="Arial"/>
                <w:sz w:val="20"/>
                <w:szCs w:val="20"/>
                <w:lang w:val="en-US" w:eastAsia="zh-CN" w:bidi="ar"/>
              </w:rPr>
              <w:t>Médio Porte II</w:t>
            </w:r>
          </w:p>
        </w:tc>
        <w:tc>
          <w:tcPr>
            <w:tcW w:w="5976" w:type="dxa"/>
            <w:tcBorders>
              <w:top w:val="single" w:color="000000" w:sz="2" w:space="0"/>
              <w:left w:val="single" w:color="000000" w:sz="2" w:space="0"/>
              <w:bottom w:val="single" w:color="000000" w:sz="2" w:space="0"/>
              <w:right w:val="single" w:color="000000" w:sz="2" w:space="0"/>
            </w:tcBorders>
            <w:noWrap/>
            <w:vAlign w:val="center"/>
          </w:tcPr>
          <w:p w14:paraId="4E486D68">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rPr>
            </w:pPr>
            <w:r>
              <w:rPr>
                <w:rFonts w:ascii="Arial" w:hAnsi="Arial" w:cs="Arial"/>
                <w:sz w:val="20"/>
                <w:szCs w:val="20"/>
                <w:lang w:val="en-US" w:eastAsia="zh-CN" w:bidi="ar"/>
              </w:rPr>
              <w:t>EMEB IVETE MARIA CROTTI DORNER</w:t>
            </w:r>
          </w:p>
        </w:tc>
        <w:tc>
          <w:tcPr>
            <w:tcW w:w="965" w:type="dxa"/>
            <w:tcBorders>
              <w:top w:val="single" w:color="000000" w:sz="2" w:space="0"/>
              <w:left w:val="single" w:color="000000" w:sz="2" w:space="0"/>
              <w:bottom w:val="single" w:color="000000" w:sz="2" w:space="0"/>
              <w:right w:val="single" w:color="000000" w:sz="2" w:space="0"/>
            </w:tcBorders>
            <w:noWrap/>
            <w:vAlign w:val="center"/>
          </w:tcPr>
          <w:p w14:paraId="14D326A9">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sz w:val="20"/>
                <w:szCs w:val="20"/>
                <w:lang w:val="pt-BR"/>
              </w:rPr>
            </w:pPr>
            <w:r>
              <w:rPr>
                <w:rFonts w:hint="default" w:ascii="Arial" w:hAnsi="Arial" w:cs="Arial"/>
                <w:sz w:val="20"/>
                <w:szCs w:val="20"/>
                <w:lang w:val="pt-BR"/>
              </w:rPr>
              <w:t>6</w:t>
            </w:r>
          </w:p>
        </w:tc>
      </w:tr>
      <w:tr w14:paraId="7E329732">
        <w:tblPrEx>
          <w:tblCellMar>
            <w:top w:w="0" w:type="dxa"/>
            <w:left w:w="108" w:type="dxa"/>
            <w:bottom w:w="0" w:type="dxa"/>
            <w:right w:w="108" w:type="dxa"/>
          </w:tblCellMar>
        </w:tblPrEx>
        <w:trPr>
          <w:trHeight w:val="300" w:hRule="atLeast"/>
          <w:jc w:val="center"/>
        </w:trPr>
        <w:tc>
          <w:tcPr>
            <w:tcW w:w="710" w:type="dxa"/>
            <w:tcBorders>
              <w:top w:val="single" w:color="000000" w:sz="2" w:space="0"/>
              <w:left w:val="single" w:color="000000" w:sz="2" w:space="0"/>
              <w:bottom w:val="single" w:color="000000" w:sz="2" w:space="0"/>
              <w:right w:val="single" w:color="000000" w:sz="2" w:space="0"/>
            </w:tcBorders>
            <w:noWrap/>
            <w:vAlign w:val="center"/>
          </w:tcPr>
          <w:p w14:paraId="07A0EECC">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rPr>
            </w:pPr>
            <w:r>
              <w:rPr>
                <w:rFonts w:hint="default" w:ascii="Arial" w:hAnsi="Arial" w:cs="Arial"/>
                <w:sz w:val="20"/>
                <w:szCs w:val="20"/>
                <w:lang w:val="pt-BR" w:eastAsia="zh-CN" w:bidi="ar"/>
              </w:rPr>
              <w:t>47</w:t>
            </w:r>
          </w:p>
        </w:tc>
        <w:tc>
          <w:tcPr>
            <w:tcW w:w="1713" w:type="dxa"/>
            <w:tcBorders>
              <w:top w:val="single" w:color="000000" w:sz="2" w:space="0"/>
              <w:left w:val="single" w:color="000000" w:sz="2" w:space="0"/>
              <w:bottom w:val="single" w:color="000000" w:sz="2" w:space="0"/>
              <w:right w:val="single" w:color="000000" w:sz="2" w:space="0"/>
            </w:tcBorders>
            <w:noWrap/>
            <w:vAlign w:val="center"/>
          </w:tcPr>
          <w:p w14:paraId="6BE6C2CD">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bidi="ar"/>
              </w:rPr>
            </w:pPr>
            <w:r>
              <w:rPr>
                <w:rFonts w:ascii="Arial" w:hAnsi="Arial" w:cs="Arial"/>
                <w:sz w:val="20"/>
                <w:szCs w:val="20"/>
                <w:lang w:eastAsia="zh-CN" w:bidi="ar"/>
              </w:rPr>
              <w:t>Médio Porte I</w:t>
            </w:r>
          </w:p>
        </w:tc>
        <w:tc>
          <w:tcPr>
            <w:tcW w:w="5976" w:type="dxa"/>
            <w:tcBorders>
              <w:top w:val="single" w:color="000000" w:sz="2" w:space="0"/>
              <w:left w:val="single" w:color="000000" w:sz="2" w:space="0"/>
              <w:bottom w:val="single" w:color="000000" w:sz="2" w:space="0"/>
              <w:right w:val="single" w:color="000000" w:sz="2" w:space="0"/>
            </w:tcBorders>
            <w:noWrap/>
            <w:vAlign w:val="center"/>
          </w:tcPr>
          <w:p w14:paraId="0690B2F6">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Arial" w:hAnsi="Arial" w:cs="Arial"/>
                <w:sz w:val="20"/>
                <w:szCs w:val="20"/>
                <w:lang w:val="pt-BR" w:eastAsia="zh-CN" w:bidi="ar"/>
              </w:rPr>
            </w:pPr>
            <w:r>
              <w:rPr>
                <w:rFonts w:ascii="Arial" w:hAnsi="Arial" w:cs="Arial"/>
                <w:sz w:val="20"/>
                <w:szCs w:val="20"/>
                <w:lang w:eastAsia="zh-CN" w:bidi="ar"/>
              </w:rPr>
              <w:t>NICO BARACAT</w:t>
            </w:r>
            <w:r>
              <w:rPr>
                <w:rFonts w:hint="default" w:ascii="Arial" w:hAnsi="Arial" w:cs="Arial"/>
                <w:sz w:val="20"/>
                <w:szCs w:val="20"/>
                <w:lang w:val="pt-BR" w:eastAsia="zh-CN" w:bidi="ar"/>
              </w:rPr>
              <w:t xml:space="preserve"> (EM CONSTRUÇÃO)</w:t>
            </w:r>
          </w:p>
        </w:tc>
        <w:tc>
          <w:tcPr>
            <w:tcW w:w="965" w:type="dxa"/>
            <w:tcBorders>
              <w:top w:val="single" w:color="000000" w:sz="2" w:space="0"/>
              <w:left w:val="single" w:color="000000" w:sz="2" w:space="0"/>
              <w:bottom w:val="single" w:color="000000" w:sz="2" w:space="0"/>
              <w:right w:val="single" w:color="000000" w:sz="2" w:space="0"/>
            </w:tcBorders>
            <w:noWrap/>
            <w:vAlign w:val="center"/>
          </w:tcPr>
          <w:p w14:paraId="17E4FC38">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sz w:val="20"/>
                <w:szCs w:val="20"/>
                <w:lang w:val="pt-BR" w:eastAsia="zh-CN" w:bidi="ar"/>
              </w:rPr>
            </w:pPr>
            <w:r>
              <w:rPr>
                <w:rFonts w:hint="default" w:ascii="Arial" w:hAnsi="Arial" w:cs="Arial"/>
                <w:sz w:val="20"/>
                <w:szCs w:val="20"/>
                <w:lang w:val="pt-BR" w:eastAsia="zh-CN" w:bidi="ar"/>
              </w:rPr>
              <w:t>4</w:t>
            </w:r>
          </w:p>
        </w:tc>
      </w:tr>
      <w:tr w14:paraId="0822DAD1">
        <w:tblPrEx>
          <w:tblCellMar>
            <w:top w:w="0" w:type="dxa"/>
            <w:left w:w="108" w:type="dxa"/>
            <w:bottom w:w="0" w:type="dxa"/>
            <w:right w:w="108" w:type="dxa"/>
          </w:tblCellMar>
        </w:tblPrEx>
        <w:trPr>
          <w:trHeight w:val="300" w:hRule="atLeast"/>
          <w:jc w:val="center"/>
        </w:trPr>
        <w:tc>
          <w:tcPr>
            <w:tcW w:w="710" w:type="dxa"/>
            <w:tcBorders>
              <w:top w:val="single" w:color="000000" w:sz="2" w:space="0"/>
              <w:left w:val="single" w:color="000000" w:sz="2" w:space="0"/>
              <w:bottom w:val="single" w:color="000000" w:sz="2" w:space="0"/>
              <w:right w:val="single" w:color="000000" w:sz="2" w:space="0"/>
            </w:tcBorders>
            <w:noWrap/>
            <w:vAlign w:val="center"/>
          </w:tcPr>
          <w:p w14:paraId="33AD304D">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rPr>
            </w:pPr>
            <w:r>
              <w:rPr>
                <w:rFonts w:hint="default" w:ascii="Arial" w:hAnsi="Arial" w:cs="Arial"/>
                <w:sz w:val="20"/>
                <w:szCs w:val="20"/>
                <w:lang w:val="pt-BR" w:eastAsia="zh-CN" w:bidi="ar"/>
              </w:rPr>
              <w:t>48</w:t>
            </w:r>
          </w:p>
        </w:tc>
        <w:tc>
          <w:tcPr>
            <w:tcW w:w="1713" w:type="dxa"/>
            <w:tcBorders>
              <w:top w:val="single" w:color="000000" w:sz="2" w:space="0"/>
              <w:left w:val="single" w:color="000000" w:sz="2" w:space="0"/>
              <w:bottom w:val="single" w:color="000000" w:sz="2" w:space="0"/>
              <w:right w:val="single" w:color="000000" w:sz="2" w:space="0"/>
            </w:tcBorders>
            <w:noWrap/>
            <w:vAlign w:val="center"/>
          </w:tcPr>
          <w:p w14:paraId="498C3DD1">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eastAsia="zh-CN" w:bidi="ar"/>
              </w:rPr>
            </w:pPr>
            <w:r>
              <w:rPr>
                <w:rFonts w:ascii="Arial" w:hAnsi="Arial" w:cs="Arial"/>
                <w:sz w:val="20"/>
                <w:szCs w:val="20"/>
                <w:lang w:eastAsia="zh-CN" w:bidi="ar"/>
              </w:rPr>
              <w:t>Médio Porte I</w:t>
            </w:r>
          </w:p>
        </w:tc>
        <w:tc>
          <w:tcPr>
            <w:tcW w:w="5976" w:type="dxa"/>
            <w:tcBorders>
              <w:top w:val="single" w:color="000000" w:sz="2" w:space="0"/>
              <w:left w:val="single" w:color="000000" w:sz="2" w:space="0"/>
              <w:bottom w:val="single" w:color="000000" w:sz="2" w:space="0"/>
              <w:right w:val="single" w:color="000000" w:sz="2" w:space="0"/>
            </w:tcBorders>
            <w:noWrap/>
            <w:vAlign w:val="center"/>
          </w:tcPr>
          <w:p w14:paraId="6051516F">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hint="default" w:ascii="Arial" w:hAnsi="Arial" w:cs="Arial"/>
                <w:sz w:val="20"/>
                <w:szCs w:val="20"/>
                <w:lang w:val="pt-BR" w:eastAsia="zh-CN" w:bidi="ar"/>
              </w:rPr>
            </w:pPr>
            <w:r>
              <w:rPr>
                <w:rFonts w:ascii="Arial" w:hAnsi="Arial" w:cs="Arial"/>
                <w:sz w:val="20"/>
                <w:szCs w:val="20"/>
                <w:lang w:eastAsia="zh-CN" w:bidi="ar"/>
              </w:rPr>
              <w:t>EMEB JD. TERRA RICA</w:t>
            </w:r>
            <w:r>
              <w:rPr>
                <w:rFonts w:hint="default" w:ascii="Arial" w:hAnsi="Arial" w:cs="Arial"/>
                <w:sz w:val="20"/>
                <w:szCs w:val="20"/>
                <w:lang w:val="pt-BR" w:eastAsia="zh-CN" w:bidi="ar"/>
              </w:rPr>
              <w:t xml:space="preserve"> (EM CONSTRUÇÃO)</w:t>
            </w:r>
          </w:p>
        </w:tc>
        <w:tc>
          <w:tcPr>
            <w:tcW w:w="965" w:type="dxa"/>
            <w:tcBorders>
              <w:top w:val="single" w:color="000000" w:sz="2" w:space="0"/>
              <w:left w:val="single" w:color="000000" w:sz="2" w:space="0"/>
              <w:bottom w:val="single" w:color="000000" w:sz="2" w:space="0"/>
              <w:right w:val="single" w:color="000000" w:sz="2" w:space="0"/>
            </w:tcBorders>
            <w:noWrap/>
            <w:vAlign w:val="center"/>
          </w:tcPr>
          <w:p w14:paraId="6ABBACB7">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sz w:val="20"/>
                <w:szCs w:val="20"/>
                <w:lang w:val="pt-BR" w:eastAsia="zh-CN" w:bidi="ar"/>
              </w:rPr>
            </w:pPr>
            <w:r>
              <w:rPr>
                <w:rFonts w:hint="default" w:ascii="Arial" w:hAnsi="Arial" w:cs="Arial"/>
                <w:sz w:val="20"/>
                <w:szCs w:val="20"/>
                <w:lang w:val="pt-BR" w:eastAsia="zh-CN" w:bidi="ar"/>
              </w:rPr>
              <w:t>4</w:t>
            </w:r>
          </w:p>
        </w:tc>
      </w:tr>
      <w:tr w14:paraId="0EB4BA78">
        <w:tblPrEx>
          <w:tblCellMar>
            <w:top w:w="0" w:type="dxa"/>
            <w:left w:w="108" w:type="dxa"/>
            <w:bottom w:w="0" w:type="dxa"/>
            <w:right w:w="108" w:type="dxa"/>
          </w:tblCellMar>
        </w:tblPrEx>
        <w:trPr>
          <w:trHeight w:val="300" w:hRule="atLeast"/>
          <w:jc w:val="center"/>
        </w:trPr>
        <w:tc>
          <w:tcPr>
            <w:tcW w:w="8399" w:type="dxa"/>
            <w:gridSpan w:val="3"/>
            <w:tcBorders>
              <w:top w:val="single" w:color="000000" w:sz="2" w:space="0"/>
              <w:left w:val="single" w:color="000000" w:sz="2" w:space="0"/>
              <w:bottom w:val="single" w:color="000000" w:sz="2" w:space="0"/>
              <w:right w:val="single" w:color="000000" w:sz="2" w:space="0"/>
            </w:tcBorders>
            <w:shd w:val="clear" w:color="auto" w:fill="F1F1F1" w:themeFill="background1" w:themeFillShade="F2"/>
            <w:noWrap/>
            <w:vAlign w:val="center"/>
          </w:tcPr>
          <w:p w14:paraId="60B99A42">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b/>
                <w:bCs/>
                <w:sz w:val="20"/>
                <w:szCs w:val="20"/>
              </w:rPr>
            </w:pPr>
            <w:r>
              <w:rPr>
                <w:rFonts w:ascii="Arial" w:hAnsi="Arial" w:cs="Arial"/>
                <w:b/>
                <w:bCs/>
                <w:sz w:val="20"/>
                <w:szCs w:val="20"/>
                <w:lang w:eastAsia="zh-CN" w:bidi="ar"/>
              </w:rPr>
              <w:t>TOTAL</w:t>
            </w:r>
          </w:p>
        </w:tc>
        <w:tc>
          <w:tcPr>
            <w:tcW w:w="965" w:type="dxa"/>
            <w:tcBorders>
              <w:top w:val="single" w:color="000000" w:sz="2" w:space="0"/>
              <w:left w:val="single" w:color="000000" w:sz="2" w:space="0"/>
              <w:bottom w:val="single" w:color="000000" w:sz="2" w:space="0"/>
              <w:right w:val="single" w:color="000000" w:sz="2" w:space="0"/>
            </w:tcBorders>
            <w:shd w:val="clear" w:color="auto" w:fill="F1F1F1" w:themeFill="background1" w:themeFillShade="F2"/>
            <w:noWrap/>
            <w:vAlign w:val="center"/>
          </w:tcPr>
          <w:p w14:paraId="47FC0629">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b/>
                <w:bCs/>
                <w:sz w:val="20"/>
                <w:szCs w:val="20"/>
                <w:lang w:val="pt-BR"/>
              </w:rPr>
            </w:pPr>
            <w:r>
              <w:rPr>
                <w:rFonts w:hint="default" w:ascii="Arial" w:hAnsi="Arial" w:cs="Arial"/>
                <w:b/>
                <w:bCs/>
                <w:sz w:val="20"/>
                <w:szCs w:val="20"/>
                <w:lang w:val="pt-BR"/>
              </w:rPr>
              <w:t>217</w:t>
            </w:r>
          </w:p>
        </w:tc>
      </w:tr>
    </w:tbl>
    <w:p w14:paraId="2E0A0C5E">
      <w:pPr>
        <w:numPr>
          <w:ilvl w:val="0"/>
          <w:numId w:val="0"/>
        </w:numPr>
        <w:spacing w:before="120" w:beforeLines="50" w:after="120" w:afterLines="50" w:line="360" w:lineRule="auto"/>
        <w:ind w:leftChars="100" w:right="176" w:rightChars="80"/>
        <w:jc w:val="both"/>
        <w:rPr>
          <w:rFonts w:ascii="Arial" w:hAnsi="Arial" w:cs="Arial"/>
        </w:rPr>
      </w:pPr>
    </w:p>
    <w:p w14:paraId="38A9053C">
      <w:pPr>
        <w:numPr>
          <w:ilvl w:val="3"/>
          <w:numId w:val="3"/>
        </w:numPr>
        <w:spacing w:before="240" w:beforeLines="100" w:after="120" w:afterLines="50" w:line="360" w:lineRule="auto"/>
        <w:ind w:left="220" w:leftChars="100" w:right="176" w:rightChars="80"/>
        <w:jc w:val="both"/>
        <w:rPr>
          <w:rFonts w:ascii="Arial" w:hAnsi="Arial" w:cs="Arial"/>
        </w:rPr>
      </w:pPr>
      <w:r>
        <w:rPr>
          <w:rFonts w:ascii="Arial" w:hAnsi="Arial" w:cs="Arial"/>
        </w:rPr>
        <w:t xml:space="preserve">A CONTRATADA deverá manter em seu quadro de funcionários no mínimo </w:t>
      </w:r>
      <w:r>
        <w:rPr>
          <w:rFonts w:hint="default" w:ascii="Arial" w:hAnsi="Arial" w:cs="Arial"/>
          <w:b/>
          <w:bCs/>
          <w:lang w:val="pt-BR"/>
        </w:rPr>
        <w:t>217</w:t>
      </w:r>
      <w:r>
        <w:rPr>
          <w:rFonts w:ascii="Arial" w:hAnsi="Arial" w:cs="Arial"/>
        </w:rPr>
        <w:t xml:space="preserve"> (duzentos e </w:t>
      </w:r>
      <w:r>
        <w:rPr>
          <w:rFonts w:hint="default" w:ascii="Arial" w:hAnsi="Arial" w:cs="Arial"/>
          <w:lang w:val="pt-BR"/>
        </w:rPr>
        <w:t>dezessete</w:t>
      </w:r>
      <w:r>
        <w:rPr>
          <w:rFonts w:ascii="Arial" w:hAnsi="Arial" w:cs="Arial"/>
        </w:rPr>
        <w:t xml:space="preserve">) </w:t>
      </w:r>
      <w:r>
        <w:rPr>
          <w:rFonts w:ascii="Arial" w:hAnsi="Arial" w:eastAsia="SimSun" w:cs="Arial"/>
          <w:color w:val="000000"/>
          <w:lang w:eastAsia="zh-CN" w:bidi="ar"/>
        </w:rPr>
        <w:t>cozinheiros (as), para a execução do objeto desta Licitação e no mínimo 01 (um) profissional NUTRICIONISTA habilitado e em dia com o Conselho Regional de Nutrição da 1ª Região, para esclarecimentos, ajustes e adequações junto ao Setor de Alimentação Escolar da SME.</w:t>
      </w:r>
    </w:p>
    <w:p w14:paraId="473A9441">
      <w:pPr>
        <w:numPr>
          <w:ilvl w:val="3"/>
          <w:numId w:val="3"/>
        </w:numPr>
        <w:spacing w:before="120" w:beforeLines="50" w:after="120" w:afterLines="50" w:line="360" w:lineRule="auto"/>
        <w:ind w:left="220" w:leftChars="100" w:right="176" w:rightChars="80"/>
        <w:jc w:val="both"/>
        <w:rPr>
          <w:rFonts w:ascii="Arial" w:hAnsi="Arial" w:cs="Arial"/>
        </w:rPr>
      </w:pPr>
      <w:r>
        <w:rPr>
          <w:rFonts w:ascii="Arial" w:hAnsi="Arial" w:cs="Arial"/>
        </w:rPr>
        <w:t xml:space="preserve">A disposição dos </w:t>
      </w:r>
      <w:r>
        <w:rPr>
          <w:rFonts w:ascii="Arial" w:hAnsi="Arial" w:eastAsia="SimSun" w:cs="Arial"/>
          <w:color w:val="000000"/>
          <w:lang w:eastAsia="zh-CN" w:bidi="ar"/>
        </w:rPr>
        <w:t>cozinheiros (as)</w:t>
      </w:r>
      <w:r>
        <w:rPr>
          <w:rFonts w:ascii="Arial" w:hAnsi="Arial" w:cs="Arial"/>
        </w:rPr>
        <w:t xml:space="preserve"> no quadro acima, pode sofrer alteração ao longo do ano letivo, em virtude de necessidades operacionais da empresa, tais como: demissões, afastamentos, transferências internas, licenças médicas ou outras situações trabalhistas, portanto é de responsabilidade da CONTRATADA a realocação do seu quadro </w:t>
      </w:r>
      <w:r>
        <w:rPr>
          <w:rFonts w:ascii="Arial" w:hAnsi="Arial" w:eastAsia="SimSun" w:cs="Arial"/>
          <w:color w:val="000000"/>
          <w:lang w:eastAsia="zh-CN" w:bidi="ar"/>
        </w:rPr>
        <w:t>cozinheiros (as), para não deixar descoberto o número total por Unidade Educativa referido na tabela acima;</w:t>
      </w:r>
    </w:p>
    <w:p w14:paraId="2D566A11">
      <w:pPr>
        <w:numPr>
          <w:ilvl w:val="3"/>
          <w:numId w:val="3"/>
        </w:numPr>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A CONTRATADA deverá encaminhar o quadro de pessoal, juntamente com toda a documentação exigida (Atestado de Saúde Ocupacional - ASO, E</w:t>
      </w:r>
      <w:r>
        <w:rPr>
          <w:rFonts w:ascii="Arial" w:hAnsi="Arial" w:eastAsia="SimSun" w:cs="Arial"/>
          <w:sz w:val="24"/>
          <w:szCs w:val="24"/>
        </w:rPr>
        <w:t>xame de Coprocultura,</w:t>
      </w:r>
      <w:r>
        <w:rPr>
          <w:rFonts w:ascii="Arial" w:hAnsi="Arial" w:eastAsia="SimSun" w:cs="Arial"/>
          <w:color w:val="000000"/>
          <w:lang w:eastAsia="zh-CN" w:bidi="ar"/>
        </w:rPr>
        <w:t xml:space="preserve"> Certificado de Curso de Manipulação de Alimentos e crachá da empresa) ao Setor de Alimentação Escolar da SME em até 5 (cinco) dias úteis antes do início dos trabalhos, para fim de controle de pessoal nas cozinhas escolares. </w:t>
      </w:r>
    </w:p>
    <w:p w14:paraId="672FC998">
      <w:pPr>
        <w:numPr>
          <w:ilvl w:val="3"/>
          <w:numId w:val="3"/>
        </w:numPr>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O pessoal contratado deverá ser treinado, qualificado e uniformizado, observada a legislação: trabalhista, previdenciária, assistencial e sanitária.  </w:t>
      </w:r>
    </w:p>
    <w:p w14:paraId="2F55A7A2">
      <w:pPr>
        <w:numPr>
          <w:ilvl w:val="3"/>
          <w:numId w:val="3"/>
        </w:numPr>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A CONTRATADA deverá fornecer uniforme completo para todos os funcionários do Serviço de Alimentação, respeitando a quantidade total de cada Unidade Educativa conforme </w:t>
      </w:r>
      <w:r>
        <w:rPr>
          <w:rFonts w:ascii="Arial" w:hAnsi="Arial" w:eastAsia="SimSun" w:cs="Arial"/>
          <w:b/>
          <w:bCs/>
          <w:lang w:eastAsia="zh-CN" w:bidi="ar"/>
        </w:rPr>
        <w:t>Item 7.2.8.6.</w:t>
      </w:r>
      <w:r>
        <w:rPr>
          <w:rFonts w:ascii="Arial" w:hAnsi="Arial" w:eastAsia="SimSun" w:cs="Arial"/>
          <w:color w:val="000000"/>
          <w:lang w:eastAsia="zh-CN" w:bidi="ar"/>
        </w:rPr>
        <w:t xml:space="preserve"> deste Termo. O uniforme deverá ser de cor branca, sem estampa, composto obrigatoriamente de touca, calça comprida, camiseta, avental e calçado fechado tipo babuche antiderrapante, respeitando a Legislação Sanitária vigente. </w:t>
      </w:r>
    </w:p>
    <w:p w14:paraId="040CBC69">
      <w:pPr>
        <w:numPr>
          <w:ilvl w:val="3"/>
          <w:numId w:val="3"/>
        </w:numPr>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A CONTRATADA deverá fazer a reposição dos uniformes completos ou de peças sempre que estes estiverem mal conservados (puído, rasgados ou manchados), incluindo o calçado. </w:t>
      </w:r>
    </w:p>
    <w:p w14:paraId="77A4B15A">
      <w:pPr>
        <w:numPr>
          <w:ilvl w:val="3"/>
          <w:numId w:val="3"/>
        </w:numPr>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A CONTRATADA deverá fornecer e manter todos os materiais de proteção e segurança (EPIs), indispensáveis para a execução </w:t>
      </w:r>
      <w:r>
        <w:rPr>
          <w:rFonts w:ascii="Arial" w:hAnsi="Arial" w:cs="Arial"/>
          <w:color w:val="000000"/>
        </w:rPr>
        <w:t xml:space="preserve">do objeto desta </w:t>
      </w:r>
      <w:r>
        <w:rPr>
          <w:rFonts w:ascii="Arial" w:hAnsi="Arial" w:eastAsia="SimSun" w:cs="Arial"/>
          <w:color w:val="000000"/>
          <w:lang w:eastAsia="zh-CN" w:bidi="ar"/>
        </w:rPr>
        <w:t>Licitação que assim o exigirem, em quantidades compatíveis com o número de pessoas empregadas em cada Unidade Educativa.</w:t>
      </w:r>
    </w:p>
    <w:p w14:paraId="0434C628">
      <w:pPr>
        <w:numPr>
          <w:ilvl w:val="3"/>
          <w:numId w:val="3"/>
        </w:numPr>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A CONTRATADA deverá promover formação técnica à TODO O QUADRO de funcionários da cozinha 1 (uma) vez ao ano (este deve ser alinhado junto ao Setor de Alimentação Escolar da SME).</w:t>
      </w:r>
    </w:p>
    <w:p w14:paraId="77A294C4">
      <w:pPr>
        <w:numPr>
          <w:ilvl w:val="3"/>
          <w:numId w:val="3"/>
        </w:numPr>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Os empregados afastados deverão ser substituídos imediatamente por outros, de categoria profissional idêntica. </w:t>
      </w:r>
    </w:p>
    <w:p w14:paraId="333211CC">
      <w:pPr>
        <w:numPr>
          <w:ilvl w:val="3"/>
          <w:numId w:val="3"/>
        </w:numPr>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Fazer cumprir, pelos seus funcionários, às normas disciplinares e de segurança, através de recomendações ou de instruções escritas e observar rigorosamente, as normas de segurança, higiene e medicina do trabalho. </w:t>
      </w:r>
    </w:p>
    <w:p w14:paraId="22E19CD9">
      <w:pPr>
        <w:numPr>
          <w:ilvl w:val="3"/>
          <w:numId w:val="3"/>
        </w:numPr>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A CONTRATADA irá responder, civil e criminalmente, por intoxicação alimentar causada aos comensais. </w:t>
      </w:r>
    </w:p>
    <w:p w14:paraId="444AED39">
      <w:pPr>
        <w:numPr>
          <w:ilvl w:val="3"/>
          <w:numId w:val="3"/>
        </w:numPr>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A CONTRATADA deverá apresentar, antes do inicio da atividade nas cozinhas escolares para cada cozinheiros (as), a seguinte documentação: </w:t>
      </w:r>
    </w:p>
    <w:p w14:paraId="097B8CFC">
      <w:pPr>
        <w:numPr>
          <w:ilvl w:val="4"/>
          <w:numId w:val="3"/>
        </w:numPr>
        <w:spacing w:before="120" w:beforeLines="50" w:after="120" w:afterLines="50" w:line="360" w:lineRule="auto"/>
        <w:ind w:left="440" w:leftChars="200" w:right="176" w:rightChars="80"/>
        <w:jc w:val="both"/>
        <w:rPr>
          <w:rFonts w:ascii="Arial" w:hAnsi="Arial" w:cs="Arial"/>
        </w:rPr>
      </w:pPr>
      <w:r>
        <w:rPr>
          <w:rFonts w:ascii="Arial" w:hAnsi="Arial" w:eastAsia="SimSun" w:cs="Arial"/>
          <w:color w:val="000000"/>
          <w:lang w:eastAsia="zh-CN" w:bidi="ar"/>
        </w:rPr>
        <w:t xml:space="preserve">Atestado de Saúde específico (atestado de saúde ocupacional- ASO e </w:t>
      </w:r>
      <w:r>
        <w:rPr>
          <w:rFonts w:ascii="Arial" w:hAnsi="Arial" w:eastAsia="SimSun" w:cs="Arial"/>
        </w:rPr>
        <w:t>exame de coprocultura</w:t>
      </w:r>
      <w:r>
        <w:rPr>
          <w:rFonts w:ascii="Arial" w:hAnsi="Arial" w:eastAsia="SimSun" w:cs="Arial"/>
          <w:color w:val="000000"/>
          <w:lang w:eastAsia="zh-CN" w:bidi="ar"/>
        </w:rPr>
        <w:t xml:space="preserve">); </w:t>
      </w:r>
    </w:p>
    <w:p w14:paraId="63DC5AE3">
      <w:pPr>
        <w:numPr>
          <w:ilvl w:val="4"/>
          <w:numId w:val="3"/>
        </w:numPr>
        <w:spacing w:before="120" w:beforeLines="50" w:after="120" w:afterLines="50" w:line="360" w:lineRule="auto"/>
        <w:ind w:left="440" w:leftChars="200" w:right="176" w:rightChars="80"/>
        <w:jc w:val="both"/>
        <w:rPr>
          <w:rFonts w:ascii="Arial" w:hAnsi="Arial" w:cs="Arial"/>
        </w:rPr>
      </w:pPr>
      <w:r>
        <w:rPr>
          <w:rFonts w:ascii="Arial" w:hAnsi="Arial" w:eastAsia="SimSun" w:cs="Arial"/>
          <w:color w:val="000000"/>
          <w:lang w:eastAsia="zh-CN" w:bidi="ar"/>
        </w:rPr>
        <w:t xml:space="preserve">Certificado do Curso de Manipulador de Alimentos (Resolução RDC 216 - ANVISA), abordando no mínimo os seguintes temas: contaminantes alimentares, doenças transmitidas por alimentos, manipulação higiênica dos alimentos e boas práticas, solicitando a aprovação da modalidade do curso à CONTRATANTE. </w:t>
      </w:r>
    </w:p>
    <w:p w14:paraId="1797B146">
      <w:pPr>
        <w:numPr>
          <w:ilvl w:val="4"/>
          <w:numId w:val="3"/>
        </w:numPr>
        <w:spacing w:before="120" w:beforeLines="50" w:after="120" w:afterLines="50" w:line="360" w:lineRule="auto"/>
        <w:ind w:left="440" w:leftChars="200" w:right="176" w:rightChars="80"/>
        <w:jc w:val="both"/>
        <w:rPr>
          <w:rFonts w:ascii="Arial" w:hAnsi="Arial" w:cs="Arial"/>
        </w:rPr>
      </w:pPr>
      <w:r>
        <w:rPr>
          <w:rFonts w:ascii="Arial" w:hAnsi="Arial" w:eastAsia="SimSun" w:cs="Arial"/>
          <w:color w:val="000000"/>
          <w:lang w:eastAsia="zh-CN" w:bidi="ar"/>
        </w:rPr>
        <w:t xml:space="preserve">Documento que ateste o recebimento de equipamentos de proteção individual, </w:t>
      </w:r>
    </w:p>
    <w:p w14:paraId="3178991B">
      <w:pPr>
        <w:numPr>
          <w:ilvl w:val="3"/>
          <w:numId w:val="3"/>
        </w:numPr>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Fica expressamente proibida a contratação de cozinheiros (as) sem os requisitos citados acima. </w:t>
      </w:r>
    </w:p>
    <w:p w14:paraId="7A967001">
      <w:pPr>
        <w:numPr>
          <w:ilvl w:val="3"/>
          <w:numId w:val="3"/>
        </w:numPr>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A CONTRATADA deverá exigir dos(as) </w:t>
      </w:r>
      <w:r>
        <w:rPr>
          <w:rFonts w:ascii="Arial" w:hAnsi="Arial" w:eastAsia="Arial-BoldMT" w:cs="Arial"/>
          <w:b/>
          <w:bCs/>
          <w:color w:val="000000"/>
          <w:lang w:eastAsia="zh-CN" w:bidi="ar"/>
        </w:rPr>
        <w:t>Cozinheiros(as)</w:t>
      </w:r>
      <w:r>
        <w:rPr>
          <w:rFonts w:ascii="Arial" w:hAnsi="Arial" w:eastAsia="SimSun" w:cs="Arial"/>
          <w:color w:val="000000"/>
          <w:lang w:eastAsia="zh-CN" w:bidi="ar"/>
        </w:rPr>
        <w:t xml:space="preserve"> responsabilidade no desempenho das atividades: </w:t>
      </w:r>
    </w:p>
    <w:p w14:paraId="7853D656">
      <w:pPr>
        <w:numPr>
          <w:ilvl w:val="0"/>
          <w:numId w:val="32"/>
        </w:numPr>
        <w:spacing w:before="120" w:beforeLines="50" w:after="120" w:afterLines="50" w:line="360" w:lineRule="auto"/>
        <w:ind w:right="176" w:rightChars="80" w:firstLine="15"/>
        <w:jc w:val="both"/>
        <w:rPr>
          <w:rFonts w:ascii="Arial" w:hAnsi="Arial" w:cs="Arial"/>
        </w:rPr>
      </w:pPr>
      <w:r>
        <w:rPr>
          <w:rFonts w:ascii="Arial" w:hAnsi="Arial" w:eastAsia="SimSun" w:cs="Arial"/>
          <w:color w:val="000000"/>
          <w:lang w:eastAsia="zh-CN" w:bidi="ar"/>
        </w:rPr>
        <w:t xml:space="preserve">Cumprir, diariamente, os cardápios estabelecidos Setor de Alimentação Escolar da SME, preparando e servindo as refeições, conforme as fichas técnicas e orientações da CONTRATANTE; </w:t>
      </w:r>
    </w:p>
    <w:p w14:paraId="4352AABC">
      <w:pPr>
        <w:numPr>
          <w:ilvl w:val="0"/>
          <w:numId w:val="32"/>
        </w:numPr>
        <w:spacing w:before="120" w:beforeLines="50" w:after="120" w:afterLines="50" w:line="360" w:lineRule="auto"/>
        <w:ind w:right="176" w:rightChars="80" w:firstLine="15"/>
        <w:jc w:val="both"/>
        <w:rPr>
          <w:rFonts w:ascii="Arial" w:hAnsi="Arial" w:cs="Arial"/>
        </w:rPr>
      </w:pPr>
      <w:r>
        <w:rPr>
          <w:rFonts w:ascii="Arial" w:hAnsi="Arial" w:eastAsia="SimSun" w:cs="Arial"/>
          <w:color w:val="000000"/>
          <w:lang w:eastAsia="zh-CN" w:bidi="ar"/>
        </w:rPr>
        <w:t xml:space="preserve">Executar, a pena de fiscalização do Setor de Alimentação Escolar da SME, os serviços inerentes ao preparo e distribuição dos alimentos, selecionando produtos, preparando refeições e distribuindo-as aos comensais, para atender ao Programa de Alimentação Escolar estabelecido; </w:t>
      </w:r>
    </w:p>
    <w:p w14:paraId="556CD420">
      <w:pPr>
        <w:numPr>
          <w:ilvl w:val="0"/>
          <w:numId w:val="32"/>
        </w:numPr>
        <w:spacing w:before="120" w:beforeLines="50" w:after="120" w:afterLines="50" w:line="360" w:lineRule="auto"/>
        <w:ind w:right="176" w:rightChars="80" w:firstLine="15"/>
        <w:jc w:val="both"/>
        <w:rPr>
          <w:rFonts w:ascii="Arial" w:hAnsi="Arial" w:cs="Arial"/>
        </w:rPr>
      </w:pPr>
      <w:r>
        <w:rPr>
          <w:rFonts w:ascii="Arial" w:hAnsi="Arial" w:eastAsia="SimSun" w:cs="Arial"/>
          <w:color w:val="000000"/>
          <w:lang w:eastAsia="zh-CN" w:bidi="ar"/>
        </w:rPr>
        <w:t xml:space="preserve">Preparar e servir nas Unidades Educativas, dentro dos horários previstos, nas quantidades e temperaturas exigidas, as diversas refeições do cardápio estabelecido pelo Setor de Alimentação Escolar da SME; </w:t>
      </w:r>
    </w:p>
    <w:p w14:paraId="4B12A3B2">
      <w:pPr>
        <w:numPr>
          <w:ilvl w:val="0"/>
          <w:numId w:val="32"/>
        </w:numPr>
        <w:spacing w:before="120" w:beforeLines="50" w:after="120" w:afterLines="50" w:line="360" w:lineRule="auto"/>
        <w:ind w:right="176" w:rightChars="80" w:firstLine="15"/>
        <w:jc w:val="both"/>
        <w:rPr>
          <w:rFonts w:ascii="Arial" w:hAnsi="Arial" w:cs="Arial"/>
        </w:rPr>
      </w:pPr>
      <w:r>
        <w:rPr>
          <w:rFonts w:ascii="Arial" w:hAnsi="Arial" w:eastAsia="SimSun" w:cs="Arial"/>
          <w:color w:val="000000"/>
          <w:lang w:eastAsia="zh-CN" w:bidi="ar"/>
        </w:rPr>
        <w:t xml:space="preserve">Adequar a quantidade de alimentação a ser preparada, ao consumo exigido; </w:t>
      </w:r>
    </w:p>
    <w:p w14:paraId="251EB5DD">
      <w:pPr>
        <w:numPr>
          <w:ilvl w:val="0"/>
          <w:numId w:val="32"/>
        </w:numPr>
        <w:spacing w:before="120" w:beforeLines="50" w:after="120" w:afterLines="50" w:line="360" w:lineRule="auto"/>
        <w:ind w:right="176" w:rightChars="80" w:firstLine="15"/>
        <w:jc w:val="both"/>
        <w:rPr>
          <w:rFonts w:ascii="Arial" w:hAnsi="Arial" w:cs="Arial"/>
        </w:rPr>
      </w:pPr>
      <w:r>
        <w:rPr>
          <w:rFonts w:ascii="Arial" w:hAnsi="Arial" w:eastAsia="SimSun" w:cs="Arial"/>
          <w:color w:val="000000"/>
          <w:lang w:eastAsia="zh-CN" w:bidi="ar"/>
        </w:rPr>
        <w:t xml:space="preserve">Receber, conferir, armazenar e controlar o consumo de alimentos e demais materiais utilizados no seu preparo, prestando contas, diariamente, dos cardápios, número de refeições e consumo verificados em formulário próprio; </w:t>
      </w:r>
    </w:p>
    <w:p w14:paraId="26339CBA">
      <w:pPr>
        <w:numPr>
          <w:ilvl w:val="0"/>
          <w:numId w:val="32"/>
        </w:numPr>
        <w:spacing w:before="120" w:beforeLines="50" w:after="120" w:afterLines="50" w:line="360" w:lineRule="auto"/>
        <w:ind w:right="176" w:rightChars="80" w:firstLine="15"/>
        <w:jc w:val="both"/>
        <w:rPr>
          <w:rFonts w:ascii="Arial" w:hAnsi="Arial" w:cs="Arial"/>
        </w:rPr>
      </w:pPr>
      <w:r>
        <w:rPr>
          <w:rFonts w:ascii="Arial" w:hAnsi="Arial" w:eastAsia="SimSun" w:cs="Arial"/>
          <w:color w:val="000000"/>
          <w:lang w:eastAsia="zh-CN" w:bidi="ar"/>
        </w:rPr>
        <w:t xml:space="preserve">Zelar pela higiene dos locais de armazenamento, conservação e preparo das refeições, limpeza dos equipamentos, instrumentos e materiais peculiares ao trabalho. </w:t>
      </w:r>
    </w:p>
    <w:p w14:paraId="25106350">
      <w:pPr>
        <w:numPr>
          <w:ilvl w:val="0"/>
          <w:numId w:val="32"/>
        </w:numPr>
        <w:spacing w:before="120" w:beforeLines="50" w:after="120" w:afterLines="50" w:line="360" w:lineRule="auto"/>
        <w:ind w:right="176" w:rightChars="80" w:firstLine="15"/>
        <w:jc w:val="both"/>
        <w:rPr>
          <w:rFonts w:ascii="Arial" w:hAnsi="Arial" w:cs="Arial"/>
        </w:rPr>
      </w:pPr>
      <w:r>
        <w:rPr>
          <w:rFonts w:ascii="Arial" w:hAnsi="Arial" w:eastAsia="SimSun" w:cs="Arial"/>
          <w:color w:val="000000"/>
          <w:lang w:eastAsia="zh-CN" w:bidi="ar"/>
        </w:rPr>
        <w:t xml:space="preserve">Recolher os utensílios das mesas no refeitório, após as refeições; </w:t>
      </w:r>
    </w:p>
    <w:p w14:paraId="00BEC271">
      <w:pPr>
        <w:numPr>
          <w:ilvl w:val="0"/>
          <w:numId w:val="32"/>
        </w:numPr>
        <w:spacing w:before="120" w:beforeLines="50" w:after="120" w:afterLines="50" w:line="360" w:lineRule="auto"/>
        <w:ind w:right="176" w:rightChars="80" w:firstLine="15"/>
        <w:jc w:val="both"/>
        <w:rPr>
          <w:rFonts w:ascii="Arial" w:hAnsi="Arial" w:cs="Arial"/>
        </w:rPr>
      </w:pPr>
      <w:r>
        <w:rPr>
          <w:rFonts w:ascii="Arial" w:hAnsi="Arial" w:eastAsia="SimSun" w:cs="Arial"/>
          <w:color w:val="000000"/>
          <w:lang w:eastAsia="zh-CN" w:bidi="ar"/>
        </w:rPr>
        <w:t xml:space="preserve">Usar uniforme completo, limpo, íntegro; </w:t>
      </w:r>
    </w:p>
    <w:p w14:paraId="31361C61">
      <w:pPr>
        <w:numPr>
          <w:ilvl w:val="0"/>
          <w:numId w:val="32"/>
        </w:numPr>
        <w:spacing w:before="120" w:beforeLines="50" w:after="120" w:afterLines="50" w:line="360" w:lineRule="auto"/>
        <w:ind w:right="176" w:rightChars="80" w:firstLine="15"/>
        <w:jc w:val="both"/>
        <w:rPr>
          <w:rFonts w:ascii="Arial" w:hAnsi="Arial" w:cs="Arial"/>
        </w:rPr>
      </w:pPr>
      <w:r>
        <w:rPr>
          <w:rFonts w:ascii="Arial" w:hAnsi="Arial" w:eastAsia="SimSun" w:cs="Arial"/>
          <w:color w:val="000000"/>
          <w:lang w:eastAsia="zh-CN" w:bidi="ar"/>
        </w:rPr>
        <w:t>Usar calçado</w:t>
      </w:r>
      <w:r>
        <w:rPr>
          <w:rFonts w:ascii="Arial" w:hAnsi="Arial" w:eastAsia="SimSun" w:cs="Arial"/>
          <w:lang w:eastAsia="zh-CN" w:bidi="ar"/>
        </w:rPr>
        <w:t xml:space="preserve">s fechados </w:t>
      </w:r>
      <w:r>
        <w:rPr>
          <w:rFonts w:ascii="Arial" w:hAnsi="Arial" w:cs="Arial"/>
          <w:lang w:eastAsia="zh-CN" w:bidi="ar"/>
        </w:rPr>
        <w:t>e apropriado para a atividade desenvolvida</w:t>
      </w:r>
      <w:r>
        <w:rPr>
          <w:rFonts w:ascii="Arial" w:hAnsi="Arial" w:eastAsia="SimSun" w:cs="Arial"/>
          <w:lang w:eastAsia="zh-CN" w:bidi="ar"/>
        </w:rPr>
        <w:t xml:space="preserve">; </w:t>
      </w:r>
    </w:p>
    <w:p w14:paraId="03EB78FB">
      <w:pPr>
        <w:numPr>
          <w:ilvl w:val="0"/>
          <w:numId w:val="32"/>
        </w:numPr>
        <w:spacing w:before="120" w:beforeLines="50" w:after="120" w:afterLines="50" w:line="360" w:lineRule="auto"/>
        <w:ind w:right="176" w:rightChars="80" w:firstLine="15"/>
        <w:jc w:val="both"/>
        <w:rPr>
          <w:rFonts w:ascii="Arial" w:hAnsi="Arial" w:cs="Arial"/>
        </w:rPr>
      </w:pPr>
      <w:r>
        <w:rPr>
          <w:rFonts w:ascii="Arial" w:hAnsi="Arial" w:eastAsia="Arial-BoldMT" w:cs="Arial"/>
          <w:b/>
          <w:bCs/>
          <w:color w:val="000000"/>
          <w:lang w:eastAsia="zh-CN" w:bidi="ar"/>
        </w:rPr>
        <w:t xml:space="preserve"> </w:t>
      </w:r>
      <w:r>
        <w:rPr>
          <w:rFonts w:ascii="Arial" w:hAnsi="Arial" w:eastAsia="SimSun" w:cs="Arial"/>
          <w:color w:val="000000"/>
          <w:lang w:eastAsia="zh-CN" w:bidi="ar"/>
        </w:rPr>
        <w:t xml:space="preserve">Manter as unhas curtas, limpas e sem esmalte; </w:t>
      </w:r>
    </w:p>
    <w:p w14:paraId="7B8CD596">
      <w:pPr>
        <w:numPr>
          <w:ilvl w:val="0"/>
          <w:numId w:val="32"/>
        </w:numPr>
        <w:spacing w:before="120" w:beforeLines="50" w:after="120" w:afterLines="50" w:line="360" w:lineRule="auto"/>
        <w:ind w:right="176" w:rightChars="80" w:firstLine="15"/>
        <w:jc w:val="both"/>
        <w:rPr>
          <w:rFonts w:ascii="Arial" w:hAnsi="Arial" w:cs="Arial"/>
        </w:rPr>
      </w:pPr>
      <w:r>
        <w:rPr>
          <w:rFonts w:ascii="Arial" w:hAnsi="Arial" w:eastAsia="SimSun" w:cs="Arial"/>
          <w:lang w:eastAsia="zh-CN" w:bidi="ar"/>
        </w:rPr>
        <w:t xml:space="preserve">Não usar adereços (anéis, pulseiras, colares, correntes, cordões e similares), nem maquiagem </w:t>
      </w:r>
      <w:r>
        <w:rPr>
          <w:rFonts w:ascii="Arial" w:hAnsi="Arial" w:cs="Arial"/>
          <w:lang w:eastAsia="zh-CN" w:bidi="ar"/>
        </w:rPr>
        <w:t>nem cílios postíços ou extensão</w:t>
      </w:r>
      <w:r>
        <w:rPr>
          <w:rFonts w:ascii="Arial" w:hAnsi="Arial" w:eastAsia="SimSun" w:cs="Arial"/>
          <w:lang w:eastAsia="zh-CN" w:bidi="ar"/>
        </w:rPr>
        <w:t xml:space="preserve">; </w:t>
      </w:r>
    </w:p>
    <w:p w14:paraId="64EADDFA">
      <w:pPr>
        <w:numPr>
          <w:ilvl w:val="0"/>
          <w:numId w:val="32"/>
        </w:numPr>
        <w:tabs>
          <w:tab w:val="left" w:pos="880"/>
          <w:tab w:val="left" w:pos="1100"/>
        </w:tabs>
        <w:spacing w:before="120" w:beforeLines="50" w:after="120" w:afterLines="50" w:line="360" w:lineRule="auto"/>
        <w:ind w:right="176" w:rightChars="80" w:firstLine="15"/>
        <w:jc w:val="both"/>
        <w:rPr>
          <w:rFonts w:ascii="Arial" w:hAnsi="Arial" w:cs="Arial"/>
        </w:rPr>
      </w:pPr>
      <w:r>
        <w:rPr>
          <w:rFonts w:ascii="Arial" w:hAnsi="Arial" w:eastAsia="SimSun" w:cs="Arial"/>
          <w:color w:val="000000"/>
          <w:lang w:eastAsia="zh-CN" w:bidi="ar"/>
        </w:rPr>
        <w:t xml:space="preserve">Lavar as mãos sempre que iniciar cada tarefa; </w:t>
      </w:r>
    </w:p>
    <w:p w14:paraId="2152B96E">
      <w:pPr>
        <w:numPr>
          <w:ilvl w:val="0"/>
          <w:numId w:val="32"/>
        </w:numPr>
        <w:tabs>
          <w:tab w:val="left" w:pos="880"/>
          <w:tab w:val="left" w:pos="1100"/>
        </w:tabs>
        <w:spacing w:before="120" w:beforeLines="50" w:after="120" w:afterLines="50" w:line="360" w:lineRule="auto"/>
        <w:ind w:right="176" w:rightChars="80" w:firstLine="15"/>
        <w:jc w:val="both"/>
        <w:rPr>
          <w:rFonts w:ascii="Arial" w:hAnsi="Arial" w:cs="Arial"/>
        </w:rPr>
      </w:pPr>
      <w:r>
        <w:rPr>
          <w:rFonts w:ascii="Arial" w:hAnsi="Arial" w:eastAsia="SimSun" w:cs="Arial"/>
          <w:color w:val="000000"/>
          <w:lang w:eastAsia="zh-CN" w:bidi="ar"/>
        </w:rPr>
        <w:t xml:space="preserve">Não pentear os cabelos na cozinha e suas dependências; Não comercializar nenhum objeto ou alimento no ambiente de trabalho; </w:t>
      </w:r>
    </w:p>
    <w:p w14:paraId="7DA0833B">
      <w:pPr>
        <w:numPr>
          <w:ilvl w:val="0"/>
          <w:numId w:val="32"/>
        </w:numPr>
        <w:tabs>
          <w:tab w:val="left" w:pos="880"/>
          <w:tab w:val="left" w:pos="1100"/>
        </w:tabs>
        <w:spacing w:before="120" w:beforeLines="50" w:after="120" w:afterLines="50" w:line="360" w:lineRule="auto"/>
        <w:ind w:right="176" w:rightChars="80" w:firstLine="15"/>
        <w:jc w:val="both"/>
        <w:rPr>
          <w:rFonts w:ascii="Arial" w:hAnsi="Arial" w:cs="Arial"/>
        </w:rPr>
      </w:pPr>
      <w:r>
        <w:rPr>
          <w:rFonts w:ascii="Arial" w:hAnsi="Arial" w:eastAsia="SimSun" w:cs="Arial"/>
          <w:color w:val="000000"/>
          <w:lang w:eastAsia="zh-CN" w:bidi="ar"/>
        </w:rPr>
        <w:t xml:space="preserve">Não fumar na cozinha e suas dependências; </w:t>
      </w:r>
    </w:p>
    <w:p w14:paraId="11D75936">
      <w:pPr>
        <w:numPr>
          <w:ilvl w:val="0"/>
          <w:numId w:val="32"/>
        </w:numPr>
        <w:tabs>
          <w:tab w:val="left" w:pos="880"/>
          <w:tab w:val="left" w:pos="1100"/>
        </w:tabs>
        <w:spacing w:before="120" w:beforeLines="50" w:after="120" w:afterLines="50" w:line="360" w:lineRule="auto"/>
        <w:ind w:right="176" w:rightChars="80" w:firstLine="15"/>
        <w:jc w:val="both"/>
        <w:rPr>
          <w:rFonts w:ascii="Arial" w:hAnsi="Arial" w:cs="Arial"/>
        </w:rPr>
      </w:pPr>
      <w:r>
        <w:rPr>
          <w:rFonts w:ascii="Arial" w:hAnsi="Arial" w:eastAsia="SimSun" w:cs="Arial"/>
          <w:color w:val="000000"/>
          <w:lang w:eastAsia="zh-CN" w:bidi="ar"/>
        </w:rPr>
        <w:t>Não deixar entrarem na cozinha pessoas estranhas e sem touca de proteção para os cabelos, principalmente durante a preparação e distribuição dos alimentos;</w:t>
      </w:r>
    </w:p>
    <w:p w14:paraId="0D8619F4">
      <w:pPr>
        <w:numPr>
          <w:ilvl w:val="0"/>
          <w:numId w:val="32"/>
        </w:numPr>
        <w:tabs>
          <w:tab w:val="left" w:pos="880"/>
          <w:tab w:val="left" w:pos="1100"/>
        </w:tabs>
        <w:spacing w:before="120" w:beforeLines="50" w:after="120" w:afterLines="50" w:line="360" w:lineRule="auto"/>
        <w:ind w:right="176" w:rightChars="80" w:firstLine="15"/>
        <w:jc w:val="both"/>
        <w:rPr>
          <w:rFonts w:ascii="Arial" w:hAnsi="Arial" w:cs="Arial"/>
        </w:rPr>
      </w:pPr>
      <w:r>
        <w:rPr>
          <w:rFonts w:ascii="Arial" w:hAnsi="Arial" w:eastAsia="SimSun" w:cs="Arial"/>
          <w:color w:val="000000"/>
          <w:lang w:eastAsia="zh-CN" w:bidi="ar"/>
        </w:rPr>
        <w:t>Não permitir a retirada de alimentos ou sobras das unidades. As sobras de alimentos dever</w:t>
      </w:r>
      <w:r>
        <w:rPr>
          <w:rFonts w:ascii="Arial" w:hAnsi="Arial" w:eastAsia="SimSun" w:cs="Arial"/>
          <w:lang w:eastAsia="zh-CN" w:bidi="ar"/>
        </w:rPr>
        <w:t xml:space="preserve">ão ser </w:t>
      </w:r>
      <w:r>
        <w:rPr>
          <w:rFonts w:ascii="Arial" w:hAnsi="Arial" w:cs="Arial"/>
          <w:lang w:eastAsia="zh-CN" w:bidi="ar"/>
        </w:rPr>
        <w:t>descartadas no lixo</w:t>
      </w:r>
      <w:r>
        <w:rPr>
          <w:rFonts w:ascii="Arial" w:hAnsi="Arial" w:eastAsia="SimSun" w:cs="Arial"/>
          <w:lang w:eastAsia="zh-CN" w:bidi="ar"/>
        </w:rPr>
        <w:t xml:space="preserve">; </w:t>
      </w:r>
    </w:p>
    <w:p w14:paraId="6C9E54FE">
      <w:pPr>
        <w:numPr>
          <w:ilvl w:val="0"/>
          <w:numId w:val="32"/>
        </w:numPr>
        <w:tabs>
          <w:tab w:val="left" w:pos="880"/>
          <w:tab w:val="left" w:pos="1100"/>
        </w:tabs>
        <w:spacing w:before="120" w:beforeLines="50" w:after="120" w:afterLines="50" w:line="360" w:lineRule="auto"/>
        <w:ind w:right="176" w:rightChars="80" w:firstLine="15"/>
        <w:jc w:val="both"/>
        <w:rPr>
          <w:rFonts w:ascii="Arial" w:hAnsi="Arial" w:cs="Arial"/>
        </w:rPr>
      </w:pPr>
      <w:r>
        <w:rPr>
          <w:rFonts w:ascii="Arial" w:hAnsi="Arial" w:eastAsia="SimSun" w:cs="Arial"/>
          <w:color w:val="000000"/>
          <w:lang w:eastAsia="zh-CN" w:bidi="ar"/>
        </w:rPr>
        <w:t xml:space="preserve">Controlar a qualidade e quantidade dos gêneros alimentícios, conferindo- os ao recebê-los e assinando documento próprio que deverá ser conferido e assinado; </w:t>
      </w:r>
    </w:p>
    <w:p w14:paraId="112F8CB0">
      <w:pPr>
        <w:numPr>
          <w:ilvl w:val="0"/>
          <w:numId w:val="32"/>
        </w:numPr>
        <w:tabs>
          <w:tab w:val="left" w:pos="880"/>
          <w:tab w:val="left" w:pos="1100"/>
        </w:tabs>
        <w:spacing w:before="120" w:beforeLines="50" w:after="120" w:afterLines="50" w:line="360" w:lineRule="auto"/>
        <w:ind w:right="176" w:rightChars="80" w:firstLine="15"/>
        <w:jc w:val="both"/>
        <w:rPr>
          <w:rFonts w:ascii="Arial" w:hAnsi="Arial" w:cs="Arial"/>
        </w:rPr>
      </w:pPr>
      <w:r>
        <w:rPr>
          <w:rFonts w:ascii="Arial" w:hAnsi="Arial" w:eastAsia="SimSun" w:cs="Arial"/>
          <w:color w:val="000000"/>
          <w:lang w:eastAsia="zh-CN" w:bidi="ar"/>
        </w:rPr>
        <w:t xml:space="preserve">Cumprir as normas do Manual de Boas Práticas e POP´s, anexo ao Termo de Referência. </w:t>
      </w:r>
    </w:p>
    <w:p w14:paraId="6834EB84">
      <w:pPr>
        <w:numPr>
          <w:ilvl w:val="0"/>
          <w:numId w:val="32"/>
        </w:numPr>
        <w:tabs>
          <w:tab w:val="left" w:pos="880"/>
          <w:tab w:val="left" w:pos="1100"/>
        </w:tabs>
        <w:spacing w:before="120" w:beforeLines="50" w:after="120" w:afterLines="50" w:line="360" w:lineRule="auto"/>
        <w:ind w:right="176" w:rightChars="80" w:firstLine="15"/>
        <w:jc w:val="both"/>
        <w:rPr>
          <w:rFonts w:ascii="Arial" w:hAnsi="Arial" w:cs="Arial"/>
        </w:rPr>
      </w:pPr>
      <w:r>
        <w:rPr>
          <w:rFonts w:ascii="Arial" w:hAnsi="Arial" w:eastAsia="SimSun" w:cs="Arial"/>
          <w:color w:val="000000"/>
          <w:lang w:eastAsia="zh-CN" w:bidi="ar"/>
        </w:rPr>
        <w:t xml:space="preserve">Cumprir o horário diário de acordo num período compreendido entre 06 às 18h, respeitandose o limite máximo de carga horária semanal estipulada pela Consolidação das Leis Trabalhistas - CLT, e com disponibilidade para atividades fora desse horário, quando necessário e/ou solicitado pela CONTRATANTE, em consonância ao cumprimento dos calendários escolares; </w:t>
      </w:r>
    </w:p>
    <w:p w14:paraId="513C0DE7">
      <w:pPr>
        <w:numPr>
          <w:ilvl w:val="0"/>
          <w:numId w:val="32"/>
        </w:numPr>
        <w:tabs>
          <w:tab w:val="left" w:pos="880"/>
          <w:tab w:val="left" w:pos="1100"/>
        </w:tabs>
        <w:spacing w:before="120" w:beforeLines="50" w:after="120" w:afterLines="50" w:line="360" w:lineRule="auto"/>
        <w:ind w:right="176" w:rightChars="80" w:firstLine="15"/>
        <w:jc w:val="both"/>
        <w:rPr>
          <w:rFonts w:ascii="Arial" w:hAnsi="Arial" w:cs="Arial"/>
        </w:rPr>
      </w:pPr>
      <w:r>
        <w:rPr>
          <w:rFonts w:ascii="Arial" w:hAnsi="Arial" w:eastAsia="SimSun" w:cs="Arial"/>
          <w:color w:val="000000"/>
          <w:lang w:eastAsia="zh-CN" w:bidi="ar"/>
        </w:rPr>
        <w:t xml:space="preserve">Trabalhar em condições de saúde compatível com a prestação </w:t>
      </w:r>
      <w:r>
        <w:rPr>
          <w:rFonts w:ascii="Arial" w:hAnsi="Arial" w:cs="Arial"/>
          <w:color w:val="000000"/>
        </w:rPr>
        <w:t xml:space="preserve">do objeto desta </w:t>
      </w:r>
      <w:r>
        <w:rPr>
          <w:rFonts w:ascii="Arial" w:hAnsi="Arial" w:eastAsia="SimSun" w:cs="Arial"/>
          <w:color w:val="000000"/>
          <w:lang w:eastAsia="zh-CN" w:bidi="ar"/>
        </w:rPr>
        <w:t xml:space="preserve">Licitação, para tanto, realizar os exames médicos-laboratoriais admissional e o periódico semestral (para aptidão em manipular alimentos) e exames específicos de acordo com as normas vigentes. </w:t>
      </w:r>
    </w:p>
    <w:p w14:paraId="07EE46CA">
      <w:pPr>
        <w:numPr>
          <w:ilvl w:val="3"/>
          <w:numId w:val="3"/>
        </w:numPr>
        <w:spacing w:before="120" w:beforeLines="50" w:after="120" w:afterLines="50" w:line="360" w:lineRule="auto"/>
        <w:ind w:left="220" w:leftChars="100" w:right="176" w:rightChars="80"/>
        <w:jc w:val="both"/>
        <w:rPr>
          <w:rFonts w:ascii="Arial" w:hAnsi="Arial" w:cs="Arial"/>
        </w:rPr>
      </w:pPr>
      <w:r>
        <w:rPr>
          <w:rFonts w:ascii="Arial" w:hAnsi="Arial" w:cs="Arial"/>
          <w:b/>
          <w:bCs/>
        </w:rPr>
        <w:t>DAS NUTRICIONISTAS:</w:t>
      </w:r>
    </w:p>
    <w:p w14:paraId="5B1E6E20">
      <w:pPr>
        <w:numPr>
          <w:ilvl w:val="4"/>
          <w:numId w:val="3"/>
        </w:numPr>
        <w:spacing w:before="120" w:beforeLines="50" w:after="120" w:afterLines="50" w:line="360" w:lineRule="auto"/>
        <w:ind w:left="440" w:leftChars="200" w:right="176" w:rightChars="80"/>
        <w:jc w:val="both"/>
        <w:rPr>
          <w:rFonts w:ascii="Arial" w:hAnsi="Arial" w:cs="Arial"/>
        </w:rPr>
      </w:pPr>
      <w:r>
        <w:rPr>
          <w:rFonts w:ascii="Arial" w:hAnsi="Arial" w:cs="Arial"/>
        </w:rPr>
        <w:t>Após a formalização do contrato do objeto desta licitação de terceirização da merenda escolar no município de Sinop/MT, as nutricionistas do quadro de servidores municipais desempenharão papel fundamental na fiscalização e supervisão da execução do contrato, mesmo que não estejam diretamente envolvidas na produção das refeições. Suas funções típicas passam a incluir:</w:t>
      </w:r>
    </w:p>
    <w:p w14:paraId="3973AB0D">
      <w:pPr>
        <w:numPr>
          <w:ilvl w:val="5"/>
          <w:numId w:val="3"/>
        </w:numPr>
        <w:spacing w:before="120" w:beforeLines="50" w:after="120" w:afterLines="50" w:line="360" w:lineRule="auto"/>
        <w:ind w:left="660" w:leftChars="300" w:right="176" w:rightChars="80"/>
        <w:jc w:val="both"/>
        <w:rPr>
          <w:rFonts w:ascii="Arial" w:hAnsi="Arial" w:cs="Arial"/>
          <w:b/>
          <w:bCs/>
        </w:rPr>
      </w:pPr>
      <w:r>
        <w:rPr>
          <w:rFonts w:ascii="Arial" w:hAnsi="Arial" w:cs="Arial"/>
          <w:b/>
          <w:bCs/>
        </w:rPr>
        <w:t>Fiscalização Técnica do Contrato:</w:t>
      </w:r>
    </w:p>
    <w:p w14:paraId="2575DB01">
      <w:pPr>
        <w:numPr>
          <w:ilvl w:val="0"/>
          <w:numId w:val="33"/>
        </w:numPr>
        <w:tabs>
          <w:tab w:val="left" w:pos="1100"/>
          <w:tab w:val="left" w:pos="1320"/>
          <w:tab w:val="clear" w:pos="425"/>
        </w:tabs>
        <w:spacing w:before="120" w:beforeLines="50" w:after="120" w:afterLines="50" w:line="360" w:lineRule="auto"/>
        <w:ind w:left="660" w:right="176" w:rightChars="80" w:firstLine="15"/>
        <w:jc w:val="both"/>
        <w:rPr>
          <w:rFonts w:ascii="Arial" w:hAnsi="Arial" w:cs="Arial"/>
        </w:rPr>
      </w:pPr>
      <w:r>
        <w:rPr>
          <w:rFonts w:ascii="Arial" w:hAnsi="Arial" w:cs="Arial"/>
        </w:rPr>
        <w:t>Acompanhar e verificar se a empresa terceirizada está cumprindo todas as cláusulas contratuais, especialmente aquelas relativas às normas sanitárias, nutricionais e de segurança alimentar.</w:t>
      </w:r>
    </w:p>
    <w:p w14:paraId="355F8191">
      <w:pPr>
        <w:numPr>
          <w:ilvl w:val="0"/>
          <w:numId w:val="33"/>
        </w:numPr>
        <w:tabs>
          <w:tab w:val="left" w:pos="1100"/>
          <w:tab w:val="left" w:pos="1320"/>
          <w:tab w:val="clear" w:pos="425"/>
        </w:tabs>
        <w:spacing w:before="120" w:beforeLines="50" w:after="120" w:afterLines="50" w:line="360" w:lineRule="auto"/>
        <w:ind w:left="660" w:right="176" w:rightChars="80" w:firstLine="15"/>
        <w:jc w:val="both"/>
        <w:rPr>
          <w:rFonts w:ascii="Arial" w:hAnsi="Arial" w:cs="Arial"/>
        </w:rPr>
      </w:pPr>
      <w:r>
        <w:rPr>
          <w:rFonts w:ascii="Arial" w:hAnsi="Arial" w:cs="Arial"/>
        </w:rPr>
        <w:t>Garantir que os cardápios elaborados estejam sendo cumpridos nas unidades educativas de acordo com as diretrizes do Programa Nacional de Alimentação Escolar (PNAE) e outras legislações pertinentes.</w:t>
      </w:r>
    </w:p>
    <w:p w14:paraId="2BFA671A">
      <w:pPr>
        <w:numPr>
          <w:ilvl w:val="0"/>
          <w:numId w:val="33"/>
        </w:numPr>
        <w:tabs>
          <w:tab w:val="left" w:pos="1100"/>
          <w:tab w:val="left" w:pos="1320"/>
          <w:tab w:val="clear" w:pos="425"/>
        </w:tabs>
        <w:spacing w:before="120" w:beforeLines="50" w:after="120" w:afterLines="50" w:line="360" w:lineRule="auto"/>
        <w:ind w:left="660" w:right="176" w:rightChars="80" w:firstLine="15"/>
        <w:jc w:val="both"/>
        <w:rPr>
          <w:rFonts w:ascii="Arial" w:hAnsi="Arial" w:cs="Arial"/>
        </w:rPr>
      </w:pPr>
      <w:r>
        <w:rPr>
          <w:rFonts w:ascii="Arial" w:hAnsi="Arial" w:cs="Arial"/>
        </w:rPr>
        <w:t>Avaliar a qualidade dos insumos e das refeições oferecidas.</w:t>
      </w:r>
    </w:p>
    <w:p w14:paraId="4052189A">
      <w:pPr>
        <w:numPr>
          <w:ilvl w:val="5"/>
          <w:numId w:val="3"/>
        </w:numPr>
        <w:tabs>
          <w:tab w:val="left" w:pos="1100"/>
          <w:tab w:val="left" w:pos="1320"/>
        </w:tabs>
        <w:spacing w:before="120" w:beforeLines="50" w:after="120" w:afterLines="50" w:line="360" w:lineRule="auto"/>
        <w:ind w:left="660" w:leftChars="300" w:right="176" w:rightChars="80"/>
        <w:jc w:val="both"/>
        <w:rPr>
          <w:rFonts w:ascii="Arial" w:hAnsi="Arial" w:cs="Arial"/>
          <w:b/>
          <w:bCs/>
        </w:rPr>
      </w:pPr>
      <w:r>
        <w:rPr>
          <w:rFonts w:ascii="Arial" w:hAnsi="Arial" w:cs="Arial"/>
          <w:b/>
          <w:bCs/>
        </w:rPr>
        <w:t>Supervisão da Execução Nutricional:</w:t>
      </w:r>
    </w:p>
    <w:p w14:paraId="2886A2B7">
      <w:pPr>
        <w:numPr>
          <w:ilvl w:val="0"/>
          <w:numId w:val="34"/>
        </w:numPr>
        <w:tabs>
          <w:tab w:val="left" w:pos="1100"/>
          <w:tab w:val="left" w:pos="1320"/>
          <w:tab w:val="clear" w:pos="425"/>
        </w:tabs>
        <w:spacing w:before="120" w:beforeLines="50" w:after="120" w:afterLines="50" w:line="360" w:lineRule="auto"/>
        <w:ind w:left="660" w:right="176" w:rightChars="80" w:firstLine="15"/>
        <w:jc w:val="both"/>
        <w:rPr>
          <w:rFonts w:ascii="Arial" w:hAnsi="Arial" w:cs="Arial"/>
        </w:rPr>
      </w:pPr>
      <w:r>
        <w:rPr>
          <w:rFonts w:ascii="Arial" w:hAnsi="Arial" w:cs="Arial"/>
        </w:rPr>
        <w:t>Monitorar o cumprimento das exigências nutricionais para cada faixa etária e etapa de ensino em cada Unidade Educativa.</w:t>
      </w:r>
    </w:p>
    <w:p w14:paraId="501D06FE">
      <w:pPr>
        <w:numPr>
          <w:ilvl w:val="0"/>
          <w:numId w:val="34"/>
        </w:numPr>
        <w:tabs>
          <w:tab w:val="left" w:pos="1100"/>
          <w:tab w:val="left" w:pos="1320"/>
          <w:tab w:val="clear" w:pos="425"/>
        </w:tabs>
        <w:spacing w:before="120" w:beforeLines="50" w:after="120" w:afterLines="50" w:line="360" w:lineRule="auto"/>
        <w:ind w:left="660" w:right="176" w:rightChars="80" w:firstLine="15"/>
        <w:jc w:val="both"/>
        <w:rPr>
          <w:rFonts w:ascii="Arial" w:hAnsi="Arial" w:cs="Arial"/>
        </w:rPr>
      </w:pPr>
      <w:r>
        <w:rPr>
          <w:rFonts w:ascii="Arial" w:hAnsi="Arial" w:cs="Arial"/>
        </w:rPr>
        <w:t>Avaliar se os cardápios enviados pelo Setor de Alimentação Escolar estão sendo efetivamente seguidos pela empresa contratada.</w:t>
      </w:r>
    </w:p>
    <w:p w14:paraId="04A2272D">
      <w:pPr>
        <w:numPr>
          <w:ilvl w:val="0"/>
          <w:numId w:val="34"/>
        </w:numPr>
        <w:tabs>
          <w:tab w:val="left" w:pos="1100"/>
          <w:tab w:val="left" w:pos="1320"/>
          <w:tab w:val="clear" w:pos="425"/>
        </w:tabs>
        <w:spacing w:before="120" w:beforeLines="50" w:after="120" w:afterLines="50" w:line="360" w:lineRule="auto"/>
        <w:ind w:left="660" w:right="176" w:rightChars="80" w:firstLine="15"/>
        <w:jc w:val="both"/>
        <w:rPr>
          <w:rFonts w:ascii="Arial" w:hAnsi="Arial" w:cs="Arial"/>
        </w:rPr>
      </w:pPr>
      <w:r>
        <w:rPr>
          <w:rFonts w:ascii="Arial" w:hAnsi="Arial" w:cs="Arial"/>
        </w:rPr>
        <w:t>Realizar visitas técnicas nas Unidades Educativas para verificar condições de armazenamento, preparo, transporte e distribuição dos alimentos.</w:t>
      </w:r>
    </w:p>
    <w:p w14:paraId="5BC5A836">
      <w:pPr>
        <w:numPr>
          <w:ilvl w:val="5"/>
          <w:numId w:val="3"/>
        </w:numPr>
        <w:tabs>
          <w:tab w:val="left" w:pos="1100"/>
          <w:tab w:val="left" w:pos="1320"/>
        </w:tabs>
        <w:spacing w:before="120" w:beforeLines="50" w:after="120" w:afterLines="50" w:line="360" w:lineRule="auto"/>
        <w:ind w:left="660" w:leftChars="300" w:right="176" w:rightChars="80"/>
        <w:jc w:val="both"/>
        <w:rPr>
          <w:rFonts w:ascii="Arial" w:hAnsi="Arial" w:cs="Arial"/>
        </w:rPr>
      </w:pPr>
      <w:r>
        <w:rPr>
          <w:rFonts w:ascii="Arial" w:hAnsi="Arial" w:cs="Arial"/>
          <w:b/>
          <w:bCs/>
        </w:rPr>
        <w:t>Acompanhamento de Relatórios e Indicadores:</w:t>
      </w:r>
    </w:p>
    <w:p w14:paraId="48D308AB">
      <w:pPr>
        <w:numPr>
          <w:ilvl w:val="0"/>
          <w:numId w:val="35"/>
        </w:numPr>
        <w:tabs>
          <w:tab w:val="left" w:pos="1100"/>
          <w:tab w:val="left" w:pos="1320"/>
          <w:tab w:val="clear" w:pos="425"/>
        </w:tabs>
        <w:spacing w:before="120" w:beforeLines="50" w:after="120" w:afterLines="50" w:line="360" w:lineRule="auto"/>
        <w:ind w:left="660" w:right="176" w:rightChars="80" w:firstLine="15"/>
        <w:jc w:val="both"/>
        <w:rPr>
          <w:rFonts w:ascii="Arial" w:hAnsi="Arial" w:cs="Arial"/>
        </w:rPr>
      </w:pPr>
      <w:r>
        <w:rPr>
          <w:rFonts w:ascii="Arial" w:hAnsi="Arial" w:cs="Arial"/>
        </w:rPr>
        <w:t>Analisar relatórios de execução apresentados pela empresa, como: consumo de alimentos, aceitação dos cardápios, controle de desperdício, entre outros.</w:t>
      </w:r>
    </w:p>
    <w:p w14:paraId="630054EC">
      <w:pPr>
        <w:numPr>
          <w:ilvl w:val="0"/>
          <w:numId w:val="35"/>
        </w:numPr>
        <w:tabs>
          <w:tab w:val="left" w:pos="1100"/>
          <w:tab w:val="left" w:pos="1320"/>
          <w:tab w:val="clear" w:pos="425"/>
        </w:tabs>
        <w:spacing w:before="120" w:beforeLines="50" w:after="120" w:afterLines="50" w:line="360" w:lineRule="auto"/>
        <w:ind w:left="660" w:right="176" w:rightChars="80" w:firstLine="15"/>
        <w:jc w:val="both"/>
        <w:rPr>
          <w:rFonts w:ascii="Arial" w:hAnsi="Arial" w:cs="Arial"/>
        </w:rPr>
      </w:pPr>
      <w:r>
        <w:rPr>
          <w:rFonts w:ascii="Arial" w:hAnsi="Arial" w:cs="Arial"/>
        </w:rPr>
        <w:t>Produzir pareceres técnicos que auxiliem na tomada de decisões administrativas.</w:t>
      </w:r>
    </w:p>
    <w:p w14:paraId="1EC6C28B">
      <w:pPr>
        <w:numPr>
          <w:ilvl w:val="5"/>
          <w:numId w:val="3"/>
        </w:numPr>
        <w:tabs>
          <w:tab w:val="left" w:pos="1100"/>
          <w:tab w:val="left" w:pos="1320"/>
        </w:tabs>
        <w:spacing w:before="120" w:beforeLines="50" w:after="120" w:afterLines="50" w:line="360" w:lineRule="auto"/>
        <w:ind w:left="660" w:leftChars="300" w:right="176" w:rightChars="80"/>
        <w:jc w:val="both"/>
        <w:rPr>
          <w:rFonts w:ascii="Arial" w:hAnsi="Arial" w:cs="Arial"/>
        </w:rPr>
      </w:pPr>
      <w:r>
        <w:rPr>
          <w:rFonts w:ascii="Arial" w:hAnsi="Arial" w:cs="Arial"/>
          <w:b/>
          <w:bCs/>
        </w:rPr>
        <w:t>Atuação como Quadro Técnico:</w:t>
      </w:r>
    </w:p>
    <w:p w14:paraId="4A221C0C">
      <w:pPr>
        <w:numPr>
          <w:ilvl w:val="0"/>
          <w:numId w:val="36"/>
        </w:numPr>
        <w:tabs>
          <w:tab w:val="left" w:pos="1100"/>
          <w:tab w:val="left" w:pos="1320"/>
          <w:tab w:val="clear" w:pos="425"/>
        </w:tabs>
        <w:spacing w:before="120" w:beforeLines="50" w:after="120" w:afterLines="50" w:line="360" w:lineRule="auto"/>
        <w:ind w:left="660" w:right="176" w:rightChars="80" w:firstLine="15"/>
        <w:jc w:val="both"/>
        <w:rPr>
          <w:rFonts w:ascii="Arial" w:hAnsi="Arial" w:cs="Arial"/>
        </w:rPr>
      </w:pPr>
      <w:r>
        <w:rPr>
          <w:rFonts w:ascii="Arial" w:hAnsi="Arial" w:cs="Arial"/>
        </w:rPr>
        <w:t>Educação Alimentar e Nutricional (EAN):</w:t>
      </w:r>
    </w:p>
    <w:p w14:paraId="199AD220">
      <w:pPr>
        <w:numPr>
          <w:ilvl w:val="0"/>
          <w:numId w:val="36"/>
        </w:numPr>
        <w:tabs>
          <w:tab w:val="left" w:pos="1100"/>
          <w:tab w:val="left" w:pos="1320"/>
          <w:tab w:val="clear" w:pos="425"/>
        </w:tabs>
        <w:spacing w:before="120" w:beforeLines="50" w:after="120" w:afterLines="50" w:line="360" w:lineRule="auto"/>
        <w:ind w:left="660" w:right="176" w:rightChars="80" w:firstLine="15"/>
        <w:jc w:val="both"/>
        <w:rPr>
          <w:rFonts w:ascii="Arial" w:hAnsi="Arial" w:cs="Arial"/>
        </w:rPr>
      </w:pPr>
      <w:r>
        <w:rPr>
          <w:rFonts w:ascii="Arial" w:hAnsi="Arial" w:cs="Arial"/>
        </w:rPr>
        <w:t>Desenvolver e implementar ações de educação alimentar e nutricional nas escolas, conforme previsto pelo PNAE, mesmo que a produção da merenda seja terceirizada.</w:t>
      </w:r>
    </w:p>
    <w:p w14:paraId="637BE054">
      <w:pPr>
        <w:numPr>
          <w:ilvl w:val="4"/>
          <w:numId w:val="3"/>
        </w:numPr>
        <w:tabs>
          <w:tab w:val="left" w:pos="1100"/>
          <w:tab w:val="left" w:pos="1320"/>
        </w:tabs>
        <w:spacing w:before="120" w:beforeLines="50" w:after="120" w:afterLines="50" w:line="360" w:lineRule="auto"/>
        <w:ind w:left="440" w:leftChars="200" w:right="176" w:rightChars="80"/>
        <w:jc w:val="both"/>
        <w:rPr>
          <w:rFonts w:ascii="Arial" w:hAnsi="Arial" w:cs="Arial"/>
        </w:rPr>
      </w:pPr>
      <w:r>
        <w:rPr>
          <w:rFonts w:ascii="Arial" w:hAnsi="Arial" w:cs="Arial"/>
        </w:rPr>
        <w:t>Mesmo com a terceirização, o município continua responsável pela gestão do Programa de Alimentação Escolar, sendo obrigatória a presença de nutricionistas no quadro de servidores para atender às exigências do PNAE.</w:t>
      </w:r>
    </w:p>
    <w:p w14:paraId="2259D407">
      <w:pPr>
        <w:numPr>
          <w:ilvl w:val="4"/>
          <w:numId w:val="3"/>
        </w:numPr>
        <w:tabs>
          <w:tab w:val="left" w:pos="1100"/>
          <w:tab w:val="left" w:pos="1320"/>
        </w:tabs>
        <w:spacing w:before="120" w:beforeLines="50" w:after="120" w:afterLines="50" w:line="360" w:lineRule="auto"/>
        <w:ind w:left="440" w:leftChars="200" w:right="176" w:rightChars="80"/>
        <w:jc w:val="both"/>
        <w:rPr>
          <w:rFonts w:ascii="Arial" w:hAnsi="Arial" w:cs="Arial"/>
        </w:rPr>
      </w:pPr>
      <w:r>
        <w:rPr>
          <w:rFonts w:ascii="Arial" w:hAnsi="Arial" w:cs="Arial"/>
        </w:rPr>
        <w:t xml:space="preserve">A CONTRATADA deverá exigir de seu(s) nutricionista(s) responsabilidade no desempenho das atividades: </w:t>
      </w:r>
    </w:p>
    <w:p w14:paraId="6B27DE64">
      <w:pPr>
        <w:numPr>
          <w:ilvl w:val="0"/>
          <w:numId w:val="37"/>
        </w:numPr>
        <w:tabs>
          <w:tab w:val="left" w:pos="1100"/>
          <w:tab w:val="left" w:pos="1320"/>
          <w:tab w:val="clear" w:pos="425"/>
        </w:tabs>
        <w:spacing w:before="120" w:beforeLines="50" w:after="120" w:afterLines="50" w:line="360" w:lineRule="auto"/>
        <w:ind w:left="660" w:right="176" w:rightChars="80" w:firstLine="15"/>
        <w:jc w:val="both"/>
        <w:rPr>
          <w:rFonts w:ascii="Arial" w:hAnsi="Arial" w:cs="Arial"/>
        </w:rPr>
      </w:pPr>
      <w:r>
        <w:rPr>
          <w:rFonts w:ascii="Arial" w:hAnsi="Arial" w:cs="Arial"/>
        </w:rPr>
        <w:t xml:space="preserve">Atender as normas e legislações vigentes para serviços de alimentação; </w:t>
      </w:r>
    </w:p>
    <w:p w14:paraId="738B97F6">
      <w:pPr>
        <w:numPr>
          <w:ilvl w:val="0"/>
          <w:numId w:val="37"/>
        </w:numPr>
        <w:tabs>
          <w:tab w:val="left" w:pos="1100"/>
          <w:tab w:val="left" w:pos="1320"/>
          <w:tab w:val="clear" w:pos="425"/>
        </w:tabs>
        <w:spacing w:before="120" w:beforeLines="50" w:after="120" w:afterLines="50" w:line="360" w:lineRule="auto"/>
        <w:ind w:left="660" w:right="176" w:rightChars="80" w:firstLine="15"/>
        <w:jc w:val="both"/>
        <w:rPr>
          <w:rFonts w:ascii="Arial" w:hAnsi="Arial" w:cs="Arial"/>
        </w:rPr>
      </w:pPr>
      <w:r>
        <w:rPr>
          <w:rFonts w:ascii="Arial" w:hAnsi="Arial" w:cs="Arial"/>
        </w:rPr>
        <w:t xml:space="preserve">Acompanhar a execução o cardápio da alimentação escolar fornecido pelo Setor de Alimentação Escolar da SME, com base no diagnóstico nutricional e nas referências nutricionais, observando a adequação das faixas etárias e perfis epidemiológicos das populações atendidas, para definir a quantidade e a qualidade dos alimentos, nos moldes do preconizado na Resolução FNDE Nº 06, de 08 de maio de 2020; </w:t>
      </w:r>
    </w:p>
    <w:p w14:paraId="4D51BF76">
      <w:pPr>
        <w:numPr>
          <w:ilvl w:val="0"/>
          <w:numId w:val="37"/>
        </w:numPr>
        <w:tabs>
          <w:tab w:val="left" w:pos="1100"/>
          <w:tab w:val="left" w:pos="1320"/>
          <w:tab w:val="clear" w:pos="425"/>
        </w:tabs>
        <w:spacing w:before="120" w:beforeLines="50" w:after="120" w:afterLines="50" w:line="360" w:lineRule="auto"/>
        <w:ind w:left="660" w:right="176" w:rightChars="80" w:firstLine="15"/>
        <w:jc w:val="both"/>
        <w:rPr>
          <w:rFonts w:ascii="Arial" w:hAnsi="Arial" w:cs="Arial"/>
        </w:rPr>
      </w:pPr>
      <w:r>
        <w:rPr>
          <w:rFonts w:ascii="Arial" w:hAnsi="Arial" w:cs="Arial"/>
        </w:rPr>
        <w:t>Manter a execução do Manual de Boas Práticas de Manipulação e dos Procedimentos Operacionais Padronizados (POPs) estabelecido pelo Setor de Alimentação Escolar da SME.</w:t>
      </w:r>
    </w:p>
    <w:p w14:paraId="542AFEE3">
      <w:pPr>
        <w:numPr>
          <w:ilvl w:val="0"/>
          <w:numId w:val="37"/>
        </w:numPr>
        <w:tabs>
          <w:tab w:val="left" w:pos="1100"/>
          <w:tab w:val="left" w:pos="1320"/>
          <w:tab w:val="clear" w:pos="425"/>
        </w:tabs>
        <w:spacing w:before="120" w:beforeLines="50" w:after="120" w:afterLines="50" w:line="360" w:lineRule="auto"/>
        <w:ind w:left="660" w:right="176" w:rightChars="80" w:firstLine="15"/>
        <w:jc w:val="both"/>
        <w:rPr>
          <w:rFonts w:ascii="Arial" w:hAnsi="Arial" w:cs="Arial"/>
        </w:rPr>
      </w:pPr>
      <w:r>
        <w:rPr>
          <w:rFonts w:ascii="Arial" w:hAnsi="Arial" w:cs="Arial"/>
        </w:rPr>
        <w:t xml:space="preserve">Participar de treinamentos específicos, teóricos e práticos para a execução eficiente do objeto desta Licitação; </w:t>
      </w:r>
    </w:p>
    <w:p w14:paraId="10812F52">
      <w:pPr>
        <w:numPr>
          <w:ilvl w:val="0"/>
          <w:numId w:val="37"/>
        </w:numPr>
        <w:tabs>
          <w:tab w:val="left" w:pos="1100"/>
          <w:tab w:val="left" w:pos="1320"/>
          <w:tab w:val="clear" w:pos="425"/>
        </w:tabs>
        <w:spacing w:before="120" w:beforeLines="50" w:after="120" w:afterLines="50" w:line="360" w:lineRule="auto"/>
        <w:ind w:left="660" w:right="176" w:rightChars="80" w:firstLine="15"/>
        <w:jc w:val="both"/>
        <w:rPr>
          <w:rFonts w:ascii="Arial" w:hAnsi="Arial" w:cs="Arial"/>
        </w:rPr>
      </w:pPr>
      <w:r>
        <w:rPr>
          <w:rFonts w:ascii="Arial" w:hAnsi="Arial" w:cs="Arial"/>
        </w:rPr>
        <w:t xml:space="preserve">Emitir relatório mensal sobre as atividades desenvolvidas; </w:t>
      </w:r>
    </w:p>
    <w:p w14:paraId="470122FF">
      <w:pPr>
        <w:numPr>
          <w:ilvl w:val="0"/>
          <w:numId w:val="37"/>
        </w:numPr>
        <w:tabs>
          <w:tab w:val="left" w:pos="1100"/>
          <w:tab w:val="left" w:pos="1320"/>
          <w:tab w:val="clear" w:pos="425"/>
        </w:tabs>
        <w:spacing w:before="120" w:beforeLines="50" w:after="120" w:afterLines="50" w:line="360" w:lineRule="auto"/>
        <w:ind w:left="660" w:right="176" w:rightChars="80" w:firstLine="15"/>
        <w:jc w:val="both"/>
        <w:rPr>
          <w:rFonts w:ascii="Arial" w:hAnsi="Arial" w:cs="Arial"/>
        </w:rPr>
      </w:pPr>
      <w:r>
        <w:rPr>
          <w:rFonts w:ascii="Arial" w:hAnsi="Arial" w:cs="Arial"/>
        </w:rPr>
        <w:t xml:space="preserve">Acompanhar as atividades de Planejar, orientar e supervisionar as atividades de seleção, compra, armazenamento, produção e distribuição dos alimentos, zelando pela qualidade e conservação dos produtos, observadas sempre as boas práticas higiênicas e sanitárias; </w:t>
      </w:r>
    </w:p>
    <w:p w14:paraId="11A8720C">
      <w:pPr>
        <w:numPr>
          <w:ilvl w:val="0"/>
          <w:numId w:val="37"/>
        </w:numPr>
        <w:tabs>
          <w:tab w:val="left" w:pos="1100"/>
          <w:tab w:val="left" w:pos="1320"/>
          <w:tab w:val="clear" w:pos="425"/>
        </w:tabs>
        <w:spacing w:before="120" w:beforeLines="50" w:after="120" w:afterLines="50" w:line="360" w:lineRule="auto"/>
        <w:ind w:left="660" w:right="176" w:rightChars="80" w:firstLine="15"/>
        <w:jc w:val="both"/>
        <w:rPr>
          <w:rFonts w:ascii="Arial" w:hAnsi="Arial" w:cs="Arial"/>
        </w:rPr>
      </w:pPr>
      <w:r>
        <w:rPr>
          <w:rFonts w:ascii="Arial" w:hAnsi="Arial" w:cs="Arial"/>
        </w:rPr>
        <w:t xml:space="preserve">Cumprir os cardápios específicos para atender os escolares portadores de patologias e deficiências associadas à alimentação e nutrição, como o Nutrição Interal, para que recebam o atendimento adequado no Programa de Alimentação Escolar; </w:t>
      </w:r>
    </w:p>
    <w:p w14:paraId="062BEEEF">
      <w:pPr>
        <w:numPr>
          <w:ilvl w:val="0"/>
          <w:numId w:val="37"/>
        </w:numPr>
        <w:tabs>
          <w:tab w:val="left" w:pos="1100"/>
          <w:tab w:val="left" w:pos="1320"/>
          <w:tab w:val="clear" w:pos="425"/>
        </w:tabs>
        <w:spacing w:before="120" w:beforeLines="50" w:after="120" w:afterLines="50" w:line="360" w:lineRule="auto"/>
        <w:ind w:left="660" w:right="176" w:rightChars="80" w:firstLine="15"/>
        <w:jc w:val="both"/>
        <w:rPr>
          <w:rFonts w:ascii="Arial" w:hAnsi="Arial" w:cs="Arial"/>
        </w:rPr>
      </w:pPr>
      <w:r>
        <w:rPr>
          <w:rFonts w:ascii="Arial" w:hAnsi="Arial" w:cs="Arial"/>
        </w:rPr>
        <w:t xml:space="preserve">Orientar e supervisionar as atividades de higienização de ambientes, armazenamento de alimentos, veículos de transporte de alimentos, equipamentos e utensílios da instituição e dos fornecedores de gêneros alimentícios; </w:t>
      </w:r>
    </w:p>
    <w:p w14:paraId="5E79FF9E">
      <w:pPr>
        <w:numPr>
          <w:ilvl w:val="0"/>
          <w:numId w:val="37"/>
        </w:numPr>
        <w:tabs>
          <w:tab w:val="left" w:pos="1100"/>
          <w:tab w:val="left" w:pos="1320"/>
          <w:tab w:val="clear" w:pos="425"/>
        </w:tabs>
        <w:spacing w:before="120" w:beforeLines="50" w:after="120" w:afterLines="50" w:line="360" w:lineRule="auto"/>
        <w:ind w:left="660" w:right="176" w:rightChars="80" w:firstLine="15"/>
        <w:jc w:val="both"/>
        <w:rPr>
          <w:rFonts w:ascii="Arial" w:hAnsi="Arial" w:cs="Arial"/>
        </w:rPr>
      </w:pPr>
      <w:r>
        <w:rPr>
          <w:rFonts w:ascii="Arial" w:hAnsi="Arial" w:cs="Arial"/>
        </w:rPr>
        <w:t xml:space="preserve">Comunicar os responsáveis legais, quando da existência de condições impeditivas de boa prática profissional ou que sejam prejudiciais à saúde da coletividade; </w:t>
      </w:r>
    </w:p>
    <w:p w14:paraId="09504477">
      <w:pPr>
        <w:numPr>
          <w:ilvl w:val="0"/>
          <w:numId w:val="37"/>
        </w:numPr>
        <w:tabs>
          <w:tab w:val="left" w:pos="1100"/>
          <w:tab w:val="left" w:pos="1320"/>
          <w:tab w:val="clear" w:pos="425"/>
        </w:tabs>
        <w:spacing w:before="120" w:beforeLines="50" w:after="120" w:afterLines="50" w:line="360" w:lineRule="auto"/>
        <w:ind w:left="660" w:right="176" w:rightChars="80" w:firstLine="15"/>
        <w:jc w:val="both"/>
        <w:rPr>
          <w:rFonts w:ascii="Arial" w:hAnsi="Arial" w:cs="Arial"/>
        </w:rPr>
      </w:pPr>
      <w:r>
        <w:rPr>
          <w:rFonts w:ascii="Arial" w:hAnsi="Arial" w:cs="Arial"/>
        </w:rPr>
        <w:t xml:space="preserve">Participar das reuniões sempre que convocadas pela CONTRATANTE; </w:t>
      </w:r>
    </w:p>
    <w:p w14:paraId="675F4A91">
      <w:pPr>
        <w:numPr>
          <w:ilvl w:val="0"/>
          <w:numId w:val="37"/>
        </w:numPr>
        <w:tabs>
          <w:tab w:val="left" w:pos="1100"/>
          <w:tab w:val="left" w:pos="1320"/>
          <w:tab w:val="clear" w:pos="425"/>
        </w:tabs>
        <w:spacing w:before="120" w:beforeLines="50" w:after="120" w:afterLines="50" w:line="360" w:lineRule="auto"/>
        <w:ind w:left="660" w:right="176" w:rightChars="80" w:firstLine="15"/>
        <w:jc w:val="both"/>
        <w:rPr>
          <w:rFonts w:ascii="Arial" w:hAnsi="Arial" w:cs="Arial"/>
        </w:rPr>
      </w:pPr>
      <w:r>
        <w:rPr>
          <w:rFonts w:ascii="Arial" w:hAnsi="Arial" w:cs="Arial"/>
        </w:rPr>
        <w:t xml:space="preserve">Zelar para que, na capacitação específica de cozinheiras (os) sejam observados as normas sanitárias vigentes; </w:t>
      </w:r>
    </w:p>
    <w:p w14:paraId="4DBC8580">
      <w:pPr>
        <w:numPr>
          <w:ilvl w:val="0"/>
          <w:numId w:val="37"/>
        </w:numPr>
        <w:tabs>
          <w:tab w:val="left" w:pos="1100"/>
          <w:tab w:val="left" w:pos="1320"/>
          <w:tab w:val="clear" w:pos="425"/>
        </w:tabs>
        <w:spacing w:before="120" w:beforeLines="50" w:after="120" w:afterLines="50" w:line="360" w:lineRule="auto"/>
        <w:ind w:left="660" w:right="176" w:rightChars="80" w:firstLine="15"/>
        <w:jc w:val="both"/>
        <w:rPr>
          <w:rFonts w:ascii="Arial" w:hAnsi="Arial" w:cs="Arial"/>
        </w:rPr>
      </w:pPr>
      <w:r>
        <w:rPr>
          <w:rFonts w:ascii="Arial" w:hAnsi="Arial" w:cs="Arial"/>
        </w:rPr>
        <w:t xml:space="preserve">Afastar a(o) cozinheira(o) para outras atividades, sem manipular alimentos, quando apresentar ferida, lesão ou corte nas mãos e braços, gastrenterites agudas ou crônicas (diarréia ou disenteria), infecções pulmonares ou faringites; </w:t>
      </w:r>
    </w:p>
    <w:p w14:paraId="545A5DC2">
      <w:pPr>
        <w:numPr>
          <w:ilvl w:val="0"/>
          <w:numId w:val="37"/>
        </w:numPr>
        <w:tabs>
          <w:tab w:val="left" w:pos="1100"/>
          <w:tab w:val="left" w:pos="1320"/>
          <w:tab w:val="clear" w:pos="425"/>
        </w:tabs>
        <w:spacing w:before="120" w:beforeLines="50" w:after="120" w:afterLines="50" w:line="360" w:lineRule="auto"/>
        <w:ind w:left="660" w:right="176" w:rightChars="80" w:firstLine="15"/>
        <w:jc w:val="both"/>
        <w:rPr>
          <w:rFonts w:ascii="Arial" w:hAnsi="Arial" w:cs="Arial"/>
        </w:rPr>
      </w:pPr>
      <w:r>
        <w:rPr>
          <w:rFonts w:ascii="Arial" w:hAnsi="Arial" w:cs="Arial"/>
        </w:rPr>
        <w:t xml:space="preserve">Exigir os quesitos de: competência técnica, higiene pessoal (estética do uniforme, das mãos, operacional, que é a praticada durante a manipulação de alimentos), uniformização (completa e adequada e de uso exclusivo na cozinha), e exames médico-laboratoriais; </w:t>
      </w:r>
    </w:p>
    <w:p w14:paraId="29CBC8A6">
      <w:pPr>
        <w:numPr>
          <w:ilvl w:val="0"/>
          <w:numId w:val="37"/>
        </w:numPr>
        <w:tabs>
          <w:tab w:val="left" w:pos="1100"/>
          <w:tab w:val="left" w:pos="1320"/>
          <w:tab w:val="clear" w:pos="425"/>
        </w:tabs>
        <w:spacing w:before="120" w:beforeLines="50" w:after="120" w:afterLines="50" w:line="360" w:lineRule="auto"/>
        <w:ind w:left="660" w:right="176" w:rightChars="80" w:firstLine="15"/>
        <w:jc w:val="both"/>
        <w:rPr>
          <w:rFonts w:ascii="Arial" w:hAnsi="Arial" w:cs="Arial"/>
        </w:rPr>
      </w:pPr>
      <w:r>
        <w:rPr>
          <w:rFonts w:ascii="Arial" w:hAnsi="Arial" w:cs="Arial"/>
        </w:rPr>
        <w:t xml:space="preserve">Entregar uma cópia do certificado de curso de manipulação de Alimentos para as Unidade Educativa de cada cozinheira (o) escolar; </w:t>
      </w:r>
    </w:p>
    <w:p w14:paraId="09DD54BC">
      <w:pPr>
        <w:numPr>
          <w:ilvl w:val="0"/>
          <w:numId w:val="37"/>
        </w:numPr>
        <w:tabs>
          <w:tab w:val="left" w:pos="1100"/>
          <w:tab w:val="left" w:pos="1320"/>
          <w:tab w:val="clear" w:pos="425"/>
        </w:tabs>
        <w:spacing w:before="120" w:beforeLines="50" w:after="120" w:afterLines="50" w:line="360" w:lineRule="auto"/>
        <w:ind w:left="660" w:right="176" w:rightChars="80" w:firstLine="15"/>
        <w:jc w:val="both"/>
        <w:rPr>
          <w:rFonts w:ascii="Arial" w:hAnsi="Arial" w:cs="Arial"/>
        </w:rPr>
      </w:pPr>
      <w:r>
        <w:rPr>
          <w:rFonts w:ascii="Arial" w:hAnsi="Arial" w:cs="Arial"/>
        </w:rPr>
        <w:t xml:space="preserve">Seguir rigorosamente as determinações da Resolução CFN nº. 600/2018; </w:t>
      </w:r>
    </w:p>
    <w:p w14:paraId="0B086E44">
      <w:pPr>
        <w:numPr>
          <w:ilvl w:val="0"/>
          <w:numId w:val="37"/>
        </w:numPr>
        <w:tabs>
          <w:tab w:val="left" w:pos="1100"/>
          <w:tab w:val="left" w:pos="1320"/>
          <w:tab w:val="clear" w:pos="425"/>
        </w:tabs>
        <w:spacing w:before="120" w:beforeLines="50" w:after="120" w:afterLines="50" w:line="360" w:lineRule="auto"/>
        <w:ind w:left="660" w:right="176" w:rightChars="80" w:firstLine="15"/>
        <w:jc w:val="both"/>
        <w:rPr>
          <w:rFonts w:ascii="Arial" w:hAnsi="Arial" w:cs="Arial"/>
        </w:rPr>
      </w:pPr>
      <w:r>
        <w:rPr>
          <w:rFonts w:ascii="Arial" w:hAnsi="Arial" w:cs="Arial"/>
        </w:rPr>
        <w:t xml:space="preserve">Elaborar as fichas técnicas das preparações que compõem o cardápio da CONTRATANTE; </w:t>
      </w:r>
    </w:p>
    <w:p w14:paraId="5D7AE27F">
      <w:pPr>
        <w:numPr>
          <w:ilvl w:val="0"/>
          <w:numId w:val="37"/>
        </w:numPr>
        <w:tabs>
          <w:tab w:val="left" w:pos="1100"/>
          <w:tab w:val="left" w:pos="1320"/>
          <w:tab w:val="clear" w:pos="425"/>
        </w:tabs>
        <w:spacing w:before="120" w:beforeLines="50" w:after="120" w:afterLines="50" w:line="360" w:lineRule="auto"/>
        <w:ind w:left="660" w:right="176" w:rightChars="80" w:firstLine="15"/>
        <w:jc w:val="both"/>
        <w:rPr>
          <w:rFonts w:ascii="Arial" w:hAnsi="Arial" w:cs="Arial"/>
        </w:rPr>
      </w:pPr>
      <w:r>
        <w:rPr>
          <w:rFonts w:ascii="Arial" w:hAnsi="Arial" w:cs="Arial"/>
        </w:rPr>
        <w:t xml:space="preserve">As (os) nutricionistas contratadas (os) seguirão as orientações técnicas estabelecidas pela CONTRATANTE; outras atribuições poderão ser desenvolvidas, de acordo com a necessidade, complexidade e disponibilidade da estrutura operacional do Programa de Alimentação Escolar; </w:t>
      </w:r>
    </w:p>
    <w:p w14:paraId="4E4FFA07">
      <w:pPr>
        <w:numPr>
          <w:ilvl w:val="0"/>
          <w:numId w:val="37"/>
        </w:numPr>
        <w:tabs>
          <w:tab w:val="left" w:pos="1100"/>
          <w:tab w:val="left" w:pos="1320"/>
          <w:tab w:val="clear" w:pos="425"/>
        </w:tabs>
        <w:spacing w:before="120" w:beforeLines="50" w:after="120" w:afterLines="50" w:line="360" w:lineRule="auto"/>
        <w:ind w:left="660" w:right="176" w:rightChars="80" w:firstLine="15"/>
        <w:jc w:val="both"/>
        <w:rPr>
          <w:rFonts w:ascii="Arial" w:hAnsi="Arial" w:cs="Arial"/>
        </w:rPr>
      </w:pPr>
      <w:r>
        <w:rPr>
          <w:rFonts w:ascii="Arial" w:hAnsi="Arial" w:cs="Arial"/>
        </w:rPr>
        <w:t>Realizar no mínimo 02 (duas) visitas por semana em cada Unidade Educativa de sua responsabilidade. Em cada visita deverá fazer um relatório sobre os pontos trabalhados no período. Neste relatório deverá constar assinatura do gestor escolar e/ou fiscal.</w:t>
      </w:r>
    </w:p>
    <w:p w14:paraId="6D37BADA">
      <w:pPr>
        <w:numPr>
          <w:ilvl w:val="0"/>
          <w:numId w:val="37"/>
        </w:numPr>
        <w:tabs>
          <w:tab w:val="left" w:pos="1100"/>
          <w:tab w:val="left" w:pos="1320"/>
          <w:tab w:val="clear" w:pos="425"/>
        </w:tabs>
        <w:spacing w:before="120" w:beforeLines="50" w:after="120" w:afterLines="50" w:line="360" w:lineRule="auto"/>
        <w:ind w:left="660" w:right="176" w:rightChars="80" w:firstLine="15"/>
        <w:jc w:val="both"/>
        <w:rPr>
          <w:rFonts w:ascii="Arial" w:hAnsi="Arial" w:cs="Arial"/>
        </w:rPr>
      </w:pPr>
      <w:r>
        <w:rPr>
          <w:rFonts w:ascii="Arial" w:hAnsi="Arial" w:cs="Arial"/>
        </w:rPr>
        <w:t>Os relatórios de que se trata o item r), deverão estar disponíveis sempre que solicitados pelo Setor de Alimentação Escolar da SME</w:t>
      </w:r>
      <w:r>
        <w:rPr>
          <w:rFonts w:ascii="Arial" w:hAnsi="Arial" w:eastAsia="SimSun" w:cs="Arial"/>
          <w:color w:val="000000"/>
          <w:lang w:eastAsia="zh-CN" w:bidi="ar"/>
        </w:rPr>
        <w:t>.</w:t>
      </w:r>
    </w:p>
    <w:p w14:paraId="0E083502">
      <w:pPr>
        <w:numPr>
          <w:ilvl w:val="2"/>
          <w:numId w:val="3"/>
        </w:numPr>
        <w:tabs>
          <w:tab w:val="left" w:pos="880"/>
        </w:tabs>
        <w:spacing w:before="120" w:beforeLines="50" w:after="120" w:afterLines="50" w:line="360" w:lineRule="auto"/>
        <w:ind w:right="176" w:rightChars="80"/>
        <w:jc w:val="both"/>
        <w:rPr>
          <w:rFonts w:ascii="Arial" w:hAnsi="Arial" w:cs="Arial"/>
        </w:rPr>
      </w:pPr>
      <w:r>
        <w:rPr>
          <w:rFonts w:ascii="Arial" w:hAnsi="Arial" w:eastAsia="Arial-BoldMT" w:cs="Arial"/>
          <w:b/>
          <w:bCs/>
          <w:color w:val="000000"/>
          <w:lang w:eastAsia="zh-CN" w:bidi="ar"/>
        </w:rPr>
        <w:t xml:space="preserve">DO USO DAS COZINHAS DAS UNIDADES EDUCATIVAS: </w:t>
      </w:r>
    </w:p>
    <w:p w14:paraId="6BE65249">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A CONTRATADA deverá zelar pela conservação das instalações e higiene, compatíveis com as normas estabelecidas pela Vigilância Sanitária, efetuando adequações necessárias para sua manutenção. </w:t>
      </w:r>
    </w:p>
    <w:p w14:paraId="7DEF9C13">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Quando houver necessidade de adequação estrutural e/ou reforma dos espaços cedidos, será de responsabilidade da SME a execução do serviço QUANDO FOR OBRAS (SERVIÇOS DE ENGENHARIA). </w:t>
      </w:r>
    </w:p>
    <w:p w14:paraId="6C4371EC">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A CONTRATADA deverá devolver as instalações em perfeitas condições de conservação e higiene. </w:t>
      </w:r>
    </w:p>
    <w:p w14:paraId="72764FA9">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Em caso de dano na edificação causado por mau uso, ou dolo de seus empregados, a CONTRATADA deverá providenciar as adequações necessárias, no prazo máximo de 30 dias, a contar da notificação da CONTRATANTE. </w:t>
      </w:r>
    </w:p>
    <w:p w14:paraId="3FDAFA02">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A CONTRATADA, quando necessário, deverá realizar pequenos reparos nas dependências da Cozinha e Despensa, sendo: </w:t>
      </w:r>
    </w:p>
    <w:p w14:paraId="4EB6030E">
      <w:pPr>
        <w:numPr>
          <w:ilvl w:val="0"/>
          <w:numId w:val="38"/>
        </w:numPr>
        <w:tabs>
          <w:tab w:val="left" w:pos="880"/>
          <w:tab w:val="clear" w:pos="425"/>
        </w:tabs>
        <w:spacing w:before="120" w:beforeLines="50" w:after="120" w:afterLines="50" w:line="360" w:lineRule="auto"/>
        <w:ind w:right="176" w:rightChars="80" w:firstLine="15"/>
        <w:jc w:val="both"/>
        <w:rPr>
          <w:rFonts w:ascii="Arial" w:hAnsi="Arial" w:cs="Arial"/>
        </w:rPr>
      </w:pPr>
      <w:r>
        <w:rPr>
          <w:rFonts w:ascii="Arial" w:hAnsi="Arial" w:eastAsia="SimSun" w:cs="Arial"/>
          <w:color w:val="000000"/>
          <w:lang w:eastAsia="zh-CN" w:bidi="ar"/>
        </w:rPr>
        <w:t xml:space="preserve">Manutenção e substituição de globo, luminárias fluorescentes, lâmpadas e reatores da cozinha e despensa; </w:t>
      </w:r>
    </w:p>
    <w:p w14:paraId="37A0123E">
      <w:pPr>
        <w:numPr>
          <w:ilvl w:val="0"/>
          <w:numId w:val="38"/>
        </w:numPr>
        <w:tabs>
          <w:tab w:val="left" w:pos="880"/>
          <w:tab w:val="clear" w:pos="425"/>
        </w:tabs>
        <w:spacing w:before="120" w:beforeLines="50" w:after="120" w:afterLines="50" w:line="360" w:lineRule="auto"/>
        <w:ind w:right="176" w:rightChars="80" w:firstLine="15"/>
        <w:jc w:val="both"/>
        <w:rPr>
          <w:rFonts w:ascii="Arial" w:hAnsi="Arial" w:cs="Arial"/>
        </w:rPr>
      </w:pPr>
      <w:r>
        <w:rPr>
          <w:rFonts w:ascii="Arial" w:hAnsi="Arial" w:eastAsia="SimSun" w:cs="Arial"/>
          <w:color w:val="000000"/>
          <w:lang w:eastAsia="zh-CN" w:bidi="ar"/>
        </w:rPr>
        <w:t xml:space="preserve">Inspeção geral das condições de iluminação; </w:t>
      </w:r>
    </w:p>
    <w:p w14:paraId="12E8AC6B">
      <w:pPr>
        <w:numPr>
          <w:ilvl w:val="0"/>
          <w:numId w:val="38"/>
        </w:numPr>
        <w:tabs>
          <w:tab w:val="left" w:pos="880"/>
          <w:tab w:val="clear" w:pos="425"/>
        </w:tabs>
        <w:spacing w:before="120" w:beforeLines="50" w:after="120" w:afterLines="50" w:line="360" w:lineRule="auto"/>
        <w:ind w:right="176" w:rightChars="80" w:firstLine="15"/>
        <w:jc w:val="both"/>
        <w:rPr>
          <w:rFonts w:ascii="Arial" w:hAnsi="Arial" w:cs="Arial"/>
        </w:rPr>
      </w:pPr>
      <w:r>
        <w:rPr>
          <w:rFonts w:ascii="Arial" w:hAnsi="Arial" w:eastAsia="SimSun" w:cs="Arial"/>
          <w:color w:val="000000"/>
          <w:lang w:eastAsia="zh-CN" w:bidi="ar"/>
        </w:rPr>
        <w:t>Verificação do aspecto físico das luminárias Troca de calhas, globos, lâmpadas e reatores;</w:t>
      </w:r>
    </w:p>
    <w:p w14:paraId="032B3AD3">
      <w:pPr>
        <w:numPr>
          <w:ilvl w:val="0"/>
          <w:numId w:val="38"/>
        </w:numPr>
        <w:tabs>
          <w:tab w:val="left" w:pos="880"/>
          <w:tab w:val="clear" w:pos="425"/>
        </w:tabs>
        <w:spacing w:before="120" w:beforeLines="50" w:after="120" w:afterLines="50" w:line="360" w:lineRule="auto"/>
        <w:ind w:right="176" w:rightChars="80" w:firstLine="15"/>
        <w:jc w:val="both"/>
        <w:rPr>
          <w:rFonts w:ascii="Arial" w:hAnsi="Arial" w:cs="Arial"/>
        </w:rPr>
      </w:pPr>
      <w:r>
        <w:rPr>
          <w:rFonts w:ascii="Arial" w:hAnsi="Arial" w:eastAsia="SimSun" w:cs="Arial"/>
          <w:color w:val="000000"/>
          <w:lang w:eastAsia="zh-CN" w:bidi="ar"/>
        </w:rPr>
        <w:t xml:space="preserve">Limpeza de parte e peças dos diversos tipos de luminárias; </w:t>
      </w:r>
    </w:p>
    <w:p w14:paraId="2C7C5BBD">
      <w:pPr>
        <w:numPr>
          <w:ilvl w:val="0"/>
          <w:numId w:val="38"/>
        </w:numPr>
        <w:tabs>
          <w:tab w:val="left" w:pos="880"/>
          <w:tab w:val="clear" w:pos="425"/>
        </w:tabs>
        <w:spacing w:before="120" w:beforeLines="50" w:after="120" w:afterLines="50" w:line="360" w:lineRule="auto"/>
        <w:ind w:right="176" w:rightChars="80" w:firstLine="15"/>
        <w:jc w:val="both"/>
        <w:rPr>
          <w:rFonts w:ascii="Arial" w:hAnsi="Arial" w:cs="Arial"/>
        </w:rPr>
      </w:pPr>
      <w:r>
        <w:rPr>
          <w:rFonts w:ascii="Arial" w:hAnsi="Arial" w:eastAsia="SimSun" w:cs="Arial"/>
          <w:color w:val="000000"/>
          <w:lang w:eastAsia="zh-CN" w:bidi="ar"/>
        </w:rPr>
        <w:t>Verificação dos aspectos de segurança para evitar queda de lâmpadas acidentalmente;</w:t>
      </w:r>
    </w:p>
    <w:p w14:paraId="39D82626">
      <w:pPr>
        <w:numPr>
          <w:ilvl w:val="0"/>
          <w:numId w:val="38"/>
        </w:numPr>
        <w:tabs>
          <w:tab w:val="left" w:pos="880"/>
          <w:tab w:val="clear" w:pos="425"/>
        </w:tabs>
        <w:spacing w:before="120" w:beforeLines="50" w:after="120" w:afterLines="50" w:line="360" w:lineRule="auto"/>
        <w:ind w:right="176" w:rightChars="80" w:firstLine="15"/>
        <w:jc w:val="both"/>
        <w:rPr>
          <w:rFonts w:ascii="Arial" w:hAnsi="Arial" w:cs="Arial"/>
        </w:rPr>
      </w:pPr>
      <w:r>
        <w:rPr>
          <w:rFonts w:ascii="Arial" w:hAnsi="Arial" w:eastAsia="SimSun" w:cs="Arial"/>
          <w:color w:val="000000"/>
          <w:lang w:eastAsia="zh-CN" w:bidi="ar"/>
        </w:rPr>
        <w:t>Substituição de luminárias compreendendo todos os serviços necessários para o perfeito funcionamento da mesma;</w:t>
      </w:r>
    </w:p>
    <w:p w14:paraId="343C4B09">
      <w:pPr>
        <w:numPr>
          <w:ilvl w:val="0"/>
          <w:numId w:val="38"/>
        </w:numPr>
        <w:tabs>
          <w:tab w:val="left" w:pos="880"/>
          <w:tab w:val="clear" w:pos="425"/>
        </w:tabs>
        <w:spacing w:before="120" w:beforeLines="50" w:after="120" w:afterLines="50" w:line="360" w:lineRule="auto"/>
        <w:ind w:right="176" w:rightChars="80" w:firstLine="15"/>
        <w:jc w:val="both"/>
        <w:rPr>
          <w:rFonts w:ascii="Arial" w:hAnsi="Arial" w:cs="Arial"/>
        </w:rPr>
      </w:pPr>
      <w:r>
        <w:rPr>
          <w:rFonts w:ascii="Arial" w:hAnsi="Arial" w:eastAsia="SimSun" w:cs="Arial"/>
          <w:color w:val="000000"/>
          <w:lang w:eastAsia="zh-CN" w:bidi="ar"/>
        </w:rPr>
        <w:t>Correções de fixação de luminárias;</w:t>
      </w:r>
    </w:p>
    <w:p w14:paraId="081759D6">
      <w:pPr>
        <w:numPr>
          <w:ilvl w:val="0"/>
          <w:numId w:val="38"/>
        </w:numPr>
        <w:tabs>
          <w:tab w:val="left" w:pos="880"/>
          <w:tab w:val="clear" w:pos="425"/>
        </w:tabs>
        <w:spacing w:before="120" w:beforeLines="50" w:after="120" w:afterLines="50" w:line="360" w:lineRule="auto"/>
        <w:ind w:right="176" w:rightChars="80" w:firstLine="15"/>
        <w:jc w:val="both"/>
        <w:rPr>
          <w:rFonts w:ascii="Arial" w:hAnsi="Arial" w:cs="Arial"/>
        </w:rPr>
      </w:pPr>
      <w:r>
        <w:rPr>
          <w:rFonts w:ascii="Arial" w:hAnsi="Arial" w:eastAsia="SimSun" w:cs="Arial"/>
          <w:color w:val="000000"/>
          <w:lang w:eastAsia="zh-CN" w:bidi="ar"/>
        </w:rPr>
        <w:t>Verificação, manutenção e substituição de interruptores, tomadas, espelhos, dispositivos de comando</w:t>
      </w:r>
    </w:p>
    <w:p w14:paraId="02DE17C0">
      <w:pPr>
        <w:numPr>
          <w:ilvl w:val="0"/>
          <w:numId w:val="38"/>
        </w:numPr>
        <w:tabs>
          <w:tab w:val="left" w:pos="880"/>
          <w:tab w:val="clear" w:pos="425"/>
        </w:tabs>
        <w:spacing w:before="120" w:beforeLines="50" w:after="120" w:afterLines="50" w:line="360" w:lineRule="auto"/>
        <w:ind w:right="176" w:rightChars="80" w:firstLine="15"/>
        <w:jc w:val="both"/>
        <w:rPr>
          <w:rFonts w:ascii="Arial" w:hAnsi="Arial" w:cs="Arial"/>
        </w:rPr>
      </w:pPr>
      <w:r>
        <w:rPr>
          <w:rFonts w:ascii="Arial" w:hAnsi="Arial" w:eastAsia="SimSun" w:cs="Arial"/>
          <w:color w:val="000000"/>
          <w:lang w:eastAsia="zh-CN" w:bidi="ar"/>
        </w:rPr>
        <w:t xml:space="preserve">Inspeção geral das condições de interruptores, espelhos, dispositivos de comando </w:t>
      </w:r>
    </w:p>
    <w:p w14:paraId="1D41CC49">
      <w:pPr>
        <w:numPr>
          <w:ilvl w:val="0"/>
          <w:numId w:val="38"/>
        </w:numPr>
        <w:tabs>
          <w:tab w:val="left" w:pos="880"/>
          <w:tab w:val="clear" w:pos="425"/>
        </w:tabs>
        <w:spacing w:before="120" w:beforeLines="50" w:after="120" w:afterLines="50" w:line="360" w:lineRule="auto"/>
        <w:ind w:right="176" w:rightChars="80" w:firstLine="15"/>
        <w:jc w:val="both"/>
        <w:rPr>
          <w:rFonts w:ascii="Arial" w:hAnsi="Arial" w:cs="Arial"/>
        </w:rPr>
      </w:pPr>
      <w:r>
        <w:rPr>
          <w:rFonts w:ascii="Arial" w:hAnsi="Arial" w:eastAsia="SimSun" w:cs="Arial"/>
          <w:color w:val="000000"/>
          <w:lang w:eastAsia="zh-CN" w:bidi="ar"/>
        </w:rPr>
        <w:t xml:space="preserve">Substituição de espelhos, interruptores, tomadas, tampas e caixas de tomadas Verificação das condições das instalações, como sinais de superaquecimento e curtos circuitos em interruptores, tomadas e dispositivos de comando. </w:t>
      </w:r>
    </w:p>
    <w:p w14:paraId="0046D475">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Vistoriar os níveis de tensão nos terminais das tomadas, conferindo a polaridade, quando for o caso e compatibilizar para utilização correta para impedimento de acidentes ou danos a equipamentos.</w:t>
      </w:r>
    </w:p>
    <w:p w14:paraId="38513F02">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 Identificar de todos os pontos, através de etiquetas rotuladoras com indicação do nível de tensão da mesma. </w:t>
      </w:r>
    </w:p>
    <w:p w14:paraId="1FEAF38A">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Controle de vazamento, regulagem e substituição de torneiras, registros, canoplas e manoplas em instalações de água fria e água quente, quando existir. </w:t>
      </w:r>
    </w:p>
    <w:p w14:paraId="138DC5C2">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Inspeção geral das condições de controle de vazamento, regulagem e substituição de torneiras, registros, canoplas e manoplas.</w:t>
      </w:r>
    </w:p>
    <w:p w14:paraId="40E86809">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Tratamento de vazamentos das instalações hidráulicas da cozinha e despensa.</w:t>
      </w:r>
    </w:p>
    <w:p w14:paraId="2EEC02D4">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Tratamento de goteiras em torneiras, sifões, registros, conexões e terminais hidráulicos da cozinha e despensa. </w:t>
      </w:r>
    </w:p>
    <w:p w14:paraId="2F354586">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Regulagem da pressão e vazão da água em torneiras e registros Inspeção de funcionamento das conexões e registros gerais Inspeção de funcionamento dos ramais de dreno, grelhas e ralos </w:t>
      </w:r>
    </w:p>
    <w:p w14:paraId="29B8FC99">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Substituição de acessórios e equipamentos hidrossanitários (torneiras, válvulas, sifões, registros, conexões, etc.) </w:t>
      </w:r>
    </w:p>
    <w:p w14:paraId="38BF4808">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Inspeção e substituição periódica dos elementos filtrantes dispostos na área da cozinha </w:t>
      </w:r>
    </w:p>
    <w:p w14:paraId="1D3B3B91">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Desentupimento e liberação de tubulações de água fria, água quente (quando existir), água pluvial e esgoto exclusivo das cozinhas: </w:t>
      </w:r>
    </w:p>
    <w:p w14:paraId="0468E94B">
      <w:pPr>
        <w:numPr>
          <w:ilvl w:val="0"/>
          <w:numId w:val="39"/>
        </w:numPr>
        <w:tabs>
          <w:tab w:val="left" w:pos="880"/>
          <w:tab w:val="clear" w:pos="425"/>
        </w:tabs>
        <w:spacing w:before="120" w:beforeLines="50" w:after="120" w:afterLines="50" w:line="360" w:lineRule="auto"/>
        <w:ind w:right="176" w:rightChars="80" w:firstLine="15"/>
        <w:jc w:val="both"/>
        <w:rPr>
          <w:rFonts w:ascii="Arial" w:hAnsi="Arial" w:cs="Arial"/>
        </w:rPr>
      </w:pPr>
      <w:r>
        <w:rPr>
          <w:rFonts w:ascii="Arial" w:hAnsi="Arial" w:eastAsia="SimSun" w:cs="Arial"/>
          <w:color w:val="000000"/>
          <w:lang w:eastAsia="zh-CN" w:bidi="ar"/>
        </w:rPr>
        <w:t xml:space="preserve">Inspeção geral das redes de água fria, água pluvial e esgoto, da cozinha e despensa, para verificação de obstrução e ou entupimentos; </w:t>
      </w:r>
    </w:p>
    <w:p w14:paraId="47CA9DE4">
      <w:pPr>
        <w:numPr>
          <w:ilvl w:val="0"/>
          <w:numId w:val="39"/>
        </w:numPr>
        <w:tabs>
          <w:tab w:val="left" w:pos="880"/>
          <w:tab w:val="clear" w:pos="425"/>
        </w:tabs>
        <w:spacing w:before="120" w:beforeLines="50" w:after="120" w:afterLines="50" w:line="360" w:lineRule="auto"/>
        <w:ind w:right="176" w:rightChars="80" w:firstLine="15"/>
        <w:jc w:val="both"/>
        <w:rPr>
          <w:rFonts w:ascii="Arial" w:hAnsi="Arial" w:cs="Arial"/>
        </w:rPr>
      </w:pPr>
      <w:r>
        <w:rPr>
          <w:rFonts w:ascii="Arial" w:hAnsi="Arial" w:eastAsia="SimSun" w:cs="Arial"/>
          <w:color w:val="000000"/>
          <w:lang w:eastAsia="zh-CN" w:bidi="ar"/>
        </w:rPr>
        <w:t>Inspeção geral de funcionamento das redes de água fria e pluvial com verificação de conexões tubulações, registros gerais e ramal de esgoto;</w:t>
      </w:r>
    </w:p>
    <w:p w14:paraId="4317FDC8">
      <w:pPr>
        <w:numPr>
          <w:ilvl w:val="0"/>
          <w:numId w:val="39"/>
        </w:numPr>
        <w:tabs>
          <w:tab w:val="left" w:pos="880"/>
          <w:tab w:val="clear" w:pos="425"/>
        </w:tabs>
        <w:spacing w:before="120" w:beforeLines="50" w:after="120" w:afterLines="50" w:line="360" w:lineRule="auto"/>
        <w:ind w:right="176" w:rightChars="80" w:firstLine="15"/>
        <w:jc w:val="both"/>
        <w:rPr>
          <w:rFonts w:ascii="Arial" w:hAnsi="Arial" w:cs="Arial"/>
        </w:rPr>
      </w:pPr>
      <w:r>
        <w:rPr>
          <w:rFonts w:ascii="Arial" w:hAnsi="Arial" w:eastAsia="SimSun" w:cs="Arial"/>
          <w:color w:val="000000"/>
          <w:lang w:eastAsia="zh-CN" w:bidi="ar"/>
        </w:rPr>
        <w:t xml:space="preserve">Inspeção geral de funcionamento das redes interna de esgoto com verificação de conexões, tubulações, válvula de retenção e dos ramais de esgoto para rede pública; </w:t>
      </w:r>
    </w:p>
    <w:p w14:paraId="0A6FC637">
      <w:pPr>
        <w:numPr>
          <w:ilvl w:val="0"/>
          <w:numId w:val="39"/>
        </w:numPr>
        <w:tabs>
          <w:tab w:val="left" w:pos="880"/>
          <w:tab w:val="clear" w:pos="425"/>
        </w:tabs>
        <w:spacing w:before="120" w:beforeLines="50" w:after="120" w:afterLines="50" w:line="360" w:lineRule="auto"/>
        <w:ind w:right="176" w:rightChars="80" w:firstLine="15"/>
        <w:jc w:val="both"/>
        <w:rPr>
          <w:rFonts w:ascii="Arial" w:hAnsi="Arial" w:cs="Arial"/>
        </w:rPr>
      </w:pPr>
      <w:r>
        <w:rPr>
          <w:rFonts w:ascii="Arial" w:hAnsi="Arial" w:eastAsia="SimSun" w:cs="Arial"/>
          <w:color w:val="000000"/>
          <w:lang w:eastAsia="zh-CN" w:bidi="ar"/>
        </w:rPr>
        <w:t xml:space="preserve">Limpeza da tubulação entre sifão e ralo; </w:t>
      </w:r>
    </w:p>
    <w:p w14:paraId="7D13D650">
      <w:pPr>
        <w:numPr>
          <w:ilvl w:val="0"/>
          <w:numId w:val="39"/>
        </w:numPr>
        <w:tabs>
          <w:tab w:val="left" w:pos="880"/>
          <w:tab w:val="clear" w:pos="425"/>
        </w:tabs>
        <w:spacing w:before="120" w:beforeLines="50" w:after="120" w:afterLines="50" w:line="360" w:lineRule="auto"/>
        <w:ind w:right="176" w:rightChars="80" w:firstLine="15"/>
        <w:jc w:val="both"/>
        <w:rPr>
          <w:rFonts w:ascii="Arial" w:hAnsi="Arial" w:cs="Arial"/>
        </w:rPr>
      </w:pPr>
      <w:r>
        <w:rPr>
          <w:rFonts w:ascii="Arial" w:hAnsi="Arial" w:eastAsia="SimSun" w:cs="Arial"/>
          <w:color w:val="000000"/>
          <w:lang w:eastAsia="zh-CN" w:bidi="ar"/>
        </w:rPr>
        <w:t xml:space="preserve">Desobstrução e desentupimento das tubulações de esgoto, de sifões, ralos e grelhas da cozinha e despensa; </w:t>
      </w:r>
    </w:p>
    <w:p w14:paraId="7D11ACF3">
      <w:pPr>
        <w:numPr>
          <w:ilvl w:val="0"/>
          <w:numId w:val="39"/>
        </w:numPr>
        <w:tabs>
          <w:tab w:val="left" w:pos="880"/>
          <w:tab w:val="clear" w:pos="425"/>
        </w:tabs>
        <w:spacing w:before="120" w:beforeLines="50" w:after="120" w:afterLines="50" w:line="360" w:lineRule="auto"/>
        <w:ind w:right="176" w:rightChars="80" w:firstLine="15"/>
        <w:jc w:val="both"/>
        <w:rPr>
          <w:rFonts w:ascii="Arial" w:hAnsi="Arial" w:cs="Arial"/>
        </w:rPr>
      </w:pPr>
      <w:r>
        <w:rPr>
          <w:rFonts w:ascii="Arial" w:hAnsi="Arial" w:eastAsia="SimSun" w:cs="Arial"/>
          <w:color w:val="000000"/>
          <w:lang w:eastAsia="zh-CN" w:bidi="ar"/>
        </w:rPr>
        <w:t>Limpeza e manutenção controle de vazamento de caixas de passagem, poço de visita da rede de esgoto e caixas de gordura provenientes da cozinha e despensa;</w:t>
      </w:r>
    </w:p>
    <w:p w14:paraId="2A24EA14">
      <w:pPr>
        <w:numPr>
          <w:ilvl w:val="0"/>
          <w:numId w:val="39"/>
        </w:numPr>
        <w:tabs>
          <w:tab w:val="left" w:pos="880"/>
          <w:tab w:val="clear" w:pos="425"/>
        </w:tabs>
        <w:spacing w:before="120" w:beforeLines="50" w:after="120" w:afterLines="50" w:line="360" w:lineRule="auto"/>
        <w:ind w:right="176" w:rightChars="80" w:firstLine="15"/>
        <w:jc w:val="both"/>
        <w:rPr>
          <w:rFonts w:ascii="Arial" w:hAnsi="Arial" w:cs="Arial"/>
        </w:rPr>
      </w:pPr>
      <w:r>
        <w:rPr>
          <w:rFonts w:ascii="Arial" w:hAnsi="Arial" w:eastAsia="SimSun" w:cs="Arial"/>
          <w:color w:val="000000"/>
          <w:lang w:eastAsia="zh-CN" w:bidi="ar"/>
        </w:rPr>
        <w:t xml:space="preserve">Substituição de tubulações, tampas, leito filtrante (brita ou areia grossa) e demais componentes das caixas de passagem, poço de visita da rede de esgoto e caixas de gordura provenientes da cozinha e despensa; </w:t>
      </w:r>
    </w:p>
    <w:p w14:paraId="6534C839">
      <w:pPr>
        <w:numPr>
          <w:ilvl w:val="0"/>
          <w:numId w:val="39"/>
        </w:numPr>
        <w:tabs>
          <w:tab w:val="left" w:pos="880"/>
          <w:tab w:val="clear" w:pos="425"/>
        </w:tabs>
        <w:spacing w:before="120" w:beforeLines="50" w:after="120" w:afterLines="50" w:line="360" w:lineRule="auto"/>
        <w:ind w:right="176" w:rightChars="80" w:firstLine="15"/>
        <w:jc w:val="both"/>
        <w:rPr>
          <w:rFonts w:ascii="Arial" w:hAnsi="Arial" w:cs="Arial"/>
        </w:rPr>
      </w:pPr>
      <w:r>
        <w:rPr>
          <w:rFonts w:ascii="Arial" w:hAnsi="Arial" w:eastAsia="SimSun" w:cs="Arial"/>
          <w:color w:val="000000"/>
          <w:lang w:eastAsia="zh-CN" w:bidi="ar"/>
        </w:rPr>
        <w:t xml:space="preserve">Instalação/substituição de ralo escamoteável (dispositivo “abre-fecha”) </w:t>
      </w:r>
    </w:p>
    <w:p w14:paraId="34F20D12">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Manutenção de portas: </w:t>
      </w:r>
    </w:p>
    <w:p w14:paraId="44EC47A0">
      <w:pPr>
        <w:numPr>
          <w:ilvl w:val="0"/>
          <w:numId w:val="40"/>
        </w:numPr>
        <w:tabs>
          <w:tab w:val="left" w:pos="880"/>
          <w:tab w:val="clear" w:pos="425"/>
        </w:tabs>
        <w:spacing w:before="120" w:beforeLines="50" w:after="120" w:afterLines="50" w:line="360" w:lineRule="auto"/>
        <w:ind w:right="176" w:rightChars="80" w:firstLine="15"/>
        <w:jc w:val="both"/>
        <w:rPr>
          <w:rFonts w:ascii="Arial" w:hAnsi="Arial" w:cs="Arial"/>
        </w:rPr>
      </w:pPr>
      <w:r>
        <w:rPr>
          <w:rFonts w:ascii="Arial" w:hAnsi="Arial" w:eastAsia="SimSun" w:cs="Arial"/>
          <w:color w:val="000000"/>
          <w:lang w:eastAsia="zh-CN" w:bidi="ar"/>
        </w:rPr>
        <w:t>Montagem, desmontagem, instalação e substituição trincos, fechaduras, visores, miolos, puxadores e demais elementos de ferragens de portas da cozinha e despensa;</w:t>
      </w:r>
    </w:p>
    <w:p w14:paraId="3784A808">
      <w:pPr>
        <w:numPr>
          <w:ilvl w:val="0"/>
          <w:numId w:val="40"/>
        </w:numPr>
        <w:tabs>
          <w:tab w:val="left" w:pos="880"/>
          <w:tab w:val="clear" w:pos="425"/>
        </w:tabs>
        <w:spacing w:before="120" w:beforeLines="50" w:after="120" w:afterLines="50" w:line="360" w:lineRule="auto"/>
        <w:ind w:right="176" w:rightChars="80" w:firstLine="15"/>
        <w:jc w:val="both"/>
        <w:rPr>
          <w:rFonts w:ascii="Arial" w:hAnsi="Arial" w:cs="Arial"/>
        </w:rPr>
      </w:pPr>
      <w:r>
        <w:rPr>
          <w:rFonts w:ascii="Arial" w:hAnsi="Arial" w:eastAsia="SimSun" w:cs="Arial"/>
          <w:color w:val="000000"/>
          <w:lang w:eastAsia="zh-CN" w:bidi="ar"/>
        </w:rPr>
        <w:t>Verificação e substituição dos rodos na parte inferior das portas da cozinha e despensa;</w:t>
      </w:r>
    </w:p>
    <w:p w14:paraId="772F0BC0">
      <w:pPr>
        <w:numPr>
          <w:ilvl w:val="0"/>
          <w:numId w:val="40"/>
        </w:numPr>
        <w:tabs>
          <w:tab w:val="left" w:pos="880"/>
          <w:tab w:val="clear" w:pos="425"/>
        </w:tabs>
        <w:spacing w:before="120" w:beforeLines="50" w:after="120" w:afterLines="50" w:line="360" w:lineRule="auto"/>
        <w:ind w:right="176" w:rightChars="80" w:firstLine="15"/>
        <w:jc w:val="both"/>
        <w:rPr>
          <w:rFonts w:ascii="Arial" w:hAnsi="Arial" w:cs="Arial"/>
        </w:rPr>
      </w:pPr>
      <w:r>
        <w:rPr>
          <w:rFonts w:ascii="Arial" w:hAnsi="Arial" w:eastAsia="SimSun" w:cs="Arial"/>
          <w:color w:val="000000"/>
          <w:lang w:eastAsia="zh-CN" w:bidi="ar"/>
        </w:rPr>
        <w:t xml:space="preserve">Instalação de telas nos vãos e/ou visores abertos das portas da cozinha e despensa; </w:t>
      </w:r>
    </w:p>
    <w:p w14:paraId="62E2C493">
      <w:pPr>
        <w:numPr>
          <w:ilvl w:val="0"/>
          <w:numId w:val="40"/>
        </w:numPr>
        <w:tabs>
          <w:tab w:val="left" w:pos="880"/>
          <w:tab w:val="clear" w:pos="425"/>
        </w:tabs>
        <w:spacing w:before="120" w:beforeLines="50" w:after="120" w:afterLines="50" w:line="360" w:lineRule="auto"/>
        <w:ind w:right="176" w:rightChars="80" w:firstLine="15"/>
        <w:jc w:val="both"/>
        <w:rPr>
          <w:rFonts w:ascii="Arial" w:hAnsi="Arial" w:cs="Arial"/>
        </w:rPr>
      </w:pPr>
      <w:r>
        <w:rPr>
          <w:rFonts w:ascii="Arial" w:hAnsi="Arial" w:eastAsia="SimSun" w:cs="Arial"/>
          <w:color w:val="000000"/>
          <w:lang w:eastAsia="zh-CN" w:bidi="ar"/>
        </w:rPr>
        <w:t xml:space="preserve">Regulagem e lubrificação de maçanetas, trincos, fechaduras, miolos etc; </w:t>
      </w:r>
    </w:p>
    <w:p w14:paraId="309C371C">
      <w:pPr>
        <w:numPr>
          <w:ilvl w:val="0"/>
          <w:numId w:val="40"/>
        </w:numPr>
        <w:tabs>
          <w:tab w:val="left" w:pos="880"/>
          <w:tab w:val="clear" w:pos="425"/>
        </w:tabs>
        <w:spacing w:before="120" w:beforeLines="50" w:after="120" w:afterLines="50" w:line="360" w:lineRule="auto"/>
        <w:ind w:right="176" w:rightChars="80" w:firstLine="15"/>
        <w:jc w:val="both"/>
        <w:rPr>
          <w:rFonts w:ascii="Arial" w:hAnsi="Arial" w:cs="Arial"/>
        </w:rPr>
      </w:pPr>
      <w:r>
        <w:rPr>
          <w:rFonts w:ascii="Arial" w:hAnsi="Arial" w:eastAsia="SimSun" w:cs="Arial"/>
          <w:color w:val="000000"/>
          <w:lang w:eastAsia="zh-CN" w:bidi="ar"/>
        </w:rPr>
        <w:t xml:space="preserve">Destravamento de maçanetas, trincos, fechaduras, miolos etc. Regulagem e lubrificação de mola hidráulica; </w:t>
      </w:r>
    </w:p>
    <w:p w14:paraId="73FB02BD">
      <w:pPr>
        <w:numPr>
          <w:ilvl w:val="0"/>
          <w:numId w:val="40"/>
        </w:numPr>
        <w:tabs>
          <w:tab w:val="left" w:pos="880"/>
          <w:tab w:val="clear" w:pos="425"/>
        </w:tabs>
        <w:spacing w:before="120" w:beforeLines="50" w:after="120" w:afterLines="50" w:line="360" w:lineRule="auto"/>
        <w:ind w:right="176" w:rightChars="80" w:firstLine="15"/>
        <w:jc w:val="both"/>
        <w:rPr>
          <w:rFonts w:ascii="Arial" w:hAnsi="Arial" w:cs="Arial"/>
        </w:rPr>
      </w:pPr>
      <w:r>
        <w:rPr>
          <w:rFonts w:ascii="Arial" w:hAnsi="Arial" w:eastAsia="SimSun" w:cs="Arial"/>
          <w:color w:val="000000"/>
          <w:lang w:eastAsia="zh-CN" w:bidi="ar"/>
        </w:rPr>
        <w:t>Fornecimento e substituição de trincos e chaves da cozinha e despensa, quando necessário;</w:t>
      </w:r>
    </w:p>
    <w:p w14:paraId="7FA4F721">
      <w:pPr>
        <w:numPr>
          <w:ilvl w:val="0"/>
          <w:numId w:val="40"/>
        </w:numPr>
        <w:tabs>
          <w:tab w:val="left" w:pos="880"/>
          <w:tab w:val="clear" w:pos="425"/>
        </w:tabs>
        <w:spacing w:before="120" w:beforeLines="50" w:after="120" w:afterLines="50" w:line="360" w:lineRule="auto"/>
        <w:ind w:right="176" w:rightChars="80" w:firstLine="15"/>
        <w:jc w:val="both"/>
        <w:rPr>
          <w:rFonts w:ascii="Arial" w:hAnsi="Arial" w:cs="Arial"/>
        </w:rPr>
      </w:pPr>
      <w:r>
        <w:rPr>
          <w:rFonts w:ascii="Arial" w:hAnsi="Arial" w:eastAsia="SimSun" w:cs="Arial"/>
          <w:color w:val="000000"/>
          <w:lang w:eastAsia="zh-CN" w:bidi="ar"/>
        </w:rPr>
        <w:t xml:space="preserve">Instalação/substituição de borrachas vedantes nas portas de acesso à cozinha e despensa </w:t>
      </w:r>
    </w:p>
    <w:p w14:paraId="76A9B189">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Manutenção de janelas: </w:t>
      </w:r>
    </w:p>
    <w:p w14:paraId="670CBB0B">
      <w:pPr>
        <w:numPr>
          <w:ilvl w:val="0"/>
          <w:numId w:val="41"/>
        </w:numPr>
        <w:tabs>
          <w:tab w:val="left" w:pos="880"/>
          <w:tab w:val="clear" w:pos="425"/>
        </w:tabs>
        <w:spacing w:before="120" w:beforeLines="50" w:after="120" w:afterLines="50" w:line="360" w:lineRule="auto"/>
        <w:ind w:left="440" w:leftChars="200" w:right="176" w:rightChars="80" w:firstLine="0"/>
        <w:jc w:val="both"/>
        <w:rPr>
          <w:rFonts w:ascii="Arial" w:hAnsi="Arial" w:cs="Arial"/>
        </w:rPr>
      </w:pPr>
      <w:r>
        <w:rPr>
          <w:rFonts w:ascii="Arial" w:hAnsi="Arial" w:eastAsia="SimSun" w:cs="Arial"/>
          <w:color w:val="000000"/>
          <w:lang w:eastAsia="zh-CN" w:bidi="ar"/>
        </w:rPr>
        <w:t xml:space="preserve">Inspeção geral das janelas, marcos e contramarco da cozinha e despensa; </w:t>
      </w:r>
    </w:p>
    <w:p w14:paraId="6E7092F3">
      <w:pPr>
        <w:numPr>
          <w:ilvl w:val="0"/>
          <w:numId w:val="41"/>
        </w:numPr>
        <w:tabs>
          <w:tab w:val="left" w:pos="880"/>
          <w:tab w:val="clear" w:pos="425"/>
        </w:tabs>
        <w:spacing w:before="120" w:beforeLines="50" w:after="120" w:afterLines="50" w:line="360" w:lineRule="auto"/>
        <w:ind w:left="440" w:leftChars="200" w:right="176" w:rightChars="80" w:firstLine="0"/>
        <w:jc w:val="both"/>
        <w:rPr>
          <w:rFonts w:ascii="Arial" w:hAnsi="Arial" w:cs="Arial"/>
        </w:rPr>
      </w:pPr>
      <w:r>
        <w:rPr>
          <w:rFonts w:ascii="Arial" w:hAnsi="Arial" w:eastAsia="SimSun" w:cs="Arial"/>
          <w:color w:val="000000"/>
          <w:lang w:eastAsia="zh-CN" w:bidi="ar"/>
        </w:rPr>
        <w:t>Montagem, desmontagem, instalação e substituição de trincos, puxadores, ferragens e demais acessórios das janelas da cozinha e despensa;</w:t>
      </w:r>
    </w:p>
    <w:p w14:paraId="6FC25B14">
      <w:pPr>
        <w:numPr>
          <w:ilvl w:val="0"/>
          <w:numId w:val="41"/>
        </w:numPr>
        <w:tabs>
          <w:tab w:val="left" w:pos="880"/>
          <w:tab w:val="clear" w:pos="425"/>
        </w:tabs>
        <w:spacing w:before="120" w:beforeLines="50" w:after="120" w:afterLines="50" w:line="360" w:lineRule="auto"/>
        <w:ind w:left="440" w:leftChars="200" w:right="176" w:rightChars="80" w:firstLine="0"/>
        <w:jc w:val="both"/>
        <w:rPr>
          <w:rFonts w:ascii="Arial" w:hAnsi="Arial" w:cs="Arial"/>
        </w:rPr>
      </w:pPr>
      <w:r>
        <w:rPr>
          <w:rFonts w:ascii="Arial" w:hAnsi="Arial" w:eastAsia="SimSun" w:cs="Arial"/>
          <w:color w:val="000000"/>
          <w:lang w:eastAsia="zh-CN" w:bidi="ar"/>
        </w:rPr>
        <w:t xml:space="preserve">Destravamento de maçanetas, trincos, fechaduras, etc; </w:t>
      </w:r>
    </w:p>
    <w:p w14:paraId="0E2CF033">
      <w:pPr>
        <w:numPr>
          <w:ilvl w:val="0"/>
          <w:numId w:val="41"/>
        </w:numPr>
        <w:tabs>
          <w:tab w:val="left" w:pos="880"/>
          <w:tab w:val="clear" w:pos="425"/>
        </w:tabs>
        <w:spacing w:before="120" w:beforeLines="50" w:after="120" w:afterLines="50" w:line="360" w:lineRule="auto"/>
        <w:ind w:left="440" w:leftChars="200" w:right="176" w:rightChars="80" w:firstLine="0"/>
        <w:jc w:val="both"/>
        <w:rPr>
          <w:rFonts w:ascii="Arial" w:hAnsi="Arial" w:cs="Arial"/>
        </w:rPr>
      </w:pPr>
      <w:r>
        <w:rPr>
          <w:rFonts w:ascii="Arial" w:hAnsi="Arial" w:eastAsia="SimSun" w:cs="Arial"/>
          <w:color w:val="000000"/>
          <w:lang w:eastAsia="zh-CN" w:bidi="ar"/>
        </w:rPr>
        <w:t xml:space="preserve">Regulagem e lubrificação de trincos, puxadores, ferragens e demais acessórios Manutenção, substituição, regulagem e nivelamento das telas das janelas da cozinha e despensa; </w:t>
      </w:r>
    </w:p>
    <w:p w14:paraId="6D079796">
      <w:pPr>
        <w:numPr>
          <w:ilvl w:val="0"/>
          <w:numId w:val="41"/>
        </w:numPr>
        <w:tabs>
          <w:tab w:val="left" w:pos="880"/>
          <w:tab w:val="clear" w:pos="425"/>
        </w:tabs>
        <w:spacing w:before="120" w:beforeLines="50" w:after="120" w:afterLines="50" w:line="360" w:lineRule="auto"/>
        <w:ind w:left="440" w:leftChars="200" w:right="176" w:rightChars="80" w:firstLine="0"/>
        <w:jc w:val="both"/>
        <w:rPr>
          <w:rFonts w:ascii="Arial" w:hAnsi="Arial" w:cs="Arial"/>
        </w:rPr>
      </w:pPr>
      <w:r>
        <w:rPr>
          <w:rFonts w:ascii="Arial" w:hAnsi="Arial" w:eastAsia="SimSun" w:cs="Arial"/>
          <w:color w:val="000000"/>
          <w:lang w:eastAsia="zh-CN" w:bidi="ar"/>
        </w:rPr>
        <w:t>Instalação/substituição de telas milimétricas na cozinha e despensa</w:t>
      </w:r>
    </w:p>
    <w:p w14:paraId="574F4522">
      <w:pPr>
        <w:numPr>
          <w:ilvl w:val="2"/>
          <w:numId w:val="3"/>
        </w:numPr>
        <w:tabs>
          <w:tab w:val="left" w:pos="880"/>
        </w:tabs>
        <w:spacing w:before="120" w:beforeLines="50" w:after="120" w:afterLines="50" w:line="360" w:lineRule="auto"/>
        <w:ind w:right="176" w:rightChars="80"/>
        <w:jc w:val="both"/>
        <w:rPr>
          <w:rFonts w:ascii="Arial" w:hAnsi="Arial" w:cs="Arial"/>
        </w:rPr>
      </w:pPr>
      <w:r>
        <w:rPr>
          <w:rFonts w:ascii="Arial" w:hAnsi="Arial" w:eastAsia="Arial-BoldMT" w:cs="Arial"/>
          <w:b/>
          <w:bCs/>
          <w:color w:val="000000"/>
          <w:lang w:eastAsia="zh-CN" w:bidi="ar"/>
        </w:rPr>
        <w:t xml:space="preserve">LIMPEZA, DESINFECÇÃO E EXECUÇÃO DE SERVIÇOS </w:t>
      </w:r>
    </w:p>
    <w:p w14:paraId="171C1C12">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Deverá atender o que dispõe a Resolução RDC nº 216 de 15 de setembro de 2004, Resolução RDC nº 52 de 29 de setembro de 2014 e Resolução RDC nº 275 de 21 de outubro de 2002, bem como todas as demais legislações Federais, Estaduais, Municipais e suas atualizações, que regulamentam as Boas Práticas de Fabricação de Alimentos. </w:t>
      </w:r>
    </w:p>
    <w:p w14:paraId="2C6D958A">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Deverá fornecer material de limpeza e sanitização para a higienização dos ambientes, pessoal, dos utensílios, equipamentos e alimentos.</w:t>
      </w:r>
    </w:p>
    <w:p w14:paraId="030E8F0D">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Controlar e manter a higienização completa das dependências, inclusive quanto as mesas do refeitório, equipamentos, instalações e utensílios incluídos na prestação de serviços, utilizando produtos de higienização e desinfecção com registro no Ministério da Saúde, contendo rótulo com a indicação do produto, composição, fornecedor, validade e forma de utilização.</w:t>
      </w:r>
    </w:p>
    <w:p w14:paraId="609296E0">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Executar, supervisionar e realizar o treinamento das cozinheiras da CONTRATADA responsáveis pela limpeza e desinfecção dos ambientes, mobiliários, utensílios e equipamentos. </w:t>
      </w:r>
    </w:p>
    <w:p w14:paraId="72B2EF35">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Manter absoluta higiene no preparo, manipulação, distribuição, transporte e armazenamento dos alimentos. </w:t>
      </w:r>
    </w:p>
    <w:p w14:paraId="558FC14F">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A CONTRATADA deverá submeter os alimentos a serem consumidos crus ao processo de higienização adequado a fim de reduzir a contaminação superficial, com produtos regularizados no órgão competente do Ministério da Saúde e serem aplicados de forma a evitar a presença de resíduos no alimento preparado. </w:t>
      </w:r>
    </w:p>
    <w:p w14:paraId="06F7D3B0">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A CONTRATADA deverá manter o lixo devidamente acondicionado em lixeiras dotadas de tampa, acionadas sem contato manual e revestidas com saco plástico apropriado, recolhendo-o das dependências da cozinha diariamente em cada turno ou quantas vezes se fizerem necessárias e encaminhados em local apropriado para coleta pelo serviço de saneamento básico do respectivo município. </w:t>
      </w:r>
    </w:p>
    <w:p w14:paraId="6C80AE33">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A CONTRATADA deverá realizar a limpeza dos conjuntos de refeitório (toto o espaço) após a distribuição dos atendimentos e o recolhimento dos utensílios utilizados na distribuição da alimentação aos alunos. </w:t>
      </w:r>
    </w:p>
    <w:p w14:paraId="1FA7BB43">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A CONTRATADA deverá realizar a limpeza das caixas vazadas bem como de outros recipientes utilizados para armazenamento de alimentos nas dependências da cozinha e estoque. </w:t>
      </w:r>
    </w:p>
    <w:p w14:paraId="00C7C000">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Quanto a execução de serviços, a CONTRATADA deverá realizar em </w:t>
      </w:r>
      <w:r>
        <w:rPr>
          <w:rFonts w:ascii="Arial" w:hAnsi="Arial" w:eastAsia="Arial-BoldMT" w:cs="Arial"/>
          <w:b/>
          <w:bCs/>
          <w:color w:val="000000"/>
          <w:lang w:eastAsia="zh-CN" w:bidi="ar"/>
        </w:rPr>
        <w:t xml:space="preserve">até 30 dias úteis </w:t>
      </w:r>
      <w:r>
        <w:rPr>
          <w:rFonts w:ascii="Arial" w:hAnsi="Arial" w:eastAsia="SimSun" w:cs="Arial"/>
          <w:color w:val="000000"/>
          <w:lang w:eastAsia="zh-CN" w:bidi="ar"/>
        </w:rPr>
        <w:t xml:space="preserve">acontar do primeiro dia de execução do serviço em cada Unidade Educativa, encaminhando o comprovante para CONTRATANTE: </w:t>
      </w:r>
    </w:p>
    <w:p w14:paraId="0A1D7E7E">
      <w:pPr>
        <w:numPr>
          <w:ilvl w:val="0"/>
          <w:numId w:val="42"/>
        </w:numPr>
        <w:tabs>
          <w:tab w:val="left" w:pos="880"/>
          <w:tab w:val="clear" w:pos="425"/>
        </w:tabs>
        <w:spacing w:before="120" w:beforeLines="50" w:after="120" w:afterLines="50" w:line="360" w:lineRule="auto"/>
        <w:ind w:right="176" w:rightChars="80" w:firstLine="15"/>
        <w:jc w:val="both"/>
        <w:rPr>
          <w:rFonts w:ascii="Arial" w:hAnsi="Arial" w:cs="Arial"/>
        </w:rPr>
      </w:pPr>
      <w:r>
        <w:rPr>
          <w:rFonts w:ascii="Arial" w:hAnsi="Arial" w:eastAsia="SimSun" w:cs="Arial"/>
          <w:color w:val="000000"/>
          <w:lang w:eastAsia="zh-CN" w:bidi="ar"/>
        </w:rPr>
        <w:t xml:space="preserve">A limpeza de caixa de gordura; </w:t>
      </w:r>
    </w:p>
    <w:p w14:paraId="288A6DFC">
      <w:pPr>
        <w:numPr>
          <w:ilvl w:val="0"/>
          <w:numId w:val="42"/>
        </w:numPr>
        <w:tabs>
          <w:tab w:val="left" w:pos="880"/>
          <w:tab w:val="clear" w:pos="425"/>
        </w:tabs>
        <w:spacing w:before="120" w:beforeLines="50" w:after="120" w:afterLines="50" w:line="360" w:lineRule="auto"/>
        <w:ind w:right="176" w:rightChars="80" w:firstLine="15"/>
        <w:jc w:val="both"/>
        <w:rPr>
          <w:rFonts w:ascii="Arial" w:hAnsi="Arial" w:cs="Arial"/>
        </w:rPr>
      </w:pPr>
      <w:r>
        <w:rPr>
          <w:rFonts w:ascii="Arial" w:hAnsi="Arial" w:eastAsia="SimSun" w:cs="Arial"/>
          <w:color w:val="000000"/>
          <w:lang w:eastAsia="zh-CN" w:bidi="ar"/>
        </w:rPr>
        <w:t xml:space="preserve">Procedimentos de dedetização e desratização das cozinhas e depósitos de alimentos; </w:t>
      </w:r>
    </w:p>
    <w:p w14:paraId="61AA2317">
      <w:pPr>
        <w:numPr>
          <w:ilvl w:val="0"/>
          <w:numId w:val="42"/>
        </w:numPr>
        <w:tabs>
          <w:tab w:val="left" w:pos="880"/>
          <w:tab w:val="clear" w:pos="425"/>
        </w:tabs>
        <w:spacing w:before="120" w:beforeLines="50" w:after="120" w:afterLines="50" w:line="360" w:lineRule="auto"/>
        <w:ind w:right="176" w:rightChars="80" w:firstLine="15"/>
        <w:jc w:val="both"/>
        <w:rPr>
          <w:rFonts w:ascii="Arial" w:hAnsi="Arial" w:cs="Arial"/>
        </w:rPr>
      </w:pPr>
      <w:r>
        <w:rPr>
          <w:rFonts w:ascii="Arial" w:hAnsi="Arial" w:eastAsia="SimSun" w:cs="Arial"/>
          <w:color w:val="000000"/>
          <w:lang w:eastAsia="zh-CN" w:bidi="ar"/>
        </w:rPr>
        <w:t xml:space="preserve">Análise de potabilidade da água; </w:t>
      </w:r>
    </w:p>
    <w:p w14:paraId="571116F0">
      <w:pPr>
        <w:numPr>
          <w:ilvl w:val="0"/>
          <w:numId w:val="42"/>
        </w:numPr>
        <w:tabs>
          <w:tab w:val="left" w:pos="880"/>
          <w:tab w:val="clear" w:pos="425"/>
        </w:tabs>
        <w:spacing w:before="120" w:beforeLines="50" w:after="120" w:afterLines="50" w:line="360" w:lineRule="auto"/>
        <w:ind w:right="176" w:rightChars="80" w:firstLine="15"/>
        <w:jc w:val="both"/>
        <w:rPr>
          <w:rFonts w:ascii="Arial" w:hAnsi="Arial" w:cs="Arial"/>
        </w:rPr>
      </w:pPr>
      <w:r>
        <w:rPr>
          <w:rFonts w:ascii="Arial" w:hAnsi="Arial" w:eastAsia="SimSun" w:cs="Arial"/>
          <w:color w:val="000000"/>
          <w:lang w:eastAsia="zh-CN" w:bidi="ar"/>
        </w:rPr>
        <w:t xml:space="preserve">A troca do elemento filtrante da cozinha; </w:t>
      </w:r>
    </w:p>
    <w:p w14:paraId="45A9D4CC">
      <w:pPr>
        <w:numPr>
          <w:ilvl w:val="0"/>
          <w:numId w:val="42"/>
        </w:numPr>
        <w:tabs>
          <w:tab w:val="left" w:pos="880"/>
          <w:tab w:val="clear" w:pos="425"/>
        </w:tabs>
        <w:spacing w:before="120" w:beforeLines="50" w:after="120" w:afterLines="50" w:line="360" w:lineRule="auto"/>
        <w:ind w:right="176" w:rightChars="80" w:firstLine="15"/>
        <w:jc w:val="both"/>
        <w:rPr>
          <w:rFonts w:ascii="Arial" w:hAnsi="Arial" w:cs="Arial"/>
        </w:rPr>
      </w:pPr>
      <w:r>
        <w:rPr>
          <w:rFonts w:ascii="Arial" w:hAnsi="Arial" w:eastAsia="SimSun" w:cs="Arial"/>
          <w:color w:val="000000"/>
          <w:lang w:eastAsia="zh-CN" w:bidi="ar"/>
        </w:rPr>
        <w:t xml:space="preserve">Manual de boas práticas, atualizando quando houver alteração nos procedimentos; </w:t>
      </w:r>
    </w:p>
    <w:p w14:paraId="1F556742">
      <w:pPr>
        <w:numPr>
          <w:ilvl w:val="0"/>
          <w:numId w:val="42"/>
        </w:numPr>
        <w:tabs>
          <w:tab w:val="left" w:pos="880"/>
          <w:tab w:val="clear" w:pos="425"/>
        </w:tabs>
        <w:spacing w:before="120" w:beforeLines="50" w:after="120" w:afterLines="50" w:line="360" w:lineRule="auto"/>
        <w:ind w:right="176" w:rightChars="80" w:firstLine="15"/>
        <w:jc w:val="both"/>
        <w:rPr>
          <w:rFonts w:ascii="Arial" w:hAnsi="Arial" w:cs="Arial"/>
        </w:rPr>
      </w:pPr>
      <w:r>
        <w:rPr>
          <w:rFonts w:ascii="Arial" w:hAnsi="Arial" w:eastAsia="SimSun" w:cs="Arial"/>
          <w:color w:val="000000"/>
          <w:lang w:eastAsia="zh-CN" w:bidi="ar"/>
        </w:rPr>
        <w:t xml:space="preserve">Disponibilizar termômetro, efetuando a troca sempre que se fizer necessário. </w:t>
      </w:r>
    </w:p>
    <w:p w14:paraId="2A671DF4">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Os serviços descritos nas alineas “a.”, “b.” e “c.” deverão ser realizados por empresa devidamente habilitada, nos termos da legislação vigente, e as alineas “d.”, “e.” e “f.” poderá ser realizado pela própria CONTRATADA. </w:t>
      </w:r>
    </w:p>
    <w:p w14:paraId="50F4DE59">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A CONTRATADA deverá executar os serviços descritos com o devido encaminhamento do comprovante para CONTRATANTE: </w:t>
      </w:r>
    </w:p>
    <w:p w14:paraId="5D02EBD3">
      <w:pPr>
        <w:numPr>
          <w:ilvl w:val="0"/>
          <w:numId w:val="43"/>
        </w:numPr>
        <w:tabs>
          <w:tab w:val="left" w:pos="880"/>
          <w:tab w:val="clear" w:pos="425"/>
        </w:tabs>
        <w:spacing w:before="120" w:beforeLines="50" w:after="120" w:afterLines="50" w:line="360" w:lineRule="auto"/>
        <w:ind w:right="176" w:rightChars="80" w:firstLine="15"/>
        <w:jc w:val="both"/>
        <w:rPr>
          <w:rFonts w:ascii="Arial" w:hAnsi="Arial" w:cs="Arial"/>
        </w:rPr>
      </w:pPr>
      <w:r>
        <w:rPr>
          <w:rFonts w:ascii="Arial" w:hAnsi="Arial" w:eastAsia="Arial-BoldMT" w:cs="Arial"/>
          <w:b/>
          <w:bCs/>
          <w:color w:val="000000"/>
          <w:lang w:eastAsia="zh-CN" w:bidi="ar"/>
        </w:rPr>
        <w:t>semestralmente</w:t>
      </w:r>
      <w:r>
        <w:rPr>
          <w:rFonts w:ascii="Arial" w:hAnsi="Arial" w:eastAsia="SimSun" w:cs="Arial"/>
          <w:color w:val="000000"/>
          <w:lang w:eastAsia="zh-CN" w:bidi="ar"/>
        </w:rPr>
        <w:t xml:space="preserve">: a limpeza de caixa de gordura; procedimentos de dedetização e desratização das cozinhas e depósitos de alimentos e, troca do elemento filtrante da cozinha e, sempre que se fizer necessário. </w:t>
      </w:r>
    </w:p>
    <w:p w14:paraId="541DE248">
      <w:pPr>
        <w:numPr>
          <w:ilvl w:val="0"/>
          <w:numId w:val="43"/>
        </w:numPr>
        <w:tabs>
          <w:tab w:val="left" w:pos="880"/>
          <w:tab w:val="clear" w:pos="425"/>
        </w:tabs>
        <w:spacing w:before="120" w:beforeLines="50" w:after="120" w:afterLines="50" w:line="360" w:lineRule="auto"/>
        <w:ind w:right="176" w:rightChars="80" w:firstLine="15"/>
        <w:jc w:val="both"/>
      </w:pPr>
      <w:r>
        <w:rPr>
          <w:rFonts w:ascii="Arial" w:hAnsi="Arial" w:eastAsia="Arial-BoldMT" w:cs="Arial"/>
          <w:b/>
          <w:bCs/>
          <w:color w:val="000000"/>
          <w:lang w:eastAsia="zh-CN" w:bidi="ar"/>
        </w:rPr>
        <w:t>anualmente</w:t>
      </w:r>
      <w:r>
        <w:rPr>
          <w:rFonts w:ascii="Arial" w:hAnsi="Arial" w:eastAsia="SimSun" w:cs="Arial"/>
          <w:color w:val="000000"/>
          <w:lang w:eastAsia="zh-CN" w:bidi="ar"/>
        </w:rPr>
        <w:t>: análise de potabilidade da água e, sempre que se fizer necessário.</w:t>
      </w:r>
    </w:p>
    <w:p w14:paraId="197EBBD3">
      <w:pPr>
        <w:numPr>
          <w:ilvl w:val="2"/>
          <w:numId w:val="3"/>
        </w:numPr>
        <w:tabs>
          <w:tab w:val="left" w:pos="880"/>
        </w:tabs>
        <w:spacing w:before="120" w:beforeLines="50" w:after="120" w:afterLines="50" w:line="360" w:lineRule="auto"/>
        <w:ind w:right="176" w:rightChars="80"/>
        <w:jc w:val="both"/>
        <w:rPr>
          <w:rFonts w:ascii="Arial" w:hAnsi="Arial" w:cs="Arial"/>
        </w:rPr>
      </w:pPr>
      <w:r>
        <w:rPr>
          <w:rFonts w:ascii="Arial" w:hAnsi="Arial" w:eastAsia="Arial-BoldMT" w:cs="Arial"/>
          <w:b/>
          <w:bCs/>
          <w:color w:val="000000"/>
          <w:lang w:eastAsia="zh-CN" w:bidi="ar"/>
        </w:rPr>
        <w:t>OBRIGAÇÕES E RESPONSABILIDADES DA CONTRATADA:</w:t>
      </w:r>
    </w:p>
    <w:p w14:paraId="2DF8550F">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Arcar com os ônus decorrentes de incidência de todos os tributos federais, estaduais e municipais que possam advir dos serviços contratados, fazendo prova deles quando requerido e responsabilizando-se pelo cumprimento de todas as exigências das repartições competentes, com total isenção da Secretaria Municipal de Educação de Sinop Mato Grosso. </w:t>
      </w:r>
    </w:p>
    <w:p w14:paraId="2AE3FE43">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Cumprir todas as normas e procedimentos de segurança e medicina do trabalho, bem como o disposto no inciso XXXIII do Artigo 7º da Constituição Federal. </w:t>
      </w:r>
    </w:p>
    <w:p w14:paraId="079E13B4">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Elaborar e manter atualizado o Manual de Boas Práticas de Manipulação de Alimentos, de acordo com as normas da Vigilância Sanitária, adequando-o ao fornecimento de alimentação de cada Unidade Educativa. A entrega para o Setor de Alimentação Escolar da SME deverá ocorrer no prazo máximo de 30 (Trinta) dias consecutivos, após o início do contrato. </w:t>
      </w:r>
    </w:p>
    <w:p w14:paraId="56669F2E">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Efetuar, semestralmente ou sempre que necessário, o controle de pragas (desratização e desinsetização) nas áreas áreas de armazenamento, higienização e preparo dos alimentos das Unidades Educativas, de acordo com a RDC 216/2004 ANVISA/MS; </w:t>
      </w:r>
    </w:p>
    <w:p w14:paraId="39F589CB">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Manter equipe técnica/operacional, de acordo com o requisitado do </w:t>
      </w:r>
      <w:r>
        <w:rPr>
          <w:rFonts w:ascii="Arial" w:hAnsi="Arial" w:eastAsia="SimSun" w:cs="Arial"/>
          <w:b/>
          <w:bCs/>
          <w:color w:val="000000"/>
          <w:lang w:eastAsia="zh-CN" w:bidi="ar"/>
        </w:rPr>
        <w:t>Item 2.4.8.6.</w:t>
      </w:r>
      <w:r>
        <w:rPr>
          <w:rFonts w:ascii="Arial" w:hAnsi="Arial" w:eastAsia="SimSun" w:cs="Arial"/>
          <w:color w:val="000000"/>
          <w:lang w:eastAsia="zh-CN" w:bidi="ar"/>
        </w:rPr>
        <w:t xml:space="preserve"> deste Termo, para orientação sobre os procedimentos de recebimento e armazenamento dos gêneros alimentícios, preparo e distribuição dos alimentos nas Unidade Educativa, assegurando a qualidade e o alcance dos níveis nutricionais objetivados. </w:t>
      </w:r>
    </w:p>
    <w:p w14:paraId="1BB401AC">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Comunicar ao Setor de Alimentação Escolar da SME, imediatamente e por escrito, qualquer anormalidade identificada, que possa interferir na execução </w:t>
      </w:r>
      <w:r>
        <w:rPr>
          <w:rFonts w:ascii="Arial" w:hAnsi="Arial" w:cs="Arial"/>
          <w:color w:val="000000"/>
        </w:rPr>
        <w:t xml:space="preserve">do objeto desta </w:t>
      </w:r>
      <w:r>
        <w:rPr>
          <w:rFonts w:ascii="Arial" w:hAnsi="Arial" w:eastAsia="SimSun" w:cs="Arial"/>
          <w:color w:val="000000"/>
          <w:lang w:eastAsia="zh-CN" w:bidi="ar"/>
        </w:rPr>
        <w:t xml:space="preserve">Licitação. </w:t>
      </w:r>
    </w:p>
    <w:p w14:paraId="63B0DD8D">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Efetuar, no início do contrato o controle de pragas (desratização e desinsetização) das áreas de armazenamento e preparo das refeições nas Unidade Educativa, de acordo com a RDC 216/2004 ANVISA/MS. </w:t>
      </w:r>
    </w:p>
    <w:p w14:paraId="133061A9">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lang w:eastAsia="zh-CN" w:bidi="ar"/>
        </w:rPr>
        <w:t xml:space="preserve">Providenciar e apresentar Alvará Sanitário para as cozinhas, bem como, o pagamento da taxa de Alvará Sanitário a ser recolhida junto à Prefeitura Municipal de Sinop Mato Grosso que possuam legislação instituindo a referida taxa. </w:t>
      </w:r>
    </w:p>
    <w:p w14:paraId="421F5867">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Efetuar, rotineiramente, a limpeza da caixa de gordura, quando for de uso exclusivo da cozinha. </w:t>
      </w:r>
    </w:p>
    <w:p w14:paraId="478F3040">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Acompanhar, junto ao gestor escolar, a manutenção da caixa de gordura, quando for de uso coletivo da Unidade Educativa. Ter conhecimento dos locais onde serão prestados os serviços que estão sendo requisitados.</w:t>
      </w:r>
    </w:p>
    <w:p w14:paraId="5B3AD001">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Afastar a(o) cozinheira(o) para outras atividades, sem manipular alimentos, quando apresentar ferida, lesão ou corte nas mãos e braços, gastrenterites agudas ou crônicas (diarréia ou disenteria), infecções pulmonares ou faringites. </w:t>
      </w:r>
    </w:p>
    <w:p w14:paraId="7A4A9E83">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Cumprir com todas as exigências admissionais dos seus funcionários requisitados no Termo de referência. </w:t>
      </w:r>
    </w:p>
    <w:p w14:paraId="1BAFF3DD">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Apresentar no loca: gêneros alímenticios, materiais de limpeza e higiene de qualidade e dentro do prazo de validade. </w:t>
      </w:r>
    </w:p>
    <w:p w14:paraId="482B2AE5">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Cumprir com todas a normas de segurança do trabalho, prevenção de acidentes, combate a incêndio, boas práticas ambientais e primeiros socorros. </w:t>
      </w:r>
    </w:p>
    <w:p w14:paraId="3B196337">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Aceitar nas condições estabelecidas no </w:t>
      </w:r>
      <w:r>
        <w:rPr>
          <w:rFonts w:ascii="Arial" w:hAnsi="Arial" w:eastAsia="SimSun" w:cs="Arial"/>
          <w:b/>
          <w:bCs/>
          <w:color w:val="000000"/>
          <w:lang w:eastAsia="zh-CN" w:bidi="ar"/>
        </w:rPr>
        <w:t>Item 2.4.5.10.8.ao 2.4.5.10.10</w:t>
      </w:r>
      <w:r>
        <w:rPr>
          <w:rFonts w:ascii="Arial" w:hAnsi="Arial" w:eastAsia="SimSun" w:cs="Arial"/>
          <w:color w:val="000000"/>
          <w:lang w:eastAsia="zh-CN" w:bidi="ar"/>
        </w:rPr>
        <w:t xml:space="preserve"> deste Termo, o desconto total do valor dos gêneros alimenticios da agricultura familiar, entregues para produção do cardápio do mês, da fatura mensal.</w:t>
      </w:r>
    </w:p>
    <w:p w14:paraId="58000E85">
      <w:pPr>
        <w:numPr>
          <w:ilvl w:val="2"/>
          <w:numId w:val="3"/>
        </w:numPr>
        <w:tabs>
          <w:tab w:val="left" w:pos="880"/>
        </w:tabs>
        <w:spacing w:before="120" w:beforeLines="50" w:after="120" w:afterLines="50" w:line="360" w:lineRule="auto"/>
        <w:ind w:right="176" w:rightChars="80"/>
        <w:jc w:val="both"/>
        <w:rPr>
          <w:rFonts w:ascii="Arial" w:hAnsi="Arial" w:cs="Arial"/>
        </w:rPr>
      </w:pPr>
      <w:r>
        <w:rPr>
          <w:rFonts w:ascii="Arial" w:hAnsi="Arial" w:eastAsia="Arial-BoldMT" w:cs="Arial"/>
          <w:b/>
          <w:bCs/>
          <w:color w:val="000000"/>
          <w:lang w:eastAsia="zh-CN" w:bidi="ar"/>
        </w:rPr>
        <w:t>OBRIGAÇÕES DA CONTRATANTE:</w:t>
      </w:r>
    </w:p>
    <w:p w14:paraId="1539E07B">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Assegurar o espaço físico na Unidade Educativa para funcionamento </w:t>
      </w:r>
      <w:r>
        <w:rPr>
          <w:rFonts w:ascii="Arial" w:hAnsi="Arial" w:cs="Arial"/>
          <w:color w:val="000000"/>
        </w:rPr>
        <w:t xml:space="preserve">do objeto desta </w:t>
      </w:r>
      <w:r>
        <w:rPr>
          <w:rFonts w:ascii="Arial" w:hAnsi="Arial" w:eastAsia="SimSun" w:cs="Arial"/>
          <w:color w:val="000000"/>
          <w:lang w:eastAsia="zh-CN" w:bidi="ar"/>
        </w:rPr>
        <w:t xml:space="preserve">Licitação. </w:t>
      </w:r>
    </w:p>
    <w:p w14:paraId="68659231">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Realizar limpeza da caixa d’água, quando for de uso comum da escola, duas vezes por ano, sendo que o comprovante deverá ficar em lugar público. </w:t>
      </w:r>
    </w:p>
    <w:p w14:paraId="1BA654E5">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Efetuar, semestralmente ou sempre que necessário, o controle de pragas (desratização e desinsetização) nas áreas das Unidades Educativas, de acordo com a RDC 216/2004 ANVISA/MS (exceto áreas de armazenamento, higienização e preparo dos alimentos). </w:t>
      </w:r>
    </w:p>
    <w:p w14:paraId="571388AB">
      <w:pPr>
        <w:numPr>
          <w:ilvl w:val="3"/>
          <w:numId w:val="3"/>
        </w:numPr>
        <w:tabs>
          <w:tab w:val="left" w:pos="880"/>
        </w:tabs>
        <w:spacing w:before="120" w:beforeLines="50" w:after="120" w:afterLines="50" w:line="360" w:lineRule="auto"/>
        <w:ind w:left="220" w:leftChars="100" w:right="176" w:rightChars="80"/>
        <w:jc w:val="both"/>
        <w:rPr>
          <w:rFonts w:ascii="Arial" w:hAnsi="Arial" w:cs="Arial"/>
          <w:color w:val="FF0000"/>
        </w:rPr>
      </w:pPr>
      <w:r>
        <w:rPr>
          <w:rFonts w:ascii="Arial" w:hAnsi="Arial" w:eastAsia="SimSun" w:cs="Arial"/>
          <w:lang w:eastAsia="zh-CN" w:bidi="ar"/>
        </w:rPr>
        <w:t>Realizar as adequações estruturais das cozinhas no caso OBRAS (SERVIÇOS DE ENGENHARIA, mediante a necessidade de cada Unidade Educativa com acompanhamento e execução da equipe técnica de infraestrutura escolar da SME.</w:t>
      </w:r>
      <w:r>
        <w:rPr>
          <w:rFonts w:ascii="Arial" w:hAnsi="Arial" w:eastAsia="SimSun" w:cs="Arial"/>
          <w:color w:val="FF0000"/>
          <w:lang w:eastAsia="zh-CN" w:bidi="ar"/>
        </w:rPr>
        <w:t xml:space="preserve"> </w:t>
      </w:r>
    </w:p>
    <w:p w14:paraId="236ED9CC">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Manter equipe de fiscalização/inspeção para acompanhar a qualidade na execução do objeto desta Licitação, verificando o atendimento às especificações e demais normas técnicas, com visitas </w:t>
      </w:r>
      <w:r>
        <w:rPr>
          <w:rFonts w:ascii="Arial" w:hAnsi="Arial" w:eastAsia="SimSun" w:cs="Arial"/>
          <w:color w:val="00000A"/>
          <w:lang w:eastAsia="zh-CN" w:bidi="ar"/>
        </w:rPr>
        <w:t xml:space="preserve">regulares </w:t>
      </w:r>
      <w:r>
        <w:rPr>
          <w:rFonts w:ascii="Arial" w:hAnsi="Arial" w:eastAsia="SimSun" w:cs="Arial"/>
          <w:color w:val="000000"/>
          <w:lang w:eastAsia="zh-CN" w:bidi="ar"/>
        </w:rPr>
        <w:t xml:space="preserve">ou quando houver necessidade. </w:t>
      </w:r>
    </w:p>
    <w:p w14:paraId="6EA61A22">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Informar, com antecedência mínima de 48 horas, o cancelamento de aulas, recesso escolar ou redução significativa no número de refeições da Unidade Educativa a CONTRATADA. </w:t>
      </w:r>
    </w:p>
    <w:p w14:paraId="75457EF0">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Fornecer a CONTRATADA os gêneros alimentícios da agricultura familiar e do empreendedor familiar rural, ou de suas organizações, preferencialmente da agricultura orgânica e/ou agroecológica, no valor mínimo de 30% do total dos recursos provenientes do PNAE/ FNDE.</w:t>
      </w:r>
    </w:p>
    <w:p w14:paraId="0623AF4F">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Encaminhar à CONTRATADA no prazo mínimo de 15 (quinze) dias antes de sua vigência os Cardápios de cada tipo de atendimento, se houver alterações do modelo atual anexo ao Termo de Referência; </w:t>
      </w:r>
    </w:p>
    <w:p w14:paraId="22090F64">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Solicitar à CONTRATADA a alteração de tipo de atendimento e alteração de cardápio sempre que necessário, respeitando o prazo de 48 (quarenta e oito) horas, salvo em situações emergenciais. </w:t>
      </w:r>
    </w:p>
    <w:p w14:paraId="50A030D1">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Em caso de situações emergenciais como: reformas urgentes, desastres e agravos ambientais, problemas no abastecimento de gás, água e luz, a fim de atender o interesse público, a CONTRATANTE determinará à CONTRATADA a reorganização dos Fornecimentos das Refeições escolares. </w:t>
      </w:r>
    </w:p>
    <w:p w14:paraId="2C7D9253">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Interagir com a CONTRATADA na ação de educação alimentar e nutricional, buscando contribuir com o Programa de Educação Nutricional e viabilizar a execução. </w:t>
      </w:r>
    </w:p>
    <w:p w14:paraId="6863502B">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Disponibilizar à CONTRATADA, no início do contrato, os equipamentos e utensílios de sua propriedade constantes no patrimônio da Unidade Educativa, que poderão ser utilizados na execução </w:t>
      </w:r>
      <w:r>
        <w:rPr>
          <w:rFonts w:ascii="Arial" w:hAnsi="Arial" w:cs="Arial"/>
          <w:color w:val="000000"/>
        </w:rPr>
        <w:t xml:space="preserve">do objeto desta </w:t>
      </w:r>
      <w:r>
        <w:rPr>
          <w:rFonts w:ascii="Arial" w:hAnsi="Arial" w:eastAsia="SimSun" w:cs="Arial"/>
          <w:color w:val="000000"/>
          <w:lang w:eastAsia="zh-CN" w:bidi="ar"/>
        </w:rPr>
        <w:t xml:space="preserve">Licitação. </w:t>
      </w:r>
    </w:p>
    <w:p w14:paraId="45076F8A">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Convocar a CONTRATADA para reuniões com o gestor do contrato e nutricionista responsável técnico e demais membros da equipe do Setor de Alimentação Escolar da SME e direção das unidades Educativas sempre que julgar necessário. </w:t>
      </w:r>
    </w:p>
    <w:p w14:paraId="494EECE1">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Comunicar à CONTRATADA: </w:t>
      </w:r>
    </w:p>
    <w:p w14:paraId="73E25538">
      <w:pPr>
        <w:numPr>
          <w:ilvl w:val="4"/>
          <w:numId w:val="3"/>
        </w:numPr>
        <w:tabs>
          <w:tab w:val="left" w:pos="880"/>
        </w:tabs>
        <w:spacing w:before="120" w:beforeLines="50" w:after="120" w:afterLines="50" w:line="360" w:lineRule="auto"/>
        <w:ind w:left="440" w:leftChars="200" w:right="176" w:rightChars="80"/>
        <w:jc w:val="both"/>
        <w:rPr>
          <w:rFonts w:ascii="Arial" w:hAnsi="Arial" w:cs="Arial"/>
        </w:rPr>
      </w:pPr>
      <w:r>
        <w:rPr>
          <w:rFonts w:ascii="Arial" w:hAnsi="Arial" w:eastAsia="SimSun" w:cs="Arial"/>
          <w:color w:val="000000"/>
          <w:lang w:eastAsia="zh-CN" w:bidi="ar"/>
        </w:rPr>
        <w:t xml:space="preserve">Sobre a necessidade de atendimento aos alunos aos sábados ou feriados pelo prazo de 48 (quarenta e oito) horas, salvo em situações excepcionais. </w:t>
      </w:r>
    </w:p>
    <w:p w14:paraId="4CEC2B3F">
      <w:pPr>
        <w:numPr>
          <w:ilvl w:val="4"/>
          <w:numId w:val="3"/>
        </w:numPr>
        <w:tabs>
          <w:tab w:val="left" w:pos="880"/>
        </w:tabs>
        <w:spacing w:before="120" w:beforeLines="50" w:after="120" w:afterLines="50" w:line="360" w:lineRule="auto"/>
        <w:ind w:left="440" w:leftChars="200" w:right="176" w:rightChars="80"/>
        <w:jc w:val="both"/>
        <w:rPr>
          <w:rFonts w:ascii="Arial" w:hAnsi="Arial" w:cs="Arial"/>
        </w:rPr>
      </w:pPr>
      <w:r>
        <w:rPr>
          <w:rFonts w:ascii="Arial" w:hAnsi="Arial" w:eastAsia="SimSun" w:cs="Arial"/>
          <w:color w:val="000000"/>
          <w:lang w:eastAsia="zh-CN" w:bidi="ar"/>
        </w:rPr>
        <w:t xml:space="preserve">Sobre abertura ou fechamento de escolas da rede municipal para que as providências quanto ao início ou encerramento do atendimento da alimentação escolar sejam adotadas. </w:t>
      </w:r>
    </w:p>
    <w:p w14:paraId="1B43EAED">
      <w:pPr>
        <w:numPr>
          <w:ilvl w:val="4"/>
          <w:numId w:val="3"/>
        </w:numPr>
        <w:tabs>
          <w:tab w:val="left" w:pos="880"/>
        </w:tabs>
        <w:spacing w:before="120" w:beforeLines="50" w:after="120" w:afterLines="50" w:line="360" w:lineRule="auto"/>
        <w:ind w:left="440" w:leftChars="200" w:right="176" w:rightChars="80"/>
        <w:jc w:val="both"/>
        <w:rPr>
          <w:rFonts w:ascii="Arial" w:hAnsi="Arial" w:cs="Arial"/>
        </w:rPr>
      </w:pPr>
      <w:r>
        <w:rPr>
          <w:rFonts w:ascii="Arial" w:hAnsi="Arial" w:eastAsia="SimSun" w:cs="Arial"/>
          <w:color w:val="000000"/>
          <w:lang w:eastAsia="zh-CN" w:bidi="ar"/>
        </w:rPr>
        <w:t xml:space="preserve">Sobre as escolas que atendem alunos com necessidades alimentares especiais que fazem o Atendimento Educacional Especializado (AEE), apresentando o laudo médico dos alunos quando cabível. </w:t>
      </w:r>
    </w:p>
    <w:p w14:paraId="1798542D">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Quanto a Agricultura Familiar: </w:t>
      </w:r>
    </w:p>
    <w:p w14:paraId="49E2002A">
      <w:pPr>
        <w:numPr>
          <w:ilvl w:val="4"/>
          <w:numId w:val="3"/>
        </w:numPr>
        <w:tabs>
          <w:tab w:val="left" w:pos="880"/>
        </w:tabs>
        <w:spacing w:before="120" w:beforeLines="50" w:after="120" w:afterLines="50" w:line="360" w:lineRule="auto"/>
        <w:ind w:left="440" w:leftChars="200" w:right="176" w:rightChars="80"/>
        <w:jc w:val="both"/>
        <w:rPr>
          <w:rFonts w:ascii="Arial" w:hAnsi="Arial" w:cs="Arial"/>
        </w:rPr>
      </w:pPr>
      <w:r>
        <w:rPr>
          <w:rFonts w:ascii="Arial" w:hAnsi="Arial" w:cs="Arial"/>
          <w:lang w:eastAsia="zh-CN" w:bidi="ar"/>
        </w:rPr>
        <w:t>Realização de Chamamento Público para credenciamento de produtores da agricultura familiar e do empreendedor familiar rural ou de suas organizações para aquisição de gêneros alimentícios para compor o cardápio da alimentação escolar, conforme Lei 11.947/2009 – OBRIGAÇÃO DA CONTRATANTE.</w:t>
      </w:r>
      <w:r>
        <w:rPr>
          <w:rFonts w:ascii="Arial" w:hAnsi="Arial" w:eastAsia="SimSun" w:cs="Arial"/>
          <w:lang w:eastAsia="zh-CN" w:bidi="ar"/>
        </w:rPr>
        <w:t xml:space="preserve"> </w:t>
      </w:r>
    </w:p>
    <w:p w14:paraId="7E2D1F79">
      <w:pPr>
        <w:numPr>
          <w:ilvl w:val="4"/>
          <w:numId w:val="3"/>
        </w:numPr>
        <w:tabs>
          <w:tab w:val="left" w:pos="880"/>
        </w:tabs>
        <w:spacing w:before="120" w:beforeLines="50" w:after="120" w:afterLines="50" w:line="360" w:lineRule="auto"/>
        <w:ind w:left="440" w:leftChars="200" w:right="176" w:rightChars="80"/>
        <w:jc w:val="both"/>
        <w:rPr>
          <w:rFonts w:ascii="Arial" w:hAnsi="Arial" w:cs="Arial"/>
        </w:rPr>
      </w:pPr>
      <w:r>
        <w:rPr>
          <w:rFonts w:ascii="Arial" w:hAnsi="Arial" w:eastAsia="SimSun" w:cs="Arial"/>
          <w:color w:val="000000"/>
          <w:lang w:eastAsia="zh-CN" w:bidi="ar"/>
        </w:rPr>
        <w:t xml:space="preserve">Realizar controle de qualidade e quantidade dos produtos fornecidos pela agricultura familiar e registrar as inconformidades. </w:t>
      </w:r>
    </w:p>
    <w:p w14:paraId="241D6B75">
      <w:pPr>
        <w:numPr>
          <w:ilvl w:val="4"/>
          <w:numId w:val="3"/>
        </w:numPr>
        <w:tabs>
          <w:tab w:val="left" w:pos="880"/>
        </w:tabs>
        <w:spacing w:before="120" w:beforeLines="50" w:after="120" w:afterLines="50" w:line="360" w:lineRule="auto"/>
        <w:ind w:left="440" w:leftChars="200" w:right="176" w:rightChars="80"/>
        <w:jc w:val="both"/>
        <w:rPr>
          <w:rFonts w:ascii="Arial" w:hAnsi="Arial" w:cs="Arial"/>
        </w:rPr>
      </w:pPr>
      <w:r>
        <w:rPr>
          <w:rFonts w:ascii="Arial" w:hAnsi="Arial" w:eastAsia="SimSun" w:cs="Arial"/>
          <w:color w:val="000000"/>
          <w:lang w:eastAsia="zh-CN" w:bidi="ar"/>
        </w:rPr>
        <w:t xml:space="preserve">Atestar o termo de recebimento dos gêneros da agricultura familiar desde que esteja de acordo com os produtos recebidos na escola. </w:t>
      </w:r>
    </w:p>
    <w:p w14:paraId="17B01CC8">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Fornecer sem ônus para a CONTRATADA, água e luz nas Unidades Educativas e realizar limpeza da caixa d’água sempre que necessário, considerando que o abastecimento de água e energia é único para todo o prédio escolar, não há como separar os gastos da cozinha dos demais ambientes da escola. </w:t>
      </w:r>
    </w:p>
    <w:p w14:paraId="5A4CDDC0">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Desenvolver boas relações com os funcionários da empresa, mantendo o foco na solução dos eventuais problemas e na melhoria contínua </w:t>
      </w:r>
      <w:r>
        <w:rPr>
          <w:rFonts w:ascii="Arial" w:hAnsi="Arial" w:cs="Arial"/>
          <w:color w:val="000000"/>
        </w:rPr>
        <w:t xml:space="preserve">do objeto desta </w:t>
      </w:r>
      <w:r>
        <w:rPr>
          <w:rFonts w:ascii="Arial" w:hAnsi="Arial" w:eastAsia="SimSun" w:cs="Arial"/>
          <w:color w:val="000000"/>
          <w:lang w:eastAsia="zh-CN" w:bidi="ar"/>
        </w:rPr>
        <w:t xml:space="preserve">Licitação. </w:t>
      </w:r>
    </w:p>
    <w:p w14:paraId="51E3F853">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Organizar os alunos durante a distribuição da alimentação escolar em horários distintos. </w:t>
      </w:r>
    </w:p>
    <w:p w14:paraId="31BA5F5F">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Ajustar com a CONTRATADA o horário dos intervalos para que a alimentação escolar esteja disponível aos alunos no tempo adequado. </w:t>
      </w:r>
    </w:p>
    <w:p w14:paraId="55E98378">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A CONTRATANTE irá inventariar todos os bens patrimoniados de propriedade da Secretaria de Municipal de Educação disponíveis na cozinha e, providenciará o tombamento daqueles sem identificação. </w:t>
      </w:r>
    </w:p>
    <w:p w14:paraId="7A658921">
      <w:pPr>
        <w:numPr>
          <w:ilvl w:val="3"/>
          <w:numId w:val="3"/>
        </w:numPr>
        <w:tabs>
          <w:tab w:val="left" w:pos="880"/>
        </w:tabs>
        <w:spacing w:before="120" w:beforeLines="50" w:after="120" w:afterLines="50" w:line="360" w:lineRule="auto"/>
        <w:ind w:left="220" w:leftChars="100" w:right="176" w:rightChars="80"/>
        <w:jc w:val="both"/>
        <w:rPr>
          <w:rFonts w:ascii="Arial" w:hAnsi="Arial" w:cs="Arial"/>
        </w:rPr>
      </w:pPr>
      <w:r>
        <w:rPr>
          <w:rFonts w:ascii="Arial" w:hAnsi="Arial" w:eastAsia="SimSun" w:cs="Arial"/>
          <w:color w:val="000000"/>
          <w:lang w:eastAsia="zh-CN" w:bidi="ar"/>
        </w:rPr>
        <w:t xml:space="preserve">Solicitar à CONTRATADA: </w:t>
      </w:r>
    </w:p>
    <w:p w14:paraId="244A9E77">
      <w:pPr>
        <w:numPr>
          <w:ilvl w:val="4"/>
          <w:numId w:val="3"/>
        </w:numPr>
        <w:tabs>
          <w:tab w:val="left" w:pos="880"/>
        </w:tabs>
        <w:spacing w:before="120" w:beforeLines="50" w:after="120" w:afterLines="50" w:line="360" w:lineRule="auto"/>
        <w:ind w:left="440" w:leftChars="200" w:right="176" w:rightChars="80"/>
        <w:jc w:val="both"/>
        <w:rPr>
          <w:rFonts w:ascii="Arial" w:hAnsi="Arial" w:cs="Arial"/>
        </w:rPr>
      </w:pPr>
      <w:r>
        <w:rPr>
          <w:rFonts w:ascii="Arial" w:hAnsi="Arial" w:eastAsia="SimSun" w:cs="Arial"/>
          <w:color w:val="000000"/>
          <w:lang w:eastAsia="zh-CN" w:bidi="ar"/>
        </w:rPr>
        <w:t xml:space="preserve">A manutenção corretiva e/ou preventiva dos equipamentos e utensílios da cozinha sempre que se fizer necessário; </w:t>
      </w:r>
    </w:p>
    <w:p w14:paraId="5DAE0F39">
      <w:pPr>
        <w:numPr>
          <w:ilvl w:val="4"/>
          <w:numId w:val="3"/>
        </w:numPr>
        <w:tabs>
          <w:tab w:val="left" w:pos="880"/>
        </w:tabs>
        <w:spacing w:before="120" w:beforeLines="50" w:after="120" w:afterLines="50" w:line="360" w:lineRule="auto"/>
        <w:ind w:left="440" w:leftChars="200" w:right="176" w:rightChars="80"/>
        <w:jc w:val="both"/>
        <w:rPr>
          <w:rFonts w:ascii="Arial" w:hAnsi="Arial" w:cs="Arial"/>
        </w:rPr>
      </w:pPr>
      <w:r>
        <w:rPr>
          <w:rFonts w:ascii="Arial" w:hAnsi="Arial" w:eastAsia="SimSun" w:cs="Arial"/>
          <w:color w:val="000000"/>
          <w:lang w:eastAsia="zh-CN" w:bidi="ar"/>
        </w:rPr>
        <w:t xml:space="preserve">A reposição dos materiais descartáveis por escrito sempre que notar necessidade, que deverá atender à solicitação no prazo de 24 (vinte e quatro) horas; </w:t>
      </w:r>
    </w:p>
    <w:p w14:paraId="798AEF4C">
      <w:pPr>
        <w:numPr>
          <w:ilvl w:val="4"/>
          <w:numId w:val="3"/>
        </w:numPr>
        <w:tabs>
          <w:tab w:val="left" w:pos="880"/>
        </w:tabs>
        <w:spacing w:before="120" w:beforeLines="50" w:after="120" w:afterLines="50" w:line="360" w:lineRule="auto"/>
        <w:ind w:left="440" w:leftChars="200" w:right="176" w:rightChars="80"/>
        <w:jc w:val="both"/>
        <w:rPr>
          <w:rFonts w:ascii="Arial" w:hAnsi="Arial" w:cs="Arial"/>
        </w:rPr>
      </w:pPr>
      <w:r>
        <w:rPr>
          <w:rFonts w:ascii="Arial" w:hAnsi="Arial" w:eastAsia="SimSun" w:cs="Arial"/>
          <w:color w:val="000000"/>
          <w:lang w:eastAsia="zh-CN" w:bidi="ar"/>
        </w:rPr>
        <w:t xml:space="preserve">Plano de ação sob as demandas levantadas na cozinha com finalidade de solucionar os problemas. </w:t>
      </w:r>
    </w:p>
    <w:p w14:paraId="620B1E88">
      <w:pPr>
        <w:pStyle w:val="2"/>
        <w:numPr>
          <w:ilvl w:val="2"/>
          <w:numId w:val="3"/>
        </w:numPr>
        <w:tabs>
          <w:tab w:val="left" w:pos="425"/>
          <w:tab w:val="left" w:pos="6652"/>
          <w:tab w:val="left" w:pos="7867"/>
          <w:tab w:val="left" w:pos="8186"/>
          <w:tab w:val="left" w:pos="9680"/>
        </w:tabs>
        <w:spacing w:before="240" w:beforeLines="100" w:line="360" w:lineRule="auto"/>
        <w:ind w:left="425" w:right="176" w:rightChars="80" w:hanging="425"/>
        <w:jc w:val="both"/>
        <w:rPr>
          <w:rFonts w:ascii="Arial" w:hAnsi="Arial" w:cs="Arial"/>
          <w:b w:val="0"/>
          <w:bCs w:val="0"/>
          <w:sz w:val="18"/>
          <w:szCs w:val="18"/>
          <w:lang w:val="pt-BR"/>
        </w:rPr>
      </w:pPr>
      <w:r>
        <w:rPr>
          <w:rFonts w:ascii="Arial" w:hAnsi="Arial" w:cs="Arial"/>
          <w:sz w:val="22"/>
          <w:szCs w:val="22"/>
          <w:lang w:val="pt-BR"/>
        </w:rPr>
        <w:t>LOCAIS PARA EXECUÇÃO DO OBJETO DA CONTRATAÇÃO:</w:t>
      </w:r>
    </w:p>
    <w:tbl>
      <w:tblPr>
        <w:tblStyle w:val="7"/>
        <w:tblW w:w="10644" w:type="dxa"/>
        <w:jc w:val="center"/>
        <w:tblLayout w:type="fixed"/>
        <w:tblCellMar>
          <w:top w:w="0" w:type="dxa"/>
          <w:left w:w="108" w:type="dxa"/>
          <w:bottom w:w="0" w:type="dxa"/>
          <w:right w:w="108" w:type="dxa"/>
        </w:tblCellMar>
      </w:tblPr>
      <w:tblGrid>
        <w:gridCol w:w="562"/>
        <w:gridCol w:w="1304"/>
        <w:gridCol w:w="1113"/>
        <w:gridCol w:w="2569"/>
        <w:gridCol w:w="1217"/>
        <w:gridCol w:w="1050"/>
        <w:gridCol w:w="2829"/>
      </w:tblGrid>
      <w:tr w14:paraId="47D734AD">
        <w:tblPrEx>
          <w:tblCellMar>
            <w:top w:w="0" w:type="dxa"/>
            <w:left w:w="108" w:type="dxa"/>
            <w:bottom w:w="0" w:type="dxa"/>
            <w:right w:w="108" w:type="dxa"/>
          </w:tblCellMar>
        </w:tblPrEx>
        <w:trPr>
          <w:trHeight w:val="278" w:hRule="atLeast"/>
          <w:jc w:val="center"/>
        </w:trPr>
        <w:tc>
          <w:tcPr>
            <w:tcW w:w="562" w:type="dxa"/>
            <w:tcBorders>
              <w:top w:val="single" w:color="000000" w:sz="2" w:space="0"/>
              <w:left w:val="single" w:color="000000" w:sz="2" w:space="0"/>
              <w:bottom w:val="single" w:color="000000" w:sz="2" w:space="0"/>
              <w:right w:val="single" w:color="000000" w:sz="2" w:space="0"/>
            </w:tcBorders>
            <w:shd w:val="clear" w:color="auto" w:fill="D7D7D7"/>
            <w:noWrap w:val="0"/>
            <w:vAlign w:val="center"/>
          </w:tcPr>
          <w:p w14:paraId="1CA3008D">
            <w:pPr>
              <w:keepNext w:val="0"/>
              <w:keepLines w:val="0"/>
              <w:pageBreakBefore w:val="0"/>
              <w:widowControl/>
              <w:kinsoku/>
              <w:wordWrap/>
              <w:overflowPunct/>
              <w:topLinePunct w:val="0"/>
              <w:autoSpaceDE/>
              <w:autoSpaceDN/>
              <w:bidi w:val="0"/>
              <w:adjustRightInd/>
              <w:snapToGrid/>
              <w:spacing w:after="0" w:line="260" w:lineRule="auto"/>
              <w:jc w:val="center"/>
              <w:textAlignment w:val="auto"/>
              <w:rPr>
                <w:rFonts w:ascii="Arial" w:hAnsi="Arial" w:cs="Arial"/>
                <w:b/>
                <w:bCs/>
                <w:sz w:val="20"/>
                <w:szCs w:val="20"/>
              </w:rPr>
            </w:pPr>
            <w:r>
              <w:rPr>
                <w:rFonts w:ascii="Arial" w:hAnsi="Arial" w:cs="Arial"/>
                <w:b/>
                <w:bCs/>
                <w:sz w:val="20"/>
                <w:szCs w:val="20"/>
                <w:lang w:val="en-US" w:eastAsia="zh-CN" w:bidi="ar"/>
              </w:rPr>
              <w:t>Nº</w:t>
            </w:r>
          </w:p>
        </w:tc>
        <w:tc>
          <w:tcPr>
            <w:tcW w:w="1304" w:type="dxa"/>
            <w:tcBorders>
              <w:top w:val="single" w:color="000000" w:sz="2" w:space="0"/>
              <w:left w:val="single" w:color="000000" w:sz="2" w:space="0"/>
              <w:bottom w:val="single" w:color="000000" w:sz="2" w:space="0"/>
              <w:right w:val="single" w:color="000000" w:sz="2" w:space="0"/>
            </w:tcBorders>
            <w:shd w:val="clear" w:color="auto" w:fill="D7D7D7"/>
            <w:noWrap w:val="0"/>
            <w:vAlign w:val="center"/>
          </w:tcPr>
          <w:p w14:paraId="43EC4953">
            <w:pPr>
              <w:keepNext w:val="0"/>
              <w:keepLines w:val="0"/>
              <w:pageBreakBefore w:val="0"/>
              <w:widowControl/>
              <w:kinsoku/>
              <w:wordWrap/>
              <w:overflowPunct/>
              <w:topLinePunct w:val="0"/>
              <w:autoSpaceDE/>
              <w:autoSpaceDN/>
              <w:bidi w:val="0"/>
              <w:adjustRightInd/>
              <w:snapToGrid/>
              <w:spacing w:after="0" w:line="260" w:lineRule="auto"/>
              <w:jc w:val="center"/>
              <w:textAlignment w:val="auto"/>
              <w:rPr>
                <w:rFonts w:ascii="Arial" w:hAnsi="Arial" w:cs="Arial"/>
                <w:b/>
                <w:bCs/>
                <w:sz w:val="20"/>
                <w:szCs w:val="20"/>
              </w:rPr>
            </w:pPr>
            <w:r>
              <w:rPr>
                <w:rFonts w:ascii="Arial" w:hAnsi="Arial" w:cs="Arial"/>
                <w:b/>
                <w:bCs/>
                <w:sz w:val="20"/>
                <w:szCs w:val="20"/>
                <w:lang w:val="en-US" w:eastAsia="zh-CN" w:bidi="ar"/>
              </w:rPr>
              <w:t>CÓD. INEP</w:t>
            </w:r>
          </w:p>
        </w:tc>
        <w:tc>
          <w:tcPr>
            <w:tcW w:w="1113" w:type="dxa"/>
            <w:tcBorders>
              <w:top w:val="single" w:color="000000" w:sz="2" w:space="0"/>
              <w:left w:val="single" w:color="000000" w:sz="2" w:space="0"/>
              <w:bottom w:val="single" w:color="000000" w:sz="2" w:space="0"/>
              <w:right w:val="single" w:color="000000" w:sz="2" w:space="0"/>
            </w:tcBorders>
            <w:shd w:val="clear" w:color="auto" w:fill="D7D7D7"/>
            <w:noWrap w:val="0"/>
            <w:vAlign w:val="center"/>
          </w:tcPr>
          <w:p w14:paraId="331158F2">
            <w:pPr>
              <w:keepNext w:val="0"/>
              <w:keepLines w:val="0"/>
              <w:pageBreakBefore w:val="0"/>
              <w:widowControl/>
              <w:kinsoku/>
              <w:wordWrap/>
              <w:overflowPunct/>
              <w:topLinePunct w:val="0"/>
              <w:autoSpaceDE/>
              <w:autoSpaceDN/>
              <w:bidi w:val="0"/>
              <w:adjustRightInd/>
              <w:snapToGrid/>
              <w:spacing w:after="0" w:line="260" w:lineRule="auto"/>
              <w:jc w:val="center"/>
              <w:textAlignment w:val="auto"/>
              <w:rPr>
                <w:rFonts w:ascii="Arial" w:hAnsi="Arial" w:cs="Arial"/>
                <w:b/>
                <w:bCs/>
                <w:sz w:val="20"/>
                <w:szCs w:val="20"/>
              </w:rPr>
            </w:pPr>
            <w:r>
              <w:rPr>
                <w:rFonts w:ascii="Arial" w:hAnsi="Arial" w:cs="Arial"/>
                <w:b/>
                <w:bCs/>
                <w:sz w:val="20"/>
                <w:szCs w:val="20"/>
                <w:lang w:val="en-US" w:eastAsia="zh-CN" w:bidi="ar"/>
              </w:rPr>
              <w:t>PORTE</w:t>
            </w:r>
          </w:p>
        </w:tc>
        <w:tc>
          <w:tcPr>
            <w:tcW w:w="2569" w:type="dxa"/>
            <w:tcBorders>
              <w:top w:val="single" w:color="000000" w:sz="2" w:space="0"/>
              <w:left w:val="single" w:color="000000" w:sz="2" w:space="0"/>
              <w:bottom w:val="single" w:color="000000" w:sz="2" w:space="0"/>
              <w:right w:val="single" w:color="000000" w:sz="2" w:space="0"/>
            </w:tcBorders>
            <w:shd w:val="clear" w:color="auto" w:fill="D7D7D7"/>
            <w:noWrap w:val="0"/>
            <w:vAlign w:val="center"/>
          </w:tcPr>
          <w:p w14:paraId="11C8565D">
            <w:pPr>
              <w:keepNext w:val="0"/>
              <w:keepLines w:val="0"/>
              <w:pageBreakBefore w:val="0"/>
              <w:widowControl/>
              <w:kinsoku/>
              <w:wordWrap/>
              <w:overflowPunct/>
              <w:topLinePunct w:val="0"/>
              <w:autoSpaceDE/>
              <w:autoSpaceDN/>
              <w:bidi w:val="0"/>
              <w:adjustRightInd/>
              <w:snapToGrid/>
              <w:spacing w:after="0" w:line="260" w:lineRule="auto"/>
              <w:jc w:val="center"/>
              <w:textAlignment w:val="auto"/>
              <w:rPr>
                <w:rFonts w:ascii="Arial" w:hAnsi="Arial" w:cs="Arial"/>
                <w:b/>
                <w:bCs/>
                <w:sz w:val="20"/>
                <w:szCs w:val="20"/>
              </w:rPr>
            </w:pPr>
            <w:r>
              <w:rPr>
                <w:rFonts w:ascii="Arial" w:hAnsi="Arial" w:cs="Arial"/>
                <w:b/>
                <w:bCs/>
                <w:sz w:val="20"/>
                <w:szCs w:val="20"/>
                <w:lang w:val="en-US" w:eastAsia="zh-CN" w:bidi="ar"/>
              </w:rPr>
              <w:t>NOME</w:t>
            </w:r>
          </w:p>
        </w:tc>
        <w:tc>
          <w:tcPr>
            <w:tcW w:w="1217" w:type="dxa"/>
            <w:tcBorders>
              <w:top w:val="single" w:color="000000" w:sz="2" w:space="0"/>
              <w:left w:val="single" w:color="000000" w:sz="2" w:space="0"/>
              <w:bottom w:val="single" w:color="000000" w:sz="2" w:space="0"/>
              <w:right w:val="single" w:color="000000" w:sz="2" w:space="0"/>
            </w:tcBorders>
            <w:shd w:val="clear" w:color="auto" w:fill="D7D7D7"/>
            <w:noWrap w:val="0"/>
            <w:vAlign w:val="center"/>
          </w:tcPr>
          <w:p w14:paraId="44628317">
            <w:pPr>
              <w:keepNext w:val="0"/>
              <w:keepLines w:val="0"/>
              <w:pageBreakBefore w:val="0"/>
              <w:widowControl/>
              <w:kinsoku/>
              <w:wordWrap/>
              <w:overflowPunct/>
              <w:topLinePunct w:val="0"/>
              <w:autoSpaceDE/>
              <w:autoSpaceDN/>
              <w:bidi w:val="0"/>
              <w:adjustRightInd/>
              <w:snapToGrid/>
              <w:spacing w:after="0" w:line="260" w:lineRule="auto"/>
              <w:jc w:val="center"/>
              <w:textAlignment w:val="auto"/>
              <w:rPr>
                <w:rFonts w:ascii="Arial" w:hAnsi="Arial" w:cs="Arial"/>
                <w:b/>
                <w:bCs/>
                <w:sz w:val="20"/>
                <w:szCs w:val="20"/>
              </w:rPr>
            </w:pPr>
            <w:r>
              <w:rPr>
                <w:rFonts w:ascii="Arial" w:hAnsi="Arial" w:cs="Arial"/>
                <w:b/>
                <w:bCs/>
                <w:sz w:val="20"/>
                <w:szCs w:val="20"/>
                <w:lang w:val="en-US" w:eastAsia="zh-CN" w:bidi="ar"/>
              </w:rPr>
              <w:t>PERÍODO</w:t>
            </w:r>
          </w:p>
        </w:tc>
        <w:tc>
          <w:tcPr>
            <w:tcW w:w="1050" w:type="dxa"/>
            <w:tcBorders>
              <w:top w:val="single" w:color="000000" w:sz="2" w:space="0"/>
              <w:left w:val="single" w:color="000000" w:sz="2" w:space="0"/>
              <w:bottom w:val="single" w:color="000000" w:sz="2" w:space="0"/>
              <w:right w:val="single" w:color="000000" w:sz="2" w:space="0"/>
            </w:tcBorders>
            <w:shd w:val="clear" w:color="auto" w:fill="D7D7D7"/>
            <w:noWrap w:val="0"/>
            <w:vAlign w:val="center"/>
          </w:tcPr>
          <w:p w14:paraId="64E45BDE">
            <w:pPr>
              <w:keepNext w:val="0"/>
              <w:keepLines w:val="0"/>
              <w:pageBreakBefore w:val="0"/>
              <w:widowControl/>
              <w:kinsoku/>
              <w:wordWrap/>
              <w:overflowPunct/>
              <w:topLinePunct w:val="0"/>
              <w:autoSpaceDE/>
              <w:autoSpaceDN/>
              <w:bidi w:val="0"/>
              <w:adjustRightInd/>
              <w:snapToGrid/>
              <w:spacing w:after="0" w:line="260" w:lineRule="auto"/>
              <w:jc w:val="center"/>
              <w:textAlignment w:val="auto"/>
              <w:rPr>
                <w:rFonts w:ascii="Arial" w:hAnsi="Arial" w:cs="Arial"/>
                <w:b/>
                <w:bCs/>
                <w:sz w:val="20"/>
                <w:szCs w:val="20"/>
              </w:rPr>
            </w:pPr>
            <w:r>
              <w:rPr>
                <w:rFonts w:ascii="Arial" w:hAnsi="Arial" w:cs="Arial"/>
                <w:b/>
                <w:bCs/>
                <w:sz w:val="20"/>
                <w:szCs w:val="20"/>
                <w:lang w:val="en-US" w:eastAsia="zh-CN" w:bidi="ar"/>
              </w:rPr>
              <w:t>ZONA</w:t>
            </w:r>
          </w:p>
        </w:tc>
        <w:tc>
          <w:tcPr>
            <w:tcW w:w="2829" w:type="dxa"/>
            <w:tcBorders>
              <w:top w:val="single" w:color="000000" w:sz="2" w:space="0"/>
              <w:left w:val="single" w:color="000000" w:sz="2" w:space="0"/>
              <w:bottom w:val="single" w:color="000000" w:sz="2" w:space="0"/>
              <w:right w:val="single" w:color="000000" w:sz="2" w:space="0"/>
            </w:tcBorders>
            <w:shd w:val="clear" w:color="auto" w:fill="D7D7D7"/>
            <w:noWrap w:val="0"/>
            <w:vAlign w:val="center"/>
          </w:tcPr>
          <w:p w14:paraId="00EBFB10">
            <w:pPr>
              <w:keepNext w:val="0"/>
              <w:keepLines w:val="0"/>
              <w:pageBreakBefore w:val="0"/>
              <w:widowControl/>
              <w:kinsoku/>
              <w:wordWrap/>
              <w:overflowPunct/>
              <w:topLinePunct w:val="0"/>
              <w:autoSpaceDE/>
              <w:autoSpaceDN/>
              <w:bidi w:val="0"/>
              <w:adjustRightInd/>
              <w:snapToGrid/>
              <w:spacing w:after="0" w:line="260" w:lineRule="auto"/>
              <w:jc w:val="center"/>
              <w:textAlignment w:val="auto"/>
              <w:rPr>
                <w:rFonts w:ascii="Arial" w:hAnsi="Arial" w:cs="Arial"/>
                <w:b/>
                <w:bCs/>
                <w:sz w:val="20"/>
                <w:szCs w:val="20"/>
              </w:rPr>
            </w:pPr>
            <w:r>
              <w:rPr>
                <w:rFonts w:ascii="Arial" w:hAnsi="Arial" w:cs="Arial"/>
                <w:b/>
                <w:bCs/>
                <w:sz w:val="20"/>
                <w:szCs w:val="20"/>
                <w:lang w:val="en-US" w:eastAsia="zh-CN" w:bidi="ar"/>
              </w:rPr>
              <w:t>ENDEREÇO</w:t>
            </w:r>
          </w:p>
        </w:tc>
      </w:tr>
      <w:tr w14:paraId="48A54F46">
        <w:tblPrEx>
          <w:tblCellMar>
            <w:top w:w="0" w:type="dxa"/>
            <w:left w:w="108" w:type="dxa"/>
            <w:bottom w:w="0" w:type="dxa"/>
            <w:right w:w="108" w:type="dxa"/>
          </w:tblCellMar>
        </w:tblPrEx>
        <w:trPr>
          <w:trHeight w:val="278" w:hRule="atLeast"/>
          <w:jc w:val="center"/>
        </w:trPr>
        <w:tc>
          <w:tcPr>
            <w:tcW w:w="562"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0E529E98">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01</w:t>
            </w:r>
          </w:p>
        </w:tc>
        <w:tc>
          <w:tcPr>
            <w:tcW w:w="1304"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25AED684">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MT 51016001</w:t>
            </w:r>
          </w:p>
        </w:tc>
        <w:tc>
          <w:tcPr>
            <w:tcW w:w="1113"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5E13F71B">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Médio Porte I</w:t>
            </w:r>
          </w:p>
        </w:tc>
        <w:tc>
          <w:tcPr>
            <w:tcW w:w="2569"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4D1B5EFE">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hint="default" w:ascii="Arial" w:hAnsi="Arial"/>
                <w:sz w:val="20"/>
                <w:szCs w:val="20"/>
                <w:lang w:val="en-US" w:eastAsia="zh-CN"/>
              </w:rPr>
              <w:t>EMEB MARIA APARECIDA AMARO DE SOUZA</w:t>
            </w:r>
          </w:p>
        </w:tc>
        <w:tc>
          <w:tcPr>
            <w:tcW w:w="1217"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5FAECF68">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INTEGRAL</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6F1A8CE3">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URBANA</w:t>
            </w:r>
          </w:p>
        </w:tc>
        <w:tc>
          <w:tcPr>
            <w:tcW w:w="2829"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554F353C">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R. Colonizador Ênio Pipino, 860 - Bairro São Cristovao, Sinop - MT, 78558-008</w:t>
            </w:r>
          </w:p>
        </w:tc>
      </w:tr>
      <w:tr w14:paraId="3B0DDA13">
        <w:tblPrEx>
          <w:tblCellMar>
            <w:top w:w="0" w:type="dxa"/>
            <w:left w:w="108" w:type="dxa"/>
            <w:bottom w:w="0" w:type="dxa"/>
            <w:right w:w="108" w:type="dxa"/>
          </w:tblCellMar>
        </w:tblPrEx>
        <w:trPr>
          <w:trHeight w:val="278" w:hRule="atLeast"/>
          <w:jc w:val="center"/>
        </w:trPr>
        <w:tc>
          <w:tcPr>
            <w:tcW w:w="562"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1856BE32">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02</w:t>
            </w:r>
          </w:p>
        </w:tc>
        <w:tc>
          <w:tcPr>
            <w:tcW w:w="1304"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6338E2B3">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MT 51016079</w:t>
            </w:r>
          </w:p>
        </w:tc>
        <w:tc>
          <w:tcPr>
            <w:tcW w:w="1113"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36774305">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Grande Porte</w:t>
            </w:r>
          </w:p>
        </w:tc>
        <w:tc>
          <w:tcPr>
            <w:tcW w:w="2569"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060C47ED">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Arial" w:hAnsi="Arial" w:eastAsia="Times New Roman" w:cs="Arial"/>
                <w:sz w:val="20"/>
                <w:szCs w:val="20"/>
                <w:lang w:val="en-US" w:eastAsia="zh-CN" w:bidi="ar-SA"/>
              </w:rPr>
            </w:pPr>
            <w:r>
              <w:rPr>
                <w:rFonts w:hint="default" w:ascii="Arial" w:hAnsi="Arial"/>
                <w:sz w:val="20"/>
                <w:szCs w:val="20"/>
                <w:lang w:val="en-US" w:eastAsia="zh-CN"/>
              </w:rPr>
              <w:t>EMEB RODRIGO DAMASCENO</w:t>
            </w:r>
          </w:p>
        </w:tc>
        <w:tc>
          <w:tcPr>
            <w:tcW w:w="1217"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42F98D74">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REGULAR</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1BF01FBB">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URBANA</w:t>
            </w:r>
          </w:p>
        </w:tc>
        <w:tc>
          <w:tcPr>
            <w:tcW w:w="2829"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566E599B">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Av. dos Jequitibás, 2098 - Jardim das Violetas, Sinop - MT, 78558-250</w:t>
            </w:r>
          </w:p>
        </w:tc>
      </w:tr>
      <w:tr w14:paraId="4413EE21">
        <w:tblPrEx>
          <w:tblCellMar>
            <w:top w:w="0" w:type="dxa"/>
            <w:left w:w="108" w:type="dxa"/>
            <w:bottom w:w="0" w:type="dxa"/>
            <w:right w:w="108" w:type="dxa"/>
          </w:tblCellMar>
        </w:tblPrEx>
        <w:trPr>
          <w:trHeight w:val="278" w:hRule="atLeast"/>
          <w:jc w:val="center"/>
        </w:trPr>
        <w:tc>
          <w:tcPr>
            <w:tcW w:w="562"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3A7E1623">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03</w:t>
            </w:r>
          </w:p>
        </w:tc>
        <w:tc>
          <w:tcPr>
            <w:tcW w:w="1304"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7F2D5C40">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MT 51016222</w:t>
            </w:r>
          </w:p>
        </w:tc>
        <w:tc>
          <w:tcPr>
            <w:tcW w:w="1113"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256993FC">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Grande Porte</w:t>
            </w:r>
          </w:p>
        </w:tc>
        <w:tc>
          <w:tcPr>
            <w:tcW w:w="2569"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5D9E6909">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hint="default" w:ascii="Arial" w:hAnsi="Arial"/>
                <w:sz w:val="20"/>
                <w:szCs w:val="20"/>
                <w:lang w:val="en-US" w:eastAsia="zh-CN"/>
              </w:rPr>
              <w:t>EMEB SADAO WATANABE</w:t>
            </w:r>
          </w:p>
        </w:tc>
        <w:tc>
          <w:tcPr>
            <w:tcW w:w="1217"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24697214">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REGULAR</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4F47F207">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URBANA</w:t>
            </w:r>
          </w:p>
        </w:tc>
        <w:tc>
          <w:tcPr>
            <w:tcW w:w="2829"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24E138E3">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R. dos Agapantos, 550 - Jardim Primavera, Sinop - MT, 78550-422</w:t>
            </w:r>
          </w:p>
        </w:tc>
      </w:tr>
      <w:tr w14:paraId="60FB8AF9">
        <w:tblPrEx>
          <w:tblCellMar>
            <w:top w:w="0" w:type="dxa"/>
            <w:left w:w="108" w:type="dxa"/>
            <w:bottom w:w="0" w:type="dxa"/>
            <w:right w:w="108" w:type="dxa"/>
          </w:tblCellMar>
        </w:tblPrEx>
        <w:trPr>
          <w:trHeight w:val="278" w:hRule="atLeast"/>
          <w:jc w:val="center"/>
        </w:trPr>
        <w:tc>
          <w:tcPr>
            <w:tcW w:w="562"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480FF933">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04</w:t>
            </w:r>
          </w:p>
        </w:tc>
        <w:tc>
          <w:tcPr>
            <w:tcW w:w="1304"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2673FCF0">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MT 51016249</w:t>
            </w:r>
          </w:p>
        </w:tc>
        <w:tc>
          <w:tcPr>
            <w:tcW w:w="1113"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67A6D266">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Pequeno Porte</w:t>
            </w:r>
          </w:p>
        </w:tc>
        <w:tc>
          <w:tcPr>
            <w:tcW w:w="2569"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091AF1DA">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Arial" w:hAnsi="Arial" w:eastAsia="Times New Roman" w:cs="Arial"/>
                <w:sz w:val="20"/>
                <w:szCs w:val="20"/>
                <w:lang w:val="en-US" w:eastAsia="zh-CN" w:bidi="ar-SA"/>
              </w:rPr>
            </w:pPr>
            <w:r>
              <w:rPr>
                <w:rFonts w:ascii="Arial" w:hAnsi="Arial" w:cs="Arial"/>
                <w:sz w:val="20"/>
                <w:szCs w:val="20"/>
                <w:lang w:val="en-US" w:eastAsia="zh-CN" w:bidi="ar"/>
              </w:rPr>
              <w:t>EMEB SILVANA</w:t>
            </w:r>
          </w:p>
        </w:tc>
        <w:tc>
          <w:tcPr>
            <w:tcW w:w="1217"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68CDB225">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INTEGRAL</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4598185B">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RURAL</w:t>
            </w:r>
          </w:p>
        </w:tc>
        <w:tc>
          <w:tcPr>
            <w:tcW w:w="2829"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387496D1">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Estr. Silvana, 1145 - Zona Rural, Sinop - MT, 78550-970</w:t>
            </w:r>
          </w:p>
        </w:tc>
      </w:tr>
      <w:tr w14:paraId="7BC5D6DA">
        <w:tblPrEx>
          <w:tblCellMar>
            <w:top w:w="0" w:type="dxa"/>
            <w:left w:w="108" w:type="dxa"/>
            <w:bottom w:w="0" w:type="dxa"/>
            <w:right w:w="108" w:type="dxa"/>
          </w:tblCellMar>
        </w:tblPrEx>
        <w:trPr>
          <w:trHeight w:val="278" w:hRule="atLeast"/>
          <w:jc w:val="center"/>
        </w:trPr>
        <w:tc>
          <w:tcPr>
            <w:tcW w:w="562"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330776EF">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05</w:t>
            </w:r>
          </w:p>
        </w:tc>
        <w:tc>
          <w:tcPr>
            <w:tcW w:w="1304"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076C29B3">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MT 51016257</w:t>
            </w:r>
          </w:p>
        </w:tc>
        <w:tc>
          <w:tcPr>
            <w:tcW w:w="1113"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03F5C95B">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Pequeno Porte</w:t>
            </w:r>
          </w:p>
        </w:tc>
        <w:tc>
          <w:tcPr>
            <w:tcW w:w="2569"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7D5E2CD1">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hint="default" w:ascii="Arial" w:hAnsi="Arial"/>
                <w:sz w:val="20"/>
                <w:szCs w:val="20"/>
                <w:lang w:val="en-US" w:eastAsia="zh-CN"/>
              </w:rPr>
              <w:t>EMEB UILIBALDO VIEIRA GOBBO</w:t>
            </w:r>
          </w:p>
        </w:tc>
        <w:tc>
          <w:tcPr>
            <w:tcW w:w="1217"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6801D87B">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REGULAR</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054EE9EC">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URBANA</w:t>
            </w:r>
          </w:p>
        </w:tc>
        <w:tc>
          <w:tcPr>
            <w:tcW w:w="2829"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799AACE8">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BR-163, 840 - St. Comercial, Sinop - MT, 78558</w:t>
            </w:r>
          </w:p>
        </w:tc>
      </w:tr>
      <w:tr w14:paraId="1C4FA158">
        <w:tblPrEx>
          <w:tblCellMar>
            <w:top w:w="0" w:type="dxa"/>
            <w:left w:w="108" w:type="dxa"/>
            <w:bottom w:w="0" w:type="dxa"/>
            <w:right w:w="108" w:type="dxa"/>
          </w:tblCellMar>
        </w:tblPrEx>
        <w:trPr>
          <w:trHeight w:val="278" w:hRule="atLeast"/>
          <w:jc w:val="center"/>
        </w:trPr>
        <w:tc>
          <w:tcPr>
            <w:tcW w:w="562"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563FF3E3">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06</w:t>
            </w:r>
          </w:p>
        </w:tc>
        <w:tc>
          <w:tcPr>
            <w:tcW w:w="1304"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198230AC">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MT 51016265</w:t>
            </w:r>
          </w:p>
        </w:tc>
        <w:tc>
          <w:tcPr>
            <w:tcW w:w="1113"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0E59B27D">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Médio Porte II</w:t>
            </w:r>
          </w:p>
        </w:tc>
        <w:tc>
          <w:tcPr>
            <w:tcW w:w="2569"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20B6290F">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Arial" w:hAnsi="Arial" w:eastAsia="Times New Roman" w:cs="Arial"/>
                <w:sz w:val="20"/>
                <w:szCs w:val="20"/>
                <w:lang w:val="en-US" w:eastAsia="zh-CN" w:bidi="ar-SA"/>
              </w:rPr>
            </w:pPr>
            <w:r>
              <w:rPr>
                <w:rFonts w:ascii="Arial" w:hAnsi="Arial" w:cs="Arial"/>
                <w:sz w:val="20"/>
                <w:szCs w:val="20"/>
                <w:lang w:val="en-US" w:eastAsia="zh-CN" w:bidi="ar"/>
              </w:rPr>
              <w:t>EMEB VEREADOR RODOLFO VALTER KUNZE</w:t>
            </w:r>
          </w:p>
        </w:tc>
        <w:tc>
          <w:tcPr>
            <w:tcW w:w="1217"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56D9F8C4">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REGULAR</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2D0D181B">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URBANA</w:t>
            </w:r>
          </w:p>
        </w:tc>
        <w:tc>
          <w:tcPr>
            <w:tcW w:w="2829"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75850AED">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R. das Primaveras, 2040 - Jardim Botânico, Sinop - MT, 78556-026</w:t>
            </w:r>
          </w:p>
        </w:tc>
      </w:tr>
      <w:tr w14:paraId="4281E279">
        <w:tblPrEx>
          <w:tblCellMar>
            <w:top w:w="0" w:type="dxa"/>
            <w:left w:w="108" w:type="dxa"/>
            <w:bottom w:w="0" w:type="dxa"/>
            <w:right w:w="108" w:type="dxa"/>
          </w:tblCellMar>
        </w:tblPrEx>
        <w:trPr>
          <w:trHeight w:val="715" w:hRule="atLeast"/>
          <w:jc w:val="center"/>
        </w:trPr>
        <w:tc>
          <w:tcPr>
            <w:tcW w:w="5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7BA2F9F">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sz w:val="20"/>
                <w:szCs w:val="20"/>
                <w:lang w:val="pt-BR"/>
              </w:rPr>
            </w:pPr>
            <w:r>
              <w:rPr>
                <w:rFonts w:hint="default" w:ascii="Arial" w:hAnsi="Arial" w:cs="Arial"/>
                <w:sz w:val="20"/>
                <w:szCs w:val="20"/>
                <w:lang w:val="pt-BR" w:eastAsia="zh-CN" w:bidi="ar"/>
              </w:rPr>
              <w:t>07</w:t>
            </w:r>
          </w:p>
        </w:tc>
        <w:tc>
          <w:tcPr>
            <w:tcW w:w="1304"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50434704">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rPr>
            </w:pPr>
            <w:r>
              <w:rPr>
                <w:rFonts w:ascii="Arial" w:hAnsi="Arial" w:cs="Arial"/>
                <w:sz w:val="20"/>
                <w:szCs w:val="20"/>
                <w:lang w:val="en-US" w:eastAsia="zh-CN" w:bidi="ar"/>
              </w:rPr>
              <w:t>MT 51053950</w:t>
            </w:r>
          </w:p>
        </w:tc>
        <w:tc>
          <w:tcPr>
            <w:tcW w:w="11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AFFA2AC">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rPr>
            </w:pPr>
            <w:r>
              <w:rPr>
                <w:rFonts w:ascii="Arial" w:hAnsi="Arial" w:cs="Arial"/>
                <w:sz w:val="20"/>
                <w:szCs w:val="20"/>
                <w:lang w:val="en-US" w:eastAsia="zh-CN" w:bidi="ar"/>
              </w:rPr>
              <w:t>Grande Porte</w:t>
            </w:r>
          </w:p>
        </w:tc>
        <w:tc>
          <w:tcPr>
            <w:tcW w:w="2569"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137BEAD6">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cs="Arial"/>
                <w:sz w:val="20"/>
                <w:szCs w:val="20"/>
              </w:rPr>
            </w:pPr>
            <w:r>
              <w:rPr>
                <w:rFonts w:ascii="Arial" w:hAnsi="Arial" w:cs="Arial"/>
                <w:sz w:val="20"/>
                <w:szCs w:val="20"/>
                <w:lang w:val="en-US" w:eastAsia="zh-CN" w:bidi="ar"/>
              </w:rPr>
              <w:t>CENTRO EDUCACIONAL LINDOLFO JOSE TRIERWEILLER</w:t>
            </w:r>
          </w:p>
        </w:tc>
        <w:tc>
          <w:tcPr>
            <w:tcW w:w="121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DAC4C45">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rPr>
            </w:pPr>
            <w:r>
              <w:rPr>
                <w:rFonts w:ascii="Arial" w:hAnsi="Arial" w:cs="Arial"/>
                <w:sz w:val="20"/>
                <w:szCs w:val="20"/>
                <w:lang w:val="en-US" w:eastAsia="zh-CN" w:bidi="ar"/>
              </w:rPr>
              <w:t>REGULAR</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C5D726B">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rPr>
            </w:pPr>
            <w:r>
              <w:rPr>
                <w:rFonts w:ascii="Arial" w:hAnsi="Arial" w:cs="Arial"/>
                <w:sz w:val="20"/>
                <w:szCs w:val="20"/>
                <w:lang w:val="en-US" w:eastAsia="zh-CN" w:bidi="ar"/>
              </w:rPr>
              <w:t>URBANA</w:t>
            </w:r>
          </w:p>
        </w:tc>
        <w:tc>
          <w:tcPr>
            <w:tcW w:w="2829"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2E1C6A15">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cs="Arial"/>
                <w:sz w:val="20"/>
                <w:szCs w:val="20"/>
              </w:rPr>
            </w:pPr>
            <w:r>
              <w:rPr>
                <w:rFonts w:ascii="Arial" w:hAnsi="Arial" w:cs="Arial"/>
                <w:sz w:val="20"/>
                <w:szCs w:val="20"/>
                <w:lang w:val="en-US" w:eastAsia="zh-CN" w:bidi="ar"/>
              </w:rPr>
              <w:t>R. dos Eucalíptos, 353 - St. Comercial, Sinop - MT, 78550-166</w:t>
            </w:r>
          </w:p>
        </w:tc>
      </w:tr>
      <w:tr w14:paraId="2173EA24">
        <w:tblPrEx>
          <w:tblCellMar>
            <w:top w:w="0" w:type="dxa"/>
            <w:left w:w="108" w:type="dxa"/>
            <w:bottom w:w="0" w:type="dxa"/>
            <w:right w:w="108" w:type="dxa"/>
          </w:tblCellMar>
        </w:tblPrEx>
        <w:trPr>
          <w:trHeight w:val="455" w:hRule="atLeast"/>
          <w:jc w:val="center"/>
        </w:trPr>
        <w:tc>
          <w:tcPr>
            <w:tcW w:w="5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24BEB8F">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08</w:t>
            </w:r>
          </w:p>
        </w:tc>
        <w:tc>
          <w:tcPr>
            <w:tcW w:w="1304"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10C8A6D0">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MT 51053985</w:t>
            </w:r>
          </w:p>
        </w:tc>
        <w:tc>
          <w:tcPr>
            <w:tcW w:w="11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989D974">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Pequeno Porte</w:t>
            </w:r>
          </w:p>
        </w:tc>
        <w:tc>
          <w:tcPr>
            <w:tcW w:w="2569"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1BA249EC">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EMEI UNIÃO</w:t>
            </w:r>
          </w:p>
        </w:tc>
        <w:tc>
          <w:tcPr>
            <w:tcW w:w="121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A87225C">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REGULAR</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B51EA9C">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URBANA</w:t>
            </w:r>
          </w:p>
        </w:tc>
        <w:tc>
          <w:tcPr>
            <w:tcW w:w="2829"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0344DA16">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R. Rosário, 608 - Comunidade Betel</w:t>
            </w:r>
          </w:p>
        </w:tc>
      </w:tr>
      <w:tr w14:paraId="79970EC3">
        <w:tblPrEx>
          <w:tblCellMar>
            <w:top w:w="0" w:type="dxa"/>
            <w:left w:w="108" w:type="dxa"/>
            <w:bottom w:w="0" w:type="dxa"/>
            <w:right w:w="108" w:type="dxa"/>
          </w:tblCellMar>
        </w:tblPrEx>
        <w:trPr>
          <w:trHeight w:val="448" w:hRule="atLeast"/>
          <w:jc w:val="center"/>
        </w:trPr>
        <w:tc>
          <w:tcPr>
            <w:tcW w:w="5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7ED72E5">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09</w:t>
            </w:r>
          </w:p>
        </w:tc>
        <w:tc>
          <w:tcPr>
            <w:tcW w:w="1304"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6E8F52BE">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MT 51053993</w:t>
            </w:r>
          </w:p>
        </w:tc>
        <w:tc>
          <w:tcPr>
            <w:tcW w:w="11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680873F">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Médio Porte I</w:t>
            </w:r>
          </w:p>
        </w:tc>
        <w:tc>
          <w:tcPr>
            <w:tcW w:w="2569"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19AB0D98">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EMEI SÃO CRISTÓVÃO</w:t>
            </w:r>
          </w:p>
        </w:tc>
        <w:tc>
          <w:tcPr>
            <w:tcW w:w="121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903891A">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REGULAR</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D956352">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URBANA</w:t>
            </w:r>
          </w:p>
        </w:tc>
        <w:tc>
          <w:tcPr>
            <w:tcW w:w="2829"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2FEA29BB">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R. Colonizador Ênio Pipino, 860 - Bairro São Cristovao</w:t>
            </w:r>
          </w:p>
        </w:tc>
      </w:tr>
      <w:tr w14:paraId="6BE5C572">
        <w:tblPrEx>
          <w:tblCellMar>
            <w:top w:w="0" w:type="dxa"/>
            <w:left w:w="108" w:type="dxa"/>
            <w:bottom w:w="0" w:type="dxa"/>
            <w:right w:w="108" w:type="dxa"/>
          </w:tblCellMar>
        </w:tblPrEx>
        <w:trPr>
          <w:trHeight w:val="492" w:hRule="atLeast"/>
          <w:jc w:val="center"/>
        </w:trPr>
        <w:tc>
          <w:tcPr>
            <w:tcW w:w="5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481E1FA">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sz w:val="20"/>
                <w:szCs w:val="20"/>
                <w:lang w:val="pt-BR" w:eastAsia="zh-CN" w:bidi="ar"/>
              </w:rPr>
            </w:pPr>
            <w:r>
              <w:rPr>
                <w:rFonts w:hint="default" w:ascii="Arial" w:hAnsi="Arial" w:cs="Arial"/>
                <w:sz w:val="20"/>
                <w:szCs w:val="20"/>
                <w:lang w:val="pt-BR" w:eastAsia="zh-CN" w:bidi="ar"/>
              </w:rPr>
              <w:t>10</w:t>
            </w:r>
          </w:p>
        </w:tc>
        <w:tc>
          <w:tcPr>
            <w:tcW w:w="1304"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11C3D4A4">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val="en-US" w:eastAsia="zh-CN" w:bidi="ar"/>
              </w:rPr>
            </w:pPr>
            <w:r>
              <w:rPr>
                <w:rFonts w:ascii="Arial" w:hAnsi="Arial" w:cs="Arial"/>
                <w:sz w:val="20"/>
                <w:szCs w:val="20"/>
                <w:lang w:val="en-US" w:eastAsia="zh-CN" w:bidi="ar"/>
              </w:rPr>
              <w:t>MT 51054019</w:t>
            </w:r>
          </w:p>
        </w:tc>
        <w:tc>
          <w:tcPr>
            <w:tcW w:w="11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7C8593F">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val="en-US" w:eastAsia="zh-CN" w:bidi="ar"/>
              </w:rPr>
            </w:pPr>
            <w:r>
              <w:rPr>
                <w:rFonts w:ascii="Arial" w:hAnsi="Arial" w:cs="Arial"/>
                <w:sz w:val="20"/>
                <w:szCs w:val="20"/>
                <w:lang w:val="en-US" w:eastAsia="zh-CN" w:bidi="ar"/>
              </w:rPr>
              <w:t>Pequeno Porte</w:t>
            </w:r>
          </w:p>
        </w:tc>
        <w:tc>
          <w:tcPr>
            <w:tcW w:w="2569"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0A768BAF">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cs="Arial"/>
                <w:sz w:val="20"/>
                <w:szCs w:val="20"/>
                <w:lang w:val="en-US" w:eastAsia="zh-CN" w:bidi="ar"/>
              </w:rPr>
            </w:pPr>
            <w:r>
              <w:rPr>
                <w:rFonts w:ascii="Arial" w:hAnsi="Arial" w:cs="Arial"/>
                <w:sz w:val="20"/>
                <w:szCs w:val="20"/>
                <w:lang w:val="en-US" w:eastAsia="zh-CN" w:bidi="ar"/>
              </w:rPr>
              <w:t>EMEI SÃO FRANCISCO DE ASSIS</w:t>
            </w:r>
          </w:p>
        </w:tc>
        <w:tc>
          <w:tcPr>
            <w:tcW w:w="121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358BB41">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lang w:val="en-US" w:eastAsia="zh-CN" w:bidi="ar"/>
              </w:rPr>
            </w:pPr>
            <w:r>
              <w:rPr>
                <w:rFonts w:ascii="Arial" w:hAnsi="Arial" w:cs="Arial"/>
                <w:sz w:val="20"/>
                <w:szCs w:val="20"/>
                <w:lang w:val="en-US" w:eastAsia="zh-CN" w:bidi="ar"/>
              </w:rPr>
              <w:t>REGULAR</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85853C9">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lang w:val="en-US" w:eastAsia="zh-CN" w:bidi="ar"/>
              </w:rPr>
            </w:pPr>
            <w:r>
              <w:rPr>
                <w:rFonts w:ascii="Arial" w:hAnsi="Arial" w:cs="Arial"/>
                <w:sz w:val="20"/>
                <w:szCs w:val="20"/>
                <w:lang w:val="en-US" w:eastAsia="zh-CN" w:bidi="ar"/>
              </w:rPr>
              <w:t>URBANA</w:t>
            </w:r>
          </w:p>
        </w:tc>
        <w:tc>
          <w:tcPr>
            <w:tcW w:w="2829"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5DE791B6">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cs="Arial"/>
                <w:sz w:val="20"/>
                <w:szCs w:val="20"/>
                <w:lang w:val="en-US" w:eastAsia="zh-CN" w:bidi="ar"/>
              </w:rPr>
            </w:pPr>
            <w:r>
              <w:rPr>
                <w:rFonts w:ascii="Arial" w:hAnsi="Arial" w:cs="Arial"/>
                <w:sz w:val="20"/>
                <w:szCs w:val="20"/>
                <w:lang w:val="en-US" w:eastAsia="zh-CN" w:bidi="ar"/>
              </w:rPr>
              <w:t>Av. das Palmeiras, 700 - Jardim Primaveras</w:t>
            </w:r>
          </w:p>
        </w:tc>
      </w:tr>
      <w:tr w14:paraId="4E44E1D7">
        <w:tblPrEx>
          <w:tblCellMar>
            <w:top w:w="0" w:type="dxa"/>
            <w:left w:w="108" w:type="dxa"/>
            <w:bottom w:w="0" w:type="dxa"/>
            <w:right w:w="108" w:type="dxa"/>
          </w:tblCellMar>
        </w:tblPrEx>
        <w:trPr>
          <w:trHeight w:val="455" w:hRule="atLeast"/>
          <w:jc w:val="center"/>
        </w:trPr>
        <w:tc>
          <w:tcPr>
            <w:tcW w:w="5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38793D0">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11</w:t>
            </w:r>
          </w:p>
        </w:tc>
        <w:tc>
          <w:tcPr>
            <w:tcW w:w="1304"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1660BD08">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MT 51054027</w:t>
            </w:r>
          </w:p>
        </w:tc>
        <w:tc>
          <w:tcPr>
            <w:tcW w:w="11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2130FE3">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Médio Porte I</w:t>
            </w:r>
          </w:p>
        </w:tc>
        <w:tc>
          <w:tcPr>
            <w:tcW w:w="2569"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3E2C7DBB">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EMEI SANTO ANTÔNIO</w:t>
            </w:r>
          </w:p>
        </w:tc>
        <w:tc>
          <w:tcPr>
            <w:tcW w:w="121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C2EFB4B">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REGULAR</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798D0F0">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URBANA</w:t>
            </w:r>
          </w:p>
        </w:tc>
        <w:tc>
          <w:tcPr>
            <w:tcW w:w="2829"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52E6770F">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R. das Perdízes, 555 - Jardim das Nacoes</w:t>
            </w:r>
          </w:p>
        </w:tc>
      </w:tr>
      <w:tr w14:paraId="641D83CD">
        <w:tblPrEx>
          <w:tblCellMar>
            <w:top w:w="0" w:type="dxa"/>
            <w:left w:w="108" w:type="dxa"/>
            <w:bottom w:w="0" w:type="dxa"/>
            <w:right w:w="108" w:type="dxa"/>
          </w:tblCellMar>
        </w:tblPrEx>
        <w:trPr>
          <w:trHeight w:val="760" w:hRule="atLeast"/>
          <w:jc w:val="center"/>
        </w:trPr>
        <w:tc>
          <w:tcPr>
            <w:tcW w:w="5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CC0D068">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sz w:val="20"/>
                <w:szCs w:val="20"/>
                <w:lang w:val="pt-BR"/>
              </w:rPr>
            </w:pPr>
            <w:r>
              <w:rPr>
                <w:rFonts w:hint="default" w:ascii="Arial" w:hAnsi="Arial" w:cs="Arial"/>
                <w:sz w:val="20"/>
                <w:szCs w:val="20"/>
                <w:lang w:val="pt-BR" w:eastAsia="zh-CN" w:bidi="ar"/>
              </w:rPr>
              <w:t>12</w:t>
            </w:r>
          </w:p>
        </w:tc>
        <w:tc>
          <w:tcPr>
            <w:tcW w:w="1304"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76BC334B">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rPr>
            </w:pPr>
            <w:r>
              <w:rPr>
                <w:rFonts w:ascii="Arial" w:hAnsi="Arial" w:cs="Arial"/>
                <w:sz w:val="20"/>
                <w:szCs w:val="20"/>
                <w:lang w:val="en-US" w:eastAsia="zh-CN" w:bidi="ar"/>
              </w:rPr>
              <w:t>MT 51061368</w:t>
            </w:r>
          </w:p>
        </w:tc>
        <w:tc>
          <w:tcPr>
            <w:tcW w:w="11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3EAD6D9">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rPr>
            </w:pPr>
            <w:r>
              <w:rPr>
                <w:rFonts w:ascii="Arial" w:hAnsi="Arial" w:cs="Arial"/>
                <w:sz w:val="20"/>
                <w:szCs w:val="20"/>
                <w:lang w:val="en-US" w:eastAsia="zh-CN" w:bidi="ar"/>
              </w:rPr>
              <w:t>Médio Porte II</w:t>
            </w:r>
          </w:p>
        </w:tc>
        <w:tc>
          <w:tcPr>
            <w:tcW w:w="2569"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0B40C35D">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cs="Arial"/>
                <w:sz w:val="20"/>
                <w:szCs w:val="20"/>
              </w:rPr>
            </w:pPr>
            <w:r>
              <w:rPr>
                <w:rFonts w:ascii="Arial" w:hAnsi="Arial" w:cs="Arial"/>
                <w:sz w:val="20"/>
                <w:szCs w:val="20"/>
                <w:lang w:val="en-US" w:eastAsia="zh-CN" w:bidi="ar"/>
              </w:rPr>
              <w:t>EMEB</w:t>
            </w:r>
            <w:r>
              <w:rPr>
                <w:rFonts w:hint="default" w:ascii="Arial" w:hAnsi="Arial" w:cs="Arial"/>
                <w:sz w:val="20"/>
                <w:szCs w:val="20"/>
                <w:lang w:val="pt-BR" w:eastAsia="zh-CN" w:bidi="ar"/>
              </w:rPr>
              <w:t xml:space="preserve"> </w:t>
            </w:r>
            <w:r>
              <w:rPr>
                <w:rFonts w:ascii="Arial" w:hAnsi="Arial" w:cs="Arial"/>
                <w:sz w:val="20"/>
                <w:szCs w:val="20"/>
                <w:lang w:val="en-US" w:eastAsia="zh-CN" w:bidi="ar"/>
              </w:rPr>
              <w:t>ALEIXO SCHENATTO</w:t>
            </w:r>
          </w:p>
        </w:tc>
        <w:tc>
          <w:tcPr>
            <w:tcW w:w="121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6C0BC5E">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rPr>
            </w:pPr>
            <w:r>
              <w:rPr>
                <w:rFonts w:ascii="Arial" w:hAnsi="Arial" w:cs="Arial"/>
                <w:sz w:val="20"/>
                <w:szCs w:val="20"/>
                <w:lang w:val="en-US" w:eastAsia="zh-CN" w:bidi="ar"/>
              </w:rPr>
              <w:t>REGULAR</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77A87A6">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rPr>
            </w:pPr>
            <w:r>
              <w:rPr>
                <w:rFonts w:ascii="Arial" w:hAnsi="Arial" w:cs="Arial"/>
                <w:sz w:val="20"/>
                <w:szCs w:val="20"/>
                <w:lang w:val="en-US" w:eastAsia="zh-CN" w:bidi="ar"/>
              </w:rPr>
              <w:t>URBANA</w:t>
            </w:r>
          </w:p>
        </w:tc>
        <w:tc>
          <w:tcPr>
            <w:tcW w:w="2829"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1E0947BE">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cs="Arial"/>
                <w:sz w:val="20"/>
                <w:szCs w:val="20"/>
              </w:rPr>
            </w:pPr>
            <w:r>
              <w:rPr>
                <w:rFonts w:ascii="Arial" w:hAnsi="Arial" w:cs="Arial"/>
                <w:sz w:val="20"/>
                <w:szCs w:val="20"/>
                <w:lang w:val="en-US" w:eastAsia="zh-CN" w:bidi="ar"/>
              </w:rPr>
              <w:t>R. das Primaveras, 1,170 - Jardim Jacarandas, Sinop - MT, 78557-724</w:t>
            </w:r>
          </w:p>
        </w:tc>
      </w:tr>
      <w:tr w14:paraId="223B3F1F">
        <w:tblPrEx>
          <w:tblCellMar>
            <w:top w:w="0" w:type="dxa"/>
            <w:left w:w="108" w:type="dxa"/>
            <w:bottom w:w="0" w:type="dxa"/>
            <w:right w:w="108" w:type="dxa"/>
          </w:tblCellMar>
        </w:tblPrEx>
        <w:trPr>
          <w:trHeight w:val="927" w:hRule="atLeast"/>
          <w:jc w:val="center"/>
        </w:trPr>
        <w:tc>
          <w:tcPr>
            <w:tcW w:w="5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33DDCCB">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sz w:val="20"/>
                <w:szCs w:val="20"/>
                <w:lang w:val="pt-BR"/>
              </w:rPr>
            </w:pPr>
            <w:r>
              <w:rPr>
                <w:rFonts w:hint="default" w:ascii="Arial" w:hAnsi="Arial" w:cs="Arial"/>
                <w:sz w:val="20"/>
                <w:szCs w:val="20"/>
                <w:lang w:val="pt-BR" w:eastAsia="zh-CN" w:bidi="ar"/>
              </w:rPr>
              <w:t>13</w:t>
            </w:r>
          </w:p>
        </w:tc>
        <w:tc>
          <w:tcPr>
            <w:tcW w:w="1304"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7B23777E">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rPr>
            </w:pPr>
            <w:r>
              <w:rPr>
                <w:rFonts w:ascii="Arial" w:hAnsi="Arial" w:cs="Arial"/>
                <w:sz w:val="20"/>
                <w:szCs w:val="20"/>
                <w:lang w:val="en-US" w:eastAsia="zh-CN" w:bidi="ar"/>
              </w:rPr>
              <w:t>MT 51061376</w:t>
            </w:r>
          </w:p>
        </w:tc>
        <w:tc>
          <w:tcPr>
            <w:tcW w:w="11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F19E2EA">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rPr>
            </w:pPr>
            <w:r>
              <w:rPr>
                <w:rFonts w:ascii="Arial" w:hAnsi="Arial" w:cs="Arial"/>
                <w:sz w:val="20"/>
                <w:szCs w:val="20"/>
                <w:lang w:val="en-US" w:eastAsia="zh-CN" w:bidi="ar"/>
              </w:rPr>
              <w:t>Grande Porte</w:t>
            </w:r>
          </w:p>
        </w:tc>
        <w:tc>
          <w:tcPr>
            <w:tcW w:w="2569"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6805D442">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cs="Arial"/>
                <w:sz w:val="20"/>
                <w:szCs w:val="20"/>
              </w:rPr>
            </w:pPr>
            <w:r>
              <w:rPr>
                <w:rFonts w:ascii="Arial" w:hAnsi="Arial" w:cs="Arial"/>
                <w:sz w:val="20"/>
                <w:szCs w:val="20"/>
                <w:lang w:val="en-US" w:eastAsia="zh-CN" w:bidi="ar"/>
              </w:rPr>
              <w:t>EMEB ARMANDO DIAS</w:t>
            </w:r>
          </w:p>
        </w:tc>
        <w:tc>
          <w:tcPr>
            <w:tcW w:w="121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2FE4B6D">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rPr>
            </w:pPr>
            <w:r>
              <w:rPr>
                <w:rFonts w:ascii="Arial" w:hAnsi="Arial" w:cs="Arial"/>
                <w:sz w:val="20"/>
                <w:szCs w:val="20"/>
                <w:lang w:val="en-US" w:eastAsia="zh-CN" w:bidi="ar"/>
              </w:rPr>
              <w:t>REGULAR</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4A54FC9">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rPr>
            </w:pPr>
            <w:r>
              <w:rPr>
                <w:rFonts w:ascii="Arial" w:hAnsi="Arial" w:cs="Arial"/>
                <w:sz w:val="20"/>
                <w:szCs w:val="20"/>
                <w:lang w:val="en-US" w:eastAsia="zh-CN" w:bidi="ar"/>
              </w:rPr>
              <w:t>URBANA</w:t>
            </w:r>
          </w:p>
        </w:tc>
        <w:tc>
          <w:tcPr>
            <w:tcW w:w="2829"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3D610B25">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cs="Arial"/>
                <w:sz w:val="20"/>
                <w:szCs w:val="20"/>
              </w:rPr>
            </w:pPr>
            <w:r>
              <w:rPr>
                <w:rFonts w:ascii="Arial" w:hAnsi="Arial" w:cs="Arial"/>
                <w:sz w:val="20"/>
                <w:szCs w:val="20"/>
                <w:lang w:val="en-US" w:eastAsia="zh-CN" w:bidi="ar"/>
              </w:rPr>
              <w:t>R. Cabo Manoel Agostinho Nascimento, 998 - Jardim Boa Esperança, Sinop - MT, 78559-060</w:t>
            </w:r>
          </w:p>
        </w:tc>
      </w:tr>
      <w:tr w14:paraId="722ECED7">
        <w:tblPrEx>
          <w:tblCellMar>
            <w:top w:w="0" w:type="dxa"/>
            <w:left w:w="108" w:type="dxa"/>
            <w:bottom w:w="0" w:type="dxa"/>
            <w:right w:w="108" w:type="dxa"/>
          </w:tblCellMar>
        </w:tblPrEx>
        <w:trPr>
          <w:trHeight w:val="747" w:hRule="atLeast"/>
          <w:jc w:val="center"/>
        </w:trPr>
        <w:tc>
          <w:tcPr>
            <w:tcW w:w="5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8C82D36">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14</w:t>
            </w:r>
          </w:p>
        </w:tc>
        <w:tc>
          <w:tcPr>
            <w:tcW w:w="1304"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035A58B7">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MT 51063239</w:t>
            </w:r>
          </w:p>
        </w:tc>
        <w:tc>
          <w:tcPr>
            <w:tcW w:w="11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D5828B0">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Médio Porte II</w:t>
            </w:r>
          </w:p>
        </w:tc>
        <w:tc>
          <w:tcPr>
            <w:tcW w:w="2569"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3FE58842">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hint="default" w:ascii="Arial" w:hAnsi="Arial"/>
                <w:sz w:val="20"/>
                <w:szCs w:val="20"/>
                <w:lang w:val="en-US" w:eastAsia="zh-CN"/>
              </w:rPr>
              <w:t>EMEB PROFESSOR JURANDIR LIBERINO DE MESQUITA</w:t>
            </w:r>
          </w:p>
        </w:tc>
        <w:tc>
          <w:tcPr>
            <w:tcW w:w="121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9F11261">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REGULAR</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E5DB6B6">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URBANA</w:t>
            </w:r>
          </w:p>
        </w:tc>
        <w:tc>
          <w:tcPr>
            <w:tcW w:w="2829"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311B18A3">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Rua das Violetas, 2,300 - Jardim das Violetas, Sinop - MT, 78552-205</w:t>
            </w:r>
          </w:p>
        </w:tc>
      </w:tr>
      <w:tr w14:paraId="42D46BE3">
        <w:tblPrEx>
          <w:tblCellMar>
            <w:top w:w="0" w:type="dxa"/>
            <w:left w:w="108" w:type="dxa"/>
            <w:bottom w:w="0" w:type="dxa"/>
            <w:right w:w="108" w:type="dxa"/>
          </w:tblCellMar>
        </w:tblPrEx>
        <w:trPr>
          <w:trHeight w:val="530" w:hRule="atLeast"/>
          <w:jc w:val="center"/>
        </w:trPr>
        <w:tc>
          <w:tcPr>
            <w:tcW w:w="5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E712B90">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15</w:t>
            </w:r>
          </w:p>
        </w:tc>
        <w:tc>
          <w:tcPr>
            <w:tcW w:w="1304"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29EAF3F8">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MT 51063247</w:t>
            </w:r>
          </w:p>
        </w:tc>
        <w:tc>
          <w:tcPr>
            <w:tcW w:w="11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0E5D1BC">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Médio Porte I</w:t>
            </w:r>
          </w:p>
        </w:tc>
        <w:tc>
          <w:tcPr>
            <w:tcW w:w="2569"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053BE0B9">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Arial" w:hAnsi="Arial" w:eastAsia="Times New Roman" w:cs="Arial"/>
                <w:sz w:val="20"/>
                <w:szCs w:val="20"/>
                <w:lang w:val="en-US" w:eastAsia="zh-CN" w:bidi="ar-SA"/>
              </w:rPr>
            </w:pPr>
            <w:r>
              <w:rPr>
                <w:rFonts w:ascii="Arial" w:hAnsi="Arial" w:cs="Arial"/>
                <w:sz w:val="20"/>
                <w:szCs w:val="20"/>
                <w:lang w:val="en-US" w:eastAsia="zh-CN" w:bidi="ar"/>
              </w:rPr>
              <w:t>EMEI ALVORADA</w:t>
            </w:r>
          </w:p>
        </w:tc>
        <w:tc>
          <w:tcPr>
            <w:tcW w:w="121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E0485BC">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REGULAR</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9A8E912">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URBANA</w:t>
            </w:r>
          </w:p>
        </w:tc>
        <w:tc>
          <w:tcPr>
            <w:tcW w:w="2829"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4074ACB9">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Av. Alexandre Ferronato, 1,200 - St. Industrial</w:t>
            </w:r>
          </w:p>
        </w:tc>
      </w:tr>
      <w:tr w14:paraId="5F480C0B">
        <w:tblPrEx>
          <w:tblCellMar>
            <w:top w:w="0" w:type="dxa"/>
            <w:left w:w="108" w:type="dxa"/>
            <w:bottom w:w="0" w:type="dxa"/>
            <w:right w:w="108" w:type="dxa"/>
          </w:tblCellMar>
        </w:tblPrEx>
        <w:trPr>
          <w:trHeight w:val="530" w:hRule="atLeast"/>
          <w:jc w:val="center"/>
        </w:trPr>
        <w:tc>
          <w:tcPr>
            <w:tcW w:w="5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CDF4D5C">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16</w:t>
            </w:r>
          </w:p>
        </w:tc>
        <w:tc>
          <w:tcPr>
            <w:tcW w:w="1304"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1EA7B2C4">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MT 51064855</w:t>
            </w:r>
          </w:p>
        </w:tc>
        <w:tc>
          <w:tcPr>
            <w:tcW w:w="11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AE6009E">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Médio Porte I</w:t>
            </w:r>
          </w:p>
        </w:tc>
        <w:tc>
          <w:tcPr>
            <w:tcW w:w="2569"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01570C54">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EMEI CECÍLIA MEIRELES</w:t>
            </w:r>
          </w:p>
        </w:tc>
        <w:tc>
          <w:tcPr>
            <w:tcW w:w="121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27754F7">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REGULAR</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CFC5E76">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URBANA</w:t>
            </w:r>
          </w:p>
        </w:tc>
        <w:tc>
          <w:tcPr>
            <w:tcW w:w="2829"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30EAD583">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Rua das Violetas, 4983 - Jardim das Oliveiras</w:t>
            </w:r>
          </w:p>
        </w:tc>
      </w:tr>
      <w:tr w14:paraId="0650C8CE">
        <w:tblPrEx>
          <w:tblCellMar>
            <w:top w:w="0" w:type="dxa"/>
            <w:left w:w="108" w:type="dxa"/>
            <w:bottom w:w="0" w:type="dxa"/>
            <w:right w:w="108" w:type="dxa"/>
          </w:tblCellMar>
        </w:tblPrEx>
        <w:trPr>
          <w:trHeight w:val="530" w:hRule="atLeast"/>
          <w:jc w:val="center"/>
        </w:trPr>
        <w:tc>
          <w:tcPr>
            <w:tcW w:w="5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BD59CA1">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17</w:t>
            </w:r>
          </w:p>
        </w:tc>
        <w:tc>
          <w:tcPr>
            <w:tcW w:w="1304"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5BE7B997">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MT 51064863</w:t>
            </w:r>
          </w:p>
        </w:tc>
        <w:tc>
          <w:tcPr>
            <w:tcW w:w="11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5BEA037">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Médio Porte I</w:t>
            </w:r>
          </w:p>
        </w:tc>
        <w:tc>
          <w:tcPr>
            <w:tcW w:w="2569"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314C3D64">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EMEI VINÍCIUS DE MORAES</w:t>
            </w:r>
          </w:p>
        </w:tc>
        <w:tc>
          <w:tcPr>
            <w:tcW w:w="121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21AF6F3">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REGULAR</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6B12ACE">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URBANA</w:t>
            </w:r>
          </w:p>
        </w:tc>
        <w:tc>
          <w:tcPr>
            <w:tcW w:w="2829"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0BA2A638">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R. Celina Dias Martins, 572 - Res. José Adriano Leitão</w:t>
            </w:r>
          </w:p>
        </w:tc>
      </w:tr>
      <w:tr w14:paraId="596FC48B">
        <w:tblPrEx>
          <w:tblCellMar>
            <w:top w:w="0" w:type="dxa"/>
            <w:left w:w="108" w:type="dxa"/>
            <w:bottom w:w="0" w:type="dxa"/>
            <w:right w:w="108" w:type="dxa"/>
          </w:tblCellMar>
        </w:tblPrEx>
        <w:trPr>
          <w:trHeight w:val="530" w:hRule="atLeast"/>
          <w:jc w:val="center"/>
        </w:trPr>
        <w:tc>
          <w:tcPr>
            <w:tcW w:w="5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3D67DAC">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18</w:t>
            </w:r>
          </w:p>
        </w:tc>
        <w:tc>
          <w:tcPr>
            <w:tcW w:w="1304"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5E3877B6">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MT 51066254</w:t>
            </w:r>
          </w:p>
        </w:tc>
        <w:tc>
          <w:tcPr>
            <w:tcW w:w="11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DCF2DEC">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Médio Porte I</w:t>
            </w:r>
          </w:p>
        </w:tc>
        <w:tc>
          <w:tcPr>
            <w:tcW w:w="2569"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50536360">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EMEB JOSÉ REINALDO DE OLIVEIRA</w:t>
            </w:r>
          </w:p>
        </w:tc>
        <w:tc>
          <w:tcPr>
            <w:tcW w:w="121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C0ABFA5">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REGULAR</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FCE52B7">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URBANA</w:t>
            </w:r>
          </w:p>
        </w:tc>
        <w:tc>
          <w:tcPr>
            <w:tcW w:w="2829"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12C89494">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Avenida Geraldo Egídio Ferrari, Qd 06, Lote 06, S/N - Lot. Menino Jesus, Sinop - MT, 78559-465</w:t>
            </w:r>
          </w:p>
        </w:tc>
      </w:tr>
      <w:tr w14:paraId="266DD06B">
        <w:tblPrEx>
          <w:tblCellMar>
            <w:top w:w="0" w:type="dxa"/>
            <w:left w:w="108" w:type="dxa"/>
            <w:bottom w:w="0" w:type="dxa"/>
            <w:right w:w="108" w:type="dxa"/>
          </w:tblCellMar>
        </w:tblPrEx>
        <w:trPr>
          <w:trHeight w:val="530" w:hRule="atLeast"/>
          <w:jc w:val="center"/>
        </w:trPr>
        <w:tc>
          <w:tcPr>
            <w:tcW w:w="5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1EB390B">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19</w:t>
            </w:r>
          </w:p>
        </w:tc>
        <w:tc>
          <w:tcPr>
            <w:tcW w:w="1304"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1A88715F">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MT 51067595</w:t>
            </w:r>
          </w:p>
        </w:tc>
        <w:tc>
          <w:tcPr>
            <w:tcW w:w="11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64039CB">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Médio Porte I</w:t>
            </w:r>
          </w:p>
        </w:tc>
        <w:tc>
          <w:tcPr>
            <w:tcW w:w="2569"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1F2A87FE">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EMEI GÉRSON PIRES DA SILVA</w:t>
            </w:r>
          </w:p>
        </w:tc>
        <w:tc>
          <w:tcPr>
            <w:tcW w:w="121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9967367">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REGULAR</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CE843F3">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URBANA</w:t>
            </w:r>
          </w:p>
        </w:tc>
        <w:tc>
          <w:tcPr>
            <w:tcW w:w="2829"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20E06A80">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Rua Projetada 06 Q 12 s/n - Res. Gente Feliz</w:t>
            </w:r>
          </w:p>
        </w:tc>
      </w:tr>
      <w:tr w14:paraId="45E4F622">
        <w:tblPrEx>
          <w:tblCellMar>
            <w:top w:w="0" w:type="dxa"/>
            <w:left w:w="108" w:type="dxa"/>
            <w:bottom w:w="0" w:type="dxa"/>
            <w:right w:w="108" w:type="dxa"/>
          </w:tblCellMar>
        </w:tblPrEx>
        <w:trPr>
          <w:trHeight w:val="530" w:hRule="atLeast"/>
          <w:jc w:val="center"/>
        </w:trPr>
        <w:tc>
          <w:tcPr>
            <w:tcW w:w="5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FF1958E">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20</w:t>
            </w:r>
          </w:p>
        </w:tc>
        <w:tc>
          <w:tcPr>
            <w:tcW w:w="1304"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4341ACCE">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MT 51087537</w:t>
            </w:r>
          </w:p>
        </w:tc>
        <w:tc>
          <w:tcPr>
            <w:tcW w:w="11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2127AC1">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Médio Porte II</w:t>
            </w:r>
          </w:p>
        </w:tc>
        <w:tc>
          <w:tcPr>
            <w:tcW w:w="2569"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27D5FC81">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EMEB LIZAMARA APARECIDA OLIVA DE ALMEIDA</w:t>
            </w:r>
          </w:p>
        </w:tc>
        <w:tc>
          <w:tcPr>
            <w:tcW w:w="121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6E7BC36">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REGULAR</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8A6F2C7">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URBANA</w:t>
            </w:r>
          </w:p>
        </w:tc>
        <w:tc>
          <w:tcPr>
            <w:tcW w:w="2829"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50348B7F">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Rua das Margaridas, 333 - Jardim Imperial, Sinop - MT, 78555-022</w:t>
            </w:r>
          </w:p>
        </w:tc>
      </w:tr>
      <w:tr w14:paraId="2B223AB7">
        <w:tblPrEx>
          <w:tblCellMar>
            <w:top w:w="0" w:type="dxa"/>
            <w:left w:w="108" w:type="dxa"/>
            <w:bottom w:w="0" w:type="dxa"/>
            <w:right w:w="108" w:type="dxa"/>
          </w:tblCellMar>
        </w:tblPrEx>
        <w:trPr>
          <w:trHeight w:val="530" w:hRule="atLeast"/>
          <w:jc w:val="center"/>
        </w:trPr>
        <w:tc>
          <w:tcPr>
            <w:tcW w:w="5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B12B34B">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21</w:t>
            </w:r>
          </w:p>
        </w:tc>
        <w:tc>
          <w:tcPr>
            <w:tcW w:w="1304"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22A7F0C3">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MT 51087936</w:t>
            </w:r>
          </w:p>
        </w:tc>
        <w:tc>
          <w:tcPr>
            <w:tcW w:w="11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327B16C">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Médio Porte II</w:t>
            </w:r>
          </w:p>
        </w:tc>
        <w:tc>
          <w:tcPr>
            <w:tcW w:w="2569"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614A3B02">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EMEI CLARA TEIXEIRA</w:t>
            </w:r>
          </w:p>
        </w:tc>
        <w:tc>
          <w:tcPr>
            <w:tcW w:w="121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86A2371">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REGULAR</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80B361A">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URBANA</w:t>
            </w:r>
          </w:p>
        </w:tc>
        <w:tc>
          <w:tcPr>
            <w:tcW w:w="2829"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3153682A">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Av. das Sibipirunas, 5 - 701 - Jardim Primaveras</w:t>
            </w:r>
          </w:p>
        </w:tc>
      </w:tr>
      <w:tr w14:paraId="23B0B962">
        <w:tblPrEx>
          <w:tblCellMar>
            <w:top w:w="0" w:type="dxa"/>
            <w:left w:w="108" w:type="dxa"/>
            <w:bottom w:w="0" w:type="dxa"/>
            <w:right w:w="108" w:type="dxa"/>
          </w:tblCellMar>
        </w:tblPrEx>
        <w:trPr>
          <w:trHeight w:val="530" w:hRule="atLeast"/>
          <w:jc w:val="center"/>
        </w:trPr>
        <w:tc>
          <w:tcPr>
            <w:tcW w:w="5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323B79C">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sz w:val="20"/>
                <w:szCs w:val="20"/>
                <w:lang w:val="pt-BR" w:eastAsia="zh-CN" w:bidi="ar"/>
              </w:rPr>
            </w:pPr>
            <w:r>
              <w:rPr>
                <w:rFonts w:hint="default" w:ascii="Arial" w:hAnsi="Arial" w:cs="Arial"/>
                <w:sz w:val="20"/>
                <w:szCs w:val="20"/>
                <w:lang w:val="pt-BR" w:eastAsia="zh-CN" w:bidi="ar"/>
              </w:rPr>
              <w:t>22</w:t>
            </w:r>
          </w:p>
        </w:tc>
        <w:tc>
          <w:tcPr>
            <w:tcW w:w="1304"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414613BC">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val="en-US" w:eastAsia="zh-CN" w:bidi="ar"/>
              </w:rPr>
            </w:pPr>
            <w:r>
              <w:rPr>
                <w:rFonts w:ascii="Arial" w:hAnsi="Arial" w:cs="Arial"/>
                <w:sz w:val="20"/>
                <w:szCs w:val="20"/>
                <w:lang w:val="en-US" w:eastAsia="zh-CN" w:bidi="ar"/>
              </w:rPr>
              <w:t>MT 51087944</w:t>
            </w:r>
          </w:p>
        </w:tc>
        <w:tc>
          <w:tcPr>
            <w:tcW w:w="11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9C3B23B">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val="en-US" w:eastAsia="zh-CN" w:bidi="ar"/>
              </w:rPr>
            </w:pPr>
            <w:r>
              <w:rPr>
                <w:rFonts w:ascii="Arial" w:hAnsi="Arial" w:cs="Arial"/>
                <w:sz w:val="20"/>
                <w:szCs w:val="20"/>
                <w:lang w:val="en-US" w:eastAsia="zh-CN" w:bidi="ar"/>
              </w:rPr>
              <w:t>Médio Porte I</w:t>
            </w:r>
          </w:p>
        </w:tc>
        <w:tc>
          <w:tcPr>
            <w:tcW w:w="2569"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09F88937">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cs="Arial"/>
                <w:sz w:val="20"/>
                <w:szCs w:val="20"/>
                <w:lang w:val="en-US" w:eastAsia="zh-CN" w:bidi="ar"/>
              </w:rPr>
            </w:pPr>
            <w:r>
              <w:rPr>
                <w:rFonts w:ascii="Arial" w:hAnsi="Arial" w:cs="Arial"/>
                <w:sz w:val="20"/>
                <w:szCs w:val="20"/>
                <w:lang w:val="en-US" w:eastAsia="zh-CN" w:bidi="ar"/>
              </w:rPr>
              <w:t>EMEI DORACY MARQUES AMORIN</w:t>
            </w:r>
          </w:p>
        </w:tc>
        <w:tc>
          <w:tcPr>
            <w:tcW w:w="121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28F880F">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lang w:val="en-US" w:eastAsia="zh-CN" w:bidi="ar"/>
              </w:rPr>
            </w:pPr>
            <w:r>
              <w:rPr>
                <w:rFonts w:ascii="Arial" w:hAnsi="Arial" w:cs="Arial"/>
                <w:sz w:val="20"/>
                <w:szCs w:val="20"/>
                <w:lang w:val="en-US" w:eastAsia="zh-CN" w:bidi="ar"/>
              </w:rPr>
              <w:t>REGULAR</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3D8420A">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lang w:val="en-US" w:eastAsia="zh-CN" w:bidi="ar"/>
              </w:rPr>
            </w:pPr>
            <w:r>
              <w:rPr>
                <w:rFonts w:ascii="Arial" w:hAnsi="Arial" w:cs="Arial"/>
                <w:sz w:val="20"/>
                <w:szCs w:val="20"/>
                <w:lang w:val="en-US" w:eastAsia="zh-CN" w:bidi="ar"/>
              </w:rPr>
              <w:t>URBANA</w:t>
            </w:r>
          </w:p>
        </w:tc>
        <w:tc>
          <w:tcPr>
            <w:tcW w:w="2829"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20F71AC5">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cs="Arial"/>
                <w:sz w:val="20"/>
                <w:szCs w:val="20"/>
                <w:lang w:val="en-US" w:eastAsia="zh-CN" w:bidi="ar"/>
              </w:rPr>
            </w:pPr>
            <w:r>
              <w:rPr>
                <w:rFonts w:ascii="Arial" w:hAnsi="Arial" w:cs="Arial"/>
                <w:sz w:val="20"/>
                <w:szCs w:val="20"/>
                <w:lang w:val="en-US" w:eastAsia="zh-CN" w:bidi="ar"/>
              </w:rPr>
              <w:t>R. dos Monjoleiros - Jardim das Palmeiras</w:t>
            </w:r>
          </w:p>
        </w:tc>
      </w:tr>
      <w:tr w14:paraId="53D9D2A2">
        <w:tblPrEx>
          <w:tblCellMar>
            <w:top w:w="0" w:type="dxa"/>
            <w:left w:w="108" w:type="dxa"/>
            <w:bottom w:w="0" w:type="dxa"/>
            <w:right w:w="108" w:type="dxa"/>
          </w:tblCellMar>
        </w:tblPrEx>
        <w:trPr>
          <w:trHeight w:val="530" w:hRule="atLeast"/>
          <w:jc w:val="center"/>
        </w:trPr>
        <w:tc>
          <w:tcPr>
            <w:tcW w:w="5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786BCD0">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23</w:t>
            </w:r>
          </w:p>
        </w:tc>
        <w:tc>
          <w:tcPr>
            <w:tcW w:w="1304"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7F613570">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MT 51088819</w:t>
            </w:r>
          </w:p>
        </w:tc>
        <w:tc>
          <w:tcPr>
            <w:tcW w:w="11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0D116F8">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Médio Porte I</w:t>
            </w:r>
          </w:p>
        </w:tc>
        <w:tc>
          <w:tcPr>
            <w:tcW w:w="2569"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46C2E969">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EMEI NEUZA NADIR FUZINATTO GRAF</w:t>
            </w:r>
          </w:p>
        </w:tc>
        <w:tc>
          <w:tcPr>
            <w:tcW w:w="121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EDC043A">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REGULAR</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3CC32ED">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URBANA</w:t>
            </w:r>
          </w:p>
        </w:tc>
        <w:tc>
          <w:tcPr>
            <w:tcW w:w="2829"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777B4CD0">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R. Cabo Manoel Agostinho Nascimento, 998 - Boa Esperança</w:t>
            </w:r>
          </w:p>
        </w:tc>
      </w:tr>
      <w:tr w14:paraId="51B324F6">
        <w:tblPrEx>
          <w:tblCellMar>
            <w:top w:w="0" w:type="dxa"/>
            <w:left w:w="108" w:type="dxa"/>
            <w:bottom w:w="0" w:type="dxa"/>
            <w:right w:w="108" w:type="dxa"/>
          </w:tblCellMar>
        </w:tblPrEx>
        <w:trPr>
          <w:trHeight w:val="530" w:hRule="atLeast"/>
          <w:jc w:val="center"/>
        </w:trPr>
        <w:tc>
          <w:tcPr>
            <w:tcW w:w="5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0EE2CCA">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24</w:t>
            </w:r>
          </w:p>
        </w:tc>
        <w:tc>
          <w:tcPr>
            <w:tcW w:w="1304"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0B16FA12">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MT 51093766</w:t>
            </w:r>
          </w:p>
        </w:tc>
        <w:tc>
          <w:tcPr>
            <w:tcW w:w="11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737F1BA">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Grande Porte</w:t>
            </w:r>
          </w:p>
        </w:tc>
        <w:tc>
          <w:tcPr>
            <w:tcW w:w="2569"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4D5ABED3">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EMEB PROF</w:t>
            </w:r>
            <w:r>
              <w:rPr>
                <w:rFonts w:hint="default" w:ascii="Arial" w:hAnsi="Arial" w:cs="Arial"/>
                <w:sz w:val="20"/>
                <w:szCs w:val="20"/>
                <w:lang w:val="pt-BR" w:eastAsia="zh-CN" w:bidi="ar"/>
              </w:rPr>
              <w:t>ESSORA</w:t>
            </w:r>
            <w:r>
              <w:rPr>
                <w:rFonts w:ascii="Arial" w:hAnsi="Arial" w:cs="Arial"/>
                <w:sz w:val="20"/>
                <w:szCs w:val="20"/>
                <w:lang w:val="en-US" w:eastAsia="zh-CN" w:bidi="ar"/>
              </w:rPr>
              <w:t xml:space="preserve"> ANA CRISTINA DE SENA</w:t>
            </w:r>
          </w:p>
        </w:tc>
        <w:tc>
          <w:tcPr>
            <w:tcW w:w="121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E357A83">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REGULAR</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0104562">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URBANA</w:t>
            </w:r>
          </w:p>
        </w:tc>
        <w:tc>
          <w:tcPr>
            <w:tcW w:w="2829"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783B7F67">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R. dos Cambarás, 1,942 - Jardim Novo Estado, Sinop - MT, 78553-676</w:t>
            </w:r>
          </w:p>
        </w:tc>
      </w:tr>
      <w:tr w14:paraId="5E780C23">
        <w:tblPrEx>
          <w:tblCellMar>
            <w:top w:w="0" w:type="dxa"/>
            <w:left w:w="108" w:type="dxa"/>
            <w:bottom w:w="0" w:type="dxa"/>
            <w:right w:w="108" w:type="dxa"/>
          </w:tblCellMar>
        </w:tblPrEx>
        <w:trPr>
          <w:trHeight w:val="530" w:hRule="atLeast"/>
          <w:jc w:val="center"/>
        </w:trPr>
        <w:tc>
          <w:tcPr>
            <w:tcW w:w="5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4FA594E">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25</w:t>
            </w:r>
          </w:p>
        </w:tc>
        <w:tc>
          <w:tcPr>
            <w:tcW w:w="1304"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5A3CA737">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MT 51094983</w:t>
            </w:r>
          </w:p>
        </w:tc>
        <w:tc>
          <w:tcPr>
            <w:tcW w:w="11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24619D8">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Médio Porte I</w:t>
            </w:r>
          </w:p>
        </w:tc>
        <w:tc>
          <w:tcPr>
            <w:tcW w:w="2569"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53C9260F">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EMEI PROF</w:t>
            </w:r>
            <w:r>
              <w:rPr>
                <w:rFonts w:hint="default" w:ascii="Arial" w:hAnsi="Arial" w:cs="Arial"/>
                <w:sz w:val="20"/>
                <w:szCs w:val="20"/>
                <w:lang w:val="pt-BR" w:eastAsia="zh-CN" w:bidi="ar"/>
              </w:rPr>
              <w:t>ESSORA</w:t>
            </w:r>
            <w:r>
              <w:rPr>
                <w:rFonts w:ascii="Arial" w:hAnsi="Arial" w:cs="Arial"/>
                <w:sz w:val="20"/>
                <w:szCs w:val="20"/>
                <w:lang w:val="en-US" w:eastAsia="zh-CN" w:bidi="ar"/>
              </w:rPr>
              <w:t xml:space="preserve"> SOLANGE MARIA FERRONATO</w:t>
            </w:r>
          </w:p>
        </w:tc>
        <w:tc>
          <w:tcPr>
            <w:tcW w:w="121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BA9539C">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REGULAR</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B07EF64">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URBANA</w:t>
            </w:r>
          </w:p>
        </w:tc>
        <w:tc>
          <w:tcPr>
            <w:tcW w:w="2829"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6BF8EC2F">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Av. Soledade, 260 - Alto da Gloria</w:t>
            </w:r>
          </w:p>
        </w:tc>
      </w:tr>
      <w:tr w14:paraId="3FE660F7">
        <w:tblPrEx>
          <w:tblCellMar>
            <w:top w:w="0" w:type="dxa"/>
            <w:left w:w="108" w:type="dxa"/>
            <w:bottom w:w="0" w:type="dxa"/>
            <w:right w:w="108" w:type="dxa"/>
          </w:tblCellMar>
        </w:tblPrEx>
        <w:trPr>
          <w:trHeight w:val="530" w:hRule="atLeast"/>
          <w:jc w:val="center"/>
        </w:trPr>
        <w:tc>
          <w:tcPr>
            <w:tcW w:w="562" w:type="dxa"/>
            <w:vMerge w:val="restart"/>
            <w:tcBorders>
              <w:top w:val="single" w:color="000000" w:sz="2" w:space="0"/>
              <w:left w:val="single" w:color="000000" w:sz="2" w:space="0"/>
              <w:right w:val="single" w:color="000000" w:sz="2" w:space="0"/>
            </w:tcBorders>
            <w:shd w:val="clear" w:color="auto" w:fill="auto"/>
            <w:noWrap/>
            <w:vAlign w:val="center"/>
          </w:tcPr>
          <w:p w14:paraId="40A624C0">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Times New Roman" w:cs="Arial"/>
                <w:sz w:val="20"/>
                <w:szCs w:val="20"/>
                <w:lang w:val="pt-BR" w:eastAsia="zh-CN" w:bidi="ar-SA"/>
              </w:rPr>
            </w:pPr>
            <w:r>
              <w:rPr>
                <w:rFonts w:ascii="Arial" w:hAnsi="Arial" w:cs="Arial"/>
                <w:sz w:val="20"/>
                <w:szCs w:val="20"/>
                <w:lang w:val="en-US" w:eastAsia="zh-CN" w:bidi="ar"/>
              </w:rPr>
              <w:t>26</w:t>
            </w:r>
          </w:p>
        </w:tc>
        <w:tc>
          <w:tcPr>
            <w:tcW w:w="1304" w:type="dxa"/>
            <w:vMerge w:val="restart"/>
            <w:tcBorders>
              <w:top w:val="single" w:color="000000" w:sz="2" w:space="0"/>
              <w:left w:val="single" w:color="000000" w:sz="2" w:space="0"/>
              <w:right w:val="single" w:color="000000" w:sz="2" w:space="0"/>
            </w:tcBorders>
            <w:shd w:val="clear" w:color="auto" w:fill="auto"/>
            <w:noWrap w:val="0"/>
            <w:vAlign w:val="center"/>
          </w:tcPr>
          <w:p w14:paraId="093482F1">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MT 51094991</w:t>
            </w:r>
          </w:p>
        </w:tc>
        <w:tc>
          <w:tcPr>
            <w:tcW w:w="1113" w:type="dxa"/>
            <w:vMerge w:val="restart"/>
            <w:tcBorders>
              <w:top w:val="single" w:color="000000" w:sz="2" w:space="0"/>
              <w:left w:val="single" w:color="000000" w:sz="2" w:space="0"/>
              <w:right w:val="single" w:color="000000" w:sz="2" w:space="0"/>
            </w:tcBorders>
            <w:shd w:val="clear" w:color="auto" w:fill="auto"/>
            <w:noWrap/>
            <w:vAlign w:val="center"/>
          </w:tcPr>
          <w:p w14:paraId="012FF5C6">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Médio Porte I</w:t>
            </w:r>
          </w:p>
        </w:tc>
        <w:tc>
          <w:tcPr>
            <w:tcW w:w="2569"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6B33D862">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EMEI PALMIRA MACHADO MENEGAZZO</w:t>
            </w:r>
          </w:p>
        </w:tc>
        <w:tc>
          <w:tcPr>
            <w:tcW w:w="121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59C6EBE">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REGULAR</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150A6C7">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URBANA</w:t>
            </w:r>
          </w:p>
        </w:tc>
        <w:tc>
          <w:tcPr>
            <w:tcW w:w="2829"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6DBF6798">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Rua Pirarara nº 77, Camping Clube</w:t>
            </w:r>
          </w:p>
        </w:tc>
      </w:tr>
      <w:tr w14:paraId="362EA269">
        <w:tblPrEx>
          <w:tblCellMar>
            <w:top w:w="0" w:type="dxa"/>
            <w:left w:w="108" w:type="dxa"/>
            <w:bottom w:w="0" w:type="dxa"/>
            <w:right w:w="108" w:type="dxa"/>
          </w:tblCellMar>
        </w:tblPrEx>
        <w:trPr>
          <w:trHeight w:val="530" w:hRule="atLeast"/>
          <w:jc w:val="center"/>
        </w:trPr>
        <w:tc>
          <w:tcPr>
            <w:tcW w:w="562" w:type="dxa"/>
            <w:vMerge w:val="continue"/>
            <w:tcBorders>
              <w:left w:val="single" w:color="000000" w:sz="2" w:space="0"/>
              <w:right w:val="single" w:color="000000" w:sz="2" w:space="0"/>
            </w:tcBorders>
            <w:shd w:val="clear" w:color="auto" w:fill="auto"/>
            <w:noWrap/>
            <w:vAlign w:val="center"/>
          </w:tcPr>
          <w:p w14:paraId="1147BADF">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val="en-US" w:eastAsia="zh-CN" w:bidi="ar"/>
              </w:rPr>
            </w:pPr>
          </w:p>
        </w:tc>
        <w:tc>
          <w:tcPr>
            <w:tcW w:w="1304" w:type="dxa"/>
            <w:vMerge w:val="continue"/>
            <w:tcBorders>
              <w:left w:val="single" w:color="000000" w:sz="2" w:space="0"/>
              <w:right w:val="single" w:color="000000" w:sz="2" w:space="0"/>
            </w:tcBorders>
            <w:shd w:val="clear" w:color="auto" w:fill="auto"/>
            <w:noWrap w:val="0"/>
            <w:vAlign w:val="center"/>
          </w:tcPr>
          <w:p w14:paraId="64DDF47F">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val="en-US" w:eastAsia="zh-CN" w:bidi="ar"/>
              </w:rPr>
            </w:pPr>
          </w:p>
        </w:tc>
        <w:tc>
          <w:tcPr>
            <w:tcW w:w="1113" w:type="dxa"/>
            <w:vMerge w:val="continue"/>
            <w:tcBorders>
              <w:left w:val="single" w:color="000000" w:sz="2" w:space="0"/>
              <w:right w:val="single" w:color="000000" w:sz="2" w:space="0"/>
            </w:tcBorders>
            <w:shd w:val="clear" w:color="auto" w:fill="auto"/>
            <w:noWrap/>
            <w:vAlign w:val="center"/>
          </w:tcPr>
          <w:p w14:paraId="4EFEC5AE">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val="en-US" w:eastAsia="zh-CN" w:bidi="ar"/>
              </w:rPr>
            </w:pPr>
          </w:p>
        </w:tc>
        <w:tc>
          <w:tcPr>
            <w:tcW w:w="2569"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5DE374F4">
            <w:pPr>
              <w:keepNext w:val="0"/>
              <w:keepLines w:val="0"/>
              <w:pageBreakBefore w:val="0"/>
              <w:widowControl/>
              <w:kinsoku/>
              <w:wordWrap/>
              <w:overflowPunct/>
              <w:topLinePunct w:val="0"/>
              <w:bidi w:val="0"/>
              <w:adjustRightInd/>
              <w:snapToGrid/>
              <w:spacing w:after="0" w:line="240" w:lineRule="auto"/>
              <w:jc w:val="both"/>
              <w:textAlignment w:val="auto"/>
              <w:rPr>
                <w:rFonts w:ascii="Arial" w:hAnsi="Arial" w:eastAsia="Times New Roman" w:cs="Arial"/>
                <w:sz w:val="20"/>
                <w:szCs w:val="20"/>
                <w:lang w:val="en-US" w:eastAsia="zh-CN" w:bidi="ar"/>
              </w:rPr>
            </w:pPr>
            <w:r>
              <w:rPr>
                <w:rFonts w:hint="default" w:ascii="Arial" w:hAnsi="Arial" w:cs="Arial"/>
                <w:sz w:val="20"/>
                <w:szCs w:val="20"/>
                <w:lang w:val="pt-BR" w:eastAsia="zh-CN" w:bidi="ar"/>
              </w:rPr>
              <w:t xml:space="preserve">SALAS DA </w:t>
            </w:r>
            <w:r>
              <w:rPr>
                <w:rFonts w:ascii="Arial" w:hAnsi="Arial" w:cs="Arial"/>
                <w:sz w:val="20"/>
                <w:szCs w:val="20"/>
                <w:lang w:val="en-US" w:eastAsia="zh-CN" w:bidi="ar"/>
              </w:rPr>
              <w:t>EMEI PALMIRA MACHADO MENEGAZZO</w:t>
            </w:r>
            <w:r>
              <w:rPr>
                <w:rFonts w:hint="default" w:ascii="Arial" w:hAnsi="Arial" w:cs="Arial"/>
                <w:sz w:val="20"/>
                <w:szCs w:val="20"/>
                <w:lang w:val="pt-BR" w:eastAsia="zh-CN" w:bidi="ar"/>
              </w:rPr>
              <w:t xml:space="preserve"> - ANEXO A ESCOLA </w:t>
            </w:r>
            <w:r>
              <w:rPr>
                <w:rFonts w:ascii="Arial" w:hAnsi="Arial" w:cs="Arial"/>
                <w:sz w:val="20"/>
                <w:szCs w:val="20"/>
                <w:lang w:eastAsia="zh-CN" w:bidi="ar"/>
              </w:rPr>
              <w:t>VALMOR COPATI</w:t>
            </w:r>
          </w:p>
        </w:tc>
        <w:tc>
          <w:tcPr>
            <w:tcW w:w="121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DAFA0AA">
            <w:pPr>
              <w:keepNext w:val="0"/>
              <w:keepLines w:val="0"/>
              <w:pageBreakBefore w:val="0"/>
              <w:widowControl/>
              <w:kinsoku/>
              <w:wordWrap/>
              <w:overflowPunct/>
              <w:topLinePunct w:val="0"/>
              <w:bidi w:val="0"/>
              <w:adjustRightInd/>
              <w:snapToGrid/>
              <w:spacing w:after="0" w:line="240" w:lineRule="auto"/>
              <w:jc w:val="left"/>
              <w:textAlignment w:val="auto"/>
              <w:rPr>
                <w:rFonts w:ascii="Arial" w:hAnsi="Arial" w:eastAsia="Times New Roman" w:cs="Arial"/>
                <w:sz w:val="20"/>
                <w:szCs w:val="20"/>
                <w:lang w:val="en-US" w:eastAsia="zh-CN" w:bidi="ar"/>
              </w:rPr>
            </w:pPr>
            <w:r>
              <w:rPr>
                <w:rFonts w:ascii="Arial" w:hAnsi="Arial" w:cs="Arial"/>
                <w:sz w:val="20"/>
                <w:szCs w:val="20"/>
                <w:lang w:eastAsia="zh-CN" w:bidi="ar"/>
              </w:rPr>
              <w:t>REGULAR</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6ABEA96">
            <w:pPr>
              <w:keepNext w:val="0"/>
              <w:keepLines w:val="0"/>
              <w:pageBreakBefore w:val="0"/>
              <w:widowControl/>
              <w:kinsoku/>
              <w:wordWrap/>
              <w:overflowPunct/>
              <w:topLinePunct w:val="0"/>
              <w:bidi w:val="0"/>
              <w:adjustRightInd/>
              <w:snapToGrid/>
              <w:spacing w:after="0" w:line="240" w:lineRule="auto"/>
              <w:jc w:val="left"/>
              <w:textAlignment w:val="auto"/>
              <w:rPr>
                <w:rFonts w:ascii="Arial" w:hAnsi="Arial" w:eastAsia="Times New Roman" w:cs="Arial"/>
                <w:sz w:val="20"/>
                <w:szCs w:val="20"/>
                <w:lang w:val="en-US" w:eastAsia="zh-CN" w:bidi="ar"/>
              </w:rPr>
            </w:pPr>
            <w:r>
              <w:rPr>
                <w:rFonts w:ascii="Arial" w:hAnsi="Arial" w:cs="Arial"/>
                <w:sz w:val="20"/>
                <w:szCs w:val="20"/>
                <w:lang w:eastAsia="zh-CN" w:bidi="ar"/>
              </w:rPr>
              <w:t>RURAL</w:t>
            </w:r>
          </w:p>
        </w:tc>
        <w:tc>
          <w:tcPr>
            <w:tcW w:w="2829"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06FB3FB2">
            <w:pPr>
              <w:keepNext w:val="0"/>
              <w:keepLines w:val="0"/>
              <w:pageBreakBefore w:val="0"/>
              <w:widowControl/>
              <w:kinsoku/>
              <w:wordWrap/>
              <w:overflowPunct/>
              <w:topLinePunct w:val="0"/>
              <w:bidi w:val="0"/>
              <w:adjustRightInd/>
              <w:snapToGrid/>
              <w:spacing w:after="0" w:line="240" w:lineRule="auto"/>
              <w:jc w:val="both"/>
              <w:textAlignment w:val="auto"/>
              <w:rPr>
                <w:rFonts w:ascii="Arial" w:hAnsi="Arial" w:eastAsia="Times New Roman" w:cs="Arial"/>
                <w:sz w:val="20"/>
                <w:szCs w:val="20"/>
                <w:highlight w:val="yellow"/>
                <w:lang w:val="en-US" w:eastAsia="zh-CN" w:bidi="ar"/>
              </w:rPr>
            </w:pPr>
            <w:r>
              <w:rPr>
                <w:rFonts w:ascii="Arial" w:hAnsi="Arial" w:cs="Arial"/>
                <w:sz w:val="20"/>
                <w:szCs w:val="20"/>
                <w:lang w:eastAsia="zh-CN" w:bidi="ar"/>
              </w:rPr>
              <w:t xml:space="preserve">Comunidade Campos Novos, Assentamento Wesley M. dos Santos, Gleba Mercedes </w:t>
            </w:r>
          </w:p>
        </w:tc>
      </w:tr>
      <w:tr w14:paraId="5561ECFF">
        <w:tblPrEx>
          <w:tblCellMar>
            <w:top w:w="0" w:type="dxa"/>
            <w:left w:w="108" w:type="dxa"/>
            <w:bottom w:w="0" w:type="dxa"/>
            <w:right w:w="108" w:type="dxa"/>
          </w:tblCellMar>
        </w:tblPrEx>
        <w:trPr>
          <w:trHeight w:val="530" w:hRule="atLeast"/>
          <w:jc w:val="center"/>
        </w:trPr>
        <w:tc>
          <w:tcPr>
            <w:tcW w:w="562" w:type="dxa"/>
            <w:vMerge w:val="continue"/>
            <w:tcBorders>
              <w:left w:val="single" w:color="000000" w:sz="2" w:space="0"/>
              <w:bottom w:val="single" w:color="000000" w:sz="2" w:space="0"/>
              <w:right w:val="single" w:color="000000" w:sz="2" w:space="0"/>
            </w:tcBorders>
            <w:shd w:val="clear" w:color="auto" w:fill="auto"/>
            <w:noWrap/>
            <w:vAlign w:val="center"/>
          </w:tcPr>
          <w:p w14:paraId="22C82C0A">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val="en-US" w:eastAsia="zh-CN" w:bidi="ar"/>
              </w:rPr>
            </w:pPr>
          </w:p>
        </w:tc>
        <w:tc>
          <w:tcPr>
            <w:tcW w:w="1304" w:type="dxa"/>
            <w:vMerge w:val="continue"/>
            <w:tcBorders>
              <w:left w:val="single" w:color="000000" w:sz="2" w:space="0"/>
              <w:bottom w:val="single" w:color="000000" w:sz="2" w:space="0"/>
              <w:right w:val="single" w:color="000000" w:sz="2" w:space="0"/>
            </w:tcBorders>
            <w:shd w:val="clear" w:color="auto" w:fill="auto"/>
            <w:noWrap w:val="0"/>
            <w:vAlign w:val="center"/>
          </w:tcPr>
          <w:p w14:paraId="25E42EA6">
            <w:pPr>
              <w:keepNext w:val="0"/>
              <w:keepLines w:val="0"/>
              <w:pageBreakBefore w:val="0"/>
              <w:widowControl/>
              <w:kinsoku/>
              <w:wordWrap/>
              <w:overflowPunct/>
              <w:topLinePunct w:val="0"/>
              <w:bidi w:val="0"/>
              <w:adjustRightInd/>
              <w:snapToGrid/>
              <w:spacing w:after="0" w:line="240" w:lineRule="auto"/>
              <w:jc w:val="center"/>
              <w:textAlignment w:val="auto"/>
              <w:rPr>
                <w:rFonts w:ascii="Arial" w:hAnsi="Arial" w:cs="Arial"/>
                <w:sz w:val="20"/>
                <w:szCs w:val="20"/>
                <w:lang w:val="en-US" w:eastAsia="zh-CN" w:bidi="ar"/>
              </w:rPr>
            </w:pPr>
          </w:p>
        </w:tc>
        <w:tc>
          <w:tcPr>
            <w:tcW w:w="1113" w:type="dxa"/>
            <w:vMerge w:val="continue"/>
            <w:tcBorders>
              <w:left w:val="single" w:color="000000" w:sz="2" w:space="0"/>
              <w:bottom w:val="single" w:color="000000" w:sz="2" w:space="0"/>
              <w:right w:val="single" w:color="000000" w:sz="2" w:space="0"/>
            </w:tcBorders>
            <w:shd w:val="clear" w:color="auto" w:fill="auto"/>
            <w:noWrap/>
            <w:vAlign w:val="center"/>
          </w:tcPr>
          <w:p w14:paraId="745660A6">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lang w:val="en-US" w:eastAsia="zh-CN" w:bidi="ar"/>
              </w:rPr>
            </w:pPr>
          </w:p>
        </w:tc>
        <w:tc>
          <w:tcPr>
            <w:tcW w:w="2569"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600B8A8F">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cs="Arial"/>
                <w:sz w:val="20"/>
                <w:szCs w:val="20"/>
                <w:lang w:val="en-US" w:eastAsia="zh-CN" w:bidi="ar"/>
              </w:rPr>
            </w:pPr>
            <w:r>
              <w:rPr>
                <w:rFonts w:hint="default" w:ascii="Arial" w:hAnsi="Arial" w:cs="Arial"/>
                <w:sz w:val="20"/>
                <w:szCs w:val="20"/>
                <w:lang w:val="pt-BR" w:eastAsia="zh-CN" w:bidi="ar"/>
              </w:rPr>
              <w:t xml:space="preserve">SALAS DA </w:t>
            </w:r>
            <w:r>
              <w:rPr>
                <w:rFonts w:ascii="Arial" w:hAnsi="Arial" w:cs="Arial"/>
                <w:sz w:val="20"/>
                <w:szCs w:val="20"/>
                <w:lang w:val="en-US" w:eastAsia="zh-CN" w:bidi="ar"/>
              </w:rPr>
              <w:t>EMEI PALMIRA MACHADO MENEGAZZO</w:t>
            </w:r>
            <w:r>
              <w:rPr>
                <w:rFonts w:hint="default" w:ascii="Arial" w:hAnsi="Arial" w:cs="Arial"/>
                <w:sz w:val="20"/>
                <w:szCs w:val="20"/>
                <w:lang w:val="pt-BR" w:eastAsia="zh-CN" w:bidi="ar"/>
              </w:rPr>
              <w:t xml:space="preserve"> -  ANEXO A </w:t>
            </w:r>
            <w:r>
              <w:rPr>
                <w:rFonts w:ascii="Arial" w:hAnsi="Arial" w:cs="Arial"/>
                <w:sz w:val="20"/>
                <w:szCs w:val="20"/>
                <w:lang w:eastAsia="zh-CN" w:bidi="ar"/>
              </w:rPr>
              <w:t>ESCOLA ESTADUAL CARLOS DRUMMOND DE ANDRADE</w:t>
            </w:r>
          </w:p>
        </w:tc>
        <w:tc>
          <w:tcPr>
            <w:tcW w:w="121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8524D61">
            <w:pPr>
              <w:keepNext w:val="0"/>
              <w:keepLines w:val="0"/>
              <w:pageBreakBefore w:val="0"/>
              <w:widowControl/>
              <w:kinsoku/>
              <w:wordWrap/>
              <w:overflowPunct/>
              <w:topLinePunct w:val="0"/>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eastAsia="zh-CN" w:bidi="ar"/>
              </w:rPr>
              <w:t>REGULAR</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E575F65">
            <w:pPr>
              <w:keepNext w:val="0"/>
              <w:keepLines w:val="0"/>
              <w:pageBreakBefore w:val="0"/>
              <w:widowControl/>
              <w:kinsoku/>
              <w:wordWrap/>
              <w:overflowPunct/>
              <w:topLinePunct w:val="0"/>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eastAsia="zh-CN" w:bidi="ar"/>
              </w:rPr>
              <w:t>RURAL</w:t>
            </w:r>
          </w:p>
        </w:tc>
        <w:tc>
          <w:tcPr>
            <w:tcW w:w="2829"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7CC5F7D2">
            <w:pPr>
              <w:keepNext w:val="0"/>
              <w:keepLines w:val="0"/>
              <w:pageBreakBefore w:val="0"/>
              <w:widowControl/>
              <w:kinsoku/>
              <w:wordWrap/>
              <w:overflowPunct/>
              <w:topLinePunct w:val="0"/>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eastAsia="zh-CN" w:bidi="ar"/>
              </w:rPr>
              <w:t>Assentamento Wesley Manoel dos Santos Agrovila Nova, - Gleba Mercedes</w:t>
            </w:r>
          </w:p>
        </w:tc>
      </w:tr>
      <w:tr w14:paraId="52431D0B">
        <w:tblPrEx>
          <w:tblCellMar>
            <w:top w:w="0" w:type="dxa"/>
            <w:left w:w="108" w:type="dxa"/>
            <w:bottom w:w="0" w:type="dxa"/>
            <w:right w:w="108" w:type="dxa"/>
          </w:tblCellMar>
        </w:tblPrEx>
        <w:trPr>
          <w:trHeight w:val="530" w:hRule="atLeast"/>
          <w:jc w:val="center"/>
        </w:trPr>
        <w:tc>
          <w:tcPr>
            <w:tcW w:w="5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C883FB7">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27</w:t>
            </w:r>
          </w:p>
        </w:tc>
        <w:tc>
          <w:tcPr>
            <w:tcW w:w="1304"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19009055">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MT 51099004</w:t>
            </w:r>
          </w:p>
        </w:tc>
        <w:tc>
          <w:tcPr>
            <w:tcW w:w="11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FB2D54C">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Pequeno Porte</w:t>
            </w:r>
          </w:p>
        </w:tc>
        <w:tc>
          <w:tcPr>
            <w:tcW w:w="2569"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1FBD47C9">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Arial" w:hAnsi="Arial" w:eastAsia="Times New Roman" w:cs="Arial"/>
                <w:sz w:val="20"/>
                <w:szCs w:val="20"/>
                <w:lang w:val="pt-BR" w:eastAsia="zh-CN" w:bidi="ar-SA"/>
              </w:rPr>
            </w:pPr>
            <w:r>
              <w:rPr>
                <w:rFonts w:ascii="Arial" w:hAnsi="Arial" w:cs="Arial"/>
                <w:sz w:val="20"/>
                <w:szCs w:val="20"/>
                <w:lang w:val="en-US" w:eastAsia="zh-CN" w:bidi="ar"/>
              </w:rPr>
              <w:t xml:space="preserve">EMEI </w:t>
            </w:r>
            <w:r>
              <w:rPr>
                <w:rFonts w:hint="default" w:ascii="Arial" w:hAnsi="Arial" w:cs="Arial"/>
                <w:sz w:val="20"/>
                <w:szCs w:val="20"/>
                <w:lang w:val="pt-BR" w:eastAsia="zh-CN" w:bidi="ar"/>
              </w:rPr>
              <w:t xml:space="preserve">CLARICE ALVES CORREA DOS SANTOS </w:t>
            </w:r>
          </w:p>
        </w:tc>
        <w:tc>
          <w:tcPr>
            <w:tcW w:w="121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9C14029">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REGULAR</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B5B3C9F">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URBANA</w:t>
            </w:r>
          </w:p>
        </w:tc>
        <w:tc>
          <w:tcPr>
            <w:tcW w:w="2829"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063358F7">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Av. Ipiranga, 130, Jardim Paulista</w:t>
            </w:r>
          </w:p>
        </w:tc>
      </w:tr>
      <w:tr w14:paraId="1F04279F">
        <w:tblPrEx>
          <w:tblCellMar>
            <w:top w:w="0" w:type="dxa"/>
            <w:left w:w="108" w:type="dxa"/>
            <w:bottom w:w="0" w:type="dxa"/>
            <w:right w:w="108" w:type="dxa"/>
          </w:tblCellMar>
        </w:tblPrEx>
        <w:trPr>
          <w:trHeight w:val="518" w:hRule="atLeast"/>
          <w:jc w:val="center"/>
        </w:trPr>
        <w:tc>
          <w:tcPr>
            <w:tcW w:w="5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499D5F7">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sz w:val="20"/>
                <w:szCs w:val="20"/>
                <w:lang w:val="pt-BR"/>
              </w:rPr>
            </w:pPr>
            <w:r>
              <w:rPr>
                <w:rFonts w:hint="default" w:ascii="Arial" w:hAnsi="Arial" w:cs="Arial"/>
                <w:sz w:val="20"/>
                <w:szCs w:val="20"/>
                <w:lang w:val="pt-BR" w:eastAsia="zh-CN" w:bidi="ar"/>
              </w:rPr>
              <w:t>28</w:t>
            </w:r>
          </w:p>
        </w:tc>
        <w:tc>
          <w:tcPr>
            <w:tcW w:w="1304"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54037083">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rPr>
            </w:pPr>
            <w:r>
              <w:rPr>
                <w:rFonts w:ascii="Arial" w:hAnsi="Arial" w:cs="Arial"/>
                <w:sz w:val="20"/>
                <w:szCs w:val="20"/>
                <w:lang w:val="en-US" w:eastAsia="zh-CN" w:bidi="ar"/>
              </w:rPr>
              <w:t>MT 51099403</w:t>
            </w:r>
          </w:p>
        </w:tc>
        <w:tc>
          <w:tcPr>
            <w:tcW w:w="11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E22F984">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rPr>
            </w:pPr>
            <w:r>
              <w:rPr>
                <w:rFonts w:ascii="Arial" w:hAnsi="Arial" w:cs="Arial"/>
                <w:sz w:val="20"/>
                <w:szCs w:val="20"/>
                <w:lang w:val="en-US" w:eastAsia="zh-CN" w:bidi="ar"/>
              </w:rPr>
              <w:t>Grande Porte</w:t>
            </w:r>
          </w:p>
        </w:tc>
        <w:tc>
          <w:tcPr>
            <w:tcW w:w="2569"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6A139AE3">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cs="Arial"/>
                <w:sz w:val="20"/>
                <w:szCs w:val="20"/>
              </w:rPr>
            </w:pPr>
            <w:r>
              <w:rPr>
                <w:rFonts w:ascii="Arial" w:hAnsi="Arial" w:cs="Arial"/>
                <w:sz w:val="20"/>
                <w:szCs w:val="20"/>
                <w:lang w:val="en-US" w:eastAsia="zh-CN" w:bidi="ar"/>
              </w:rPr>
              <w:t>EMEB BASILIANO DO CARMO DE JESUS</w:t>
            </w:r>
          </w:p>
        </w:tc>
        <w:tc>
          <w:tcPr>
            <w:tcW w:w="121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585E8FF">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rPr>
            </w:pPr>
            <w:r>
              <w:rPr>
                <w:rFonts w:ascii="Arial" w:hAnsi="Arial" w:cs="Arial"/>
                <w:sz w:val="20"/>
                <w:szCs w:val="20"/>
                <w:lang w:val="en-US" w:eastAsia="zh-CN" w:bidi="ar"/>
              </w:rPr>
              <w:t>REGULAR</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105A76E">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rPr>
            </w:pPr>
            <w:r>
              <w:rPr>
                <w:rFonts w:ascii="Arial" w:hAnsi="Arial" w:cs="Arial"/>
                <w:sz w:val="20"/>
                <w:szCs w:val="20"/>
                <w:lang w:val="en-US" w:eastAsia="zh-CN" w:bidi="ar"/>
              </w:rPr>
              <w:t>URBANA</w:t>
            </w:r>
          </w:p>
        </w:tc>
        <w:tc>
          <w:tcPr>
            <w:tcW w:w="2829"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13588A64">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cs="Arial"/>
                <w:sz w:val="20"/>
                <w:szCs w:val="20"/>
              </w:rPr>
            </w:pPr>
            <w:r>
              <w:rPr>
                <w:rFonts w:ascii="Arial" w:hAnsi="Arial" w:cs="Arial"/>
                <w:sz w:val="20"/>
                <w:szCs w:val="20"/>
                <w:lang w:val="en-US" w:eastAsia="zh-CN" w:bidi="ar"/>
              </w:rPr>
              <w:t>Rua 3 - Res - Lisboa, Sinop - MT, 78557-400</w:t>
            </w:r>
          </w:p>
        </w:tc>
      </w:tr>
      <w:tr w14:paraId="136163C0">
        <w:tblPrEx>
          <w:tblCellMar>
            <w:top w:w="0" w:type="dxa"/>
            <w:left w:w="108" w:type="dxa"/>
            <w:bottom w:w="0" w:type="dxa"/>
            <w:right w:w="108" w:type="dxa"/>
          </w:tblCellMar>
        </w:tblPrEx>
        <w:trPr>
          <w:trHeight w:val="518" w:hRule="atLeast"/>
          <w:jc w:val="center"/>
        </w:trPr>
        <w:tc>
          <w:tcPr>
            <w:tcW w:w="5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63DF315">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29</w:t>
            </w:r>
          </w:p>
        </w:tc>
        <w:tc>
          <w:tcPr>
            <w:tcW w:w="1304"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432634C5">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MT 51156806</w:t>
            </w:r>
          </w:p>
        </w:tc>
        <w:tc>
          <w:tcPr>
            <w:tcW w:w="11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41F0190">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Médio Porte I</w:t>
            </w:r>
          </w:p>
        </w:tc>
        <w:tc>
          <w:tcPr>
            <w:tcW w:w="2569"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237EAEF1">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EMEI PEQUENO PRÍNCIPE</w:t>
            </w:r>
          </w:p>
        </w:tc>
        <w:tc>
          <w:tcPr>
            <w:tcW w:w="121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89B329B">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REGULAR</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FD72609">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URBANA</w:t>
            </w:r>
          </w:p>
        </w:tc>
        <w:tc>
          <w:tcPr>
            <w:tcW w:w="2829"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1CFC38FD">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Av. dos Ingás, 4411 Jardim Imperial</w:t>
            </w:r>
          </w:p>
        </w:tc>
      </w:tr>
      <w:tr w14:paraId="3B693810">
        <w:tblPrEx>
          <w:tblCellMar>
            <w:top w:w="0" w:type="dxa"/>
            <w:left w:w="108" w:type="dxa"/>
            <w:bottom w:w="0" w:type="dxa"/>
            <w:right w:w="108" w:type="dxa"/>
          </w:tblCellMar>
        </w:tblPrEx>
        <w:trPr>
          <w:trHeight w:val="518" w:hRule="atLeast"/>
          <w:jc w:val="center"/>
        </w:trPr>
        <w:tc>
          <w:tcPr>
            <w:tcW w:w="5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8F40001">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30</w:t>
            </w:r>
          </w:p>
        </w:tc>
        <w:tc>
          <w:tcPr>
            <w:tcW w:w="1304"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21C5D2D1">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MT 51175819</w:t>
            </w:r>
          </w:p>
        </w:tc>
        <w:tc>
          <w:tcPr>
            <w:tcW w:w="11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13E0521">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Médio Porte I</w:t>
            </w:r>
          </w:p>
        </w:tc>
        <w:tc>
          <w:tcPr>
            <w:tcW w:w="2569"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5435BBFE">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EMEI TARSILA DO AMARAL</w:t>
            </w:r>
          </w:p>
        </w:tc>
        <w:tc>
          <w:tcPr>
            <w:tcW w:w="121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D5A9946">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REGULAR</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B302B67">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URBANA</w:t>
            </w:r>
          </w:p>
        </w:tc>
        <w:tc>
          <w:tcPr>
            <w:tcW w:w="2829"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44A52934">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R. das Primaveras, 1271 - Jardim Jacarandas</w:t>
            </w:r>
          </w:p>
        </w:tc>
      </w:tr>
      <w:tr w14:paraId="7DBF4E3B">
        <w:tblPrEx>
          <w:tblCellMar>
            <w:top w:w="0" w:type="dxa"/>
            <w:left w:w="108" w:type="dxa"/>
            <w:bottom w:w="0" w:type="dxa"/>
            <w:right w:w="108" w:type="dxa"/>
          </w:tblCellMar>
        </w:tblPrEx>
        <w:trPr>
          <w:trHeight w:val="518" w:hRule="atLeast"/>
          <w:jc w:val="center"/>
        </w:trPr>
        <w:tc>
          <w:tcPr>
            <w:tcW w:w="5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5506F62">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31</w:t>
            </w:r>
          </w:p>
        </w:tc>
        <w:tc>
          <w:tcPr>
            <w:tcW w:w="1304"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12E3B927">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MT 51175827</w:t>
            </w:r>
          </w:p>
        </w:tc>
        <w:tc>
          <w:tcPr>
            <w:tcW w:w="11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CF4332B">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Médio Porte I</w:t>
            </w:r>
          </w:p>
        </w:tc>
        <w:tc>
          <w:tcPr>
            <w:tcW w:w="2569"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1A7E128F">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EMEB MONTEIRO LOBATO</w:t>
            </w:r>
          </w:p>
        </w:tc>
        <w:tc>
          <w:tcPr>
            <w:tcW w:w="121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3BDCED8">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REGULAR</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AF1F91D">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URBANA</w:t>
            </w:r>
          </w:p>
        </w:tc>
        <w:tc>
          <w:tcPr>
            <w:tcW w:w="2829"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6B3F920C">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Av. dos Jacarandás, 5756 - Jardim Primaveras</w:t>
            </w:r>
          </w:p>
        </w:tc>
      </w:tr>
      <w:tr w14:paraId="0BBB2E9C">
        <w:tblPrEx>
          <w:tblCellMar>
            <w:top w:w="0" w:type="dxa"/>
            <w:left w:w="108" w:type="dxa"/>
            <w:bottom w:w="0" w:type="dxa"/>
            <w:right w:w="108" w:type="dxa"/>
          </w:tblCellMar>
        </w:tblPrEx>
        <w:trPr>
          <w:trHeight w:val="518" w:hRule="atLeast"/>
          <w:jc w:val="center"/>
        </w:trPr>
        <w:tc>
          <w:tcPr>
            <w:tcW w:w="5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85A57DF">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32</w:t>
            </w:r>
          </w:p>
        </w:tc>
        <w:tc>
          <w:tcPr>
            <w:tcW w:w="1304"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6C7412F7">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MT 51175835</w:t>
            </w:r>
          </w:p>
        </w:tc>
        <w:tc>
          <w:tcPr>
            <w:tcW w:w="11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8C05C00">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Médio Porte I</w:t>
            </w:r>
          </w:p>
        </w:tc>
        <w:tc>
          <w:tcPr>
            <w:tcW w:w="2569"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5A9F8ADF">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EMEI TEMPO DE INFÂNCIA</w:t>
            </w:r>
          </w:p>
        </w:tc>
        <w:tc>
          <w:tcPr>
            <w:tcW w:w="121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A2BECB0">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REGULAR</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6F9E898">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URBANA</w:t>
            </w:r>
          </w:p>
        </w:tc>
        <w:tc>
          <w:tcPr>
            <w:tcW w:w="2829"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2FFAB8FD">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R. Projetada K - Res. Daury Riva</w:t>
            </w:r>
          </w:p>
        </w:tc>
      </w:tr>
      <w:tr w14:paraId="212E2128">
        <w:tblPrEx>
          <w:tblCellMar>
            <w:top w:w="0" w:type="dxa"/>
            <w:left w:w="108" w:type="dxa"/>
            <w:bottom w:w="0" w:type="dxa"/>
            <w:right w:w="108" w:type="dxa"/>
          </w:tblCellMar>
        </w:tblPrEx>
        <w:trPr>
          <w:trHeight w:val="518" w:hRule="atLeast"/>
          <w:jc w:val="center"/>
        </w:trPr>
        <w:tc>
          <w:tcPr>
            <w:tcW w:w="5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2999EAB">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Times New Roman" w:cs="Arial"/>
                <w:sz w:val="20"/>
                <w:szCs w:val="20"/>
                <w:lang w:val="pt-BR" w:eastAsia="zh-CN" w:bidi="ar-SA"/>
              </w:rPr>
            </w:pPr>
            <w:r>
              <w:rPr>
                <w:rFonts w:ascii="Arial" w:hAnsi="Arial" w:cs="Arial"/>
                <w:sz w:val="20"/>
                <w:szCs w:val="20"/>
                <w:lang w:val="en-US" w:eastAsia="zh-CN" w:bidi="ar"/>
              </w:rPr>
              <w:t>3</w:t>
            </w:r>
            <w:r>
              <w:rPr>
                <w:rFonts w:hint="default" w:ascii="Arial" w:hAnsi="Arial" w:cs="Arial"/>
                <w:sz w:val="20"/>
                <w:szCs w:val="20"/>
                <w:lang w:val="pt-BR" w:eastAsia="zh-CN" w:bidi="ar"/>
              </w:rPr>
              <w:t>3</w:t>
            </w:r>
          </w:p>
        </w:tc>
        <w:tc>
          <w:tcPr>
            <w:tcW w:w="1304"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04715F59">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MT 51176815</w:t>
            </w:r>
          </w:p>
        </w:tc>
        <w:tc>
          <w:tcPr>
            <w:tcW w:w="11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A70223E">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Médio Porte I</w:t>
            </w:r>
          </w:p>
        </w:tc>
        <w:tc>
          <w:tcPr>
            <w:tcW w:w="2569"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5B9CCF8D">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EMEI GENTE FELIZ</w:t>
            </w:r>
          </w:p>
        </w:tc>
        <w:tc>
          <w:tcPr>
            <w:tcW w:w="121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9C98D4E">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REGULAR</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5C6AE26">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URBANA</w:t>
            </w:r>
          </w:p>
        </w:tc>
        <w:tc>
          <w:tcPr>
            <w:tcW w:w="2829"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04E04E6C">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Av. André Maggi - São Paulo I e II</w:t>
            </w:r>
          </w:p>
        </w:tc>
      </w:tr>
      <w:tr w14:paraId="7E50295D">
        <w:tblPrEx>
          <w:tblCellMar>
            <w:top w:w="0" w:type="dxa"/>
            <w:left w:w="108" w:type="dxa"/>
            <w:bottom w:w="0" w:type="dxa"/>
            <w:right w:w="108" w:type="dxa"/>
          </w:tblCellMar>
        </w:tblPrEx>
        <w:trPr>
          <w:trHeight w:val="518" w:hRule="atLeast"/>
          <w:jc w:val="center"/>
        </w:trPr>
        <w:tc>
          <w:tcPr>
            <w:tcW w:w="5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AA71C1B">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34</w:t>
            </w:r>
          </w:p>
        </w:tc>
        <w:tc>
          <w:tcPr>
            <w:tcW w:w="1304"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6C9D7103">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MT 51016095</w:t>
            </w:r>
          </w:p>
        </w:tc>
        <w:tc>
          <w:tcPr>
            <w:tcW w:w="11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E7B9418">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Médio Porte II</w:t>
            </w:r>
          </w:p>
        </w:tc>
        <w:tc>
          <w:tcPr>
            <w:tcW w:w="2569"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3990BEDD">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EMEB PROF</w:t>
            </w:r>
            <w:r>
              <w:rPr>
                <w:rFonts w:hint="default" w:ascii="Arial" w:hAnsi="Arial" w:cs="Arial"/>
                <w:sz w:val="20"/>
                <w:szCs w:val="20"/>
                <w:lang w:val="pt-BR" w:eastAsia="zh-CN" w:bidi="ar"/>
              </w:rPr>
              <w:t>ESSORA</w:t>
            </w:r>
            <w:r>
              <w:rPr>
                <w:rFonts w:ascii="Arial" w:hAnsi="Arial" w:cs="Arial"/>
                <w:sz w:val="20"/>
                <w:szCs w:val="20"/>
                <w:lang w:val="en-US" w:eastAsia="zh-CN" w:bidi="ar"/>
              </w:rPr>
              <w:t xml:space="preserve"> LENI TERESINHA BENEDETTI</w:t>
            </w:r>
          </w:p>
        </w:tc>
        <w:tc>
          <w:tcPr>
            <w:tcW w:w="121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843EE65">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REGULAR</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0E51E27">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URBANA</w:t>
            </w:r>
          </w:p>
        </w:tc>
        <w:tc>
          <w:tcPr>
            <w:tcW w:w="2829"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2537E402">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Rua João Pedro Moreira de Carvalho, 1870 - Jardim America, Sinop - MT, 78550-970</w:t>
            </w:r>
          </w:p>
        </w:tc>
      </w:tr>
      <w:tr w14:paraId="555842C1">
        <w:tblPrEx>
          <w:tblCellMar>
            <w:top w:w="0" w:type="dxa"/>
            <w:left w:w="108" w:type="dxa"/>
            <w:bottom w:w="0" w:type="dxa"/>
            <w:right w:w="108" w:type="dxa"/>
          </w:tblCellMar>
        </w:tblPrEx>
        <w:trPr>
          <w:trHeight w:val="518" w:hRule="atLeast"/>
          <w:jc w:val="center"/>
        </w:trPr>
        <w:tc>
          <w:tcPr>
            <w:tcW w:w="5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CC10FD6">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35</w:t>
            </w:r>
          </w:p>
        </w:tc>
        <w:tc>
          <w:tcPr>
            <w:tcW w:w="1304"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62669BFB">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MT 51087545</w:t>
            </w:r>
          </w:p>
        </w:tc>
        <w:tc>
          <w:tcPr>
            <w:tcW w:w="11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4C4EC42">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Médio Porte II</w:t>
            </w:r>
          </w:p>
        </w:tc>
        <w:tc>
          <w:tcPr>
            <w:tcW w:w="2569"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4B8767AA">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EMEB PROF</w:t>
            </w:r>
            <w:r>
              <w:rPr>
                <w:rFonts w:hint="default" w:ascii="Arial" w:hAnsi="Arial" w:cs="Arial"/>
                <w:sz w:val="20"/>
                <w:szCs w:val="20"/>
                <w:lang w:val="pt-BR" w:eastAsia="zh-CN" w:bidi="ar"/>
              </w:rPr>
              <w:t>ESSORA</w:t>
            </w:r>
            <w:r>
              <w:rPr>
                <w:rFonts w:ascii="Arial" w:hAnsi="Arial" w:cs="Arial"/>
                <w:sz w:val="20"/>
                <w:szCs w:val="20"/>
                <w:lang w:val="en-US" w:eastAsia="zh-CN" w:bidi="ar"/>
              </w:rPr>
              <w:t xml:space="preserve"> TACIANA BALTH JORDÃO</w:t>
            </w:r>
          </w:p>
        </w:tc>
        <w:tc>
          <w:tcPr>
            <w:tcW w:w="121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A519809">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REGULAR</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FF128D6">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URBANA</w:t>
            </w:r>
          </w:p>
        </w:tc>
        <w:tc>
          <w:tcPr>
            <w:tcW w:w="2829"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4BA3754D">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R. das Seringueiras, 2001 - Jardim Paraiso, Sinop - MT, 78556-110</w:t>
            </w:r>
          </w:p>
        </w:tc>
      </w:tr>
      <w:tr w14:paraId="5777E484">
        <w:tblPrEx>
          <w:tblCellMar>
            <w:top w:w="0" w:type="dxa"/>
            <w:left w:w="108" w:type="dxa"/>
            <w:bottom w:w="0" w:type="dxa"/>
            <w:right w:w="108" w:type="dxa"/>
          </w:tblCellMar>
        </w:tblPrEx>
        <w:trPr>
          <w:trHeight w:val="518" w:hRule="atLeast"/>
          <w:jc w:val="center"/>
        </w:trPr>
        <w:tc>
          <w:tcPr>
            <w:tcW w:w="5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98BEFE5">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36</w:t>
            </w:r>
          </w:p>
        </w:tc>
        <w:tc>
          <w:tcPr>
            <w:tcW w:w="1304"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370A6B8A">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MT 51068591</w:t>
            </w:r>
          </w:p>
        </w:tc>
        <w:tc>
          <w:tcPr>
            <w:tcW w:w="11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2CFDB00">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Pequeno Porte</w:t>
            </w:r>
          </w:p>
        </w:tc>
        <w:tc>
          <w:tcPr>
            <w:tcW w:w="2569"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2CFFCA1F">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EMEI SYLVIA ORTHOF</w:t>
            </w:r>
          </w:p>
        </w:tc>
        <w:tc>
          <w:tcPr>
            <w:tcW w:w="121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1D8ACBF">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REGULAR</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0F1AD47">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URBANA</w:t>
            </w:r>
          </w:p>
        </w:tc>
        <w:tc>
          <w:tcPr>
            <w:tcW w:w="2829"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404413EB">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R. das Cerejeiras, 595 - Jardim Botânico</w:t>
            </w:r>
          </w:p>
        </w:tc>
      </w:tr>
      <w:tr w14:paraId="15131386">
        <w:tblPrEx>
          <w:tblCellMar>
            <w:top w:w="0" w:type="dxa"/>
            <w:left w:w="108" w:type="dxa"/>
            <w:bottom w:w="0" w:type="dxa"/>
            <w:right w:w="108" w:type="dxa"/>
          </w:tblCellMar>
        </w:tblPrEx>
        <w:trPr>
          <w:trHeight w:val="475" w:hRule="atLeast"/>
          <w:jc w:val="center"/>
        </w:trPr>
        <w:tc>
          <w:tcPr>
            <w:tcW w:w="5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09B316C">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37</w:t>
            </w:r>
          </w:p>
        </w:tc>
        <w:tc>
          <w:tcPr>
            <w:tcW w:w="1304"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41740ED5">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MT 51068583</w:t>
            </w:r>
          </w:p>
        </w:tc>
        <w:tc>
          <w:tcPr>
            <w:tcW w:w="11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3A91E1D">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Médio Porte I</w:t>
            </w:r>
          </w:p>
        </w:tc>
        <w:tc>
          <w:tcPr>
            <w:tcW w:w="2569"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64485E28">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EMEI TATIANA BELINKY</w:t>
            </w:r>
          </w:p>
        </w:tc>
        <w:tc>
          <w:tcPr>
            <w:tcW w:w="121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EF45AB8">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REGULAR</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7639122">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URBANA</w:t>
            </w:r>
          </w:p>
        </w:tc>
        <w:tc>
          <w:tcPr>
            <w:tcW w:w="2829"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79624417">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R. Joao Pedro M De Carvalho, 556</w:t>
            </w:r>
          </w:p>
        </w:tc>
      </w:tr>
      <w:tr w14:paraId="71BF14B5">
        <w:tblPrEx>
          <w:tblCellMar>
            <w:top w:w="0" w:type="dxa"/>
            <w:left w:w="108" w:type="dxa"/>
            <w:bottom w:w="0" w:type="dxa"/>
            <w:right w:w="108" w:type="dxa"/>
          </w:tblCellMar>
        </w:tblPrEx>
        <w:trPr>
          <w:trHeight w:val="475" w:hRule="atLeast"/>
          <w:jc w:val="center"/>
        </w:trPr>
        <w:tc>
          <w:tcPr>
            <w:tcW w:w="5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449BD27">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38</w:t>
            </w:r>
          </w:p>
        </w:tc>
        <w:tc>
          <w:tcPr>
            <w:tcW w:w="1304"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6B949277">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MT 51069032</w:t>
            </w:r>
          </w:p>
        </w:tc>
        <w:tc>
          <w:tcPr>
            <w:tcW w:w="11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155E427">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Médio Porte I</w:t>
            </w:r>
          </w:p>
        </w:tc>
        <w:tc>
          <w:tcPr>
            <w:tcW w:w="2569"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06BDFBE9">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EMEI ELIZETE DALLABRIDA</w:t>
            </w:r>
          </w:p>
        </w:tc>
        <w:tc>
          <w:tcPr>
            <w:tcW w:w="121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F230582">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REGULAR</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5D78B6C">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URBANA</w:t>
            </w:r>
          </w:p>
        </w:tc>
        <w:tc>
          <w:tcPr>
            <w:tcW w:w="2829"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5F3EF8C5">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R. Tébis, Av. Sebastião de Matos, 06</w:t>
            </w:r>
          </w:p>
        </w:tc>
      </w:tr>
      <w:tr w14:paraId="4A9A5DE0">
        <w:tblPrEx>
          <w:tblCellMar>
            <w:top w:w="0" w:type="dxa"/>
            <w:left w:w="108" w:type="dxa"/>
            <w:bottom w:w="0" w:type="dxa"/>
            <w:right w:w="108" w:type="dxa"/>
          </w:tblCellMar>
        </w:tblPrEx>
        <w:trPr>
          <w:trHeight w:val="475" w:hRule="atLeast"/>
          <w:jc w:val="center"/>
        </w:trPr>
        <w:tc>
          <w:tcPr>
            <w:tcW w:w="5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4942F0E">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39</w:t>
            </w:r>
          </w:p>
        </w:tc>
        <w:tc>
          <w:tcPr>
            <w:tcW w:w="1304"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117AC19B">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MT 51069687</w:t>
            </w:r>
          </w:p>
        </w:tc>
        <w:tc>
          <w:tcPr>
            <w:tcW w:w="11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64F7E21">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Médio Porte I</w:t>
            </w:r>
          </w:p>
        </w:tc>
        <w:tc>
          <w:tcPr>
            <w:tcW w:w="2569"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5DCACFA2">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EMEB SIMAO FLACH</w:t>
            </w:r>
          </w:p>
        </w:tc>
        <w:tc>
          <w:tcPr>
            <w:tcW w:w="121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61CAC1D">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REGULAR</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C907E64">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URBANA</w:t>
            </w:r>
          </w:p>
        </w:tc>
        <w:tc>
          <w:tcPr>
            <w:tcW w:w="2829"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750EC6C6">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R. Projetada 11, S/N - Res. Gente Feliz, Sinop - MT, 78551-139</w:t>
            </w:r>
          </w:p>
        </w:tc>
      </w:tr>
      <w:tr w14:paraId="22EB899A">
        <w:tblPrEx>
          <w:tblCellMar>
            <w:top w:w="0" w:type="dxa"/>
            <w:left w:w="108" w:type="dxa"/>
            <w:bottom w:w="0" w:type="dxa"/>
            <w:right w:w="108" w:type="dxa"/>
          </w:tblCellMar>
        </w:tblPrEx>
        <w:trPr>
          <w:trHeight w:val="475" w:hRule="atLeast"/>
          <w:jc w:val="center"/>
        </w:trPr>
        <w:tc>
          <w:tcPr>
            <w:tcW w:w="5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C8A2A03">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40</w:t>
            </w:r>
          </w:p>
        </w:tc>
        <w:tc>
          <w:tcPr>
            <w:tcW w:w="1304"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20FB7B7A">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MT 51071657</w:t>
            </w:r>
          </w:p>
        </w:tc>
        <w:tc>
          <w:tcPr>
            <w:tcW w:w="11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13DECAB">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Médio Porte I</w:t>
            </w:r>
          </w:p>
        </w:tc>
        <w:tc>
          <w:tcPr>
            <w:tcW w:w="2569"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3748BEF5">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Arial" w:hAnsi="Arial" w:eastAsia="Times New Roman" w:cs="Arial"/>
                <w:sz w:val="20"/>
                <w:szCs w:val="20"/>
                <w:lang w:val="pt-BR" w:eastAsia="zh-CN" w:bidi="ar-SA"/>
              </w:rPr>
            </w:pPr>
            <w:r>
              <w:rPr>
                <w:rFonts w:ascii="Arial" w:hAnsi="Arial" w:cs="Arial"/>
                <w:sz w:val="20"/>
                <w:szCs w:val="20"/>
                <w:lang w:val="en-US" w:eastAsia="zh-CN" w:bidi="ar"/>
              </w:rPr>
              <w:t xml:space="preserve">EMEB </w:t>
            </w:r>
            <w:r>
              <w:rPr>
                <w:rFonts w:hint="default" w:ascii="Arial" w:hAnsi="Arial" w:cs="Arial"/>
                <w:sz w:val="20"/>
                <w:szCs w:val="20"/>
                <w:lang w:val="pt-BR" w:eastAsia="zh-CN" w:bidi="ar"/>
              </w:rPr>
              <w:t>LISIANE FUCKS BOHRER</w:t>
            </w:r>
          </w:p>
        </w:tc>
        <w:tc>
          <w:tcPr>
            <w:tcW w:w="121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9968D1E">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REGULAR</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C289634">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URBANA</w:t>
            </w:r>
          </w:p>
        </w:tc>
        <w:tc>
          <w:tcPr>
            <w:tcW w:w="2829"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3D116DC7">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Av. dos Jatobás, 994 - Jardim Jacarandas, Sinop - MT, 78556-658</w:t>
            </w:r>
          </w:p>
        </w:tc>
      </w:tr>
      <w:tr w14:paraId="06F001FE">
        <w:tblPrEx>
          <w:tblCellMar>
            <w:top w:w="0" w:type="dxa"/>
            <w:left w:w="108" w:type="dxa"/>
            <w:bottom w:w="0" w:type="dxa"/>
            <w:right w:w="108" w:type="dxa"/>
          </w:tblCellMar>
        </w:tblPrEx>
        <w:trPr>
          <w:trHeight w:val="475" w:hRule="atLeast"/>
          <w:jc w:val="center"/>
        </w:trPr>
        <w:tc>
          <w:tcPr>
            <w:tcW w:w="5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72A2673">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41</w:t>
            </w:r>
          </w:p>
        </w:tc>
        <w:tc>
          <w:tcPr>
            <w:tcW w:w="1304"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5CB91EFD">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MT 51071649</w:t>
            </w:r>
          </w:p>
        </w:tc>
        <w:tc>
          <w:tcPr>
            <w:tcW w:w="11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459DA19">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Médio Porte II</w:t>
            </w:r>
          </w:p>
        </w:tc>
        <w:tc>
          <w:tcPr>
            <w:tcW w:w="2569"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11AEA53E">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EMEB PROF</w:t>
            </w:r>
            <w:r>
              <w:rPr>
                <w:rFonts w:hint="default" w:ascii="Arial" w:hAnsi="Arial" w:cs="Arial"/>
                <w:sz w:val="20"/>
                <w:szCs w:val="20"/>
                <w:lang w:val="pt-BR" w:eastAsia="zh-CN" w:bidi="ar"/>
              </w:rPr>
              <w:t>ESSORA</w:t>
            </w:r>
            <w:r>
              <w:rPr>
                <w:rFonts w:ascii="Arial" w:hAnsi="Arial" w:cs="Arial"/>
                <w:sz w:val="20"/>
                <w:szCs w:val="20"/>
                <w:lang w:val="en-US" w:eastAsia="zh-CN" w:bidi="ar"/>
              </w:rPr>
              <w:t xml:space="preserve"> MARIZETE WEBER</w:t>
            </w:r>
          </w:p>
        </w:tc>
        <w:tc>
          <w:tcPr>
            <w:tcW w:w="121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7B3CD20">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REGULAR</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1113700">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URBANA</w:t>
            </w:r>
          </w:p>
        </w:tc>
        <w:tc>
          <w:tcPr>
            <w:tcW w:w="2829"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13093722">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R. Projetada 18, 257 - Lot. Cidade Alta, Sinop - MT, 78898-000</w:t>
            </w:r>
          </w:p>
        </w:tc>
      </w:tr>
      <w:tr w14:paraId="5160F589">
        <w:tblPrEx>
          <w:tblCellMar>
            <w:top w:w="0" w:type="dxa"/>
            <w:left w:w="108" w:type="dxa"/>
            <w:bottom w:w="0" w:type="dxa"/>
            <w:right w:w="108" w:type="dxa"/>
          </w:tblCellMar>
        </w:tblPrEx>
        <w:trPr>
          <w:trHeight w:val="475" w:hRule="atLeast"/>
          <w:jc w:val="center"/>
        </w:trPr>
        <w:tc>
          <w:tcPr>
            <w:tcW w:w="5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93B489F">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42</w:t>
            </w:r>
          </w:p>
        </w:tc>
        <w:tc>
          <w:tcPr>
            <w:tcW w:w="1304"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4C4BF034">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MT 51072068</w:t>
            </w:r>
          </w:p>
        </w:tc>
        <w:tc>
          <w:tcPr>
            <w:tcW w:w="11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5BD0F4F">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Médio Porte I</w:t>
            </w:r>
          </w:p>
        </w:tc>
        <w:tc>
          <w:tcPr>
            <w:tcW w:w="2569"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587F2AD6">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EMEB PROF</w:t>
            </w:r>
            <w:r>
              <w:rPr>
                <w:rFonts w:hint="default" w:ascii="Arial" w:hAnsi="Arial" w:cs="Arial"/>
                <w:sz w:val="20"/>
                <w:szCs w:val="20"/>
                <w:lang w:val="pt-BR" w:eastAsia="zh-CN" w:bidi="ar"/>
              </w:rPr>
              <w:t>ESSORA</w:t>
            </w:r>
            <w:r>
              <w:rPr>
                <w:rFonts w:ascii="Arial" w:hAnsi="Arial" w:cs="Arial"/>
                <w:sz w:val="20"/>
                <w:szCs w:val="20"/>
                <w:lang w:val="en-US" w:eastAsia="zh-CN" w:bidi="ar"/>
              </w:rPr>
              <w:t xml:space="preserve"> SHIELEY DA COSTA FORTUNA</w:t>
            </w:r>
          </w:p>
        </w:tc>
        <w:tc>
          <w:tcPr>
            <w:tcW w:w="121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6D3CB9F">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REGULAR</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F958999">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URBANA</w:t>
            </w:r>
          </w:p>
        </w:tc>
        <w:tc>
          <w:tcPr>
            <w:tcW w:w="2829"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39F5A0D8">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Rua Pirarara nº 77, Sinop - MT, 78551-200</w:t>
            </w:r>
          </w:p>
        </w:tc>
      </w:tr>
      <w:tr w14:paraId="27A77B44">
        <w:tblPrEx>
          <w:tblCellMar>
            <w:top w:w="0" w:type="dxa"/>
            <w:left w:w="108" w:type="dxa"/>
            <w:bottom w:w="0" w:type="dxa"/>
            <w:right w:w="108" w:type="dxa"/>
          </w:tblCellMar>
        </w:tblPrEx>
        <w:trPr>
          <w:trHeight w:val="475" w:hRule="atLeast"/>
          <w:jc w:val="center"/>
        </w:trPr>
        <w:tc>
          <w:tcPr>
            <w:tcW w:w="5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889BC97">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43</w:t>
            </w:r>
          </w:p>
        </w:tc>
        <w:tc>
          <w:tcPr>
            <w:tcW w:w="1304"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1E079D44">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MT 51071967</w:t>
            </w:r>
          </w:p>
        </w:tc>
        <w:tc>
          <w:tcPr>
            <w:tcW w:w="11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1DC0AB4A">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Médio Porte I</w:t>
            </w:r>
          </w:p>
        </w:tc>
        <w:tc>
          <w:tcPr>
            <w:tcW w:w="2569"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5C4B1A02">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EMEB PROF</w:t>
            </w:r>
            <w:r>
              <w:rPr>
                <w:rFonts w:hint="default" w:ascii="Arial" w:hAnsi="Arial" w:cs="Arial"/>
                <w:sz w:val="20"/>
                <w:szCs w:val="20"/>
                <w:lang w:val="pt-BR" w:eastAsia="zh-CN" w:bidi="ar"/>
              </w:rPr>
              <w:t>ESSORA</w:t>
            </w:r>
            <w:r>
              <w:rPr>
                <w:rFonts w:ascii="Arial" w:hAnsi="Arial" w:cs="Arial"/>
                <w:sz w:val="20"/>
                <w:szCs w:val="20"/>
                <w:lang w:val="en-US" w:eastAsia="zh-CN" w:bidi="ar"/>
              </w:rPr>
              <w:t xml:space="preserve"> ALCÍDIA DIVANIR SIMOES SALES PAVAN</w:t>
            </w:r>
          </w:p>
        </w:tc>
        <w:tc>
          <w:tcPr>
            <w:tcW w:w="121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9126C44">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REGULAR</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A8BC2CB">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URBANA</w:t>
            </w:r>
          </w:p>
        </w:tc>
        <w:tc>
          <w:tcPr>
            <w:tcW w:w="2829"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74B0856F">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R. Colonizador Ênio Pipino - Bairro São Cristovao, Sinop - MT, 78557-486</w:t>
            </w:r>
          </w:p>
        </w:tc>
      </w:tr>
      <w:tr w14:paraId="222224AC">
        <w:tblPrEx>
          <w:tblCellMar>
            <w:top w:w="0" w:type="dxa"/>
            <w:left w:w="108" w:type="dxa"/>
            <w:bottom w:w="0" w:type="dxa"/>
            <w:right w:w="108" w:type="dxa"/>
          </w:tblCellMar>
        </w:tblPrEx>
        <w:trPr>
          <w:trHeight w:val="927" w:hRule="atLeast"/>
          <w:jc w:val="center"/>
        </w:trPr>
        <w:tc>
          <w:tcPr>
            <w:tcW w:w="5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88D43AA">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cs="Arial"/>
                <w:sz w:val="20"/>
                <w:szCs w:val="20"/>
                <w:lang w:val="pt-BR"/>
              </w:rPr>
            </w:pPr>
            <w:r>
              <w:rPr>
                <w:rFonts w:hint="default" w:ascii="Arial" w:hAnsi="Arial" w:cs="Arial"/>
                <w:sz w:val="20"/>
                <w:szCs w:val="20"/>
                <w:lang w:val="pt-BR" w:eastAsia="zh-CN" w:bidi="ar"/>
              </w:rPr>
              <w:t>44</w:t>
            </w:r>
          </w:p>
        </w:tc>
        <w:tc>
          <w:tcPr>
            <w:tcW w:w="1304"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099D09C9">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rPr>
            </w:pPr>
            <w:r>
              <w:rPr>
                <w:rFonts w:ascii="Arial" w:hAnsi="Arial" w:cs="Arial"/>
                <w:sz w:val="20"/>
                <w:szCs w:val="20"/>
                <w:lang w:val="en-US" w:eastAsia="zh-CN" w:bidi="ar"/>
              </w:rPr>
              <w:t>MT 51072050</w:t>
            </w:r>
          </w:p>
        </w:tc>
        <w:tc>
          <w:tcPr>
            <w:tcW w:w="11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37982A5">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cs="Arial"/>
                <w:sz w:val="20"/>
                <w:szCs w:val="20"/>
              </w:rPr>
            </w:pPr>
            <w:r>
              <w:rPr>
                <w:rFonts w:ascii="Arial" w:hAnsi="Arial" w:cs="Arial"/>
                <w:sz w:val="20"/>
                <w:szCs w:val="20"/>
                <w:lang w:val="en-US" w:eastAsia="zh-CN" w:bidi="ar"/>
              </w:rPr>
              <w:t>Médio Porte I</w:t>
            </w:r>
          </w:p>
        </w:tc>
        <w:tc>
          <w:tcPr>
            <w:tcW w:w="2569"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6F98ECFB">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Arial" w:hAnsi="Arial" w:cs="Arial"/>
                <w:sz w:val="20"/>
                <w:szCs w:val="20"/>
                <w:lang w:val="pt-BR"/>
              </w:rPr>
            </w:pPr>
            <w:r>
              <w:rPr>
                <w:rFonts w:ascii="Arial" w:hAnsi="Arial" w:cs="Arial"/>
                <w:sz w:val="20"/>
                <w:szCs w:val="20"/>
                <w:lang w:val="en-US" w:eastAsia="zh-CN" w:bidi="ar"/>
              </w:rPr>
              <w:t xml:space="preserve">EMEB </w:t>
            </w:r>
            <w:r>
              <w:rPr>
                <w:rFonts w:ascii="Arial" w:hAnsi="Arial" w:cs="Arial"/>
                <w:sz w:val="20"/>
                <w:szCs w:val="20"/>
                <w:lang w:eastAsia="zh-CN" w:bidi="ar"/>
              </w:rPr>
              <w:t>LAURA HERONDINA</w:t>
            </w:r>
            <w:r>
              <w:rPr>
                <w:rFonts w:hint="default" w:ascii="Arial" w:hAnsi="Arial" w:cs="Arial"/>
                <w:sz w:val="20"/>
                <w:szCs w:val="20"/>
                <w:lang w:val="pt-BR" w:eastAsia="zh-CN" w:bidi="ar"/>
              </w:rPr>
              <w:t xml:space="preserve"> DE MORAES</w:t>
            </w:r>
          </w:p>
        </w:tc>
        <w:tc>
          <w:tcPr>
            <w:tcW w:w="121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823B82F">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rPr>
            </w:pPr>
            <w:r>
              <w:rPr>
                <w:rFonts w:ascii="Arial" w:hAnsi="Arial" w:cs="Arial"/>
                <w:sz w:val="20"/>
                <w:szCs w:val="20"/>
                <w:lang w:val="en-US" w:eastAsia="zh-CN" w:bidi="ar"/>
              </w:rPr>
              <w:t>REGULAR</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58A2362">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cs="Arial"/>
                <w:sz w:val="20"/>
                <w:szCs w:val="20"/>
              </w:rPr>
            </w:pPr>
            <w:r>
              <w:rPr>
                <w:rFonts w:ascii="Arial" w:hAnsi="Arial" w:cs="Arial"/>
                <w:sz w:val="20"/>
                <w:szCs w:val="20"/>
                <w:lang w:val="en-US" w:eastAsia="zh-CN" w:bidi="ar"/>
              </w:rPr>
              <w:t>URBANA</w:t>
            </w:r>
          </w:p>
        </w:tc>
        <w:tc>
          <w:tcPr>
            <w:tcW w:w="2829"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30B6AB08">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cs="Arial"/>
                <w:sz w:val="20"/>
                <w:szCs w:val="20"/>
              </w:rPr>
            </w:pPr>
            <w:r>
              <w:rPr>
                <w:rFonts w:ascii="Arial" w:hAnsi="Arial" w:cs="Arial"/>
                <w:sz w:val="20"/>
                <w:szCs w:val="20"/>
                <w:lang w:val="en-US" w:eastAsia="zh-CN" w:bidi="ar"/>
              </w:rPr>
              <w:t>Rua Central, Quadra 06 - Lote 4 - Loteamento Bom Jardim, Sinop - MT, 78550-986</w:t>
            </w:r>
          </w:p>
        </w:tc>
      </w:tr>
      <w:tr w14:paraId="62193B91">
        <w:tblPrEx>
          <w:tblCellMar>
            <w:top w:w="0" w:type="dxa"/>
            <w:left w:w="108" w:type="dxa"/>
            <w:bottom w:w="0" w:type="dxa"/>
            <w:right w:w="108" w:type="dxa"/>
          </w:tblCellMar>
        </w:tblPrEx>
        <w:trPr>
          <w:trHeight w:val="680" w:hRule="atLeast"/>
          <w:jc w:val="center"/>
        </w:trPr>
        <w:tc>
          <w:tcPr>
            <w:tcW w:w="5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1705CEB">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Times New Roman" w:cs="Arial"/>
                <w:sz w:val="20"/>
                <w:szCs w:val="20"/>
                <w:lang w:val="pt-BR" w:eastAsia="en-US" w:bidi="ar-SA"/>
              </w:rPr>
            </w:pPr>
            <w:r>
              <w:rPr>
                <w:rFonts w:hint="default" w:ascii="Arial" w:hAnsi="Arial" w:cs="Arial"/>
                <w:sz w:val="20"/>
                <w:szCs w:val="20"/>
                <w:lang w:val="pt-BR" w:eastAsia="zh-CN" w:bidi="ar"/>
              </w:rPr>
              <w:t>45</w:t>
            </w:r>
          </w:p>
        </w:tc>
        <w:tc>
          <w:tcPr>
            <w:tcW w:w="1304"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0D303973">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Calibri" w:cs="Arial"/>
                <w:color w:val="000000"/>
                <w:sz w:val="20"/>
                <w:szCs w:val="20"/>
                <w:lang w:val="pt-BR"/>
              </w:rPr>
            </w:pPr>
            <w:r>
              <w:rPr>
                <w:rFonts w:hint="default" w:ascii="Arial" w:hAnsi="Arial" w:eastAsia="Calibri" w:cs="Arial"/>
                <w:color w:val="000000"/>
                <w:sz w:val="20"/>
                <w:szCs w:val="20"/>
                <w:lang w:val="pt-BR"/>
              </w:rPr>
              <w:t>MT</w:t>
            </w:r>
          </w:p>
          <w:p w14:paraId="7D66B057">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pt-BR" w:eastAsia="en-US" w:bidi="ar-SA"/>
              </w:rPr>
            </w:pPr>
            <w:r>
              <w:rPr>
                <w:rFonts w:hint="default" w:ascii="Arial" w:hAnsi="Arial" w:eastAsia="Calibri" w:cs="Arial"/>
                <w:color w:val="000000"/>
                <w:sz w:val="20"/>
                <w:szCs w:val="20"/>
                <w:lang w:val="pt-BR"/>
              </w:rPr>
              <w:t>51072769</w:t>
            </w:r>
          </w:p>
        </w:tc>
        <w:tc>
          <w:tcPr>
            <w:tcW w:w="11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EC2487D">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pt-BR" w:eastAsia="en-US" w:bidi="ar-SA"/>
              </w:rPr>
            </w:pPr>
            <w:r>
              <w:rPr>
                <w:rFonts w:ascii="Arial" w:hAnsi="Arial" w:cs="Arial"/>
                <w:sz w:val="20"/>
                <w:szCs w:val="20"/>
                <w:lang w:val="en-US" w:eastAsia="zh-CN" w:bidi="ar"/>
              </w:rPr>
              <w:t>Médio Porte I</w:t>
            </w:r>
          </w:p>
        </w:tc>
        <w:tc>
          <w:tcPr>
            <w:tcW w:w="2569"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1C0ABFA1">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hint="default" w:ascii="Arial" w:hAnsi="Arial" w:eastAsia="Times New Roman" w:cs="Arial"/>
                <w:sz w:val="20"/>
                <w:szCs w:val="20"/>
                <w:lang w:val="pt-BR" w:eastAsia="en-US" w:bidi="ar-SA"/>
              </w:rPr>
            </w:pPr>
            <w:r>
              <w:rPr>
                <w:rFonts w:ascii="Arial" w:hAnsi="Arial" w:cs="Arial"/>
                <w:sz w:val="20"/>
                <w:szCs w:val="20"/>
                <w:lang w:val="en-US" w:eastAsia="zh-CN" w:bidi="ar"/>
              </w:rPr>
              <w:t>EMEB J</w:t>
            </w:r>
            <w:r>
              <w:rPr>
                <w:rFonts w:ascii="Arial" w:hAnsi="Arial" w:cs="Arial"/>
                <w:sz w:val="20"/>
                <w:szCs w:val="20"/>
                <w:lang w:eastAsia="zh-CN" w:bidi="ar"/>
              </w:rPr>
              <w:t>OSÉ MÁRCIO</w:t>
            </w:r>
            <w:r>
              <w:rPr>
                <w:rFonts w:hint="default" w:ascii="Arial" w:hAnsi="Arial" w:cs="Arial"/>
                <w:sz w:val="20"/>
                <w:szCs w:val="20"/>
                <w:lang w:val="pt-BR" w:eastAsia="zh-CN" w:bidi="ar"/>
              </w:rPr>
              <w:t xml:space="preserve"> MENDONÇA DA SILA</w:t>
            </w:r>
          </w:p>
        </w:tc>
        <w:tc>
          <w:tcPr>
            <w:tcW w:w="121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2E95037">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pt-BR" w:eastAsia="en-US" w:bidi="ar-SA"/>
              </w:rPr>
            </w:pPr>
            <w:r>
              <w:rPr>
                <w:rFonts w:ascii="Arial" w:hAnsi="Arial" w:cs="Arial"/>
                <w:sz w:val="20"/>
                <w:szCs w:val="20"/>
                <w:lang w:val="en-US" w:eastAsia="zh-CN" w:bidi="ar"/>
              </w:rPr>
              <w:t>REGULAR</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2A62768A">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pt-BR" w:eastAsia="en-US" w:bidi="ar-SA"/>
              </w:rPr>
            </w:pPr>
            <w:r>
              <w:rPr>
                <w:rFonts w:ascii="Arial" w:hAnsi="Arial" w:cs="Arial"/>
                <w:sz w:val="20"/>
                <w:szCs w:val="20"/>
                <w:lang w:val="en-US" w:eastAsia="zh-CN" w:bidi="ar"/>
              </w:rPr>
              <w:t>URBANA</w:t>
            </w:r>
          </w:p>
        </w:tc>
        <w:tc>
          <w:tcPr>
            <w:tcW w:w="2829"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5A1DF155">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pt-BR" w:eastAsia="en-US" w:bidi="ar-SA"/>
              </w:rPr>
            </w:pPr>
            <w:r>
              <w:rPr>
                <w:rFonts w:ascii="Arial" w:hAnsi="Arial" w:cs="Arial"/>
                <w:sz w:val="20"/>
                <w:szCs w:val="20"/>
                <w:lang w:val="en-US" w:eastAsia="zh-CN" w:bidi="ar"/>
              </w:rPr>
              <w:t>Rua José Gonçalves, nº. 695, Jardim Umuarama II,</w:t>
            </w:r>
          </w:p>
        </w:tc>
      </w:tr>
      <w:tr w14:paraId="7F1415F1">
        <w:tblPrEx>
          <w:tblCellMar>
            <w:top w:w="0" w:type="dxa"/>
            <w:left w:w="108" w:type="dxa"/>
            <w:bottom w:w="0" w:type="dxa"/>
            <w:right w:w="108" w:type="dxa"/>
          </w:tblCellMar>
        </w:tblPrEx>
        <w:trPr>
          <w:trHeight w:val="680" w:hRule="atLeast"/>
          <w:jc w:val="center"/>
        </w:trPr>
        <w:tc>
          <w:tcPr>
            <w:tcW w:w="5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6FEDF427">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46</w:t>
            </w:r>
          </w:p>
        </w:tc>
        <w:tc>
          <w:tcPr>
            <w:tcW w:w="1304"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6F333B65">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hint="default" w:ascii="Arial" w:hAnsi="Arial" w:eastAsia="Calibri" w:cs="Arial"/>
                <w:color w:val="000000"/>
                <w:sz w:val="20"/>
                <w:szCs w:val="20"/>
                <w:lang w:val="pt-BR"/>
              </w:rPr>
            </w:pPr>
            <w:r>
              <w:rPr>
                <w:rFonts w:hint="default" w:ascii="Arial" w:hAnsi="Arial" w:eastAsia="Calibri" w:cs="Arial"/>
                <w:color w:val="000000"/>
                <w:sz w:val="20"/>
                <w:szCs w:val="20"/>
                <w:lang w:val="pt-BR"/>
              </w:rPr>
              <w:t>MT</w:t>
            </w:r>
          </w:p>
          <w:p w14:paraId="37A9CBAA">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pt-BR" w:eastAsia="en-US" w:bidi="ar-SA"/>
              </w:rPr>
            </w:pPr>
            <w:r>
              <w:rPr>
                <w:rFonts w:hint="default" w:ascii="Arial" w:hAnsi="Arial" w:eastAsia="Calibri" w:cs="Arial"/>
                <w:color w:val="000000"/>
                <w:sz w:val="20"/>
                <w:szCs w:val="20"/>
                <w:lang w:val="pt-BR"/>
              </w:rPr>
              <w:t>51072777</w:t>
            </w:r>
          </w:p>
        </w:tc>
        <w:tc>
          <w:tcPr>
            <w:tcW w:w="11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E28B7DF">
            <w:pPr>
              <w:keepNext w:val="0"/>
              <w:keepLines w:val="0"/>
              <w:pageBreakBefore w:val="0"/>
              <w:widowControl/>
              <w:kinsoku/>
              <w:wordWrap/>
              <w:overflowPunct/>
              <w:topLinePunct w:val="0"/>
              <w:autoSpaceDE/>
              <w:autoSpaceDN/>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Médio Porte II</w:t>
            </w:r>
          </w:p>
        </w:tc>
        <w:tc>
          <w:tcPr>
            <w:tcW w:w="2569"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0BB8D4EB">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EMEB IVETE MARIA CROTTI DORNER</w:t>
            </w:r>
          </w:p>
        </w:tc>
        <w:tc>
          <w:tcPr>
            <w:tcW w:w="121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051938E">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INTEGRAL</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E1ABD1F">
            <w:pPr>
              <w:keepNext w:val="0"/>
              <w:keepLines w:val="0"/>
              <w:pageBreakBefore w:val="0"/>
              <w:widowControl/>
              <w:kinsoku/>
              <w:wordWrap/>
              <w:overflowPunct/>
              <w:topLinePunct w:val="0"/>
              <w:autoSpaceDE/>
              <w:autoSpaceDN/>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URBANA</w:t>
            </w:r>
          </w:p>
        </w:tc>
        <w:tc>
          <w:tcPr>
            <w:tcW w:w="2829"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2B8F2E27">
            <w:pPr>
              <w:keepNext w:val="0"/>
              <w:keepLines w:val="0"/>
              <w:pageBreakBefore w:val="0"/>
              <w:widowControl/>
              <w:kinsoku/>
              <w:wordWrap/>
              <w:overflowPunct/>
              <w:topLinePunct w:val="0"/>
              <w:autoSpaceDE/>
              <w:autoSpaceDN/>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val="en-US" w:eastAsia="zh-CN" w:bidi="ar"/>
              </w:rPr>
              <w:t>Estrada Sabrina, Lote 01, Quadra 01, no Residencial Sabrina,</w:t>
            </w:r>
          </w:p>
        </w:tc>
      </w:tr>
      <w:tr w14:paraId="75CB64F2">
        <w:tblPrEx>
          <w:tblCellMar>
            <w:top w:w="0" w:type="dxa"/>
            <w:left w:w="108" w:type="dxa"/>
            <w:bottom w:w="0" w:type="dxa"/>
            <w:right w:w="108" w:type="dxa"/>
          </w:tblCellMar>
        </w:tblPrEx>
        <w:trPr>
          <w:trHeight w:val="680" w:hRule="atLeast"/>
          <w:jc w:val="center"/>
        </w:trPr>
        <w:tc>
          <w:tcPr>
            <w:tcW w:w="5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32D19C0D">
            <w:pPr>
              <w:keepNext w:val="0"/>
              <w:keepLines w:val="0"/>
              <w:pageBreakBefore w:val="0"/>
              <w:widowControl/>
              <w:kinsoku/>
              <w:wordWrap/>
              <w:overflowPunct/>
              <w:topLinePunct w:val="0"/>
              <w:bidi w:val="0"/>
              <w:adjustRightInd/>
              <w:snapToGrid/>
              <w:spacing w:after="0" w:line="240" w:lineRule="auto"/>
              <w:jc w:val="center"/>
              <w:textAlignment w:val="auto"/>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47</w:t>
            </w:r>
          </w:p>
        </w:tc>
        <w:tc>
          <w:tcPr>
            <w:tcW w:w="1304"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73A25F8F">
            <w:pPr>
              <w:keepNext w:val="0"/>
              <w:keepLines w:val="0"/>
              <w:pageBreakBefore w:val="0"/>
              <w:widowControl/>
              <w:kinsoku/>
              <w:wordWrap/>
              <w:overflowPunct/>
              <w:topLinePunct w:val="0"/>
              <w:autoSpaceDE w:val="0"/>
              <w:autoSpaceDN w:val="0"/>
              <w:bidi w:val="0"/>
              <w:adjustRightInd/>
              <w:snapToGrid/>
              <w:spacing w:after="0" w:line="240" w:lineRule="auto"/>
              <w:jc w:val="center"/>
              <w:textAlignment w:val="auto"/>
              <w:rPr>
                <w:rFonts w:hint="default" w:ascii="Arial" w:hAnsi="Arial" w:cs="Arial"/>
                <w:sz w:val="20"/>
                <w:szCs w:val="20"/>
                <w:lang w:val="pt-BR" w:eastAsia="en-US" w:bidi="ar-SA"/>
              </w:rPr>
            </w:pPr>
            <w:r>
              <w:rPr>
                <w:rFonts w:hint="default" w:ascii="Arial" w:hAnsi="Arial" w:cs="Arial"/>
                <w:sz w:val="20"/>
                <w:szCs w:val="20"/>
                <w:lang w:val="pt-BR" w:eastAsia="en-US" w:bidi="ar-SA"/>
              </w:rPr>
              <w:t xml:space="preserve">Em </w:t>
            </w:r>
          </w:p>
          <w:p w14:paraId="2A97F0CA">
            <w:pPr>
              <w:keepNext w:val="0"/>
              <w:keepLines w:val="0"/>
              <w:pageBreakBefore w:val="0"/>
              <w:widowControl/>
              <w:kinsoku/>
              <w:wordWrap/>
              <w:overflowPunct/>
              <w:topLinePunct w:val="0"/>
              <w:autoSpaceDE w:val="0"/>
              <w:autoSpaceDN w:val="0"/>
              <w:bidi w:val="0"/>
              <w:adjustRightInd/>
              <w:snapToGrid/>
              <w:spacing w:after="0" w:line="240" w:lineRule="auto"/>
              <w:jc w:val="center"/>
              <w:textAlignment w:val="auto"/>
              <w:rPr>
                <w:rFonts w:hint="default" w:ascii="Arial" w:hAnsi="Arial" w:cs="Arial"/>
                <w:sz w:val="20"/>
                <w:szCs w:val="20"/>
                <w:lang w:val="pt-BR" w:eastAsia="en-US" w:bidi="ar-SA"/>
              </w:rPr>
            </w:pPr>
            <w:r>
              <w:rPr>
                <w:rFonts w:hint="default" w:ascii="Arial" w:hAnsi="Arial" w:cs="Arial"/>
                <w:sz w:val="20"/>
                <w:szCs w:val="20"/>
                <w:lang w:val="pt-BR" w:eastAsia="en-US" w:bidi="ar-SA"/>
              </w:rPr>
              <w:t>Construção</w:t>
            </w:r>
          </w:p>
        </w:tc>
        <w:tc>
          <w:tcPr>
            <w:tcW w:w="11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E5C39E0">
            <w:pPr>
              <w:keepNext w:val="0"/>
              <w:keepLines w:val="0"/>
              <w:pageBreakBefore w:val="0"/>
              <w:widowControl/>
              <w:kinsoku/>
              <w:wordWrap/>
              <w:overflowPunct/>
              <w:topLinePunct w:val="0"/>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eastAsia="zh-CN" w:bidi="ar"/>
              </w:rPr>
              <w:t>Médio Porte I</w:t>
            </w:r>
          </w:p>
        </w:tc>
        <w:tc>
          <w:tcPr>
            <w:tcW w:w="2569"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0EEA4898">
            <w:pPr>
              <w:keepNext w:val="0"/>
              <w:keepLines w:val="0"/>
              <w:pageBreakBefore w:val="0"/>
              <w:widowControl/>
              <w:kinsoku/>
              <w:wordWrap/>
              <w:overflowPunct/>
              <w:topLinePunct w:val="0"/>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eastAsia="zh-CN" w:bidi="ar"/>
              </w:rPr>
              <w:t>NICO BARACAT</w:t>
            </w:r>
            <w:r>
              <w:rPr>
                <w:rFonts w:hint="default" w:ascii="Arial" w:hAnsi="Arial" w:cs="Arial"/>
                <w:sz w:val="20"/>
                <w:szCs w:val="20"/>
                <w:lang w:val="pt-BR" w:eastAsia="zh-CN" w:bidi="ar"/>
              </w:rPr>
              <w:t xml:space="preserve"> (EM CONSTRUÇÃO)</w:t>
            </w:r>
          </w:p>
        </w:tc>
        <w:tc>
          <w:tcPr>
            <w:tcW w:w="121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7B13FCB2">
            <w:pPr>
              <w:keepNext w:val="0"/>
              <w:keepLines w:val="0"/>
              <w:pageBreakBefore w:val="0"/>
              <w:widowControl/>
              <w:kinsoku/>
              <w:wordWrap/>
              <w:overflowPunct/>
              <w:topLinePunct w:val="0"/>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eastAsia="zh-CN" w:bidi="ar"/>
              </w:rPr>
              <w:t>REGULAR</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78B503C">
            <w:pPr>
              <w:keepNext w:val="0"/>
              <w:keepLines w:val="0"/>
              <w:pageBreakBefore w:val="0"/>
              <w:widowControl/>
              <w:kinsoku/>
              <w:wordWrap/>
              <w:overflowPunct/>
              <w:topLinePunct w:val="0"/>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eastAsia="zh-CN" w:bidi="ar"/>
              </w:rPr>
              <w:t>URBANA</w:t>
            </w:r>
          </w:p>
        </w:tc>
        <w:tc>
          <w:tcPr>
            <w:tcW w:w="2829"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30DA1580">
            <w:pPr>
              <w:keepNext w:val="0"/>
              <w:keepLines w:val="0"/>
              <w:pageBreakBefore w:val="0"/>
              <w:widowControl/>
              <w:kinsoku/>
              <w:wordWrap/>
              <w:overflowPunct/>
              <w:topLinePunct w:val="0"/>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rPr>
              <w:t>Av. Projetada 01, Área Institucional 08, Bairro Nico Baracat</w:t>
            </w:r>
          </w:p>
        </w:tc>
      </w:tr>
      <w:tr w14:paraId="29565EDD">
        <w:tblPrEx>
          <w:tblCellMar>
            <w:top w:w="0" w:type="dxa"/>
            <w:left w:w="108" w:type="dxa"/>
            <w:bottom w:w="0" w:type="dxa"/>
            <w:right w:w="108" w:type="dxa"/>
          </w:tblCellMar>
        </w:tblPrEx>
        <w:trPr>
          <w:trHeight w:val="680" w:hRule="atLeast"/>
          <w:jc w:val="center"/>
        </w:trPr>
        <w:tc>
          <w:tcPr>
            <w:tcW w:w="562"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0A2292F">
            <w:pPr>
              <w:keepNext w:val="0"/>
              <w:keepLines w:val="0"/>
              <w:pageBreakBefore w:val="0"/>
              <w:widowControl/>
              <w:kinsoku/>
              <w:wordWrap/>
              <w:overflowPunct/>
              <w:topLinePunct w:val="0"/>
              <w:bidi w:val="0"/>
              <w:adjustRightInd/>
              <w:snapToGrid/>
              <w:spacing w:after="0" w:line="240" w:lineRule="auto"/>
              <w:jc w:val="center"/>
              <w:textAlignment w:val="auto"/>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48</w:t>
            </w:r>
          </w:p>
        </w:tc>
        <w:tc>
          <w:tcPr>
            <w:tcW w:w="1304"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52AD4F68">
            <w:pPr>
              <w:keepNext w:val="0"/>
              <w:keepLines w:val="0"/>
              <w:pageBreakBefore w:val="0"/>
              <w:widowControl/>
              <w:kinsoku/>
              <w:wordWrap/>
              <w:overflowPunct/>
              <w:topLinePunct w:val="0"/>
              <w:autoSpaceDE w:val="0"/>
              <w:autoSpaceDN w:val="0"/>
              <w:bidi w:val="0"/>
              <w:adjustRightInd/>
              <w:snapToGrid/>
              <w:spacing w:after="0" w:line="240" w:lineRule="auto"/>
              <w:jc w:val="center"/>
              <w:textAlignment w:val="auto"/>
              <w:rPr>
                <w:rFonts w:hint="default" w:ascii="Arial" w:hAnsi="Arial" w:cs="Arial"/>
                <w:sz w:val="20"/>
                <w:szCs w:val="20"/>
                <w:lang w:val="pt-BR" w:eastAsia="en-US" w:bidi="ar-SA"/>
              </w:rPr>
            </w:pPr>
            <w:r>
              <w:rPr>
                <w:rFonts w:hint="default" w:ascii="Arial" w:hAnsi="Arial" w:cs="Arial"/>
                <w:sz w:val="20"/>
                <w:szCs w:val="20"/>
                <w:lang w:val="pt-BR" w:eastAsia="en-US" w:bidi="ar-SA"/>
              </w:rPr>
              <w:t xml:space="preserve">Em </w:t>
            </w:r>
          </w:p>
          <w:p w14:paraId="129A9031">
            <w:pPr>
              <w:keepNext w:val="0"/>
              <w:keepLines w:val="0"/>
              <w:pageBreakBefore w:val="0"/>
              <w:widowControl/>
              <w:kinsoku/>
              <w:wordWrap/>
              <w:overflowPunct/>
              <w:topLinePunct w:val="0"/>
              <w:bidi w:val="0"/>
              <w:adjustRightInd/>
              <w:snapToGrid/>
              <w:spacing w:after="0" w:line="240" w:lineRule="auto"/>
              <w:jc w:val="center"/>
              <w:textAlignment w:val="auto"/>
              <w:rPr>
                <w:rFonts w:ascii="Arial" w:hAnsi="Arial" w:eastAsia="Times New Roman" w:cs="Arial"/>
                <w:sz w:val="20"/>
                <w:szCs w:val="20"/>
                <w:lang w:val="pt-BR" w:eastAsia="en-US" w:bidi="ar-SA"/>
              </w:rPr>
            </w:pPr>
            <w:r>
              <w:rPr>
                <w:rFonts w:hint="default" w:ascii="Arial" w:hAnsi="Arial" w:cs="Arial"/>
                <w:sz w:val="20"/>
                <w:szCs w:val="20"/>
                <w:lang w:val="pt-BR" w:eastAsia="en-US" w:bidi="ar-SA"/>
              </w:rPr>
              <w:t>Construção</w:t>
            </w:r>
          </w:p>
        </w:tc>
        <w:tc>
          <w:tcPr>
            <w:tcW w:w="1113"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036609E3">
            <w:pPr>
              <w:keepNext w:val="0"/>
              <w:keepLines w:val="0"/>
              <w:pageBreakBefore w:val="0"/>
              <w:widowControl/>
              <w:kinsoku/>
              <w:wordWrap/>
              <w:overflowPunct/>
              <w:topLinePunct w:val="0"/>
              <w:bidi w:val="0"/>
              <w:adjustRightInd/>
              <w:snapToGrid/>
              <w:spacing w:after="0" w:line="240" w:lineRule="auto"/>
              <w:jc w:val="center"/>
              <w:textAlignment w:val="auto"/>
              <w:rPr>
                <w:rFonts w:ascii="Arial" w:hAnsi="Arial" w:eastAsia="Times New Roman" w:cs="Arial"/>
                <w:sz w:val="20"/>
                <w:szCs w:val="20"/>
                <w:lang w:val="en-US" w:eastAsia="zh-CN" w:bidi="ar-SA"/>
              </w:rPr>
            </w:pPr>
            <w:r>
              <w:rPr>
                <w:rFonts w:ascii="Arial" w:hAnsi="Arial" w:cs="Arial"/>
                <w:sz w:val="20"/>
                <w:szCs w:val="20"/>
                <w:lang w:eastAsia="zh-CN" w:bidi="ar"/>
              </w:rPr>
              <w:t>Médio Porte I</w:t>
            </w:r>
          </w:p>
        </w:tc>
        <w:tc>
          <w:tcPr>
            <w:tcW w:w="2569" w:type="dxa"/>
            <w:tcBorders>
              <w:top w:val="single" w:color="000000" w:sz="2" w:space="0"/>
              <w:left w:val="single" w:color="000000" w:sz="2" w:space="0"/>
              <w:bottom w:val="single" w:color="000000" w:sz="2" w:space="0"/>
              <w:right w:val="single" w:color="000000" w:sz="2" w:space="0"/>
            </w:tcBorders>
            <w:shd w:val="clear" w:color="auto" w:fill="auto"/>
            <w:noWrap w:val="0"/>
            <w:vAlign w:val="center"/>
          </w:tcPr>
          <w:p w14:paraId="21CE2E93">
            <w:pPr>
              <w:keepNext w:val="0"/>
              <w:keepLines w:val="0"/>
              <w:pageBreakBefore w:val="0"/>
              <w:widowControl/>
              <w:kinsoku/>
              <w:wordWrap/>
              <w:overflowPunct/>
              <w:topLinePunct w:val="0"/>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lang w:eastAsia="zh-CN" w:bidi="ar"/>
              </w:rPr>
              <w:t>EMEB JD. TERRA RICA</w:t>
            </w:r>
            <w:r>
              <w:rPr>
                <w:rFonts w:hint="default" w:ascii="Arial" w:hAnsi="Arial" w:cs="Arial"/>
                <w:sz w:val="20"/>
                <w:szCs w:val="20"/>
                <w:lang w:val="pt-BR" w:eastAsia="zh-CN" w:bidi="ar"/>
              </w:rPr>
              <w:t xml:space="preserve"> (EM CONSTRUÇÃO)</w:t>
            </w:r>
          </w:p>
        </w:tc>
        <w:tc>
          <w:tcPr>
            <w:tcW w:w="1217"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5D6576E2">
            <w:pPr>
              <w:keepNext w:val="0"/>
              <w:keepLines w:val="0"/>
              <w:pageBreakBefore w:val="0"/>
              <w:widowControl/>
              <w:kinsoku/>
              <w:wordWrap/>
              <w:overflowPunct/>
              <w:topLinePunct w:val="0"/>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eastAsia="zh-CN" w:bidi="ar"/>
              </w:rPr>
              <w:t>REGULAR</w:t>
            </w:r>
          </w:p>
        </w:tc>
        <w:tc>
          <w:tcPr>
            <w:tcW w:w="1050" w:type="dxa"/>
            <w:tcBorders>
              <w:top w:val="single" w:color="000000" w:sz="2" w:space="0"/>
              <w:left w:val="single" w:color="000000" w:sz="2" w:space="0"/>
              <w:bottom w:val="single" w:color="000000" w:sz="2" w:space="0"/>
              <w:right w:val="single" w:color="000000" w:sz="2" w:space="0"/>
            </w:tcBorders>
            <w:shd w:val="clear" w:color="auto" w:fill="auto"/>
            <w:noWrap/>
            <w:vAlign w:val="center"/>
          </w:tcPr>
          <w:p w14:paraId="424E2BB3">
            <w:pPr>
              <w:keepNext w:val="0"/>
              <w:keepLines w:val="0"/>
              <w:pageBreakBefore w:val="0"/>
              <w:widowControl/>
              <w:kinsoku/>
              <w:wordWrap/>
              <w:overflowPunct/>
              <w:topLinePunct w:val="0"/>
              <w:bidi w:val="0"/>
              <w:adjustRightInd/>
              <w:snapToGrid/>
              <w:spacing w:after="0" w:line="240" w:lineRule="auto"/>
              <w:jc w:val="left"/>
              <w:textAlignment w:val="auto"/>
              <w:rPr>
                <w:rFonts w:ascii="Arial" w:hAnsi="Arial" w:eastAsia="Times New Roman" w:cs="Arial"/>
                <w:sz w:val="20"/>
                <w:szCs w:val="20"/>
                <w:lang w:val="en-US" w:eastAsia="zh-CN" w:bidi="ar-SA"/>
              </w:rPr>
            </w:pPr>
            <w:r>
              <w:rPr>
                <w:rFonts w:ascii="Arial" w:hAnsi="Arial" w:cs="Arial"/>
                <w:sz w:val="20"/>
                <w:szCs w:val="20"/>
                <w:lang w:eastAsia="zh-CN" w:bidi="ar"/>
              </w:rPr>
              <w:t>URBANA</w:t>
            </w:r>
          </w:p>
        </w:tc>
        <w:tc>
          <w:tcPr>
            <w:tcW w:w="2829" w:type="dxa"/>
            <w:tcBorders>
              <w:top w:val="single" w:color="000000" w:sz="2" w:space="0"/>
              <w:left w:val="single" w:color="000000" w:sz="2" w:space="0"/>
              <w:bottom w:val="single" w:color="000000" w:sz="2" w:space="0"/>
              <w:right w:val="single" w:color="000000" w:sz="2" w:space="0"/>
            </w:tcBorders>
            <w:shd w:val="clear" w:color="auto" w:fill="auto"/>
            <w:noWrap w:val="0"/>
            <w:vAlign w:val="top"/>
          </w:tcPr>
          <w:p w14:paraId="0460D4E6">
            <w:pPr>
              <w:keepNext w:val="0"/>
              <w:keepLines w:val="0"/>
              <w:pageBreakBefore w:val="0"/>
              <w:widowControl/>
              <w:kinsoku/>
              <w:wordWrap/>
              <w:overflowPunct/>
              <w:topLinePunct w:val="0"/>
              <w:bidi w:val="0"/>
              <w:adjustRightInd/>
              <w:snapToGrid/>
              <w:spacing w:after="0" w:line="240" w:lineRule="auto"/>
              <w:jc w:val="both"/>
              <w:textAlignment w:val="auto"/>
              <w:rPr>
                <w:rFonts w:ascii="Arial" w:hAnsi="Arial" w:eastAsia="Times New Roman" w:cs="Arial"/>
                <w:sz w:val="20"/>
                <w:szCs w:val="20"/>
                <w:lang w:val="en-US" w:eastAsia="zh-CN" w:bidi="ar-SA"/>
              </w:rPr>
            </w:pPr>
            <w:r>
              <w:rPr>
                <w:rFonts w:ascii="Arial" w:hAnsi="Arial" w:cs="Arial"/>
                <w:sz w:val="20"/>
                <w:szCs w:val="20"/>
              </w:rPr>
              <w:t>Av. Da Integração com a Rua Cia Norte, Bairro Terra Rica</w:t>
            </w:r>
          </w:p>
        </w:tc>
      </w:tr>
    </w:tbl>
    <w:p w14:paraId="04DAF68B">
      <w:pPr>
        <w:tabs>
          <w:tab w:val="left" w:pos="1134"/>
        </w:tabs>
        <w:spacing w:after="120" w:line="276" w:lineRule="auto"/>
        <w:ind w:hanging="2"/>
        <w:jc w:val="both"/>
        <w:rPr>
          <w:b/>
          <w:sz w:val="18"/>
          <w:szCs w:val="18"/>
        </w:rPr>
      </w:pPr>
    </w:p>
    <w:p w14:paraId="5DAE4B4C">
      <w:pPr>
        <w:pStyle w:val="2"/>
        <w:numPr>
          <w:ilvl w:val="1"/>
          <w:numId w:val="3"/>
        </w:numPr>
        <w:tabs>
          <w:tab w:val="left" w:pos="425"/>
          <w:tab w:val="left" w:pos="6652"/>
          <w:tab w:val="left" w:pos="7867"/>
          <w:tab w:val="left" w:pos="8186"/>
        </w:tabs>
        <w:spacing w:before="240" w:beforeLines="100" w:after="120" w:line="360" w:lineRule="auto"/>
        <w:ind w:left="425" w:right="176" w:rightChars="80" w:hanging="425"/>
        <w:jc w:val="both"/>
        <w:rPr>
          <w:rFonts w:ascii="Arial" w:hAnsi="Arial" w:cs="Arial"/>
          <w:b w:val="0"/>
          <w:bCs w:val="0"/>
          <w:sz w:val="22"/>
          <w:szCs w:val="22"/>
          <w:lang w:val="pt-BR"/>
        </w:rPr>
      </w:pPr>
      <w:r>
        <w:rPr>
          <w:rFonts w:ascii="Arial" w:hAnsi="Arial" w:cs="Arial"/>
          <w:sz w:val="22"/>
          <w:szCs w:val="22"/>
          <w:lang w:val="pt-BR"/>
        </w:rPr>
        <w:t>METODOLOGIA DE LEVANTAMENTO DE ESTIMATIVA DE QUANTIDADES:</w:t>
      </w:r>
    </w:p>
    <w:p w14:paraId="028B9328">
      <w:pPr>
        <w:numPr>
          <w:ilvl w:val="2"/>
          <w:numId w:val="3"/>
        </w:numPr>
        <w:spacing w:after="120" w:line="360" w:lineRule="auto"/>
        <w:ind w:right="176" w:rightChars="80"/>
        <w:jc w:val="both"/>
        <w:rPr>
          <w:rFonts w:ascii="Arial" w:hAnsi="Arial" w:cs="Arial"/>
        </w:rPr>
      </w:pPr>
      <w:r>
        <w:rPr>
          <w:rFonts w:ascii="Arial" w:hAnsi="Arial" w:eastAsia="Helvetica" w:cs="Arial"/>
          <w:color w:val="000000"/>
          <w:lang w:eastAsia="zh-CN" w:bidi="ar"/>
        </w:rPr>
        <w:t xml:space="preserve">Os quantitativos foram estimados de acordo com as projeções de consumo e </w:t>
      </w:r>
      <w:r>
        <w:rPr>
          <w:rFonts w:ascii="Arial" w:hAnsi="Arial" w:eastAsia="Helvetica" w:cs="Arial"/>
          <w:b/>
          <w:bCs/>
          <w:color w:val="000000"/>
          <w:lang w:eastAsia="zh-CN" w:bidi="ar"/>
        </w:rPr>
        <w:t>CAPACIDADE MÁXIMA</w:t>
      </w:r>
      <w:r>
        <w:rPr>
          <w:rFonts w:ascii="Arial" w:hAnsi="Arial" w:eastAsia="Helvetica" w:cs="Arial"/>
          <w:color w:val="000000"/>
          <w:lang w:eastAsia="zh-CN" w:bidi="ar"/>
        </w:rPr>
        <w:t xml:space="preserve"> de cada </w:t>
      </w:r>
      <w:r>
        <w:rPr>
          <w:rFonts w:ascii="Arial" w:hAnsi="Arial" w:eastAsia="SimSun" w:cs="Arial"/>
          <w:color w:val="000000"/>
          <w:lang w:eastAsia="zh-CN" w:bidi="ar"/>
        </w:rPr>
        <w:t>Unidade Educativa</w:t>
      </w:r>
      <w:r>
        <w:rPr>
          <w:rFonts w:ascii="Arial" w:hAnsi="Arial" w:eastAsia="Helvetica" w:cs="Arial"/>
          <w:color w:val="000000"/>
          <w:lang w:eastAsia="zh-CN" w:bidi="ar"/>
        </w:rPr>
        <w:t xml:space="preserve"> seguindo o calendário escolar, conforme Cardápios e Memória de cálculo com quantidade de alunos e refeições servidas diariamente, elaborado pelo setor de Alimentação Escolar (anexo documentação). </w:t>
      </w:r>
    </w:p>
    <w:p w14:paraId="3F991244">
      <w:pPr>
        <w:numPr>
          <w:ilvl w:val="2"/>
          <w:numId w:val="3"/>
        </w:numPr>
        <w:spacing w:after="120" w:line="360" w:lineRule="auto"/>
        <w:ind w:right="176" w:rightChars="80"/>
        <w:jc w:val="both"/>
        <w:rPr>
          <w:rFonts w:ascii="Arial" w:hAnsi="Arial" w:cs="Arial"/>
        </w:rPr>
      </w:pPr>
      <w:r>
        <w:rPr>
          <w:rFonts w:ascii="Arial" w:hAnsi="Arial" w:eastAsia="Helvetica" w:cs="Arial"/>
          <w:color w:val="000000"/>
          <w:lang w:eastAsia="zh-CN" w:bidi="ar"/>
        </w:rPr>
        <w:t xml:space="preserve">As estimativas de demandas, foram elaboradas em conjunto com os setores demandantes através do levantamento do consumo individual de cada </w:t>
      </w:r>
      <w:r>
        <w:rPr>
          <w:rFonts w:ascii="Arial" w:hAnsi="Arial" w:eastAsia="SimSun" w:cs="Arial"/>
          <w:color w:val="000000"/>
          <w:lang w:eastAsia="zh-CN" w:bidi="ar"/>
        </w:rPr>
        <w:t>Unidade Educativa</w:t>
      </w:r>
      <w:r>
        <w:rPr>
          <w:rFonts w:ascii="Arial" w:hAnsi="Arial" w:eastAsia="Helvetica" w:cs="Arial"/>
          <w:color w:val="000000"/>
          <w:lang w:eastAsia="zh-CN" w:bidi="ar"/>
        </w:rPr>
        <w:t xml:space="preserve"> com planejamento de fornecimento de 02 (duas) a 04 (quatro) refeições diárias para os estudantes relacionados no quadro abaixo</w:t>
      </w:r>
      <w:r>
        <w:rPr>
          <w:rFonts w:ascii="Arial" w:hAnsi="Arial" w:cs="Arial"/>
        </w:rPr>
        <w:t>.</w:t>
      </w:r>
    </w:p>
    <w:tbl>
      <w:tblPr>
        <w:tblStyle w:val="32"/>
        <w:tblW w:w="1038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7"/>
        <w:gridCol w:w="3466"/>
        <w:gridCol w:w="1418"/>
        <w:gridCol w:w="1118"/>
        <w:gridCol w:w="1247"/>
        <w:gridCol w:w="1134"/>
        <w:gridCol w:w="1218"/>
      </w:tblGrid>
      <w:tr w14:paraId="6FEDD7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0" w:hRule="atLeast"/>
          <w:jc w:val="center"/>
        </w:trPr>
        <w:tc>
          <w:tcPr>
            <w:tcW w:w="787" w:type="dxa"/>
            <w:vMerge w:val="restart"/>
            <w:shd w:val="clear" w:color="auto" w:fill="D1D1D1"/>
            <w:noWrap w:val="0"/>
            <w:vAlign w:val="center"/>
          </w:tcPr>
          <w:p w14:paraId="79CB6948">
            <w:pPr>
              <w:keepNext w:val="0"/>
              <w:keepLines w:val="0"/>
              <w:pageBreakBefore w:val="0"/>
              <w:widowControl/>
              <w:kinsoku/>
              <w:wordWrap/>
              <w:overflowPunct/>
              <w:topLinePunct w:val="0"/>
              <w:autoSpaceDE/>
              <w:autoSpaceDN/>
              <w:bidi w:val="0"/>
              <w:adjustRightInd/>
              <w:snapToGrid/>
              <w:spacing w:after="0" w:line="240" w:lineRule="auto"/>
              <w:ind w:firstLine="0"/>
              <w:jc w:val="center"/>
              <w:rPr>
                <w:rFonts w:ascii="Arial" w:hAnsi="Arial" w:cs="Arial"/>
                <w:sz w:val="20"/>
                <w:szCs w:val="20"/>
              </w:rPr>
            </w:pPr>
            <w:r>
              <w:rPr>
                <w:rFonts w:ascii="Arial" w:hAnsi="Arial" w:cs="Arial"/>
                <w:sz w:val="20"/>
                <w:szCs w:val="20"/>
              </w:rPr>
              <w:t>Nº</w:t>
            </w:r>
          </w:p>
        </w:tc>
        <w:tc>
          <w:tcPr>
            <w:tcW w:w="3466" w:type="dxa"/>
            <w:vMerge w:val="restart"/>
            <w:shd w:val="clear" w:color="auto" w:fill="D1D1D1"/>
            <w:noWrap w:val="0"/>
            <w:vAlign w:val="center"/>
          </w:tcPr>
          <w:p w14:paraId="756DE73B">
            <w:pPr>
              <w:keepNext w:val="0"/>
              <w:keepLines w:val="0"/>
              <w:pageBreakBefore w:val="0"/>
              <w:widowControl/>
              <w:kinsoku/>
              <w:wordWrap/>
              <w:overflowPunct/>
              <w:topLinePunct w:val="0"/>
              <w:autoSpaceDE/>
              <w:autoSpaceDN/>
              <w:bidi w:val="0"/>
              <w:adjustRightInd/>
              <w:snapToGrid/>
              <w:spacing w:after="0" w:line="240" w:lineRule="auto"/>
              <w:ind w:firstLine="0"/>
              <w:jc w:val="center"/>
              <w:rPr>
                <w:rFonts w:ascii="Arial" w:hAnsi="Arial" w:cs="Arial"/>
                <w:sz w:val="20"/>
                <w:szCs w:val="20"/>
              </w:rPr>
            </w:pPr>
            <w:r>
              <w:rPr>
                <w:rFonts w:ascii="Arial" w:hAnsi="Arial" w:cs="Arial"/>
                <w:sz w:val="20"/>
                <w:szCs w:val="20"/>
              </w:rPr>
              <w:t>Escolas</w:t>
            </w:r>
          </w:p>
        </w:tc>
        <w:tc>
          <w:tcPr>
            <w:tcW w:w="2536" w:type="dxa"/>
            <w:gridSpan w:val="2"/>
            <w:shd w:val="clear" w:color="auto" w:fill="D1D1D1"/>
            <w:noWrap w:val="0"/>
            <w:vAlign w:val="top"/>
          </w:tcPr>
          <w:p w14:paraId="3438D1C8">
            <w:pPr>
              <w:keepNext w:val="0"/>
              <w:keepLines w:val="0"/>
              <w:pageBreakBefore w:val="0"/>
              <w:widowControl/>
              <w:kinsoku/>
              <w:wordWrap/>
              <w:overflowPunct/>
              <w:topLinePunct w:val="0"/>
              <w:autoSpaceDE/>
              <w:autoSpaceDN/>
              <w:bidi w:val="0"/>
              <w:adjustRightInd/>
              <w:snapToGrid/>
              <w:spacing w:after="0" w:line="240" w:lineRule="auto"/>
              <w:ind w:firstLine="0"/>
              <w:jc w:val="center"/>
              <w:rPr>
                <w:rFonts w:ascii="Arial" w:hAnsi="Arial" w:cs="Arial"/>
                <w:sz w:val="20"/>
                <w:szCs w:val="20"/>
              </w:rPr>
            </w:pPr>
            <w:r>
              <w:rPr>
                <w:rFonts w:ascii="Arial" w:hAnsi="Arial" w:cs="Arial"/>
                <w:sz w:val="20"/>
                <w:szCs w:val="20"/>
              </w:rPr>
              <w:t>Ensino Infantil</w:t>
            </w:r>
          </w:p>
        </w:tc>
        <w:tc>
          <w:tcPr>
            <w:tcW w:w="2381" w:type="dxa"/>
            <w:gridSpan w:val="2"/>
            <w:shd w:val="clear" w:color="auto" w:fill="D1D1D1"/>
            <w:noWrap w:val="0"/>
            <w:vAlign w:val="top"/>
          </w:tcPr>
          <w:p w14:paraId="2B4D59F4">
            <w:pPr>
              <w:keepNext w:val="0"/>
              <w:keepLines w:val="0"/>
              <w:pageBreakBefore w:val="0"/>
              <w:widowControl/>
              <w:kinsoku/>
              <w:wordWrap/>
              <w:overflowPunct/>
              <w:topLinePunct w:val="0"/>
              <w:autoSpaceDE/>
              <w:autoSpaceDN/>
              <w:bidi w:val="0"/>
              <w:adjustRightInd/>
              <w:snapToGrid/>
              <w:spacing w:after="0" w:line="240" w:lineRule="auto"/>
              <w:ind w:firstLine="0"/>
              <w:jc w:val="center"/>
              <w:rPr>
                <w:rFonts w:ascii="Arial" w:hAnsi="Arial" w:cs="Arial"/>
                <w:sz w:val="20"/>
                <w:szCs w:val="20"/>
              </w:rPr>
            </w:pPr>
            <w:r>
              <w:rPr>
                <w:rFonts w:ascii="Arial" w:hAnsi="Arial" w:cs="Arial"/>
                <w:sz w:val="20"/>
                <w:szCs w:val="20"/>
              </w:rPr>
              <w:t>Ensino Fundamental</w:t>
            </w:r>
          </w:p>
        </w:tc>
        <w:tc>
          <w:tcPr>
            <w:tcW w:w="1218" w:type="dxa"/>
            <w:vMerge w:val="restart"/>
            <w:shd w:val="clear" w:color="auto" w:fill="D1D1D1"/>
            <w:noWrap w:val="0"/>
            <w:vAlign w:val="center"/>
          </w:tcPr>
          <w:p w14:paraId="17470779">
            <w:pPr>
              <w:keepNext w:val="0"/>
              <w:keepLines w:val="0"/>
              <w:pageBreakBefore w:val="0"/>
              <w:widowControl/>
              <w:kinsoku/>
              <w:wordWrap/>
              <w:overflowPunct/>
              <w:topLinePunct w:val="0"/>
              <w:autoSpaceDE/>
              <w:autoSpaceDN/>
              <w:bidi w:val="0"/>
              <w:adjustRightInd/>
              <w:snapToGrid/>
              <w:spacing w:after="0" w:line="240" w:lineRule="auto"/>
              <w:ind w:firstLine="0"/>
              <w:jc w:val="center"/>
              <w:rPr>
                <w:rFonts w:ascii="Arial" w:hAnsi="Arial" w:cs="Arial"/>
                <w:sz w:val="20"/>
                <w:szCs w:val="20"/>
              </w:rPr>
            </w:pPr>
            <w:r>
              <w:rPr>
                <w:rFonts w:ascii="Arial" w:hAnsi="Arial" w:cs="Arial"/>
                <w:sz w:val="20"/>
                <w:szCs w:val="20"/>
              </w:rPr>
              <w:t>Total</w:t>
            </w:r>
          </w:p>
        </w:tc>
      </w:tr>
      <w:tr w14:paraId="527EAA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87" w:type="dxa"/>
            <w:vMerge w:val="continue"/>
            <w:shd w:val="clear" w:color="auto" w:fill="D1D1D1"/>
            <w:noWrap w:val="0"/>
            <w:vAlign w:val="top"/>
          </w:tcPr>
          <w:p w14:paraId="3D7C411E">
            <w:pPr>
              <w:keepNext w:val="0"/>
              <w:keepLines w:val="0"/>
              <w:pageBreakBefore w:val="0"/>
              <w:widowControl/>
              <w:kinsoku/>
              <w:wordWrap/>
              <w:overflowPunct/>
              <w:topLinePunct w:val="0"/>
              <w:autoSpaceDE/>
              <w:autoSpaceDN/>
              <w:bidi w:val="0"/>
              <w:adjustRightInd/>
              <w:snapToGrid/>
              <w:spacing w:after="0" w:line="240" w:lineRule="auto"/>
              <w:ind w:firstLine="0"/>
              <w:rPr>
                <w:rFonts w:ascii="Arial" w:hAnsi="Arial" w:cs="Arial"/>
                <w:sz w:val="20"/>
                <w:szCs w:val="20"/>
              </w:rPr>
            </w:pPr>
          </w:p>
        </w:tc>
        <w:tc>
          <w:tcPr>
            <w:tcW w:w="3466" w:type="dxa"/>
            <w:vMerge w:val="continue"/>
            <w:shd w:val="clear" w:color="auto" w:fill="D1D1D1"/>
            <w:noWrap w:val="0"/>
            <w:vAlign w:val="top"/>
          </w:tcPr>
          <w:p w14:paraId="6A8242C1">
            <w:pPr>
              <w:keepNext w:val="0"/>
              <w:keepLines w:val="0"/>
              <w:pageBreakBefore w:val="0"/>
              <w:widowControl/>
              <w:kinsoku/>
              <w:wordWrap/>
              <w:overflowPunct/>
              <w:topLinePunct w:val="0"/>
              <w:autoSpaceDE/>
              <w:autoSpaceDN/>
              <w:bidi w:val="0"/>
              <w:adjustRightInd/>
              <w:snapToGrid/>
              <w:spacing w:after="0" w:line="240" w:lineRule="auto"/>
              <w:ind w:firstLine="0"/>
              <w:rPr>
                <w:rFonts w:ascii="Arial" w:hAnsi="Arial" w:cs="Arial"/>
                <w:sz w:val="20"/>
                <w:szCs w:val="20"/>
              </w:rPr>
            </w:pPr>
          </w:p>
        </w:tc>
        <w:tc>
          <w:tcPr>
            <w:tcW w:w="1418" w:type="dxa"/>
            <w:shd w:val="clear" w:color="auto" w:fill="D1D1D1"/>
            <w:noWrap w:val="0"/>
            <w:vAlign w:val="top"/>
          </w:tcPr>
          <w:p w14:paraId="1C1DB5EB">
            <w:pPr>
              <w:keepNext w:val="0"/>
              <w:keepLines w:val="0"/>
              <w:pageBreakBefore w:val="0"/>
              <w:widowControl/>
              <w:kinsoku/>
              <w:wordWrap/>
              <w:overflowPunct/>
              <w:topLinePunct w:val="0"/>
              <w:autoSpaceDE/>
              <w:autoSpaceDN/>
              <w:bidi w:val="0"/>
              <w:adjustRightInd/>
              <w:snapToGrid/>
              <w:spacing w:after="0" w:line="240" w:lineRule="auto"/>
              <w:ind w:firstLine="0"/>
              <w:jc w:val="center"/>
              <w:rPr>
                <w:rFonts w:ascii="Arial" w:hAnsi="Arial" w:cs="Arial"/>
                <w:sz w:val="20"/>
                <w:szCs w:val="20"/>
              </w:rPr>
            </w:pPr>
            <w:r>
              <w:rPr>
                <w:rFonts w:ascii="Arial" w:hAnsi="Arial" w:cs="Arial"/>
                <w:sz w:val="20"/>
                <w:szCs w:val="20"/>
              </w:rPr>
              <w:t>Regular</w:t>
            </w:r>
          </w:p>
        </w:tc>
        <w:tc>
          <w:tcPr>
            <w:tcW w:w="1118" w:type="dxa"/>
            <w:shd w:val="clear" w:color="auto" w:fill="D1D1D1"/>
            <w:noWrap w:val="0"/>
            <w:vAlign w:val="top"/>
          </w:tcPr>
          <w:p w14:paraId="5D82BE19">
            <w:pPr>
              <w:keepNext w:val="0"/>
              <w:keepLines w:val="0"/>
              <w:pageBreakBefore w:val="0"/>
              <w:widowControl/>
              <w:kinsoku/>
              <w:wordWrap/>
              <w:overflowPunct/>
              <w:topLinePunct w:val="0"/>
              <w:autoSpaceDE/>
              <w:autoSpaceDN/>
              <w:bidi w:val="0"/>
              <w:adjustRightInd/>
              <w:snapToGrid/>
              <w:spacing w:after="0" w:line="240" w:lineRule="auto"/>
              <w:ind w:firstLine="0"/>
              <w:jc w:val="center"/>
              <w:rPr>
                <w:rFonts w:ascii="Arial" w:hAnsi="Arial" w:cs="Arial"/>
                <w:sz w:val="20"/>
                <w:szCs w:val="20"/>
              </w:rPr>
            </w:pPr>
            <w:r>
              <w:rPr>
                <w:rFonts w:ascii="Arial" w:hAnsi="Arial" w:cs="Arial"/>
                <w:sz w:val="20"/>
                <w:szCs w:val="20"/>
              </w:rPr>
              <w:t>Integral</w:t>
            </w:r>
          </w:p>
        </w:tc>
        <w:tc>
          <w:tcPr>
            <w:tcW w:w="1247" w:type="dxa"/>
            <w:shd w:val="clear" w:color="auto" w:fill="D1D1D1"/>
            <w:noWrap w:val="0"/>
            <w:vAlign w:val="top"/>
          </w:tcPr>
          <w:p w14:paraId="3D9E1818">
            <w:pPr>
              <w:keepNext w:val="0"/>
              <w:keepLines w:val="0"/>
              <w:pageBreakBefore w:val="0"/>
              <w:widowControl/>
              <w:kinsoku/>
              <w:wordWrap/>
              <w:overflowPunct/>
              <w:topLinePunct w:val="0"/>
              <w:autoSpaceDE/>
              <w:autoSpaceDN/>
              <w:bidi w:val="0"/>
              <w:adjustRightInd/>
              <w:snapToGrid/>
              <w:spacing w:after="0" w:line="240" w:lineRule="auto"/>
              <w:ind w:firstLine="0"/>
              <w:jc w:val="center"/>
              <w:rPr>
                <w:rFonts w:ascii="Arial" w:hAnsi="Arial" w:cs="Arial"/>
                <w:sz w:val="20"/>
                <w:szCs w:val="20"/>
              </w:rPr>
            </w:pPr>
            <w:r>
              <w:rPr>
                <w:rFonts w:ascii="Arial" w:hAnsi="Arial" w:cs="Arial"/>
                <w:sz w:val="20"/>
                <w:szCs w:val="20"/>
              </w:rPr>
              <w:t>Regular</w:t>
            </w:r>
          </w:p>
        </w:tc>
        <w:tc>
          <w:tcPr>
            <w:tcW w:w="1134" w:type="dxa"/>
            <w:shd w:val="clear" w:color="auto" w:fill="D1D1D1"/>
            <w:noWrap w:val="0"/>
            <w:vAlign w:val="top"/>
          </w:tcPr>
          <w:p w14:paraId="571F9277">
            <w:pPr>
              <w:keepNext w:val="0"/>
              <w:keepLines w:val="0"/>
              <w:pageBreakBefore w:val="0"/>
              <w:widowControl/>
              <w:kinsoku/>
              <w:wordWrap/>
              <w:overflowPunct/>
              <w:topLinePunct w:val="0"/>
              <w:autoSpaceDE/>
              <w:autoSpaceDN/>
              <w:bidi w:val="0"/>
              <w:adjustRightInd/>
              <w:snapToGrid/>
              <w:spacing w:after="0" w:line="240" w:lineRule="auto"/>
              <w:ind w:firstLine="0"/>
              <w:jc w:val="center"/>
              <w:rPr>
                <w:rFonts w:ascii="Arial" w:hAnsi="Arial" w:cs="Arial"/>
                <w:sz w:val="20"/>
                <w:szCs w:val="20"/>
              </w:rPr>
            </w:pPr>
            <w:r>
              <w:rPr>
                <w:rFonts w:ascii="Arial" w:hAnsi="Arial" w:cs="Arial"/>
                <w:sz w:val="20"/>
                <w:szCs w:val="20"/>
              </w:rPr>
              <w:t>Integral</w:t>
            </w:r>
          </w:p>
        </w:tc>
        <w:tc>
          <w:tcPr>
            <w:tcW w:w="1218" w:type="dxa"/>
            <w:vMerge w:val="continue"/>
            <w:shd w:val="clear" w:color="auto" w:fill="D1D1D1"/>
            <w:noWrap w:val="0"/>
            <w:vAlign w:val="top"/>
          </w:tcPr>
          <w:p w14:paraId="62710C3A">
            <w:pPr>
              <w:keepNext w:val="0"/>
              <w:keepLines w:val="0"/>
              <w:pageBreakBefore w:val="0"/>
              <w:widowControl/>
              <w:kinsoku/>
              <w:wordWrap/>
              <w:overflowPunct/>
              <w:topLinePunct w:val="0"/>
              <w:autoSpaceDE/>
              <w:autoSpaceDN/>
              <w:bidi w:val="0"/>
              <w:adjustRightInd/>
              <w:snapToGrid/>
              <w:spacing w:after="0" w:line="240" w:lineRule="auto"/>
              <w:ind w:firstLine="0"/>
              <w:rPr>
                <w:rFonts w:ascii="Arial" w:hAnsi="Arial" w:cs="Arial"/>
                <w:sz w:val="20"/>
                <w:szCs w:val="20"/>
              </w:rPr>
            </w:pPr>
          </w:p>
        </w:tc>
      </w:tr>
      <w:tr w14:paraId="0E2A49C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87" w:type="dxa"/>
            <w:shd w:val="clear" w:color="auto" w:fill="auto"/>
            <w:noWrap w:val="0"/>
            <w:vAlign w:val="center"/>
          </w:tcPr>
          <w:p w14:paraId="69B5A9CC">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01</w:t>
            </w:r>
          </w:p>
        </w:tc>
        <w:tc>
          <w:tcPr>
            <w:tcW w:w="3466" w:type="dxa"/>
            <w:shd w:val="clear" w:color="auto" w:fill="auto"/>
            <w:noWrap w:val="0"/>
            <w:vAlign w:val="center"/>
          </w:tcPr>
          <w:p w14:paraId="5CFD7650">
            <w:pPr>
              <w:keepNext w:val="0"/>
              <w:keepLines w:val="0"/>
              <w:pageBreakBefore w:val="0"/>
              <w:widowControl/>
              <w:kinsoku/>
              <w:wordWrap/>
              <w:overflowPunct/>
              <w:topLinePunct w:val="0"/>
              <w:autoSpaceDE/>
              <w:autoSpaceDN/>
              <w:bidi w:val="0"/>
              <w:adjustRightInd/>
              <w:snapToGrid/>
              <w:spacing w:after="0" w:line="240" w:lineRule="auto"/>
              <w:ind w:hanging="1"/>
              <w:jc w:val="both"/>
              <w:rPr>
                <w:rFonts w:ascii="Arial" w:hAnsi="Arial" w:eastAsia="Times New Roman" w:cs="Arial"/>
                <w:sz w:val="20"/>
                <w:szCs w:val="20"/>
                <w:lang w:val="pt-BR" w:eastAsia="zh-CN" w:bidi="ar-SA"/>
              </w:rPr>
            </w:pPr>
            <w:r>
              <w:rPr>
                <w:rFonts w:hint="default" w:ascii="Arial" w:hAnsi="Arial"/>
                <w:sz w:val="20"/>
                <w:szCs w:val="20"/>
                <w:lang w:val="en-US" w:eastAsia="zh-CN"/>
              </w:rPr>
              <w:t>EMEB MARIA APARECIDA AMARO DE SOUZA</w:t>
            </w:r>
          </w:p>
        </w:tc>
        <w:tc>
          <w:tcPr>
            <w:tcW w:w="1418" w:type="dxa"/>
            <w:shd w:val="clear" w:color="auto" w:fill="auto"/>
            <w:noWrap w:val="0"/>
            <w:vAlign w:val="center"/>
          </w:tcPr>
          <w:p w14:paraId="36D986D8">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118" w:type="dxa"/>
            <w:shd w:val="clear" w:color="auto" w:fill="auto"/>
            <w:noWrap w:val="0"/>
            <w:vAlign w:val="center"/>
          </w:tcPr>
          <w:p w14:paraId="2EB5D03D">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47" w:type="dxa"/>
            <w:shd w:val="clear" w:color="auto" w:fill="auto"/>
            <w:noWrap w:val="0"/>
            <w:vAlign w:val="center"/>
          </w:tcPr>
          <w:p w14:paraId="37370653">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134" w:type="dxa"/>
            <w:shd w:val="clear" w:color="auto" w:fill="auto"/>
            <w:noWrap w:val="0"/>
            <w:vAlign w:val="center"/>
          </w:tcPr>
          <w:p w14:paraId="4BB87719">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464</w:t>
            </w:r>
          </w:p>
        </w:tc>
        <w:tc>
          <w:tcPr>
            <w:tcW w:w="1218" w:type="dxa"/>
            <w:shd w:val="clear" w:color="auto" w:fill="auto"/>
            <w:noWrap w:val="0"/>
            <w:vAlign w:val="center"/>
          </w:tcPr>
          <w:p w14:paraId="2863C61F">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464</w:t>
            </w:r>
          </w:p>
        </w:tc>
      </w:tr>
      <w:tr w14:paraId="57CFFB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87" w:type="dxa"/>
            <w:shd w:val="clear" w:color="auto" w:fill="auto"/>
            <w:noWrap w:val="0"/>
            <w:vAlign w:val="center"/>
          </w:tcPr>
          <w:p w14:paraId="23025740">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02</w:t>
            </w:r>
          </w:p>
        </w:tc>
        <w:tc>
          <w:tcPr>
            <w:tcW w:w="3466" w:type="dxa"/>
            <w:shd w:val="clear" w:color="auto" w:fill="auto"/>
            <w:noWrap w:val="0"/>
            <w:vAlign w:val="center"/>
          </w:tcPr>
          <w:p w14:paraId="67DD495F">
            <w:pPr>
              <w:keepNext w:val="0"/>
              <w:keepLines w:val="0"/>
              <w:pageBreakBefore w:val="0"/>
              <w:widowControl/>
              <w:kinsoku/>
              <w:wordWrap/>
              <w:overflowPunct/>
              <w:topLinePunct w:val="0"/>
              <w:autoSpaceDE/>
              <w:autoSpaceDN/>
              <w:bidi w:val="0"/>
              <w:adjustRightInd/>
              <w:snapToGrid/>
              <w:spacing w:after="0" w:line="240" w:lineRule="auto"/>
              <w:ind w:hanging="1"/>
              <w:jc w:val="both"/>
              <w:rPr>
                <w:rFonts w:ascii="Arial" w:hAnsi="Arial" w:eastAsia="Times New Roman" w:cs="Arial"/>
                <w:sz w:val="20"/>
                <w:szCs w:val="20"/>
                <w:lang w:val="pt-BR" w:eastAsia="zh-CN" w:bidi="ar-SA"/>
              </w:rPr>
            </w:pPr>
            <w:r>
              <w:rPr>
                <w:rFonts w:hint="default" w:ascii="Arial" w:hAnsi="Arial"/>
                <w:sz w:val="20"/>
                <w:szCs w:val="20"/>
                <w:lang w:val="en-US" w:eastAsia="zh-CN"/>
              </w:rPr>
              <w:t>EMEB RODRIGO DAMASCENO</w:t>
            </w:r>
          </w:p>
        </w:tc>
        <w:tc>
          <w:tcPr>
            <w:tcW w:w="1418" w:type="dxa"/>
            <w:shd w:val="clear" w:color="auto" w:fill="auto"/>
            <w:noWrap w:val="0"/>
            <w:vAlign w:val="center"/>
          </w:tcPr>
          <w:p w14:paraId="668EB6F1">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118" w:type="dxa"/>
            <w:shd w:val="clear" w:color="auto" w:fill="auto"/>
            <w:noWrap w:val="0"/>
            <w:vAlign w:val="center"/>
          </w:tcPr>
          <w:p w14:paraId="39961397">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47" w:type="dxa"/>
            <w:shd w:val="clear" w:color="auto" w:fill="auto"/>
            <w:noWrap w:val="0"/>
            <w:vAlign w:val="center"/>
          </w:tcPr>
          <w:p w14:paraId="6616F074">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1216</w:t>
            </w:r>
          </w:p>
        </w:tc>
        <w:tc>
          <w:tcPr>
            <w:tcW w:w="1134" w:type="dxa"/>
            <w:shd w:val="clear" w:color="auto" w:fill="auto"/>
            <w:noWrap w:val="0"/>
            <w:vAlign w:val="center"/>
          </w:tcPr>
          <w:p w14:paraId="7D9CD7D9">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18" w:type="dxa"/>
            <w:shd w:val="clear" w:color="auto" w:fill="auto"/>
            <w:noWrap w:val="0"/>
            <w:vAlign w:val="center"/>
          </w:tcPr>
          <w:p w14:paraId="33BE28C8">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1216</w:t>
            </w:r>
          </w:p>
        </w:tc>
      </w:tr>
      <w:tr w14:paraId="0991FC3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87" w:type="dxa"/>
            <w:shd w:val="clear" w:color="auto" w:fill="auto"/>
            <w:noWrap w:val="0"/>
            <w:vAlign w:val="center"/>
          </w:tcPr>
          <w:p w14:paraId="113B6237">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03</w:t>
            </w:r>
          </w:p>
        </w:tc>
        <w:tc>
          <w:tcPr>
            <w:tcW w:w="3466" w:type="dxa"/>
            <w:shd w:val="clear" w:color="auto" w:fill="auto"/>
            <w:noWrap w:val="0"/>
            <w:vAlign w:val="center"/>
          </w:tcPr>
          <w:p w14:paraId="084F9926">
            <w:pPr>
              <w:keepNext w:val="0"/>
              <w:keepLines w:val="0"/>
              <w:pageBreakBefore w:val="0"/>
              <w:widowControl/>
              <w:kinsoku/>
              <w:wordWrap/>
              <w:overflowPunct/>
              <w:topLinePunct w:val="0"/>
              <w:autoSpaceDE/>
              <w:autoSpaceDN/>
              <w:bidi w:val="0"/>
              <w:adjustRightInd/>
              <w:snapToGrid/>
              <w:spacing w:after="0" w:line="240" w:lineRule="auto"/>
              <w:ind w:hanging="1"/>
              <w:jc w:val="both"/>
              <w:rPr>
                <w:rFonts w:ascii="Arial" w:hAnsi="Arial" w:eastAsia="Times New Roman" w:cs="Arial"/>
                <w:sz w:val="20"/>
                <w:szCs w:val="20"/>
                <w:lang w:val="pt-BR" w:eastAsia="zh-CN" w:bidi="ar-SA"/>
              </w:rPr>
            </w:pPr>
            <w:r>
              <w:rPr>
                <w:rFonts w:hint="default" w:ascii="Arial" w:hAnsi="Arial"/>
                <w:sz w:val="20"/>
                <w:szCs w:val="20"/>
                <w:lang w:val="en-US" w:eastAsia="zh-CN"/>
              </w:rPr>
              <w:t>EMEB SADAO WATANABE</w:t>
            </w:r>
          </w:p>
        </w:tc>
        <w:tc>
          <w:tcPr>
            <w:tcW w:w="1418" w:type="dxa"/>
            <w:shd w:val="clear" w:color="auto" w:fill="auto"/>
            <w:noWrap w:val="0"/>
            <w:vAlign w:val="center"/>
          </w:tcPr>
          <w:p w14:paraId="08AFAFE0">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118" w:type="dxa"/>
            <w:shd w:val="clear" w:color="auto" w:fill="auto"/>
            <w:noWrap w:val="0"/>
            <w:vAlign w:val="center"/>
          </w:tcPr>
          <w:p w14:paraId="582D6A78">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47" w:type="dxa"/>
            <w:shd w:val="clear" w:color="auto" w:fill="auto"/>
            <w:noWrap w:val="0"/>
            <w:vAlign w:val="center"/>
          </w:tcPr>
          <w:p w14:paraId="4F4B30AC">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1106</w:t>
            </w:r>
          </w:p>
        </w:tc>
        <w:tc>
          <w:tcPr>
            <w:tcW w:w="1134" w:type="dxa"/>
            <w:shd w:val="clear" w:color="auto" w:fill="auto"/>
            <w:noWrap w:val="0"/>
            <w:vAlign w:val="center"/>
          </w:tcPr>
          <w:p w14:paraId="39F28BF0">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18" w:type="dxa"/>
            <w:shd w:val="clear" w:color="auto" w:fill="auto"/>
            <w:noWrap w:val="0"/>
            <w:vAlign w:val="center"/>
          </w:tcPr>
          <w:p w14:paraId="3EC77319">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1106</w:t>
            </w:r>
          </w:p>
        </w:tc>
      </w:tr>
      <w:tr w14:paraId="521DB09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87" w:type="dxa"/>
            <w:shd w:val="clear" w:color="auto" w:fill="auto"/>
            <w:noWrap w:val="0"/>
            <w:vAlign w:val="center"/>
          </w:tcPr>
          <w:p w14:paraId="0A84172B">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04</w:t>
            </w:r>
          </w:p>
        </w:tc>
        <w:tc>
          <w:tcPr>
            <w:tcW w:w="3466" w:type="dxa"/>
            <w:shd w:val="clear" w:color="auto" w:fill="auto"/>
            <w:noWrap w:val="0"/>
            <w:vAlign w:val="center"/>
          </w:tcPr>
          <w:p w14:paraId="286E34D7">
            <w:pPr>
              <w:keepNext w:val="0"/>
              <w:keepLines w:val="0"/>
              <w:pageBreakBefore w:val="0"/>
              <w:widowControl/>
              <w:kinsoku/>
              <w:wordWrap/>
              <w:overflowPunct/>
              <w:topLinePunct w:val="0"/>
              <w:autoSpaceDE/>
              <w:autoSpaceDN/>
              <w:bidi w:val="0"/>
              <w:adjustRightInd/>
              <w:snapToGrid/>
              <w:spacing w:after="0" w:line="240" w:lineRule="auto"/>
              <w:ind w:hanging="1"/>
              <w:jc w:val="both"/>
              <w:rPr>
                <w:rFonts w:ascii="Arial" w:hAnsi="Arial" w:eastAsia="Times New Roman" w:cs="Arial"/>
                <w:sz w:val="20"/>
                <w:szCs w:val="20"/>
                <w:lang w:val="pt-BR" w:eastAsia="zh-CN" w:bidi="ar-SA"/>
              </w:rPr>
            </w:pPr>
            <w:r>
              <w:rPr>
                <w:rFonts w:ascii="Arial" w:hAnsi="Arial" w:cs="Arial"/>
                <w:sz w:val="20"/>
                <w:szCs w:val="20"/>
                <w:lang w:val="en-US" w:eastAsia="zh-CN" w:bidi="ar"/>
              </w:rPr>
              <w:t>EMEB SILVANA</w:t>
            </w:r>
          </w:p>
        </w:tc>
        <w:tc>
          <w:tcPr>
            <w:tcW w:w="1418" w:type="dxa"/>
            <w:shd w:val="clear" w:color="auto" w:fill="auto"/>
            <w:noWrap w:val="0"/>
            <w:vAlign w:val="center"/>
          </w:tcPr>
          <w:p w14:paraId="299B7964">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118" w:type="dxa"/>
            <w:shd w:val="clear" w:color="auto" w:fill="auto"/>
            <w:noWrap w:val="0"/>
            <w:vAlign w:val="center"/>
          </w:tcPr>
          <w:p w14:paraId="0F7F9809">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50</w:t>
            </w:r>
          </w:p>
        </w:tc>
        <w:tc>
          <w:tcPr>
            <w:tcW w:w="1247" w:type="dxa"/>
            <w:shd w:val="clear" w:color="auto" w:fill="auto"/>
            <w:noWrap w:val="0"/>
            <w:vAlign w:val="center"/>
          </w:tcPr>
          <w:p w14:paraId="0F395113">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134" w:type="dxa"/>
            <w:shd w:val="clear" w:color="auto" w:fill="auto"/>
            <w:noWrap w:val="0"/>
            <w:vAlign w:val="center"/>
          </w:tcPr>
          <w:p w14:paraId="7D386DC2">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146</w:t>
            </w:r>
          </w:p>
        </w:tc>
        <w:tc>
          <w:tcPr>
            <w:tcW w:w="1218" w:type="dxa"/>
            <w:shd w:val="clear" w:color="auto" w:fill="auto"/>
            <w:noWrap w:val="0"/>
            <w:vAlign w:val="center"/>
          </w:tcPr>
          <w:p w14:paraId="37967D81">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196</w:t>
            </w:r>
          </w:p>
        </w:tc>
      </w:tr>
      <w:tr w14:paraId="17BC783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87" w:type="dxa"/>
            <w:shd w:val="clear" w:color="auto" w:fill="auto"/>
            <w:noWrap w:val="0"/>
            <w:vAlign w:val="center"/>
          </w:tcPr>
          <w:p w14:paraId="29DDAF20">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05</w:t>
            </w:r>
          </w:p>
        </w:tc>
        <w:tc>
          <w:tcPr>
            <w:tcW w:w="3466" w:type="dxa"/>
            <w:shd w:val="clear" w:color="auto" w:fill="auto"/>
            <w:noWrap w:val="0"/>
            <w:vAlign w:val="center"/>
          </w:tcPr>
          <w:p w14:paraId="6A07D417">
            <w:pPr>
              <w:keepNext w:val="0"/>
              <w:keepLines w:val="0"/>
              <w:pageBreakBefore w:val="0"/>
              <w:widowControl/>
              <w:kinsoku/>
              <w:wordWrap/>
              <w:overflowPunct/>
              <w:topLinePunct w:val="0"/>
              <w:autoSpaceDE/>
              <w:autoSpaceDN/>
              <w:bidi w:val="0"/>
              <w:adjustRightInd/>
              <w:snapToGrid/>
              <w:spacing w:after="0" w:line="240" w:lineRule="auto"/>
              <w:ind w:hanging="1"/>
              <w:jc w:val="both"/>
              <w:rPr>
                <w:rFonts w:ascii="Arial" w:hAnsi="Arial" w:eastAsia="Times New Roman" w:cs="Arial"/>
                <w:sz w:val="20"/>
                <w:szCs w:val="20"/>
                <w:lang w:val="pt-BR" w:eastAsia="zh-CN" w:bidi="ar-SA"/>
              </w:rPr>
            </w:pPr>
            <w:r>
              <w:rPr>
                <w:rFonts w:hint="default" w:ascii="Arial" w:hAnsi="Arial"/>
                <w:sz w:val="20"/>
                <w:szCs w:val="20"/>
                <w:lang w:val="en-US" w:eastAsia="zh-CN"/>
              </w:rPr>
              <w:t>EMEB UILIBALDO VIEIRA GOBBO</w:t>
            </w:r>
          </w:p>
        </w:tc>
        <w:tc>
          <w:tcPr>
            <w:tcW w:w="1418" w:type="dxa"/>
            <w:shd w:val="clear" w:color="auto" w:fill="auto"/>
            <w:noWrap w:val="0"/>
            <w:vAlign w:val="center"/>
          </w:tcPr>
          <w:p w14:paraId="59310244">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118" w:type="dxa"/>
            <w:shd w:val="clear" w:color="auto" w:fill="auto"/>
            <w:noWrap w:val="0"/>
            <w:vAlign w:val="center"/>
          </w:tcPr>
          <w:p w14:paraId="04532427">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47" w:type="dxa"/>
            <w:shd w:val="clear" w:color="auto" w:fill="auto"/>
            <w:noWrap w:val="0"/>
            <w:vAlign w:val="center"/>
          </w:tcPr>
          <w:p w14:paraId="00A563EC">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292</w:t>
            </w:r>
          </w:p>
        </w:tc>
        <w:tc>
          <w:tcPr>
            <w:tcW w:w="1134" w:type="dxa"/>
            <w:shd w:val="clear" w:color="auto" w:fill="auto"/>
            <w:noWrap w:val="0"/>
            <w:vAlign w:val="center"/>
          </w:tcPr>
          <w:p w14:paraId="7B72ECFD">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18" w:type="dxa"/>
            <w:shd w:val="clear" w:color="auto" w:fill="auto"/>
            <w:noWrap w:val="0"/>
            <w:vAlign w:val="center"/>
          </w:tcPr>
          <w:p w14:paraId="1D84F4B8">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292</w:t>
            </w:r>
          </w:p>
        </w:tc>
      </w:tr>
      <w:tr w14:paraId="6F89F1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87" w:type="dxa"/>
            <w:shd w:val="clear" w:color="auto" w:fill="auto"/>
            <w:noWrap w:val="0"/>
            <w:vAlign w:val="center"/>
          </w:tcPr>
          <w:p w14:paraId="61A119CC">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06</w:t>
            </w:r>
          </w:p>
        </w:tc>
        <w:tc>
          <w:tcPr>
            <w:tcW w:w="3466" w:type="dxa"/>
            <w:shd w:val="clear" w:color="auto" w:fill="auto"/>
            <w:noWrap w:val="0"/>
            <w:vAlign w:val="center"/>
          </w:tcPr>
          <w:p w14:paraId="70F127A4">
            <w:pPr>
              <w:keepNext w:val="0"/>
              <w:keepLines w:val="0"/>
              <w:pageBreakBefore w:val="0"/>
              <w:widowControl/>
              <w:kinsoku/>
              <w:wordWrap/>
              <w:overflowPunct/>
              <w:topLinePunct w:val="0"/>
              <w:autoSpaceDE/>
              <w:autoSpaceDN/>
              <w:bidi w:val="0"/>
              <w:adjustRightInd/>
              <w:snapToGrid/>
              <w:spacing w:after="0" w:line="240" w:lineRule="auto"/>
              <w:ind w:hanging="1"/>
              <w:jc w:val="both"/>
              <w:rPr>
                <w:rFonts w:ascii="Arial" w:hAnsi="Arial" w:eastAsia="Times New Roman" w:cs="Arial"/>
                <w:sz w:val="20"/>
                <w:szCs w:val="20"/>
                <w:lang w:val="pt-BR" w:eastAsia="zh-CN" w:bidi="ar-SA"/>
              </w:rPr>
            </w:pPr>
            <w:r>
              <w:rPr>
                <w:rFonts w:ascii="Arial" w:hAnsi="Arial" w:cs="Arial"/>
                <w:sz w:val="20"/>
                <w:szCs w:val="20"/>
                <w:lang w:val="en-US" w:eastAsia="zh-CN" w:bidi="ar"/>
              </w:rPr>
              <w:t>EMEB VEREADOR RODOLFO VALTER KUNZE</w:t>
            </w:r>
          </w:p>
        </w:tc>
        <w:tc>
          <w:tcPr>
            <w:tcW w:w="1418" w:type="dxa"/>
            <w:shd w:val="clear" w:color="auto" w:fill="auto"/>
            <w:noWrap w:val="0"/>
            <w:vAlign w:val="center"/>
          </w:tcPr>
          <w:p w14:paraId="2280DC1C">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118" w:type="dxa"/>
            <w:shd w:val="clear" w:color="auto" w:fill="auto"/>
            <w:noWrap w:val="0"/>
            <w:vAlign w:val="center"/>
          </w:tcPr>
          <w:p w14:paraId="05DF3D74">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47" w:type="dxa"/>
            <w:shd w:val="clear" w:color="auto" w:fill="auto"/>
            <w:noWrap w:val="0"/>
            <w:vAlign w:val="center"/>
          </w:tcPr>
          <w:p w14:paraId="0FDEB4A4">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646</w:t>
            </w:r>
          </w:p>
        </w:tc>
        <w:tc>
          <w:tcPr>
            <w:tcW w:w="1134" w:type="dxa"/>
            <w:shd w:val="clear" w:color="auto" w:fill="auto"/>
            <w:noWrap w:val="0"/>
            <w:vAlign w:val="center"/>
          </w:tcPr>
          <w:p w14:paraId="25D17A55">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18" w:type="dxa"/>
            <w:shd w:val="clear" w:color="auto" w:fill="auto"/>
            <w:noWrap w:val="0"/>
            <w:vAlign w:val="center"/>
          </w:tcPr>
          <w:p w14:paraId="13356C6A">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646</w:t>
            </w:r>
          </w:p>
        </w:tc>
      </w:tr>
      <w:tr w14:paraId="4D25D3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87" w:type="dxa"/>
            <w:shd w:val="clear" w:color="auto" w:fill="auto"/>
            <w:noWrap w:val="0"/>
            <w:vAlign w:val="center"/>
          </w:tcPr>
          <w:p w14:paraId="7B092306">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07</w:t>
            </w:r>
          </w:p>
        </w:tc>
        <w:tc>
          <w:tcPr>
            <w:tcW w:w="3466" w:type="dxa"/>
            <w:shd w:val="clear" w:color="auto" w:fill="auto"/>
            <w:noWrap w:val="0"/>
            <w:vAlign w:val="center"/>
          </w:tcPr>
          <w:p w14:paraId="46CDB980">
            <w:pPr>
              <w:keepNext w:val="0"/>
              <w:keepLines w:val="0"/>
              <w:pageBreakBefore w:val="0"/>
              <w:widowControl/>
              <w:kinsoku/>
              <w:wordWrap/>
              <w:overflowPunct/>
              <w:topLinePunct w:val="0"/>
              <w:autoSpaceDE/>
              <w:autoSpaceDN/>
              <w:bidi w:val="0"/>
              <w:adjustRightInd/>
              <w:snapToGrid/>
              <w:spacing w:after="0" w:line="240" w:lineRule="auto"/>
              <w:ind w:hanging="1"/>
              <w:jc w:val="both"/>
              <w:rPr>
                <w:rFonts w:ascii="Arial" w:hAnsi="Arial" w:eastAsia="Times New Roman" w:cs="Arial"/>
                <w:sz w:val="20"/>
                <w:szCs w:val="20"/>
                <w:lang w:val="pt-BR" w:eastAsia="zh-CN" w:bidi="ar-SA"/>
              </w:rPr>
            </w:pPr>
            <w:r>
              <w:rPr>
                <w:rFonts w:ascii="Arial" w:hAnsi="Arial" w:cs="Arial"/>
                <w:sz w:val="20"/>
                <w:szCs w:val="20"/>
                <w:lang w:val="en-US" w:eastAsia="zh-CN" w:bidi="ar"/>
              </w:rPr>
              <w:t>CENTRO EDUCACIONAL LINDOLFO JOSE TRIERWEILLER</w:t>
            </w:r>
          </w:p>
        </w:tc>
        <w:tc>
          <w:tcPr>
            <w:tcW w:w="1418" w:type="dxa"/>
            <w:shd w:val="clear" w:color="auto" w:fill="auto"/>
            <w:noWrap w:val="0"/>
            <w:vAlign w:val="center"/>
          </w:tcPr>
          <w:p w14:paraId="374E9D00">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118" w:type="dxa"/>
            <w:shd w:val="clear" w:color="auto" w:fill="auto"/>
            <w:noWrap w:val="0"/>
            <w:vAlign w:val="center"/>
          </w:tcPr>
          <w:p w14:paraId="29758B0A">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47" w:type="dxa"/>
            <w:shd w:val="clear" w:color="auto" w:fill="auto"/>
            <w:noWrap w:val="0"/>
            <w:vAlign w:val="center"/>
          </w:tcPr>
          <w:p w14:paraId="3C6D04F2">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946</w:t>
            </w:r>
          </w:p>
        </w:tc>
        <w:tc>
          <w:tcPr>
            <w:tcW w:w="1134" w:type="dxa"/>
            <w:shd w:val="clear" w:color="auto" w:fill="auto"/>
            <w:noWrap w:val="0"/>
            <w:vAlign w:val="center"/>
          </w:tcPr>
          <w:p w14:paraId="4520FDF4">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18" w:type="dxa"/>
            <w:shd w:val="clear" w:color="auto" w:fill="auto"/>
            <w:noWrap w:val="0"/>
            <w:vAlign w:val="center"/>
          </w:tcPr>
          <w:p w14:paraId="0E366FAA">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946</w:t>
            </w:r>
          </w:p>
        </w:tc>
      </w:tr>
      <w:tr w14:paraId="4BA907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87" w:type="dxa"/>
            <w:shd w:val="clear" w:color="auto" w:fill="auto"/>
            <w:noWrap w:val="0"/>
            <w:vAlign w:val="center"/>
          </w:tcPr>
          <w:p w14:paraId="27C41CF1">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08</w:t>
            </w:r>
          </w:p>
        </w:tc>
        <w:tc>
          <w:tcPr>
            <w:tcW w:w="3466" w:type="dxa"/>
            <w:shd w:val="clear" w:color="auto" w:fill="auto"/>
            <w:noWrap w:val="0"/>
            <w:vAlign w:val="center"/>
          </w:tcPr>
          <w:p w14:paraId="3B1B1796">
            <w:pPr>
              <w:keepNext w:val="0"/>
              <w:keepLines w:val="0"/>
              <w:pageBreakBefore w:val="0"/>
              <w:widowControl/>
              <w:kinsoku/>
              <w:wordWrap/>
              <w:overflowPunct/>
              <w:topLinePunct w:val="0"/>
              <w:autoSpaceDE/>
              <w:autoSpaceDN/>
              <w:bidi w:val="0"/>
              <w:adjustRightInd/>
              <w:snapToGrid/>
              <w:spacing w:after="0" w:line="240" w:lineRule="auto"/>
              <w:ind w:hanging="1"/>
              <w:jc w:val="both"/>
              <w:rPr>
                <w:rFonts w:ascii="Arial" w:hAnsi="Arial" w:eastAsia="Times New Roman" w:cs="Arial"/>
                <w:sz w:val="20"/>
                <w:szCs w:val="20"/>
                <w:lang w:val="pt-BR" w:eastAsia="zh-CN" w:bidi="ar-SA"/>
              </w:rPr>
            </w:pPr>
            <w:r>
              <w:rPr>
                <w:rFonts w:ascii="Arial" w:hAnsi="Arial" w:cs="Arial"/>
                <w:sz w:val="20"/>
                <w:szCs w:val="20"/>
                <w:lang w:val="en-US" w:eastAsia="zh-CN" w:bidi="ar"/>
              </w:rPr>
              <w:t>EMEI UNIÃO</w:t>
            </w:r>
          </w:p>
        </w:tc>
        <w:tc>
          <w:tcPr>
            <w:tcW w:w="1418" w:type="dxa"/>
            <w:shd w:val="clear" w:color="auto" w:fill="auto"/>
            <w:noWrap w:val="0"/>
            <w:vAlign w:val="center"/>
          </w:tcPr>
          <w:p w14:paraId="4F04C502">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300</w:t>
            </w:r>
          </w:p>
        </w:tc>
        <w:tc>
          <w:tcPr>
            <w:tcW w:w="1118" w:type="dxa"/>
            <w:shd w:val="clear" w:color="auto" w:fill="auto"/>
            <w:noWrap w:val="0"/>
            <w:vAlign w:val="center"/>
          </w:tcPr>
          <w:p w14:paraId="05C4FEFE">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47" w:type="dxa"/>
            <w:shd w:val="clear" w:color="auto" w:fill="auto"/>
            <w:noWrap w:val="0"/>
            <w:vAlign w:val="center"/>
          </w:tcPr>
          <w:p w14:paraId="66C3C80D">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134" w:type="dxa"/>
            <w:shd w:val="clear" w:color="auto" w:fill="auto"/>
            <w:noWrap w:val="0"/>
            <w:vAlign w:val="center"/>
          </w:tcPr>
          <w:p w14:paraId="045CBB31">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18" w:type="dxa"/>
            <w:shd w:val="clear" w:color="auto" w:fill="auto"/>
            <w:noWrap w:val="0"/>
            <w:vAlign w:val="center"/>
          </w:tcPr>
          <w:p w14:paraId="0D77311E">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300</w:t>
            </w:r>
          </w:p>
        </w:tc>
      </w:tr>
      <w:tr w14:paraId="3F25D2F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87" w:type="dxa"/>
            <w:shd w:val="clear" w:color="auto" w:fill="auto"/>
            <w:noWrap w:val="0"/>
            <w:vAlign w:val="center"/>
          </w:tcPr>
          <w:p w14:paraId="6D7B3FD7">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09</w:t>
            </w:r>
          </w:p>
        </w:tc>
        <w:tc>
          <w:tcPr>
            <w:tcW w:w="3466" w:type="dxa"/>
            <w:shd w:val="clear" w:color="auto" w:fill="auto"/>
            <w:noWrap w:val="0"/>
            <w:vAlign w:val="center"/>
          </w:tcPr>
          <w:p w14:paraId="083C6C5C">
            <w:pPr>
              <w:keepNext w:val="0"/>
              <w:keepLines w:val="0"/>
              <w:pageBreakBefore w:val="0"/>
              <w:widowControl/>
              <w:kinsoku/>
              <w:wordWrap/>
              <w:overflowPunct/>
              <w:topLinePunct w:val="0"/>
              <w:autoSpaceDE/>
              <w:autoSpaceDN/>
              <w:bidi w:val="0"/>
              <w:adjustRightInd/>
              <w:snapToGrid/>
              <w:spacing w:after="0" w:line="240" w:lineRule="auto"/>
              <w:ind w:hanging="1"/>
              <w:jc w:val="both"/>
              <w:rPr>
                <w:rFonts w:ascii="Arial" w:hAnsi="Arial" w:eastAsia="Times New Roman" w:cs="Arial"/>
                <w:sz w:val="20"/>
                <w:szCs w:val="20"/>
                <w:lang w:val="pt-BR" w:eastAsia="zh-CN" w:bidi="ar-SA"/>
              </w:rPr>
            </w:pPr>
            <w:r>
              <w:rPr>
                <w:rFonts w:ascii="Arial" w:hAnsi="Arial" w:cs="Arial"/>
                <w:sz w:val="20"/>
                <w:szCs w:val="20"/>
                <w:lang w:val="en-US" w:eastAsia="zh-CN" w:bidi="ar"/>
              </w:rPr>
              <w:t>EMEI SÃO CRISTÓVÃO</w:t>
            </w:r>
          </w:p>
        </w:tc>
        <w:tc>
          <w:tcPr>
            <w:tcW w:w="1418" w:type="dxa"/>
            <w:shd w:val="clear" w:color="auto" w:fill="auto"/>
            <w:noWrap w:val="0"/>
            <w:vAlign w:val="center"/>
          </w:tcPr>
          <w:p w14:paraId="7C81984A">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340</w:t>
            </w:r>
          </w:p>
        </w:tc>
        <w:tc>
          <w:tcPr>
            <w:tcW w:w="1118" w:type="dxa"/>
            <w:shd w:val="clear" w:color="auto" w:fill="auto"/>
            <w:noWrap w:val="0"/>
            <w:vAlign w:val="center"/>
          </w:tcPr>
          <w:p w14:paraId="48655298">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47" w:type="dxa"/>
            <w:shd w:val="clear" w:color="auto" w:fill="auto"/>
            <w:noWrap w:val="0"/>
            <w:vAlign w:val="center"/>
          </w:tcPr>
          <w:p w14:paraId="2888FD6C">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134" w:type="dxa"/>
            <w:shd w:val="clear" w:color="auto" w:fill="auto"/>
            <w:noWrap w:val="0"/>
            <w:vAlign w:val="center"/>
          </w:tcPr>
          <w:p w14:paraId="05987B1F">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18" w:type="dxa"/>
            <w:shd w:val="clear" w:color="auto" w:fill="auto"/>
            <w:noWrap w:val="0"/>
            <w:vAlign w:val="center"/>
          </w:tcPr>
          <w:p w14:paraId="5F69B12C">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340</w:t>
            </w:r>
          </w:p>
        </w:tc>
      </w:tr>
      <w:tr w14:paraId="175209C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87" w:type="dxa"/>
            <w:shd w:val="clear" w:color="auto" w:fill="auto"/>
            <w:noWrap w:val="0"/>
            <w:vAlign w:val="center"/>
          </w:tcPr>
          <w:p w14:paraId="0A187D9B">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10</w:t>
            </w:r>
          </w:p>
        </w:tc>
        <w:tc>
          <w:tcPr>
            <w:tcW w:w="3466" w:type="dxa"/>
            <w:shd w:val="clear" w:color="auto" w:fill="auto"/>
            <w:noWrap w:val="0"/>
            <w:vAlign w:val="center"/>
          </w:tcPr>
          <w:p w14:paraId="6E0053D3">
            <w:pPr>
              <w:keepNext w:val="0"/>
              <w:keepLines w:val="0"/>
              <w:pageBreakBefore w:val="0"/>
              <w:widowControl/>
              <w:kinsoku/>
              <w:wordWrap/>
              <w:overflowPunct/>
              <w:topLinePunct w:val="0"/>
              <w:autoSpaceDE/>
              <w:autoSpaceDN/>
              <w:bidi w:val="0"/>
              <w:adjustRightInd/>
              <w:snapToGrid/>
              <w:spacing w:after="0" w:line="240" w:lineRule="auto"/>
              <w:ind w:hanging="1"/>
              <w:jc w:val="both"/>
              <w:rPr>
                <w:rFonts w:ascii="Arial" w:hAnsi="Arial" w:eastAsia="Times New Roman" w:cs="Arial"/>
                <w:sz w:val="20"/>
                <w:szCs w:val="20"/>
                <w:lang w:val="pt-BR" w:eastAsia="zh-CN" w:bidi="ar-SA"/>
              </w:rPr>
            </w:pPr>
            <w:r>
              <w:rPr>
                <w:rFonts w:ascii="Arial" w:hAnsi="Arial" w:cs="Arial"/>
                <w:sz w:val="20"/>
                <w:szCs w:val="20"/>
                <w:lang w:val="en-US" w:eastAsia="zh-CN" w:bidi="ar"/>
              </w:rPr>
              <w:t>EMEI SÃO FRANCISCO DE ASSIS</w:t>
            </w:r>
          </w:p>
        </w:tc>
        <w:tc>
          <w:tcPr>
            <w:tcW w:w="1418" w:type="dxa"/>
            <w:shd w:val="clear" w:color="auto" w:fill="auto"/>
            <w:noWrap w:val="0"/>
            <w:vAlign w:val="center"/>
          </w:tcPr>
          <w:p w14:paraId="37F2478F">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300</w:t>
            </w:r>
          </w:p>
        </w:tc>
        <w:tc>
          <w:tcPr>
            <w:tcW w:w="1118" w:type="dxa"/>
            <w:shd w:val="clear" w:color="auto" w:fill="auto"/>
            <w:noWrap w:val="0"/>
            <w:vAlign w:val="center"/>
          </w:tcPr>
          <w:p w14:paraId="0134A106">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47" w:type="dxa"/>
            <w:shd w:val="clear" w:color="auto" w:fill="auto"/>
            <w:noWrap w:val="0"/>
            <w:vAlign w:val="center"/>
          </w:tcPr>
          <w:p w14:paraId="502C2AF0">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134" w:type="dxa"/>
            <w:shd w:val="clear" w:color="auto" w:fill="auto"/>
            <w:noWrap w:val="0"/>
            <w:vAlign w:val="center"/>
          </w:tcPr>
          <w:p w14:paraId="2B9252C4">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18" w:type="dxa"/>
            <w:shd w:val="clear" w:color="auto" w:fill="auto"/>
            <w:noWrap w:val="0"/>
            <w:vAlign w:val="center"/>
          </w:tcPr>
          <w:p w14:paraId="6206F139">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300</w:t>
            </w:r>
          </w:p>
        </w:tc>
      </w:tr>
      <w:tr w14:paraId="5325886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87" w:type="dxa"/>
            <w:shd w:val="clear" w:color="auto" w:fill="auto"/>
            <w:noWrap w:val="0"/>
            <w:vAlign w:val="center"/>
          </w:tcPr>
          <w:p w14:paraId="2DD94498">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11</w:t>
            </w:r>
          </w:p>
        </w:tc>
        <w:tc>
          <w:tcPr>
            <w:tcW w:w="3466" w:type="dxa"/>
            <w:shd w:val="clear" w:color="auto" w:fill="auto"/>
            <w:noWrap w:val="0"/>
            <w:vAlign w:val="center"/>
          </w:tcPr>
          <w:p w14:paraId="4DABAAD1">
            <w:pPr>
              <w:keepNext w:val="0"/>
              <w:keepLines w:val="0"/>
              <w:pageBreakBefore w:val="0"/>
              <w:widowControl/>
              <w:kinsoku/>
              <w:wordWrap/>
              <w:overflowPunct/>
              <w:topLinePunct w:val="0"/>
              <w:autoSpaceDE/>
              <w:autoSpaceDN/>
              <w:bidi w:val="0"/>
              <w:adjustRightInd/>
              <w:snapToGrid/>
              <w:spacing w:after="0" w:line="240" w:lineRule="auto"/>
              <w:ind w:hanging="1"/>
              <w:jc w:val="both"/>
              <w:rPr>
                <w:rFonts w:ascii="Arial" w:hAnsi="Arial" w:eastAsia="Times New Roman" w:cs="Arial"/>
                <w:sz w:val="20"/>
                <w:szCs w:val="20"/>
                <w:lang w:val="pt-BR" w:eastAsia="zh-CN" w:bidi="ar-SA"/>
              </w:rPr>
            </w:pPr>
            <w:r>
              <w:rPr>
                <w:rFonts w:ascii="Arial" w:hAnsi="Arial" w:cs="Arial"/>
                <w:sz w:val="20"/>
                <w:szCs w:val="20"/>
                <w:lang w:val="en-US" w:eastAsia="zh-CN" w:bidi="ar"/>
              </w:rPr>
              <w:t>EMEI SANTO ANTÔNIO</w:t>
            </w:r>
          </w:p>
        </w:tc>
        <w:tc>
          <w:tcPr>
            <w:tcW w:w="1418" w:type="dxa"/>
            <w:shd w:val="clear" w:color="auto" w:fill="auto"/>
            <w:noWrap w:val="0"/>
            <w:vAlign w:val="center"/>
          </w:tcPr>
          <w:p w14:paraId="74AE9ABA">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400</w:t>
            </w:r>
          </w:p>
        </w:tc>
        <w:tc>
          <w:tcPr>
            <w:tcW w:w="1118" w:type="dxa"/>
            <w:shd w:val="clear" w:color="auto" w:fill="auto"/>
            <w:noWrap w:val="0"/>
            <w:vAlign w:val="center"/>
          </w:tcPr>
          <w:p w14:paraId="39689ABF">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47" w:type="dxa"/>
            <w:shd w:val="clear" w:color="auto" w:fill="auto"/>
            <w:noWrap w:val="0"/>
            <w:vAlign w:val="center"/>
          </w:tcPr>
          <w:p w14:paraId="3A19A6C9">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134" w:type="dxa"/>
            <w:shd w:val="clear" w:color="auto" w:fill="auto"/>
            <w:noWrap w:val="0"/>
            <w:vAlign w:val="center"/>
          </w:tcPr>
          <w:p w14:paraId="79AE21CF">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18" w:type="dxa"/>
            <w:shd w:val="clear" w:color="auto" w:fill="auto"/>
            <w:noWrap w:val="0"/>
            <w:vAlign w:val="center"/>
          </w:tcPr>
          <w:p w14:paraId="0CDCCB70">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400</w:t>
            </w:r>
          </w:p>
        </w:tc>
      </w:tr>
      <w:tr w14:paraId="2E4EC9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87" w:type="dxa"/>
            <w:shd w:val="clear" w:color="auto" w:fill="auto"/>
            <w:noWrap w:val="0"/>
            <w:vAlign w:val="center"/>
          </w:tcPr>
          <w:p w14:paraId="2C653C3D">
            <w:pPr>
              <w:keepNext w:val="0"/>
              <w:keepLines w:val="0"/>
              <w:pageBreakBefore w:val="0"/>
              <w:widowControl/>
              <w:kinsoku/>
              <w:wordWrap/>
              <w:overflowPunct/>
              <w:topLinePunct w:val="0"/>
              <w:autoSpaceDE/>
              <w:autoSpaceDN/>
              <w:bidi w:val="0"/>
              <w:adjustRightInd/>
              <w:snapToGrid/>
              <w:spacing w:after="0" w:line="240" w:lineRule="auto"/>
              <w:ind w:firstLine="0"/>
              <w:jc w:val="center"/>
              <w:rPr>
                <w:rFonts w:hint="default" w:ascii="Arial" w:hAnsi="Arial" w:cs="Arial"/>
                <w:sz w:val="20"/>
                <w:szCs w:val="20"/>
                <w:lang w:val="pt-BR"/>
              </w:rPr>
            </w:pPr>
            <w:r>
              <w:rPr>
                <w:rFonts w:hint="default" w:ascii="Arial" w:hAnsi="Arial" w:cs="Arial"/>
                <w:sz w:val="20"/>
                <w:szCs w:val="20"/>
                <w:lang w:val="pt-BR" w:eastAsia="zh-CN" w:bidi="ar"/>
              </w:rPr>
              <w:t>12</w:t>
            </w:r>
          </w:p>
        </w:tc>
        <w:tc>
          <w:tcPr>
            <w:tcW w:w="3466" w:type="dxa"/>
            <w:shd w:val="clear" w:color="auto" w:fill="auto"/>
            <w:noWrap w:val="0"/>
            <w:vAlign w:val="center"/>
          </w:tcPr>
          <w:p w14:paraId="7E4CDFD4">
            <w:pPr>
              <w:keepNext w:val="0"/>
              <w:keepLines w:val="0"/>
              <w:pageBreakBefore w:val="0"/>
              <w:widowControl/>
              <w:kinsoku/>
              <w:wordWrap/>
              <w:overflowPunct/>
              <w:topLinePunct w:val="0"/>
              <w:autoSpaceDE/>
              <w:autoSpaceDN/>
              <w:bidi w:val="0"/>
              <w:adjustRightInd/>
              <w:snapToGrid/>
              <w:spacing w:after="0" w:line="240" w:lineRule="auto"/>
              <w:ind w:hanging="1"/>
              <w:jc w:val="both"/>
              <w:rPr>
                <w:rFonts w:ascii="Arial" w:hAnsi="Arial" w:cs="Arial"/>
                <w:sz w:val="20"/>
                <w:szCs w:val="20"/>
              </w:rPr>
            </w:pPr>
            <w:r>
              <w:rPr>
                <w:rFonts w:ascii="Arial" w:hAnsi="Arial" w:cs="Arial"/>
                <w:sz w:val="20"/>
                <w:szCs w:val="20"/>
                <w:lang w:val="en-US" w:eastAsia="zh-CN" w:bidi="ar"/>
              </w:rPr>
              <w:t>EMEB</w:t>
            </w:r>
            <w:r>
              <w:rPr>
                <w:rFonts w:hint="default" w:ascii="Arial" w:hAnsi="Arial" w:cs="Arial"/>
                <w:sz w:val="20"/>
                <w:szCs w:val="20"/>
                <w:lang w:val="pt-BR" w:eastAsia="zh-CN" w:bidi="ar"/>
              </w:rPr>
              <w:t xml:space="preserve"> </w:t>
            </w:r>
            <w:r>
              <w:rPr>
                <w:rFonts w:ascii="Arial" w:hAnsi="Arial" w:cs="Arial"/>
                <w:sz w:val="20"/>
                <w:szCs w:val="20"/>
                <w:lang w:val="en-US" w:eastAsia="zh-CN" w:bidi="ar"/>
              </w:rPr>
              <w:t>ALEIXO SCHENATTO</w:t>
            </w:r>
          </w:p>
        </w:tc>
        <w:tc>
          <w:tcPr>
            <w:tcW w:w="1418" w:type="dxa"/>
            <w:shd w:val="clear" w:color="auto" w:fill="auto"/>
            <w:noWrap w:val="0"/>
            <w:vAlign w:val="center"/>
          </w:tcPr>
          <w:p w14:paraId="39D100B5">
            <w:pPr>
              <w:keepNext w:val="0"/>
              <w:keepLines w:val="0"/>
              <w:pageBreakBefore w:val="0"/>
              <w:widowControl/>
              <w:kinsoku/>
              <w:wordWrap/>
              <w:overflowPunct/>
              <w:topLinePunct w:val="0"/>
              <w:autoSpaceDE/>
              <w:autoSpaceDN/>
              <w:bidi w:val="0"/>
              <w:adjustRightInd/>
              <w:snapToGrid/>
              <w:spacing w:after="0" w:line="240" w:lineRule="auto"/>
              <w:ind w:firstLine="0"/>
              <w:jc w:val="center"/>
              <w:textAlignment w:val="center"/>
              <w:rPr>
                <w:rFonts w:ascii="Arial" w:hAnsi="Arial" w:cs="Arial"/>
                <w:sz w:val="20"/>
                <w:szCs w:val="20"/>
              </w:rPr>
            </w:pPr>
            <w:r>
              <w:rPr>
                <w:rFonts w:ascii="Arial" w:hAnsi="Arial" w:eastAsia="SimSun" w:cs="Arial"/>
                <w:color w:val="000000"/>
                <w:sz w:val="20"/>
                <w:szCs w:val="20"/>
                <w:lang w:eastAsia="zh-CN" w:bidi="ar"/>
              </w:rPr>
              <w:t>0</w:t>
            </w:r>
          </w:p>
        </w:tc>
        <w:tc>
          <w:tcPr>
            <w:tcW w:w="1118" w:type="dxa"/>
            <w:shd w:val="clear" w:color="auto" w:fill="auto"/>
            <w:noWrap w:val="0"/>
            <w:vAlign w:val="center"/>
          </w:tcPr>
          <w:p w14:paraId="1BF2298D">
            <w:pPr>
              <w:keepNext w:val="0"/>
              <w:keepLines w:val="0"/>
              <w:pageBreakBefore w:val="0"/>
              <w:widowControl/>
              <w:kinsoku/>
              <w:wordWrap/>
              <w:overflowPunct/>
              <w:topLinePunct w:val="0"/>
              <w:autoSpaceDE/>
              <w:autoSpaceDN/>
              <w:bidi w:val="0"/>
              <w:adjustRightInd/>
              <w:snapToGrid/>
              <w:spacing w:after="0" w:line="240" w:lineRule="auto"/>
              <w:ind w:firstLine="0"/>
              <w:jc w:val="center"/>
              <w:textAlignment w:val="center"/>
              <w:rPr>
                <w:rFonts w:ascii="Arial" w:hAnsi="Arial" w:cs="Arial"/>
                <w:sz w:val="20"/>
                <w:szCs w:val="20"/>
              </w:rPr>
            </w:pPr>
            <w:r>
              <w:rPr>
                <w:rFonts w:ascii="Arial" w:hAnsi="Arial" w:eastAsia="SimSun" w:cs="Arial"/>
                <w:color w:val="000000"/>
                <w:sz w:val="20"/>
                <w:szCs w:val="20"/>
                <w:lang w:eastAsia="zh-CN" w:bidi="ar"/>
              </w:rPr>
              <w:t>0</w:t>
            </w:r>
          </w:p>
        </w:tc>
        <w:tc>
          <w:tcPr>
            <w:tcW w:w="1247" w:type="dxa"/>
            <w:shd w:val="clear" w:color="auto" w:fill="auto"/>
            <w:noWrap w:val="0"/>
            <w:vAlign w:val="center"/>
          </w:tcPr>
          <w:p w14:paraId="44CD3465">
            <w:pPr>
              <w:keepNext w:val="0"/>
              <w:keepLines w:val="0"/>
              <w:pageBreakBefore w:val="0"/>
              <w:widowControl/>
              <w:kinsoku/>
              <w:wordWrap/>
              <w:overflowPunct/>
              <w:topLinePunct w:val="0"/>
              <w:autoSpaceDE/>
              <w:autoSpaceDN/>
              <w:bidi w:val="0"/>
              <w:adjustRightInd/>
              <w:snapToGrid/>
              <w:spacing w:after="0" w:line="240" w:lineRule="auto"/>
              <w:ind w:firstLine="0"/>
              <w:jc w:val="center"/>
              <w:textAlignment w:val="center"/>
              <w:rPr>
                <w:rFonts w:ascii="Arial" w:hAnsi="Arial" w:cs="Arial"/>
                <w:sz w:val="20"/>
                <w:szCs w:val="20"/>
              </w:rPr>
            </w:pPr>
            <w:r>
              <w:rPr>
                <w:rFonts w:ascii="Arial" w:hAnsi="Arial" w:eastAsia="SimSun" w:cs="Arial"/>
                <w:color w:val="000000"/>
                <w:sz w:val="20"/>
                <w:szCs w:val="20"/>
                <w:lang w:eastAsia="zh-CN" w:bidi="ar"/>
              </w:rPr>
              <w:t>638</w:t>
            </w:r>
          </w:p>
        </w:tc>
        <w:tc>
          <w:tcPr>
            <w:tcW w:w="1134" w:type="dxa"/>
            <w:shd w:val="clear" w:color="auto" w:fill="auto"/>
            <w:noWrap w:val="0"/>
            <w:vAlign w:val="center"/>
          </w:tcPr>
          <w:p w14:paraId="56C3C598">
            <w:pPr>
              <w:keepNext w:val="0"/>
              <w:keepLines w:val="0"/>
              <w:pageBreakBefore w:val="0"/>
              <w:widowControl/>
              <w:kinsoku/>
              <w:wordWrap/>
              <w:overflowPunct/>
              <w:topLinePunct w:val="0"/>
              <w:autoSpaceDE/>
              <w:autoSpaceDN/>
              <w:bidi w:val="0"/>
              <w:adjustRightInd/>
              <w:snapToGrid/>
              <w:spacing w:after="0" w:line="240" w:lineRule="auto"/>
              <w:ind w:firstLine="0"/>
              <w:jc w:val="center"/>
              <w:textAlignment w:val="center"/>
              <w:rPr>
                <w:rFonts w:ascii="Arial" w:hAnsi="Arial" w:cs="Arial"/>
                <w:sz w:val="20"/>
                <w:szCs w:val="20"/>
              </w:rPr>
            </w:pPr>
            <w:r>
              <w:rPr>
                <w:rFonts w:ascii="Arial" w:hAnsi="Arial" w:eastAsia="SimSun" w:cs="Arial"/>
                <w:color w:val="000000"/>
                <w:sz w:val="20"/>
                <w:szCs w:val="20"/>
                <w:lang w:eastAsia="zh-CN" w:bidi="ar"/>
              </w:rPr>
              <w:t>0</w:t>
            </w:r>
          </w:p>
        </w:tc>
        <w:tc>
          <w:tcPr>
            <w:tcW w:w="1218" w:type="dxa"/>
            <w:shd w:val="clear" w:color="auto" w:fill="auto"/>
            <w:noWrap w:val="0"/>
            <w:vAlign w:val="center"/>
          </w:tcPr>
          <w:p w14:paraId="65399144">
            <w:pPr>
              <w:keepNext w:val="0"/>
              <w:keepLines w:val="0"/>
              <w:pageBreakBefore w:val="0"/>
              <w:widowControl/>
              <w:kinsoku/>
              <w:wordWrap/>
              <w:overflowPunct/>
              <w:topLinePunct w:val="0"/>
              <w:autoSpaceDE/>
              <w:autoSpaceDN/>
              <w:bidi w:val="0"/>
              <w:adjustRightInd/>
              <w:snapToGrid/>
              <w:spacing w:after="0" w:line="240" w:lineRule="auto"/>
              <w:ind w:firstLine="0"/>
              <w:jc w:val="center"/>
              <w:textAlignment w:val="center"/>
              <w:rPr>
                <w:rFonts w:ascii="Arial" w:hAnsi="Arial" w:cs="Arial"/>
                <w:sz w:val="20"/>
                <w:szCs w:val="20"/>
              </w:rPr>
            </w:pPr>
            <w:r>
              <w:rPr>
                <w:rFonts w:ascii="Arial" w:hAnsi="Arial" w:eastAsia="SimSun" w:cs="Arial"/>
                <w:color w:val="000000"/>
                <w:sz w:val="20"/>
                <w:szCs w:val="20"/>
                <w:lang w:eastAsia="zh-CN" w:bidi="ar"/>
              </w:rPr>
              <w:t>638</w:t>
            </w:r>
          </w:p>
        </w:tc>
      </w:tr>
      <w:tr w14:paraId="6BEEA3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87" w:type="dxa"/>
            <w:shd w:val="clear" w:color="auto" w:fill="auto"/>
            <w:noWrap w:val="0"/>
            <w:vAlign w:val="center"/>
          </w:tcPr>
          <w:p w14:paraId="0BCE92DC">
            <w:pPr>
              <w:keepNext w:val="0"/>
              <w:keepLines w:val="0"/>
              <w:pageBreakBefore w:val="0"/>
              <w:widowControl/>
              <w:kinsoku/>
              <w:wordWrap/>
              <w:overflowPunct/>
              <w:topLinePunct w:val="0"/>
              <w:autoSpaceDE/>
              <w:autoSpaceDN/>
              <w:bidi w:val="0"/>
              <w:adjustRightInd/>
              <w:snapToGrid/>
              <w:spacing w:after="0" w:line="240" w:lineRule="auto"/>
              <w:ind w:firstLine="0"/>
              <w:jc w:val="center"/>
              <w:rPr>
                <w:rFonts w:hint="default" w:ascii="Arial" w:hAnsi="Arial" w:cs="Arial"/>
                <w:sz w:val="20"/>
                <w:szCs w:val="20"/>
                <w:lang w:val="pt-BR"/>
              </w:rPr>
            </w:pPr>
            <w:r>
              <w:rPr>
                <w:rFonts w:hint="default" w:ascii="Arial" w:hAnsi="Arial" w:cs="Arial"/>
                <w:sz w:val="20"/>
                <w:szCs w:val="20"/>
                <w:lang w:val="pt-BR" w:eastAsia="zh-CN" w:bidi="ar"/>
              </w:rPr>
              <w:t>13</w:t>
            </w:r>
          </w:p>
        </w:tc>
        <w:tc>
          <w:tcPr>
            <w:tcW w:w="3466" w:type="dxa"/>
            <w:shd w:val="clear" w:color="auto" w:fill="auto"/>
            <w:noWrap w:val="0"/>
            <w:vAlign w:val="center"/>
          </w:tcPr>
          <w:p w14:paraId="14A9B346">
            <w:pPr>
              <w:keepNext w:val="0"/>
              <w:keepLines w:val="0"/>
              <w:pageBreakBefore w:val="0"/>
              <w:widowControl/>
              <w:kinsoku/>
              <w:wordWrap/>
              <w:overflowPunct/>
              <w:topLinePunct w:val="0"/>
              <w:autoSpaceDE/>
              <w:autoSpaceDN/>
              <w:bidi w:val="0"/>
              <w:adjustRightInd/>
              <w:snapToGrid/>
              <w:spacing w:after="0" w:line="240" w:lineRule="auto"/>
              <w:ind w:hanging="1"/>
              <w:jc w:val="both"/>
              <w:rPr>
                <w:rFonts w:ascii="Arial" w:hAnsi="Arial" w:cs="Arial"/>
                <w:sz w:val="20"/>
                <w:szCs w:val="20"/>
              </w:rPr>
            </w:pPr>
            <w:r>
              <w:rPr>
                <w:rFonts w:ascii="Arial" w:hAnsi="Arial" w:cs="Arial"/>
                <w:sz w:val="20"/>
                <w:szCs w:val="20"/>
                <w:lang w:val="en-US" w:eastAsia="zh-CN" w:bidi="ar"/>
              </w:rPr>
              <w:t>EMEB ARMANDO DIAS</w:t>
            </w:r>
          </w:p>
        </w:tc>
        <w:tc>
          <w:tcPr>
            <w:tcW w:w="1418" w:type="dxa"/>
            <w:shd w:val="clear" w:color="auto" w:fill="auto"/>
            <w:noWrap w:val="0"/>
            <w:vAlign w:val="center"/>
          </w:tcPr>
          <w:p w14:paraId="70E6C76F">
            <w:pPr>
              <w:keepNext w:val="0"/>
              <w:keepLines w:val="0"/>
              <w:pageBreakBefore w:val="0"/>
              <w:widowControl/>
              <w:kinsoku/>
              <w:wordWrap/>
              <w:overflowPunct/>
              <w:topLinePunct w:val="0"/>
              <w:autoSpaceDE/>
              <w:autoSpaceDN/>
              <w:bidi w:val="0"/>
              <w:adjustRightInd/>
              <w:snapToGrid/>
              <w:spacing w:after="0" w:line="240" w:lineRule="auto"/>
              <w:ind w:firstLine="0"/>
              <w:jc w:val="center"/>
              <w:textAlignment w:val="center"/>
              <w:rPr>
                <w:rFonts w:ascii="Arial" w:hAnsi="Arial" w:cs="Arial"/>
                <w:sz w:val="20"/>
                <w:szCs w:val="20"/>
              </w:rPr>
            </w:pPr>
            <w:r>
              <w:rPr>
                <w:rFonts w:ascii="Arial" w:hAnsi="Arial" w:eastAsia="SimSun" w:cs="Arial"/>
                <w:color w:val="000000"/>
                <w:sz w:val="20"/>
                <w:szCs w:val="20"/>
                <w:lang w:eastAsia="zh-CN" w:bidi="ar"/>
              </w:rPr>
              <w:t>150</w:t>
            </w:r>
          </w:p>
        </w:tc>
        <w:tc>
          <w:tcPr>
            <w:tcW w:w="1118" w:type="dxa"/>
            <w:shd w:val="clear" w:color="auto" w:fill="auto"/>
            <w:noWrap w:val="0"/>
            <w:vAlign w:val="center"/>
          </w:tcPr>
          <w:p w14:paraId="23FEF881">
            <w:pPr>
              <w:keepNext w:val="0"/>
              <w:keepLines w:val="0"/>
              <w:pageBreakBefore w:val="0"/>
              <w:widowControl/>
              <w:kinsoku/>
              <w:wordWrap/>
              <w:overflowPunct/>
              <w:topLinePunct w:val="0"/>
              <w:autoSpaceDE/>
              <w:autoSpaceDN/>
              <w:bidi w:val="0"/>
              <w:adjustRightInd/>
              <w:snapToGrid/>
              <w:spacing w:after="0" w:line="240" w:lineRule="auto"/>
              <w:ind w:firstLine="0"/>
              <w:jc w:val="center"/>
              <w:textAlignment w:val="center"/>
              <w:rPr>
                <w:rFonts w:ascii="Arial" w:hAnsi="Arial" w:cs="Arial"/>
                <w:sz w:val="20"/>
                <w:szCs w:val="20"/>
              </w:rPr>
            </w:pPr>
            <w:r>
              <w:rPr>
                <w:rFonts w:ascii="Arial" w:hAnsi="Arial" w:eastAsia="SimSun" w:cs="Arial"/>
                <w:color w:val="000000"/>
                <w:sz w:val="20"/>
                <w:szCs w:val="20"/>
                <w:lang w:eastAsia="zh-CN" w:bidi="ar"/>
              </w:rPr>
              <w:t>0</w:t>
            </w:r>
          </w:p>
        </w:tc>
        <w:tc>
          <w:tcPr>
            <w:tcW w:w="1247" w:type="dxa"/>
            <w:shd w:val="clear" w:color="auto" w:fill="auto"/>
            <w:noWrap w:val="0"/>
            <w:vAlign w:val="center"/>
          </w:tcPr>
          <w:p w14:paraId="28E1F5B0">
            <w:pPr>
              <w:keepNext w:val="0"/>
              <w:keepLines w:val="0"/>
              <w:pageBreakBefore w:val="0"/>
              <w:widowControl/>
              <w:kinsoku/>
              <w:wordWrap/>
              <w:overflowPunct/>
              <w:topLinePunct w:val="0"/>
              <w:autoSpaceDE/>
              <w:autoSpaceDN/>
              <w:bidi w:val="0"/>
              <w:adjustRightInd/>
              <w:snapToGrid/>
              <w:spacing w:after="0" w:line="240" w:lineRule="auto"/>
              <w:ind w:firstLine="0"/>
              <w:jc w:val="center"/>
              <w:textAlignment w:val="center"/>
              <w:rPr>
                <w:rFonts w:ascii="Arial" w:hAnsi="Arial" w:cs="Arial"/>
                <w:sz w:val="20"/>
                <w:szCs w:val="20"/>
              </w:rPr>
            </w:pPr>
            <w:r>
              <w:rPr>
                <w:rFonts w:ascii="Arial" w:hAnsi="Arial" w:eastAsia="SimSun" w:cs="Arial"/>
                <w:color w:val="000000"/>
                <w:sz w:val="20"/>
                <w:szCs w:val="20"/>
                <w:lang w:eastAsia="zh-CN" w:bidi="ar"/>
              </w:rPr>
              <w:t>812</w:t>
            </w:r>
          </w:p>
        </w:tc>
        <w:tc>
          <w:tcPr>
            <w:tcW w:w="1134" w:type="dxa"/>
            <w:shd w:val="clear" w:color="auto" w:fill="auto"/>
            <w:noWrap w:val="0"/>
            <w:vAlign w:val="center"/>
          </w:tcPr>
          <w:p w14:paraId="0AC95496">
            <w:pPr>
              <w:keepNext w:val="0"/>
              <w:keepLines w:val="0"/>
              <w:pageBreakBefore w:val="0"/>
              <w:widowControl/>
              <w:kinsoku/>
              <w:wordWrap/>
              <w:overflowPunct/>
              <w:topLinePunct w:val="0"/>
              <w:autoSpaceDE/>
              <w:autoSpaceDN/>
              <w:bidi w:val="0"/>
              <w:adjustRightInd/>
              <w:snapToGrid/>
              <w:spacing w:after="0" w:line="240" w:lineRule="auto"/>
              <w:ind w:firstLine="0"/>
              <w:jc w:val="center"/>
              <w:textAlignment w:val="center"/>
              <w:rPr>
                <w:rFonts w:ascii="Arial" w:hAnsi="Arial" w:cs="Arial"/>
                <w:sz w:val="20"/>
                <w:szCs w:val="20"/>
              </w:rPr>
            </w:pPr>
            <w:r>
              <w:rPr>
                <w:rFonts w:ascii="Arial" w:hAnsi="Arial" w:eastAsia="SimSun" w:cs="Arial"/>
                <w:color w:val="000000"/>
                <w:sz w:val="20"/>
                <w:szCs w:val="20"/>
                <w:lang w:eastAsia="zh-CN" w:bidi="ar"/>
              </w:rPr>
              <w:t>0</w:t>
            </w:r>
          </w:p>
        </w:tc>
        <w:tc>
          <w:tcPr>
            <w:tcW w:w="1218" w:type="dxa"/>
            <w:shd w:val="clear" w:color="auto" w:fill="auto"/>
            <w:noWrap w:val="0"/>
            <w:vAlign w:val="center"/>
          </w:tcPr>
          <w:p w14:paraId="7EF2BD4E">
            <w:pPr>
              <w:keepNext w:val="0"/>
              <w:keepLines w:val="0"/>
              <w:pageBreakBefore w:val="0"/>
              <w:widowControl/>
              <w:kinsoku/>
              <w:wordWrap/>
              <w:overflowPunct/>
              <w:topLinePunct w:val="0"/>
              <w:autoSpaceDE/>
              <w:autoSpaceDN/>
              <w:bidi w:val="0"/>
              <w:adjustRightInd/>
              <w:snapToGrid/>
              <w:spacing w:after="0" w:line="240" w:lineRule="auto"/>
              <w:ind w:firstLine="0"/>
              <w:jc w:val="center"/>
              <w:textAlignment w:val="center"/>
              <w:rPr>
                <w:rFonts w:ascii="Arial" w:hAnsi="Arial" w:cs="Arial"/>
                <w:sz w:val="20"/>
                <w:szCs w:val="20"/>
              </w:rPr>
            </w:pPr>
            <w:r>
              <w:rPr>
                <w:rFonts w:ascii="Arial" w:hAnsi="Arial" w:eastAsia="SimSun" w:cs="Arial"/>
                <w:color w:val="000000"/>
                <w:sz w:val="20"/>
                <w:szCs w:val="20"/>
                <w:lang w:eastAsia="zh-CN" w:bidi="ar"/>
              </w:rPr>
              <w:t>962</w:t>
            </w:r>
          </w:p>
        </w:tc>
      </w:tr>
      <w:tr w14:paraId="36A1EB2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87" w:type="dxa"/>
            <w:shd w:val="clear" w:color="auto" w:fill="auto"/>
            <w:noWrap w:val="0"/>
            <w:vAlign w:val="center"/>
          </w:tcPr>
          <w:p w14:paraId="64D496DF">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14</w:t>
            </w:r>
          </w:p>
        </w:tc>
        <w:tc>
          <w:tcPr>
            <w:tcW w:w="3466" w:type="dxa"/>
            <w:shd w:val="clear" w:color="auto" w:fill="auto"/>
            <w:noWrap w:val="0"/>
            <w:vAlign w:val="center"/>
          </w:tcPr>
          <w:p w14:paraId="6CF2B64B">
            <w:pPr>
              <w:keepNext w:val="0"/>
              <w:keepLines w:val="0"/>
              <w:pageBreakBefore w:val="0"/>
              <w:widowControl/>
              <w:kinsoku/>
              <w:wordWrap/>
              <w:overflowPunct/>
              <w:topLinePunct w:val="0"/>
              <w:autoSpaceDE/>
              <w:autoSpaceDN/>
              <w:bidi w:val="0"/>
              <w:adjustRightInd/>
              <w:snapToGrid/>
              <w:spacing w:after="0" w:line="240" w:lineRule="auto"/>
              <w:ind w:hanging="1"/>
              <w:jc w:val="both"/>
              <w:rPr>
                <w:rFonts w:ascii="Arial" w:hAnsi="Arial" w:eastAsia="Times New Roman" w:cs="Arial"/>
                <w:sz w:val="20"/>
                <w:szCs w:val="20"/>
                <w:lang w:val="pt-BR" w:eastAsia="zh-CN" w:bidi="ar-SA"/>
              </w:rPr>
            </w:pPr>
            <w:r>
              <w:rPr>
                <w:rFonts w:hint="default" w:ascii="Arial" w:hAnsi="Arial"/>
                <w:sz w:val="20"/>
                <w:szCs w:val="20"/>
                <w:lang w:val="en-US" w:eastAsia="zh-CN"/>
              </w:rPr>
              <w:t>EMEB PROFESSOR JURANDIR LIBERINO DE MESQUITA</w:t>
            </w:r>
          </w:p>
        </w:tc>
        <w:tc>
          <w:tcPr>
            <w:tcW w:w="1418" w:type="dxa"/>
            <w:shd w:val="clear" w:color="auto" w:fill="auto"/>
            <w:noWrap w:val="0"/>
            <w:vAlign w:val="center"/>
          </w:tcPr>
          <w:p w14:paraId="55A44145">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118" w:type="dxa"/>
            <w:shd w:val="clear" w:color="auto" w:fill="auto"/>
            <w:noWrap w:val="0"/>
            <w:vAlign w:val="center"/>
          </w:tcPr>
          <w:p w14:paraId="7FF12BE3">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47" w:type="dxa"/>
            <w:shd w:val="clear" w:color="auto" w:fill="auto"/>
            <w:noWrap w:val="0"/>
            <w:vAlign w:val="center"/>
          </w:tcPr>
          <w:p w14:paraId="14B2D0C2">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816</w:t>
            </w:r>
          </w:p>
        </w:tc>
        <w:tc>
          <w:tcPr>
            <w:tcW w:w="1134" w:type="dxa"/>
            <w:shd w:val="clear" w:color="auto" w:fill="auto"/>
            <w:noWrap w:val="0"/>
            <w:vAlign w:val="center"/>
          </w:tcPr>
          <w:p w14:paraId="7E11CC89">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18" w:type="dxa"/>
            <w:shd w:val="clear" w:color="auto" w:fill="auto"/>
            <w:noWrap w:val="0"/>
            <w:vAlign w:val="center"/>
          </w:tcPr>
          <w:p w14:paraId="3D8FEE16">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816</w:t>
            </w:r>
          </w:p>
        </w:tc>
      </w:tr>
      <w:tr w14:paraId="024CA1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87" w:type="dxa"/>
            <w:shd w:val="clear" w:color="auto" w:fill="auto"/>
            <w:noWrap w:val="0"/>
            <w:vAlign w:val="center"/>
          </w:tcPr>
          <w:p w14:paraId="378E086C">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15</w:t>
            </w:r>
          </w:p>
        </w:tc>
        <w:tc>
          <w:tcPr>
            <w:tcW w:w="3466" w:type="dxa"/>
            <w:shd w:val="clear" w:color="auto" w:fill="auto"/>
            <w:noWrap w:val="0"/>
            <w:vAlign w:val="center"/>
          </w:tcPr>
          <w:p w14:paraId="14FA97D1">
            <w:pPr>
              <w:keepNext w:val="0"/>
              <w:keepLines w:val="0"/>
              <w:pageBreakBefore w:val="0"/>
              <w:widowControl/>
              <w:kinsoku/>
              <w:wordWrap/>
              <w:overflowPunct/>
              <w:topLinePunct w:val="0"/>
              <w:autoSpaceDE/>
              <w:autoSpaceDN/>
              <w:bidi w:val="0"/>
              <w:adjustRightInd/>
              <w:snapToGrid/>
              <w:spacing w:after="0" w:line="240" w:lineRule="auto"/>
              <w:ind w:hanging="1"/>
              <w:jc w:val="both"/>
              <w:rPr>
                <w:rFonts w:ascii="Arial" w:hAnsi="Arial" w:eastAsia="Times New Roman" w:cs="Arial"/>
                <w:sz w:val="20"/>
                <w:szCs w:val="20"/>
                <w:lang w:val="pt-BR" w:eastAsia="zh-CN" w:bidi="ar-SA"/>
              </w:rPr>
            </w:pPr>
            <w:r>
              <w:rPr>
                <w:rFonts w:ascii="Arial" w:hAnsi="Arial" w:cs="Arial"/>
                <w:sz w:val="20"/>
                <w:szCs w:val="20"/>
                <w:lang w:val="en-US" w:eastAsia="zh-CN" w:bidi="ar"/>
              </w:rPr>
              <w:t>EMEI ALVORADA</w:t>
            </w:r>
          </w:p>
        </w:tc>
        <w:tc>
          <w:tcPr>
            <w:tcW w:w="1418" w:type="dxa"/>
            <w:shd w:val="clear" w:color="auto" w:fill="auto"/>
            <w:noWrap w:val="0"/>
            <w:vAlign w:val="center"/>
          </w:tcPr>
          <w:p w14:paraId="6739BD44">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445</w:t>
            </w:r>
          </w:p>
        </w:tc>
        <w:tc>
          <w:tcPr>
            <w:tcW w:w="1118" w:type="dxa"/>
            <w:shd w:val="clear" w:color="auto" w:fill="auto"/>
            <w:noWrap w:val="0"/>
            <w:vAlign w:val="center"/>
          </w:tcPr>
          <w:p w14:paraId="566F9CE0">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47" w:type="dxa"/>
            <w:shd w:val="clear" w:color="auto" w:fill="auto"/>
            <w:noWrap w:val="0"/>
            <w:vAlign w:val="center"/>
          </w:tcPr>
          <w:p w14:paraId="3CE8D3CE">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134" w:type="dxa"/>
            <w:shd w:val="clear" w:color="auto" w:fill="auto"/>
            <w:noWrap w:val="0"/>
            <w:vAlign w:val="center"/>
          </w:tcPr>
          <w:p w14:paraId="14B42685">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18" w:type="dxa"/>
            <w:shd w:val="clear" w:color="auto" w:fill="auto"/>
            <w:noWrap w:val="0"/>
            <w:vAlign w:val="center"/>
          </w:tcPr>
          <w:p w14:paraId="393C9078">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445</w:t>
            </w:r>
          </w:p>
        </w:tc>
      </w:tr>
      <w:tr w14:paraId="37A1E41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87" w:type="dxa"/>
            <w:shd w:val="clear" w:color="auto" w:fill="auto"/>
            <w:noWrap w:val="0"/>
            <w:vAlign w:val="center"/>
          </w:tcPr>
          <w:p w14:paraId="7F822559">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16</w:t>
            </w:r>
          </w:p>
        </w:tc>
        <w:tc>
          <w:tcPr>
            <w:tcW w:w="3466" w:type="dxa"/>
            <w:shd w:val="clear" w:color="auto" w:fill="auto"/>
            <w:noWrap w:val="0"/>
            <w:vAlign w:val="center"/>
          </w:tcPr>
          <w:p w14:paraId="05DDDE34">
            <w:pPr>
              <w:keepNext w:val="0"/>
              <w:keepLines w:val="0"/>
              <w:pageBreakBefore w:val="0"/>
              <w:widowControl/>
              <w:kinsoku/>
              <w:wordWrap/>
              <w:overflowPunct/>
              <w:topLinePunct w:val="0"/>
              <w:autoSpaceDE/>
              <w:autoSpaceDN/>
              <w:bidi w:val="0"/>
              <w:adjustRightInd/>
              <w:snapToGrid/>
              <w:spacing w:after="0" w:line="240" w:lineRule="auto"/>
              <w:ind w:hanging="1"/>
              <w:jc w:val="both"/>
              <w:rPr>
                <w:rFonts w:ascii="Arial" w:hAnsi="Arial" w:eastAsia="Times New Roman" w:cs="Arial"/>
                <w:sz w:val="20"/>
                <w:szCs w:val="20"/>
                <w:lang w:val="pt-BR" w:eastAsia="zh-CN" w:bidi="ar-SA"/>
              </w:rPr>
            </w:pPr>
            <w:r>
              <w:rPr>
                <w:rFonts w:ascii="Arial" w:hAnsi="Arial" w:cs="Arial"/>
                <w:sz w:val="20"/>
                <w:szCs w:val="20"/>
                <w:lang w:val="en-US" w:eastAsia="zh-CN" w:bidi="ar"/>
              </w:rPr>
              <w:t>EMEI CECÍLIA MEIRELES</w:t>
            </w:r>
          </w:p>
        </w:tc>
        <w:tc>
          <w:tcPr>
            <w:tcW w:w="1418" w:type="dxa"/>
            <w:shd w:val="clear" w:color="auto" w:fill="auto"/>
            <w:noWrap w:val="0"/>
            <w:vAlign w:val="center"/>
          </w:tcPr>
          <w:p w14:paraId="4CAE3531">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450</w:t>
            </w:r>
          </w:p>
        </w:tc>
        <w:tc>
          <w:tcPr>
            <w:tcW w:w="1118" w:type="dxa"/>
            <w:shd w:val="clear" w:color="auto" w:fill="auto"/>
            <w:noWrap w:val="0"/>
            <w:vAlign w:val="center"/>
          </w:tcPr>
          <w:p w14:paraId="7B524CD2">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47" w:type="dxa"/>
            <w:shd w:val="clear" w:color="auto" w:fill="auto"/>
            <w:noWrap w:val="0"/>
            <w:vAlign w:val="center"/>
          </w:tcPr>
          <w:p w14:paraId="31A98246">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134" w:type="dxa"/>
            <w:shd w:val="clear" w:color="auto" w:fill="auto"/>
            <w:noWrap w:val="0"/>
            <w:vAlign w:val="center"/>
          </w:tcPr>
          <w:p w14:paraId="74EFDB5C">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18" w:type="dxa"/>
            <w:shd w:val="clear" w:color="auto" w:fill="auto"/>
            <w:noWrap w:val="0"/>
            <w:vAlign w:val="center"/>
          </w:tcPr>
          <w:p w14:paraId="03044434">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450</w:t>
            </w:r>
          </w:p>
        </w:tc>
      </w:tr>
      <w:tr w14:paraId="453FB4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87" w:type="dxa"/>
            <w:shd w:val="clear" w:color="auto" w:fill="auto"/>
            <w:noWrap w:val="0"/>
            <w:vAlign w:val="center"/>
          </w:tcPr>
          <w:p w14:paraId="4CAFFD21">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17</w:t>
            </w:r>
          </w:p>
        </w:tc>
        <w:tc>
          <w:tcPr>
            <w:tcW w:w="3466" w:type="dxa"/>
            <w:shd w:val="clear" w:color="auto" w:fill="auto"/>
            <w:noWrap w:val="0"/>
            <w:vAlign w:val="center"/>
          </w:tcPr>
          <w:p w14:paraId="694BB42F">
            <w:pPr>
              <w:keepNext w:val="0"/>
              <w:keepLines w:val="0"/>
              <w:pageBreakBefore w:val="0"/>
              <w:widowControl/>
              <w:kinsoku/>
              <w:wordWrap/>
              <w:overflowPunct/>
              <w:topLinePunct w:val="0"/>
              <w:autoSpaceDE/>
              <w:autoSpaceDN/>
              <w:bidi w:val="0"/>
              <w:adjustRightInd/>
              <w:snapToGrid/>
              <w:spacing w:after="0" w:line="240" w:lineRule="auto"/>
              <w:ind w:hanging="1"/>
              <w:jc w:val="both"/>
              <w:rPr>
                <w:rFonts w:ascii="Arial" w:hAnsi="Arial" w:eastAsia="Times New Roman" w:cs="Arial"/>
                <w:sz w:val="20"/>
                <w:szCs w:val="20"/>
                <w:lang w:val="pt-BR" w:eastAsia="zh-CN" w:bidi="ar-SA"/>
              </w:rPr>
            </w:pPr>
            <w:r>
              <w:rPr>
                <w:rFonts w:ascii="Arial" w:hAnsi="Arial" w:cs="Arial"/>
                <w:sz w:val="20"/>
                <w:szCs w:val="20"/>
                <w:lang w:val="en-US" w:eastAsia="zh-CN" w:bidi="ar"/>
              </w:rPr>
              <w:t>EMEI VINÍCIUS DE MORAES</w:t>
            </w:r>
          </w:p>
        </w:tc>
        <w:tc>
          <w:tcPr>
            <w:tcW w:w="1418" w:type="dxa"/>
            <w:shd w:val="clear" w:color="auto" w:fill="auto"/>
            <w:noWrap w:val="0"/>
            <w:vAlign w:val="center"/>
          </w:tcPr>
          <w:p w14:paraId="0F2FA2B5">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430</w:t>
            </w:r>
          </w:p>
        </w:tc>
        <w:tc>
          <w:tcPr>
            <w:tcW w:w="1118" w:type="dxa"/>
            <w:shd w:val="clear" w:color="auto" w:fill="auto"/>
            <w:noWrap w:val="0"/>
            <w:vAlign w:val="center"/>
          </w:tcPr>
          <w:p w14:paraId="08C7A861">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47" w:type="dxa"/>
            <w:shd w:val="clear" w:color="auto" w:fill="auto"/>
            <w:noWrap w:val="0"/>
            <w:vAlign w:val="center"/>
          </w:tcPr>
          <w:p w14:paraId="23C783A9">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134" w:type="dxa"/>
            <w:shd w:val="clear" w:color="auto" w:fill="auto"/>
            <w:noWrap w:val="0"/>
            <w:vAlign w:val="center"/>
          </w:tcPr>
          <w:p w14:paraId="313B2D6E">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18" w:type="dxa"/>
            <w:shd w:val="clear" w:color="auto" w:fill="auto"/>
            <w:noWrap w:val="0"/>
            <w:vAlign w:val="center"/>
          </w:tcPr>
          <w:p w14:paraId="18EA1F50">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430</w:t>
            </w:r>
          </w:p>
        </w:tc>
      </w:tr>
      <w:tr w14:paraId="53A3F2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87" w:type="dxa"/>
            <w:shd w:val="clear" w:color="auto" w:fill="auto"/>
            <w:noWrap w:val="0"/>
            <w:vAlign w:val="center"/>
          </w:tcPr>
          <w:p w14:paraId="5550ABD1">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18</w:t>
            </w:r>
          </w:p>
        </w:tc>
        <w:tc>
          <w:tcPr>
            <w:tcW w:w="3466" w:type="dxa"/>
            <w:shd w:val="clear" w:color="auto" w:fill="auto"/>
            <w:noWrap w:val="0"/>
            <w:vAlign w:val="center"/>
          </w:tcPr>
          <w:p w14:paraId="4B0B5C1E">
            <w:pPr>
              <w:keepNext w:val="0"/>
              <w:keepLines w:val="0"/>
              <w:pageBreakBefore w:val="0"/>
              <w:widowControl/>
              <w:kinsoku/>
              <w:wordWrap/>
              <w:overflowPunct/>
              <w:topLinePunct w:val="0"/>
              <w:autoSpaceDE/>
              <w:autoSpaceDN/>
              <w:bidi w:val="0"/>
              <w:adjustRightInd/>
              <w:snapToGrid/>
              <w:spacing w:after="0" w:line="240" w:lineRule="auto"/>
              <w:ind w:hanging="1"/>
              <w:jc w:val="both"/>
              <w:rPr>
                <w:rFonts w:ascii="Arial" w:hAnsi="Arial" w:eastAsia="Times New Roman" w:cs="Arial"/>
                <w:sz w:val="20"/>
                <w:szCs w:val="20"/>
                <w:lang w:val="pt-BR" w:eastAsia="zh-CN" w:bidi="ar-SA"/>
              </w:rPr>
            </w:pPr>
            <w:r>
              <w:rPr>
                <w:rFonts w:ascii="Arial" w:hAnsi="Arial" w:cs="Arial"/>
                <w:sz w:val="20"/>
                <w:szCs w:val="20"/>
                <w:lang w:val="en-US" w:eastAsia="zh-CN" w:bidi="ar"/>
              </w:rPr>
              <w:t>EMEB JOSÉ REINALDO DE OLIVEIRA</w:t>
            </w:r>
          </w:p>
        </w:tc>
        <w:tc>
          <w:tcPr>
            <w:tcW w:w="1418" w:type="dxa"/>
            <w:shd w:val="clear" w:color="auto" w:fill="auto"/>
            <w:noWrap w:val="0"/>
            <w:vAlign w:val="center"/>
          </w:tcPr>
          <w:p w14:paraId="1BC1EF53">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118" w:type="dxa"/>
            <w:shd w:val="clear" w:color="auto" w:fill="auto"/>
            <w:noWrap w:val="0"/>
            <w:vAlign w:val="center"/>
          </w:tcPr>
          <w:p w14:paraId="15F2768A">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47" w:type="dxa"/>
            <w:shd w:val="clear" w:color="auto" w:fill="auto"/>
            <w:noWrap w:val="0"/>
            <w:vAlign w:val="center"/>
          </w:tcPr>
          <w:p w14:paraId="1FF402B3">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356</w:t>
            </w:r>
          </w:p>
        </w:tc>
        <w:tc>
          <w:tcPr>
            <w:tcW w:w="1134" w:type="dxa"/>
            <w:shd w:val="clear" w:color="auto" w:fill="auto"/>
            <w:noWrap w:val="0"/>
            <w:vAlign w:val="center"/>
          </w:tcPr>
          <w:p w14:paraId="0512C802">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18" w:type="dxa"/>
            <w:shd w:val="clear" w:color="auto" w:fill="auto"/>
            <w:noWrap w:val="0"/>
            <w:vAlign w:val="center"/>
          </w:tcPr>
          <w:p w14:paraId="4160D5CE">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356</w:t>
            </w:r>
          </w:p>
        </w:tc>
      </w:tr>
      <w:tr w14:paraId="2CB1ED3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87" w:type="dxa"/>
            <w:shd w:val="clear" w:color="auto" w:fill="auto"/>
            <w:noWrap w:val="0"/>
            <w:vAlign w:val="center"/>
          </w:tcPr>
          <w:p w14:paraId="2956D1B6">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19</w:t>
            </w:r>
          </w:p>
        </w:tc>
        <w:tc>
          <w:tcPr>
            <w:tcW w:w="3466" w:type="dxa"/>
            <w:shd w:val="clear" w:color="auto" w:fill="auto"/>
            <w:noWrap w:val="0"/>
            <w:vAlign w:val="center"/>
          </w:tcPr>
          <w:p w14:paraId="77B56F94">
            <w:pPr>
              <w:keepNext w:val="0"/>
              <w:keepLines w:val="0"/>
              <w:pageBreakBefore w:val="0"/>
              <w:widowControl/>
              <w:kinsoku/>
              <w:wordWrap/>
              <w:overflowPunct/>
              <w:topLinePunct w:val="0"/>
              <w:autoSpaceDE/>
              <w:autoSpaceDN/>
              <w:bidi w:val="0"/>
              <w:adjustRightInd/>
              <w:snapToGrid/>
              <w:spacing w:after="0" w:line="240" w:lineRule="auto"/>
              <w:ind w:hanging="1"/>
              <w:jc w:val="both"/>
              <w:rPr>
                <w:rFonts w:ascii="Arial" w:hAnsi="Arial" w:eastAsia="Times New Roman" w:cs="Arial"/>
                <w:sz w:val="20"/>
                <w:szCs w:val="20"/>
                <w:lang w:val="pt-BR" w:eastAsia="zh-CN" w:bidi="ar-SA"/>
              </w:rPr>
            </w:pPr>
            <w:r>
              <w:rPr>
                <w:rFonts w:ascii="Arial" w:hAnsi="Arial" w:cs="Arial"/>
                <w:sz w:val="20"/>
                <w:szCs w:val="20"/>
                <w:lang w:val="en-US" w:eastAsia="zh-CN" w:bidi="ar"/>
              </w:rPr>
              <w:t>EMEI GÉRSON PIRES DA SILVA</w:t>
            </w:r>
          </w:p>
        </w:tc>
        <w:tc>
          <w:tcPr>
            <w:tcW w:w="1418" w:type="dxa"/>
            <w:shd w:val="clear" w:color="auto" w:fill="auto"/>
            <w:noWrap w:val="0"/>
            <w:vAlign w:val="center"/>
          </w:tcPr>
          <w:p w14:paraId="6810F778">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390</w:t>
            </w:r>
          </w:p>
        </w:tc>
        <w:tc>
          <w:tcPr>
            <w:tcW w:w="1118" w:type="dxa"/>
            <w:shd w:val="clear" w:color="auto" w:fill="auto"/>
            <w:noWrap w:val="0"/>
            <w:vAlign w:val="center"/>
          </w:tcPr>
          <w:p w14:paraId="567D308A">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47" w:type="dxa"/>
            <w:shd w:val="clear" w:color="auto" w:fill="auto"/>
            <w:noWrap w:val="0"/>
            <w:vAlign w:val="center"/>
          </w:tcPr>
          <w:p w14:paraId="3DE2F64F">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134" w:type="dxa"/>
            <w:shd w:val="clear" w:color="auto" w:fill="auto"/>
            <w:noWrap w:val="0"/>
            <w:vAlign w:val="center"/>
          </w:tcPr>
          <w:p w14:paraId="6AF2B887">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18" w:type="dxa"/>
            <w:shd w:val="clear" w:color="auto" w:fill="auto"/>
            <w:noWrap w:val="0"/>
            <w:vAlign w:val="center"/>
          </w:tcPr>
          <w:p w14:paraId="4CEF58C1">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390</w:t>
            </w:r>
          </w:p>
        </w:tc>
      </w:tr>
      <w:tr w14:paraId="16A1D4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87" w:type="dxa"/>
            <w:shd w:val="clear" w:color="auto" w:fill="auto"/>
            <w:noWrap w:val="0"/>
            <w:vAlign w:val="center"/>
          </w:tcPr>
          <w:p w14:paraId="098DFED7">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20</w:t>
            </w:r>
          </w:p>
        </w:tc>
        <w:tc>
          <w:tcPr>
            <w:tcW w:w="3466" w:type="dxa"/>
            <w:shd w:val="clear" w:color="auto" w:fill="auto"/>
            <w:noWrap w:val="0"/>
            <w:vAlign w:val="center"/>
          </w:tcPr>
          <w:p w14:paraId="06B1B01A">
            <w:pPr>
              <w:keepNext w:val="0"/>
              <w:keepLines w:val="0"/>
              <w:pageBreakBefore w:val="0"/>
              <w:widowControl/>
              <w:kinsoku/>
              <w:wordWrap/>
              <w:overflowPunct/>
              <w:topLinePunct w:val="0"/>
              <w:autoSpaceDE/>
              <w:autoSpaceDN/>
              <w:bidi w:val="0"/>
              <w:adjustRightInd/>
              <w:snapToGrid/>
              <w:spacing w:after="0" w:line="240" w:lineRule="auto"/>
              <w:ind w:hanging="1"/>
              <w:jc w:val="both"/>
              <w:rPr>
                <w:rFonts w:ascii="Arial" w:hAnsi="Arial" w:eastAsia="Times New Roman" w:cs="Arial"/>
                <w:sz w:val="20"/>
                <w:szCs w:val="20"/>
                <w:lang w:val="pt-BR" w:eastAsia="zh-CN" w:bidi="ar-SA"/>
              </w:rPr>
            </w:pPr>
            <w:r>
              <w:rPr>
                <w:rFonts w:ascii="Arial" w:hAnsi="Arial" w:cs="Arial"/>
                <w:sz w:val="20"/>
                <w:szCs w:val="20"/>
                <w:lang w:val="en-US" w:eastAsia="zh-CN" w:bidi="ar"/>
              </w:rPr>
              <w:t>EMEB LIZAMARA APARECIDA OLIVA DE ALMEIDA</w:t>
            </w:r>
          </w:p>
        </w:tc>
        <w:tc>
          <w:tcPr>
            <w:tcW w:w="1418" w:type="dxa"/>
            <w:shd w:val="clear" w:color="auto" w:fill="auto"/>
            <w:noWrap w:val="0"/>
            <w:vAlign w:val="center"/>
          </w:tcPr>
          <w:p w14:paraId="5AB32838">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118" w:type="dxa"/>
            <w:shd w:val="clear" w:color="auto" w:fill="auto"/>
            <w:noWrap w:val="0"/>
            <w:vAlign w:val="center"/>
          </w:tcPr>
          <w:p w14:paraId="6D8F3DD2">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47" w:type="dxa"/>
            <w:shd w:val="clear" w:color="auto" w:fill="auto"/>
            <w:noWrap w:val="0"/>
            <w:vAlign w:val="center"/>
          </w:tcPr>
          <w:p w14:paraId="66D85A88">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638</w:t>
            </w:r>
          </w:p>
        </w:tc>
        <w:tc>
          <w:tcPr>
            <w:tcW w:w="1134" w:type="dxa"/>
            <w:shd w:val="clear" w:color="auto" w:fill="auto"/>
            <w:noWrap w:val="0"/>
            <w:vAlign w:val="center"/>
          </w:tcPr>
          <w:p w14:paraId="463F63EC">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18" w:type="dxa"/>
            <w:shd w:val="clear" w:color="auto" w:fill="auto"/>
            <w:noWrap w:val="0"/>
            <w:vAlign w:val="center"/>
          </w:tcPr>
          <w:p w14:paraId="66BCB2B4">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638</w:t>
            </w:r>
          </w:p>
        </w:tc>
      </w:tr>
      <w:tr w14:paraId="5674AE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87" w:type="dxa"/>
            <w:shd w:val="clear" w:color="auto" w:fill="auto"/>
            <w:noWrap w:val="0"/>
            <w:vAlign w:val="center"/>
          </w:tcPr>
          <w:p w14:paraId="4577692C">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rPr>
                <w:rFonts w:hint="default" w:ascii="Arial" w:hAnsi="Arial" w:eastAsia="Times New Roman" w:cs="Arial"/>
                <w:sz w:val="20"/>
                <w:szCs w:val="20"/>
                <w:lang w:val="pt-BR" w:eastAsia="zh-CN" w:bidi="ar-SA"/>
              </w:rPr>
            </w:pPr>
            <w:r>
              <w:rPr>
                <w:rFonts w:ascii="Arial" w:hAnsi="Arial" w:cs="Arial"/>
                <w:sz w:val="20"/>
                <w:szCs w:val="20"/>
                <w:lang w:eastAsia="zh-CN" w:bidi="ar"/>
              </w:rPr>
              <w:t>2</w:t>
            </w:r>
            <w:r>
              <w:rPr>
                <w:rFonts w:hint="default" w:ascii="Arial" w:hAnsi="Arial" w:cs="Arial"/>
                <w:sz w:val="20"/>
                <w:szCs w:val="20"/>
                <w:lang w:val="pt-BR" w:eastAsia="zh-CN" w:bidi="ar"/>
              </w:rPr>
              <w:t>1</w:t>
            </w:r>
          </w:p>
        </w:tc>
        <w:tc>
          <w:tcPr>
            <w:tcW w:w="3466" w:type="dxa"/>
            <w:shd w:val="clear" w:color="auto" w:fill="auto"/>
            <w:noWrap w:val="0"/>
            <w:vAlign w:val="center"/>
          </w:tcPr>
          <w:p w14:paraId="35F5017C">
            <w:pPr>
              <w:keepNext w:val="0"/>
              <w:keepLines w:val="0"/>
              <w:pageBreakBefore w:val="0"/>
              <w:widowControl/>
              <w:kinsoku/>
              <w:wordWrap/>
              <w:overflowPunct/>
              <w:topLinePunct w:val="0"/>
              <w:autoSpaceDE/>
              <w:autoSpaceDN/>
              <w:bidi w:val="0"/>
              <w:adjustRightInd/>
              <w:snapToGrid/>
              <w:spacing w:after="0" w:line="240" w:lineRule="auto"/>
              <w:ind w:hanging="1"/>
              <w:jc w:val="both"/>
              <w:rPr>
                <w:rFonts w:ascii="Arial" w:hAnsi="Arial" w:eastAsia="Times New Roman" w:cs="Arial"/>
                <w:sz w:val="20"/>
                <w:szCs w:val="20"/>
                <w:lang w:val="pt-BR" w:eastAsia="zh-CN" w:bidi="ar-SA"/>
              </w:rPr>
            </w:pPr>
            <w:r>
              <w:rPr>
                <w:rFonts w:ascii="Arial" w:hAnsi="Arial" w:cs="Arial"/>
                <w:sz w:val="20"/>
                <w:szCs w:val="20"/>
                <w:lang w:val="en-US" w:eastAsia="zh-CN" w:bidi="ar"/>
              </w:rPr>
              <w:t>EMEI CLARA TEIXEIRA</w:t>
            </w:r>
          </w:p>
        </w:tc>
        <w:tc>
          <w:tcPr>
            <w:tcW w:w="1418" w:type="dxa"/>
            <w:shd w:val="clear" w:color="auto" w:fill="auto"/>
            <w:noWrap w:val="0"/>
            <w:vAlign w:val="center"/>
          </w:tcPr>
          <w:p w14:paraId="51DB0139">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765</w:t>
            </w:r>
          </w:p>
        </w:tc>
        <w:tc>
          <w:tcPr>
            <w:tcW w:w="1118" w:type="dxa"/>
            <w:shd w:val="clear" w:color="auto" w:fill="auto"/>
            <w:noWrap w:val="0"/>
            <w:vAlign w:val="center"/>
          </w:tcPr>
          <w:p w14:paraId="48BAED6F">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47" w:type="dxa"/>
            <w:shd w:val="clear" w:color="auto" w:fill="auto"/>
            <w:noWrap w:val="0"/>
            <w:vAlign w:val="center"/>
          </w:tcPr>
          <w:p w14:paraId="639007B2">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134" w:type="dxa"/>
            <w:shd w:val="clear" w:color="auto" w:fill="auto"/>
            <w:noWrap w:val="0"/>
            <w:vAlign w:val="center"/>
          </w:tcPr>
          <w:p w14:paraId="19EE6C76">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18" w:type="dxa"/>
            <w:shd w:val="clear" w:color="auto" w:fill="auto"/>
            <w:noWrap w:val="0"/>
            <w:vAlign w:val="center"/>
          </w:tcPr>
          <w:p w14:paraId="0CB1FACF">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765</w:t>
            </w:r>
          </w:p>
        </w:tc>
      </w:tr>
      <w:tr w14:paraId="47797A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87" w:type="dxa"/>
            <w:shd w:val="clear" w:color="auto" w:fill="auto"/>
            <w:noWrap w:val="0"/>
            <w:vAlign w:val="center"/>
          </w:tcPr>
          <w:p w14:paraId="02C0BBD6">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22</w:t>
            </w:r>
          </w:p>
        </w:tc>
        <w:tc>
          <w:tcPr>
            <w:tcW w:w="3466" w:type="dxa"/>
            <w:shd w:val="clear" w:color="auto" w:fill="auto"/>
            <w:noWrap w:val="0"/>
            <w:vAlign w:val="center"/>
          </w:tcPr>
          <w:p w14:paraId="124121E6">
            <w:pPr>
              <w:keepNext w:val="0"/>
              <w:keepLines w:val="0"/>
              <w:pageBreakBefore w:val="0"/>
              <w:widowControl/>
              <w:kinsoku/>
              <w:wordWrap/>
              <w:overflowPunct/>
              <w:topLinePunct w:val="0"/>
              <w:autoSpaceDE/>
              <w:autoSpaceDN/>
              <w:bidi w:val="0"/>
              <w:adjustRightInd/>
              <w:snapToGrid/>
              <w:spacing w:after="0" w:line="240" w:lineRule="auto"/>
              <w:ind w:hanging="1"/>
              <w:jc w:val="both"/>
              <w:rPr>
                <w:rFonts w:ascii="Arial" w:hAnsi="Arial" w:eastAsia="Times New Roman" w:cs="Arial"/>
                <w:sz w:val="20"/>
                <w:szCs w:val="20"/>
                <w:lang w:val="pt-BR" w:eastAsia="zh-CN" w:bidi="ar-SA"/>
              </w:rPr>
            </w:pPr>
            <w:r>
              <w:rPr>
                <w:rFonts w:ascii="Arial" w:hAnsi="Arial" w:cs="Arial"/>
                <w:sz w:val="20"/>
                <w:szCs w:val="20"/>
                <w:lang w:val="en-US" w:eastAsia="zh-CN" w:bidi="ar"/>
              </w:rPr>
              <w:t>EMEI DORACY MARQUES AMORIN</w:t>
            </w:r>
          </w:p>
        </w:tc>
        <w:tc>
          <w:tcPr>
            <w:tcW w:w="1418" w:type="dxa"/>
            <w:shd w:val="clear" w:color="auto" w:fill="auto"/>
            <w:noWrap w:val="0"/>
            <w:vAlign w:val="center"/>
          </w:tcPr>
          <w:p w14:paraId="6A9E753A">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335</w:t>
            </w:r>
          </w:p>
        </w:tc>
        <w:tc>
          <w:tcPr>
            <w:tcW w:w="1118" w:type="dxa"/>
            <w:shd w:val="clear" w:color="auto" w:fill="auto"/>
            <w:noWrap w:val="0"/>
            <w:vAlign w:val="center"/>
          </w:tcPr>
          <w:p w14:paraId="7E8DF166">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47" w:type="dxa"/>
            <w:shd w:val="clear" w:color="auto" w:fill="auto"/>
            <w:noWrap w:val="0"/>
            <w:vAlign w:val="center"/>
          </w:tcPr>
          <w:p w14:paraId="53B67A7A">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134" w:type="dxa"/>
            <w:shd w:val="clear" w:color="auto" w:fill="auto"/>
            <w:noWrap w:val="0"/>
            <w:vAlign w:val="center"/>
          </w:tcPr>
          <w:p w14:paraId="1445DA99">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18" w:type="dxa"/>
            <w:shd w:val="clear" w:color="auto" w:fill="auto"/>
            <w:noWrap w:val="0"/>
            <w:vAlign w:val="center"/>
          </w:tcPr>
          <w:p w14:paraId="59C04868">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335</w:t>
            </w:r>
          </w:p>
        </w:tc>
      </w:tr>
      <w:tr w14:paraId="558822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87" w:type="dxa"/>
            <w:shd w:val="clear" w:color="auto" w:fill="auto"/>
            <w:noWrap w:val="0"/>
            <w:vAlign w:val="center"/>
          </w:tcPr>
          <w:p w14:paraId="2B2331BF">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23</w:t>
            </w:r>
          </w:p>
        </w:tc>
        <w:tc>
          <w:tcPr>
            <w:tcW w:w="3466" w:type="dxa"/>
            <w:shd w:val="clear" w:color="auto" w:fill="auto"/>
            <w:noWrap w:val="0"/>
            <w:vAlign w:val="center"/>
          </w:tcPr>
          <w:p w14:paraId="5F42F5D5">
            <w:pPr>
              <w:keepNext w:val="0"/>
              <w:keepLines w:val="0"/>
              <w:pageBreakBefore w:val="0"/>
              <w:widowControl/>
              <w:kinsoku/>
              <w:wordWrap/>
              <w:overflowPunct/>
              <w:topLinePunct w:val="0"/>
              <w:autoSpaceDE/>
              <w:autoSpaceDN/>
              <w:bidi w:val="0"/>
              <w:adjustRightInd/>
              <w:snapToGrid/>
              <w:spacing w:after="0" w:line="240" w:lineRule="auto"/>
              <w:ind w:hanging="1"/>
              <w:jc w:val="both"/>
              <w:rPr>
                <w:rFonts w:ascii="Arial" w:hAnsi="Arial" w:eastAsia="Times New Roman" w:cs="Arial"/>
                <w:sz w:val="20"/>
                <w:szCs w:val="20"/>
                <w:lang w:val="pt-BR" w:eastAsia="zh-CN" w:bidi="ar-SA"/>
              </w:rPr>
            </w:pPr>
            <w:r>
              <w:rPr>
                <w:rFonts w:ascii="Arial" w:hAnsi="Arial" w:cs="Arial"/>
                <w:sz w:val="20"/>
                <w:szCs w:val="20"/>
                <w:lang w:val="en-US" w:eastAsia="zh-CN" w:bidi="ar"/>
              </w:rPr>
              <w:t>EMEI NEUZA NADIR FUZINATTO GRAF</w:t>
            </w:r>
          </w:p>
        </w:tc>
        <w:tc>
          <w:tcPr>
            <w:tcW w:w="1418" w:type="dxa"/>
            <w:shd w:val="clear" w:color="auto" w:fill="auto"/>
            <w:noWrap w:val="0"/>
            <w:vAlign w:val="center"/>
          </w:tcPr>
          <w:p w14:paraId="2A78940D">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440</w:t>
            </w:r>
          </w:p>
        </w:tc>
        <w:tc>
          <w:tcPr>
            <w:tcW w:w="1118" w:type="dxa"/>
            <w:shd w:val="clear" w:color="auto" w:fill="auto"/>
            <w:noWrap w:val="0"/>
            <w:vAlign w:val="center"/>
          </w:tcPr>
          <w:p w14:paraId="2D154F66">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47" w:type="dxa"/>
            <w:shd w:val="clear" w:color="auto" w:fill="auto"/>
            <w:noWrap w:val="0"/>
            <w:vAlign w:val="center"/>
          </w:tcPr>
          <w:p w14:paraId="45C37582">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134" w:type="dxa"/>
            <w:shd w:val="clear" w:color="auto" w:fill="auto"/>
            <w:noWrap w:val="0"/>
            <w:vAlign w:val="center"/>
          </w:tcPr>
          <w:p w14:paraId="11D90896">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18" w:type="dxa"/>
            <w:shd w:val="clear" w:color="auto" w:fill="auto"/>
            <w:noWrap w:val="0"/>
            <w:vAlign w:val="center"/>
          </w:tcPr>
          <w:p w14:paraId="1267CBA2">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440</w:t>
            </w:r>
          </w:p>
        </w:tc>
      </w:tr>
      <w:tr w14:paraId="09FC36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87" w:type="dxa"/>
            <w:shd w:val="clear" w:color="auto" w:fill="auto"/>
            <w:noWrap w:val="0"/>
            <w:vAlign w:val="center"/>
          </w:tcPr>
          <w:p w14:paraId="4626B5BB">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24</w:t>
            </w:r>
          </w:p>
        </w:tc>
        <w:tc>
          <w:tcPr>
            <w:tcW w:w="3466" w:type="dxa"/>
            <w:shd w:val="clear" w:color="auto" w:fill="auto"/>
            <w:noWrap w:val="0"/>
            <w:vAlign w:val="center"/>
          </w:tcPr>
          <w:p w14:paraId="5666FCEB">
            <w:pPr>
              <w:keepNext w:val="0"/>
              <w:keepLines w:val="0"/>
              <w:pageBreakBefore w:val="0"/>
              <w:widowControl/>
              <w:kinsoku/>
              <w:wordWrap/>
              <w:overflowPunct/>
              <w:topLinePunct w:val="0"/>
              <w:autoSpaceDE/>
              <w:autoSpaceDN/>
              <w:bidi w:val="0"/>
              <w:adjustRightInd/>
              <w:snapToGrid/>
              <w:spacing w:after="0" w:line="240" w:lineRule="auto"/>
              <w:ind w:hanging="1"/>
              <w:jc w:val="both"/>
              <w:rPr>
                <w:rFonts w:ascii="Arial" w:hAnsi="Arial" w:eastAsia="Times New Roman" w:cs="Arial"/>
                <w:sz w:val="20"/>
                <w:szCs w:val="20"/>
                <w:lang w:val="pt-BR" w:eastAsia="zh-CN" w:bidi="ar-SA"/>
              </w:rPr>
            </w:pPr>
            <w:r>
              <w:rPr>
                <w:rFonts w:ascii="Arial" w:hAnsi="Arial" w:cs="Arial"/>
                <w:sz w:val="20"/>
                <w:szCs w:val="20"/>
                <w:lang w:val="en-US" w:eastAsia="zh-CN" w:bidi="ar"/>
              </w:rPr>
              <w:t>EMEB PROF</w:t>
            </w:r>
            <w:r>
              <w:rPr>
                <w:rFonts w:hint="default" w:ascii="Arial" w:hAnsi="Arial" w:cs="Arial"/>
                <w:sz w:val="20"/>
                <w:szCs w:val="20"/>
                <w:lang w:val="pt-BR" w:eastAsia="zh-CN" w:bidi="ar"/>
              </w:rPr>
              <w:t>ESSORA</w:t>
            </w:r>
            <w:r>
              <w:rPr>
                <w:rFonts w:ascii="Arial" w:hAnsi="Arial" w:cs="Arial"/>
                <w:sz w:val="20"/>
                <w:szCs w:val="20"/>
                <w:lang w:val="en-US" w:eastAsia="zh-CN" w:bidi="ar"/>
              </w:rPr>
              <w:t xml:space="preserve"> ANA CRISTINA DE SENA</w:t>
            </w:r>
          </w:p>
        </w:tc>
        <w:tc>
          <w:tcPr>
            <w:tcW w:w="1418" w:type="dxa"/>
            <w:shd w:val="clear" w:color="auto" w:fill="auto"/>
            <w:noWrap w:val="0"/>
            <w:vAlign w:val="center"/>
          </w:tcPr>
          <w:p w14:paraId="3E3CCD70">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118" w:type="dxa"/>
            <w:shd w:val="clear" w:color="auto" w:fill="auto"/>
            <w:noWrap w:val="0"/>
            <w:vAlign w:val="center"/>
          </w:tcPr>
          <w:p w14:paraId="36ED6283">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47" w:type="dxa"/>
            <w:shd w:val="clear" w:color="auto" w:fill="auto"/>
            <w:noWrap w:val="0"/>
            <w:vAlign w:val="center"/>
          </w:tcPr>
          <w:p w14:paraId="797AD14F">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992</w:t>
            </w:r>
          </w:p>
        </w:tc>
        <w:tc>
          <w:tcPr>
            <w:tcW w:w="1134" w:type="dxa"/>
            <w:shd w:val="clear" w:color="auto" w:fill="auto"/>
            <w:noWrap w:val="0"/>
            <w:vAlign w:val="center"/>
          </w:tcPr>
          <w:p w14:paraId="43CBE515">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18" w:type="dxa"/>
            <w:shd w:val="clear" w:color="auto" w:fill="auto"/>
            <w:noWrap w:val="0"/>
            <w:vAlign w:val="center"/>
          </w:tcPr>
          <w:p w14:paraId="236EC81F">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992</w:t>
            </w:r>
          </w:p>
        </w:tc>
      </w:tr>
      <w:tr w14:paraId="5F5CA9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87" w:type="dxa"/>
            <w:shd w:val="clear" w:color="auto" w:fill="auto"/>
            <w:noWrap w:val="0"/>
            <w:vAlign w:val="center"/>
          </w:tcPr>
          <w:p w14:paraId="7CB7C7EE">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25</w:t>
            </w:r>
          </w:p>
        </w:tc>
        <w:tc>
          <w:tcPr>
            <w:tcW w:w="3466" w:type="dxa"/>
            <w:shd w:val="clear" w:color="auto" w:fill="auto"/>
            <w:noWrap w:val="0"/>
            <w:vAlign w:val="center"/>
          </w:tcPr>
          <w:p w14:paraId="63777F1D">
            <w:pPr>
              <w:keepNext w:val="0"/>
              <w:keepLines w:val="0"/>
              <w:pageBreakBefore w:val="0"/>
              <w:widowControl/>
              <w:kinsoku/>
              <w:wordWrap/>
              <w:overflowPunct/>
              <w:topLinePunct w:val="0"/>
              <w:autoSpaceDE/>
              <w:autoSpaceDN/>
              <w:bidi w:val="0"/>
              <w:adjustRightInd/>
              <w:snapToGrid/>
              <w:spacing w:after="0" w:line="240" w:lineRule="auto"/>
              <w:ind w:hanging="1"/>
              <w:jc w:val="both"/>
              <w:rPr>
                <w:rFonts w:ascii="Arial" w:hAnsi="Arial" w:eastAsia="Times New Roman" w:cs="Arial"/>
                <w:sz w:val="20"/>
                <w:szCs w:val="20"/>
                <w:lang w:val="pt-BR" w:eastAsia="zh-CN" w:bidi="ar-SA"/>
              </w:rPr>
            </w:pPr>
            <w:r>
              <w:rPr>
                <w:rFonts w:ascii="Arial" w:hAnsi="Arial" w:cs="Arial"/>
                <w:sz w:val="20"/>
                <w:szCs w:val="20"/>
                <w:lang w:val="en-US" w:eastAsia="zh-CN" w:bidi="ar"/>
              </w:rPr>
              <w:t>EMEI PROF</w:t>
            </w:r>
            <w:r>
              <w:rPr>
                <w:rFonts w:hint="default" w:ascii="Arial" w:hAnsi="Arial" w:cs="Arial"/>
                <w:sz w:val="20"/>
                <w:szCs w:val="20"/>
                <w:lang w:val="pt-BR" w:eastAsia="zh-CN" w:bidi="ar"/>
              </w:rPr>
              <w:t>ESSORA</w:t>
            </w:r>
            <w:r>
              <w:rPr>
                <w:rFonts w:ascii="Arial" w:hAnsi="Arial" w:cs="Arial"/>
                <w:sz w:val="20"/>
                <w:szCs w:val="20"/>
                <w:lang w:val="en-US" w:eastAsia="zh-CN" w:bidi="ar"/>
              </w:rPr>
              <w:t xml:space="preserve"> SOLANGE MARIA FERRONATO</w:t>
            </w:r>
          </w:p>
        </w:tc>
        <w:tc>
          <w:tcPr>
            <w:tcW w:w="1418" w:type="dxa"/>
            <w:shd w:val="clear" w:color="auto" w:fill="auto"/>
            <w:noWrap w:val="0"/>
            <w:vAlign w:val="center"/>
          </w:tcPr>
          <w:p w14:paraId="4DD09FD3">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395</w:t>
            </w:r>
          </w:p>
        </w:tc>
        <w:tc>
          <w:tcPr>
            <w:tcW w:w="1118" w:type="dxa"/>
            <w:shd w:val="clear" w:color="auto" w:fill="auto"/>
            <w:noWrap w:val="0"/>
            <w:vAlign w:val="center"/>
          </w:tcPr>
          <w:p w14:paraId="7E211852">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47" w:type="dxa"/>
            <w:shd w:val="clear" w:color="auto" w:fill="auto"/>
            <w:noWrap w:val="0"/>
            <w:vAlign w:val="center"/>
          </w:tcPr>
          <w:p w14:paraId="641D266D">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134" w:type="dxa"/>
            <w:shd w:val="clear" w:color="auto" w:fill="auto"/>
            <w:noWrap w:val="0"/>
            <w:vAlign w:val="center"/>
          </w:tcPr>
          <w:p w14:paraId="223AB0FC">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18" w:type="dxa"/>
            <w:shd w:val="clear" w:color="auto" w:fill="auto"/>
            <w:noWrap w:val="0"/>
            <w:vAlign w:val="center"/>
          </w:tcPr>
          <w:p w14:paraId="3874A78A">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395</w:t>
            </w:r>
          </w:p>
        </w:tc>
      </w:tr>
      <w:tr w14:paraId="5ECB38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87" w:type="dxa"/>
            <w:vMerge w:val="restart"/>
            <w:shd w:val="clear" w:color="auto" w:fill="auto"/>
            <w:noWrap w:val="0"/>
            <w:vAlign w:val="center"/>
          </w:tcPr>
          <w:p w14:paraId="4E28E810">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rPr>
                <w:rFonts w:hint="default" w:ascii="Arial" w:hAnsi="Arial" w:eastAsia="Times New Roman" w:cs="Arial"/>
                <w:sz w:val="20"/>
                <w:szCs w:val="20"/>
                <w:lang w:val="pt-BR" w:eastAsia="zh-CN" w:bidi="ar-SA"/>
              </w:rPr>
            </w:pPr>
            <w:r>
              <w:rPr>
                <w:rFonts w:ascii="Arial" w:hAnsi="Arial" w:cs="Arial"/>
                <w:sz w:val="20"/>
                <w:szCs w:val="20"/>
                <w:lang w:eastAsia="zh-CN" w:bidi="ar"/>
              </w:rPr>
              <w:t>26</w:t>
            </w:r>
          </w:p>
        </w:tc>
        <w:tc>
          <w:tcPr>
            <w:tcW w:w="3466" w:type="dxa"/>
            <w:shd w:val="clear" w:color="auto" w:fill="auto"/>
            <w:noWrap w:val="0"/>
            <w:vAlign w:val="center"/>
          </w:tcPr>
          <w:p w14:paraId="65AB65C2">
            <w:pPr>
              <w:keepNext w:val="0"/>
              <w:keepLines w:val="0"/>
              <w:pageBreakBefore w:val="0"/>
              <w:widowControl/>
              <w:kinsoku/>
              <w:wordWrap/>
              <w:overflowPunct/>
              <w:topLinePunct w:val="0"/>
              <w:autoSpaceDE/>
              <w:autoSpaceDN/>
              <w:bidi w:val="0"/>
              <w:adjustRightInd/>
              <w:snapToGrid/>
              <w:spacing w:after="0" w:line="240" w:lineRule="auto"/>
              <w:ind w:hanging="1"/>
              <w:jc w:val="both"/>
              <w:rPr>
                <w:rFonts w:ascii="Arial" w:hAnsi="Arial" w:eastAsia="Times New Roman" w:cs="Arial"/>
                <w:sz w:val="20"/>
                <w:szCs w:val="20"/>
                <w:lang w:val="pt-BR" w:eastAsia="zh-CN" w:bidi="ar-SA"/>
              </w:rPr>
            </w:pPr>
            <w:r>
              <w:rPr>
                <w:rFonts w:ascii="Arial" w:hAnsi="Arial" w:cs="Arial"/>
                <w:sz w:val="20"/>
                <w:szCs w:val="20"/>
                <w:lang w:val="en-US" w:eastAsia="zh-CN" w:bidi="ar"/>
              </w:rPr>
              <w:t>EMEI PALMIRA MACHADO MENEGAZZO</w:t>
            </w:r>
          </w:p>
        </w:tc>
        <w:tc>
          <w:tcPr>
            <w:tcW w:w="1418" w:type="dxa"/>
            <w:shd w:val="clear" w:color="auto" w:fill="auto"/>
            <w:noWrap w:val="0"/>
            <w:vAlign w:val="center"/>
          </w:tcPr>
          <w:p w14:paraId="49F989E9">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355</w:t>
            </w:r>
          </w:p>
        </w:tc>
        <w:tc>
          <w:tcPr>
            <w:tcW w:w="1118" w:type="dxa"/>
            <w:shd w:val="clear" w:color="auto" w:fill="auto"/>
            <w:noWrap w:val="0"/>
            <w:vAlign w:val="center"/>
          </w:tcPr>
          <w:p w14:paraId="151DA309">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47" w:type="dxa"/>
            <w:shd w:val="clear" w:color="auto" w:fill="auto"/>
            <w:noWrap w:val="0"/>
            <w:vAlign w:val="center"/>
          </w:tcPr>
          <w:p w14:paraId="33E1DCF6">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134" w:type="dxa"/>
            <w:shd w:val="clear" w:color="auto" w:fill="auto"/>
            <w:noWrap w:val="0"/>
            <w:vAlign w:val="center"/>
          </w:tcPr>
          <w:p w14:paraId="7314AAEA">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18" w:type="dxa"/>
            <w:shd w:val="clear" w:color="auto" w:fill="auto"/>
            <w:noWrap w:val="0"/>
            <w:vAlign w:val="center"/>
          </w:tcPr>
          <w:p w14:paraId="2940597E">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355</w:t>
            </w:r>
          </w:p>
        </w:tc>
      </w:tr>
      <w:tr w14:paraId="66E1C3A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87" w:type="dxa"/>
            <w:vMerge w:val="continue"/>
            <w:shd w:val="clear" w:color="auto" w:fill="auto"/>
            <w:noWrap w:val="0"/>
            <w:vAlign w:val="center"/>
          </w:tcPr>
          <w:p w14:paraId="6F7857CE">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rPr>
                <w:rFonts w:ascii="Arial" w:hAnsi="Arial" w:eastAsia="Times New Roman" w:cs="Arial"/>
                <w:sz w:val="20"/>
                <w:szCs w:val="20"/>
                <w:lang w:val="pt-BR" w:eastAsia="zh-CN" w:bidi="ar"/>
              </w:rPr>
            </w:pPr>
          </w:p>
        </w:tc>
        <w:tc>
          <w:tcPr>
            <w:tcW w:w="3466" w:type="dxa"/>
            <w:shd w:val="clear" w:color="auto" w:fill="auto"/>
            <w:noWrap w:val="0"/>
            <w:vAlign w:val="center"/>
          </w:tcPr>
          <w:p w14:paraId="619E3818">
            <w:pPr>
              <w:keepNext w:val="0"/>
              <w:keepLines w:val="0"/>
              <w:pageBreakBefore w:val="0"/>
              <w:widowControl/>
              <w:kinsoku/>
              <w:wordWrap/>
              <w:overflowPunct/>
              <w:topLinePunct w:val="0"/>
              <w:autoSpaceDE/>
              <w:autoSpaceDN/>
              <w:bidi w:val="0"/>
              <w:adjustRightInd/>
              <w:snapToGrid/>
              <w:spacing w:after="0" w:line="240" w:lineRule="auto"/>
              <w:ind w:hanging="1"/>
              <w:jc w:val="both"/>
              <w:textAlignment w:val="auto"/>
              <w:rPr>
                <w:rFonts w:ascii="Arial" w:hAnsi="Arial" w:eastAsia="Times New Roman" w:cs="Arial"/>
                <w:sz w:val="20"/>
                <w:szCs w:val="20"/>
                <w:lang w:val="pt-BR" w:eastAsia="zh-CN" w:bidi="ar"/>
              </w:rPr>
            </w:pPr>
            <w:r>
              <w:rPr>
                <w:rFonts w:hint="default" w:ascii="Arial" w:hAnsi="Arial" w:cs="Arial"/>
                <w:sz w:val="20"/>
                <w:szCs w:val="20"/>
                <w:lang w:val="pt-BR" w:eastAsia="zh-CN" w:bidi="ar"/>
              </w:rPr>
              <w:t xml:space="preserve">SALAS DA </w:t>
            </w:r>
            <w:r>
              <w:rPr>
                <w:rFonts w:ascii="Arial" w:hAnsi="Arial" w:cs="Arial"/>
                <w:sz w:val="20"/>
                <w:szCs w:val="20"/>
                <w:lang w:val="en-US" w:eastAsia="zh-CN" w:bidi="ar"/>
              </w:rPr>
              <w:t>EMEI PALMIRA MACHADO MENEGAZZO</w:t>
            </w:r>
            <w:r>
              <w:rPr>
                <w:rFonts w:hint="default" w:ascii="Arial" w:hAnsi="Arial" w:cs="Arial"/>
                <w:sz w:val="20"/>
                <w:szCs w:val="20"/>
                <w:lang w:val="pt-BR" w:eastAsia="zh-CN" w:bidi="ar"/>
              </w:rPr>
              <w:t xml:space="preserve"> - ANEXO A ESCOLA </w:t>
            </w:r>
            <w:r>
              <w:rPr>
                <w:rFonts w:ascii="Arial" w:hAnsi="Arial" w:cs="Arial"/>
                <w:sz w:val="20"/>
                <w:szCs w:val="20"/>
                <w:lang w:eastAsia="zh-CN" w:bidi="ar"/>
              </w:rPr>
              <w:t>VALMOR COPATI</w:t>
            </w:r>
          </w:p>
        </w:tc>
        <w:tc>
          <w:tcPr>
            <w:tcW w:w="1418" w:type="dxa"/>
            <w:shd w:val="clear" w:color="auto" w:fill="auto"/>
            <w:noWrap w:val="0"/>
            <w:vAlign w:val="center"/>
          </w:tcPr>
          <w:p w14:paraId="75F44649">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highlight w:val="yellow"/>
                <w:lang w:val="pt-BR" w:eastAsia="zh-CN" w:bidi="ar"/>
              </w:rPr>
            </w:pPr>
            <w:r>
              <w:rPr>
                <w:rFonts w:ascii="Arial" w:hAnsi="Arial" w:eastAsia="SimSun" w:cs="Arial"/>
                <w:color w:val="000000"/>
                <w:sz w:val="20"/>
                <w:szCs w:val="20"/>
                <w:lang w:eastAsia="zh-CN" w:bidi="ar"/>
              </w:rPr>
              <w:t>25</w:t>
            </w:r>
          </w:p>
        </w:tc>
        <w:tc>
          <w:tcPr>
            <w:tcW w:w="1118" w:type="dxa"/>
            <w:shd w:val="clear" w:color="auto" w:fill="auto"/>
            <w:noWrap w:val="0"/>
            <w:vAlign w:val="center"/>
          </w:tcPr>
          <w:p w14:paraId="50915947">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highlight w:val="yellow"/>
                <w:lang w:val="pt-BR" w:eastAsia="zh-CN" w:bidi="ar"/>
              </w:rPr>
            </w:pPr>
            <w:r>
              <w:rPr>
                <w:rFonts w:ascii="Arial" w:hAnsi="Arial" w:eastAsia="SimSun" w:cs="Arial"/>
                <w:color w:val="000000"/>
                <w:sz w:val="20"/>
                <w:szCs w:val="20"/>
                <w:lang w:eastAsia="zh-CN" w:bidi="ar"/>
              </w:rPr>
              <w:t>0</w:t>
            </w:r>
          </w:p>
        </w:tc>
        <w:tc>
          <w:tcPr>
            <w:tcW w:w="1247" w:type="dxa"/>
            <w:shd w:val="clear" w:color="auto" w:fill="auto"/>
            <w:noWrap w:val="0"/>
            <w:vAlign w:val="center"/>
          </w:tcPr>
          <w:p w14:paraId="15938E38">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highlight w:val="yellow"/>
                <w:lang w:val="pt-BR" w:eastAsia="zh-CN" w:bidi="ar"/>
              </w:rPr>
            </w:pPr>
            <w:r>
              <w:rPr>
                <w:rFonts w:ascii="Arial" w:hAnsi="Arial" w:eastAsia="SimSun" w:cs="Arial"/>
                <w:color w:val="000000"/>
                <w:sz w:val="20"/>
                <w:szCs w:val="20"/>
                <w:lang w:eastAsia="zh-CN" w:bidi="ar"/>
              </w:rPr>
              <w:t>70</w:t>
            </w:r>
          </w:p>
        </w:tc>
        <w:tc>
          <w:tcPr>
            <w:tcW w:w="1134" w:type="dxa"/>
            <w:shd w:val="clear" w:color="auto" w:fill="auto"/>
            <w:noWrap w:val="0"/>
            <w:vAlign w:val="center"/>
          </w:tcPr>
          <w:p w14:paraId="70EF5D5B">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highlight w:val="yellow"/>
                <w:lang w:val="pt-BR" w:eastAsia="zh-CN" w:bidi="ar"/>
              </w:rPr>
            </w:pPr>
            <w:r>
              <w:rPr>
                <w:rFonts w:ascii="Arial" w:hAnsi="Arial" w:eastAsia="SimSun" w:cs="Arial"/>
                <w:color w:val="000000"/>
                <w:sz w:val="20"/>
                <w:szCs w:val="20"/>
                <w:lang w:eastAsia="zh-CN" w:bidi="ar"/>
              </w:rPr>
              <w:t>0</w:t>
            </w:r>
          </w:p>
        </w:tc>
        <w:tc>
          <w:tcPr>
            <w:tcW w:w="1218" w:type="dxa"/>
            <w:shd w:val="clear" w:color="auto" w:fill="auto"/>
            <w:noWrap w:val="0"/>
            <w:vAlign w:val="center"/>
          </w:tcPr>
          <w:p w14:paraId="088992DC">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highlight w:val="yellow"/>
                <w:lang w:val="pt-BR" w:eastAsia="zh-CN" w:bidi="ar"/>
              </w:rPr>
            </w:pPr>
            <w:r>
              <w:rPr>
                <w:rFonts w:ascii="Arial" w:hAnsi="Arial" w:eastAsia="SimSun" w:cs="Arial"/>
                <w:color w:val="000000"/>
                <w:sz w:val="20"/>
                <w:szCs w:val="20"/>
                <w:lang w:eastAsia="zh-CN" w:bidi="ar"/>
              </w:rPr>
              <w:t>95</w:t>
            </w:r>
          </w:p>
        </w:tc>
      </w:tr>
      <w:tr w14:paraId="0F8855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87" w:type="dxa"/>
            <w:vMerge w:val="continue"/>
            <w:shd w:val="clear" w:color="auto" w:fill="auto"/>
            <w:noWrap w:val="0"/>
            <w:vAlign w:val="center"/>
          </w:tcPr>
          <w:p w14:paraId="6521EE9F">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rPr>
                <w:rFonts w:ascii="Arial" w:hAnsi="Arial" w:eastAsia="Times New Roman" w:cs="Arial"/>
                <w:sz w:val="20"/>
                <w:szCs w:val="20"/>
                <w:lang w:val="pt-BR" w:eastAsia="zh-CN" w:bidi="ar-SA"/>
              </w:rPr>
            </w:pPr>
          </w:p>
        </w:tc>
        <w:tc>
          <w:tcPr>
            <w:tcW w:w="3466" w:type="dxa"/>
            <w:shd w:val="clear" w:color="auto" w:fill="auto"/>
            <w:noWrap w:val="0"/>
            <w:vAlign w:val="center"/>
          </w:tcPr>
          <w:p w14:paraId="26B0A988">
            <w:pPr>
              <w:keepNext w:val="0"/>
              <w:keepLines w:val="0"/>
              <w:pageBreakBefore w:val="0"/>
              <w:widowControl/>
              <w:kinsoku/>
              <w:wordWrap/>
              <w:overflowPunct/>
              <w:topLinePunct w:val="0"/>
              <w:autoSpaceDE/>
              <w:autoSpaceDN/>
              <w:bidi w:val="0"/>
              <w:adjustRightInd/>
              <w:snapToGrid/>
              <w:spacing w:after="0" w:line="240" w:lineRule="auto"/>
              <w:ind w:hanging="1"/>
              <w:jc w:val="both"/>
              <w:textAlignment w:val="auto"/>
              <w:rPr>
                <w:rFonts w:ascii="Arial" w:hAnsi="Arial" w:eastAsia="Times New Roman" w:cs="Arial"/>
                <w:sz w:val="20"/>
                <w:szCs w:val="20"/>
                <w:lang w:val="pt-BR" w:eastAsia="zh-CN" w:bidi="ar-SA"/>
              </w:rPr>
            </w:pPr>
            <w:r>
              <w:rPr>
                <w:rFonts w:hint="default" w:ascii="Arial" w:hAnsi="Arial" w:cs="Arial"/>
                <w:sz w:val="20"/>
                <w:szCs w:val="20"/>
                <w:lang w:val="pt-BR" w:eastAsia="zh-CN" w:bidi="ar"/>
              </w:rPr>
              <w:t xml:space="preserve">SALAS DA </w:t>
            </w:r>
            <w:r>
              <w:rPr>
                <w:rFonts w:ascii="Arial" w:hAnsi="Arial" w:cs="Arial"/>
                <w:sz w:val="20"/>
                <w:szCs w:val="20"/>
                <w:lang w:val="en-US" w:eastAsia="zh-CN" w:bidi="ar"/>
              </w:rPr>
              <w:t>EMEI PALMIRA MACHADO MENEGAZZO</w:t>
            </w:r>
            <w:r>
              <w:rPr>
                <w:rFonts w:hint="default" w:ascii="Arial" w:hAnsi="Arial" w:cs="Arial"/>
                <w:sz w:val="20"/>
                <w:szCs w:val="20"/>
                <w:lang w:val="pt-BR" w:eastAsia="zh-CN" w:bidi="ar"/>
              </w:rPr>
              <w:t xml:space="preserve"> -  ANEXO A </w:t>
            </w:r>
            <w:r>
              <w:rPr>
                <w:rFonts w:ascii="Arial" w:hAnsi="Arial" w:cs="Arial"/>
                <w:sz w:val="20"/>
                <w:szCs w:val="20"/>
                <w:lang w:eastAsia="zh-CN" w:bidi="ar"/>
              </w:rPr>
              <w:t>ESCOLA ESTADUAL CARLOS DRUMMOND DE ANDRADE</w:t>
            </w:r>
          </w:p>
        </w:tc>
        <w:tc>
          <w:tcPr>
            <w:tcW w:w="1418" w:type="dxa"/>
            <w:shd w:val="clear" w:color="auto" w:fill="auto"/>
            <w:noWrap w:val="0"/>
            <w:vAlign w:val="center"/>
          </w:tcPr>
          <w:p w14:paraId="6D65EB31">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highlight w:val="yellow"/>
                <w:lang w:val="pt-BR" w:eastAsia="zh-CN" w:bidi="ar-SA"/>
              </w:rPr>
            </w:pPr>
            <w:r>
              <w:rPr>
                <w:rFonts w:ascii="Arial" w:hAnsi="Arial" w:eastAsia="SimSun" w:cs="Arial"/>
                <w:color w:val="000000"/>
                <w:sz w:val="20"/>
                <w:szCs w:val="20"/>
                <w:lang w:eastAsia="zh-CN" w:bidi="ar"/>
              </w:rPr>
              <w:t>25</w:t>
            </w:r>
          </w:p>
        </w:tc>
        <w:tc>
          <w:tcPr>
            <w:tcW w:w="1118" w:type="dxa"/>
            <w:shd w:val="clear" w:color="auto" w:fill="auto"/>
            <w:noWrap w:val="0"/>
            <w:vAlign w:val="center"/>
          </w:tcPr>
          <w:p w14:paraId="2B4F1D67">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highlight w:val="yellow"/>
                <w:lang w:val="pt-BR" w:eastAsia="zh-CN" w:bidi="ar-SA"/>
              </w:rPr>
            </w:pPr>
            <w:r>
              <w:rPr>
                <w:rFonts w:ascii="Arial" w:hAnsi="Arial" w:eastAsia="SimSun" w:cs="Arial"/>
                <w:color w:val="000000"/>
                <w:sz w:val="20"/>
                <w:szCs w:val="20"/>
                <w:lang w:eastAsia="zh-CN" w:bidi="ar"/>
              </w:rPr>
              <w:t>0</w:t>
            </w:r>
          </w:p>
        </w:tc>
        <w:tc>
          <w:tcPr>
            <w:tcW w:w="1247" w:type="dxa"/>
            <w:shd w:val="clear" w:color="auto" w:fill="auto"/>
            <w:noWrap w:val="0"/>
            <w:vAlign w:val="center"/>
          </w:tcPr>
          <w:p w14:paraId="4AEE01E1">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highlight w:val="yellow"/>
                <w:lang w:val="pt-BR" w:eastAsia="zh-CN" w:bidi="ar-SA"/>
              </w:rPr>
            </w:pPr>
            <w:r>
              <w:rPr>
                <w:rFonts w:ascii="Arial" w:hAnsi="Arial" w:eastAsia="SimSun" w:cs="Arial"/>
                <w:color w:val="000000"/>
                <w:sz w:val="20"/>
                <w:szCs w:val="20"/>
                <w:lang w:eastAsia="zh-CN" w:bidi="ar"/>
              </w:rPr>
              <w:t>120</w:t>
            </w:r>
          </w:p>
        </w:tc>
        <w:tc>
          <w:tcPr>
            <w:tcW w:w="1134" w:type="dxa"/>
            <w:shd w:val="clear" w:color="auto" w:fill="auto"/>
            <w:noWrap w:val="0"/>
            <w:vAlign w:val="center"/>
          </w:tcPr>
          <w:p w14:paraId="6A8D8682">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highlight w:val="yellow"/>
                <w:lang w:val="pt-BR" w:eastAsia="zh-CN" w:bidi="ar-SA"/>
              </w:rPr>
            </w:pPr>
            <w:r>
              <w:rPr>
                <w:rFonts w:ascii="Arial" w:hAnsi="Arial" w:eastAsia="SimSun" w:cs="Arial"/>
                <w:color w:val="000000"/>
                <w:sz w:val="20"/>
                <w:szCs w:val="20"/>
                <w:lang w:eastAsia="zh-CN" w:bidi="ar"/>
              </w:rPr>
              <w:t>0</w:t>
            </w:r>
          </w:p>
        </w:tc>
        <w:tc>
          <w:tcPr>
            <w:tcW w:w="1218" w:type="dxa"/>
            <w:shd w:val="clear" w:color="auto" w:fill="auto"/>
            <w:noWrap w:val="0"/>
            <w:vAlign w:val="center"/>
          </w:tcPr>
          <w:p w14:paraId="5F1E0AA6">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highlight w:val="yellow"/>
                <w:lang w:val="pt-BR" w:eastAsia="zh-CN" w:bidi="ar-SA"/>
              </w:rPr>
            </w:pPr>
            <w:r>
              <w:rPr>
                <w:rFonts w:ascii="Arial" w:hAnsi="Arial" w:eastAsia="SimSun" w:cs="Arial"/>
                <w:color w:val="000000"/>
                <w:sz w:val="20"/>
                <w:szCs w:val="20"/>
                <w:lang w:eastAsia="zh-CN" w:bidi="ar"/>
              </w:rPr>
              <w:t>145</w:t>
            </w:r>
          </w:p>
        </w:tc>
      </w:tr>
      <w:tr w14:paraId="03C57ED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87" w:type="dxa"/>
            <w:shd w:val="clear" w:color="auto" w:fill="auto"/>
            <w:noWrap w:val="0"/>
            <w:vAlign w:val="center"/>
          </w:tcPr>
          <w:p w14:paraId="777BD689">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27</w:t>
            </w:r>
          </w:p>
        </w:tc>
        <w:tc>
          <w:tcPr>
            <w:tcW w:w="3466" w:type="dxa"/>
            <w:shd w:val="clear" w:color="auto" w:fill="auto"/>
            <w:noWrap w:val="0"/>
            <w:vAlign w:val="center"/>
          </w:tcPr>
          <w:p w14:paraId="24AB5E97">
            <w:pPr>
              <w:keepNext w:val="0"/>
              <w:keepLines w:val="0"/>
              <w:pageBreakBefore w:val="0"/>
              <w:widowControl/>
              <w:kinsoku/>
              <w:wordWrap/>
              <w:overflowPunct/>
              <w:topLinePunct w:val="0"/>
              <w:autoSpaceDE/>
              <w:autoSpaceDN/>
              <w:bidi w:val="0"/>
              <w:adjustRightInd/>
              <w:snapToGrid/>
              <w:spacing w:after="0" w:line="240" w:lineRule="auto"/>
              <w:ind w:hanging="1"/>
              <w:jc w:val="both"/>
              <w:rPr>
                <w:rFonts w:hint="default" w:ascii="Arial" w:hAnsi="Arial" w:eastAsia="Times New Roman" w:cs="Arial"/>
                <w:sz w:val="20"/>
                <w:szCs w:val="20"/>
                <w:lang w:val="pt-BR" w:eastAsia="zh-CN" w:bidi="ar-SA"/>
              </w:rPr>
            </w:pPr>
            <w:r>
              <w:rPr>
                <w:rFonts w:ascii="Arial" w:hAnsi="Arial" w:cs="Arial"/>
                <w:sz w:val="20"/>
                <w:szCs w:val="20"/>
                <w:lang w:val="en-US" w:eastAsia="zh-CN" w:bidi="ar"/>
              </w:rPr>
              <w:t xml:space="preserve">EMEI </w:t>
            </w:r>
            <w:r>
              <w:rPr>
                <w:rFonts w:hint="default" w:ascii="Arial" w:hAnsi="Arial" w:cs="Arial"/>
                <w:sz w:val="20"/>
                <w:szCs w:val="20"/>
                <w:lang w:val="pt-BR" w:eastAsia="zh-CN" w:bidi="ar"/>
              </w:rPr>
              <w:t xml:space="preserve">CLARICE ALVES CORREA DOS SANTOS </w:t>
            </w:r>
          </w:p>
        </w:tc>
        <w:tc>
          <w:tcPr>
            <w:tcW w:w="1418" w:type="dxa"/>
            <w:shd w:val="clear" w:color="auto" w:fill="auto"/>
            <w:noWrap w:val="0"/>
            <w:vAlign w:val="center"/>
          </w:tcPr>
          <w:p w14:paraId="723C44C7">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250</w:t>
            </w:r>
          </w:p>
        </w:tc>
        <w:tc>
          <w:tcPr>
            <w:tcW w:w="1118" w:type="dxa"/>
            <w:shd w:val="clear" w:color="auto" w:fill="auto"/>
            <w:noWrap w:val="0"/>
            <w:vAlign w:val="center"/>
          </w:tcPr>
          <w:p w14:paraId="4100B2F6">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47" w:type="dxa"/>
            <w:shd w:val="clear" w:color="auto" w:fill="auto"/>
            <w:noWrap w:val="0"/>
            <w:vAlign w:val="center"/>
          </w:tcPr>
          <w:p w14:paraId="2DCF1331">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134" w:type="dxa"/>
            <w:shd w:val="clear" w:color="auto" w:fill="auto"/>
            <w:noWrap w:val="0"/>
            <w:vAlign w:val="center"/>
          </w:tcPr>
          <w:p w14:paraId="6F7BC6D3">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18" w:type="dxa"/>
            <w:shd w:val="clear" w:color="auto" w:fill="auto"/>
            <w:noWrap w:val="0"/>
            <w:vAlign w:val="center"/>
          </w:tcPr>
          <w:p w14:paraId="45D7D57D">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250</w:t>
            </w:r>
          </w:p>
        </w:tc>
      </w:tr>
      <w:tr w14:paraId="128DD9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87" w:type="dxa"/>
            <w:shd w:val="clear" w:color="auto" w:fill="auto"/>
            <w:noWrap w:val="0"/>
            <w:vAlign w:val="center"/>
          </w:tcPr>
          <w:p w14:paraId="3B347DE2">
            <w:pPr>
              <w:keepNext w:val="0"/>
              <w:keepLines w:val="0"/>
              <w:pageBreakBefore w:val="0"/>
              <w:widowControl/>
              <w:kinsoku/>
              <w:wordWrap/>
              <w:overflowPunct/>
              <w:topLinePunct w:val="0"/>
              <w:autoSpaceDE/>
              <w:autoSpaceDN/>
              <w:bidi w:val="0"/>
              <w:adjustRightInd/>
              <w:snapToGrid/>
              <w:spacing w:after="0" w:line="240" w:lineRule="auto"/>
              <w:ind w:firstLine="0"/>
              <w:jc w:val="center"/>
              <w:rPr>
                <w:rFonts w:hint="default" w:ascii="Arial" w:hAnsi="Arial" w:cs="Arial"/>
                <w:sz w:val="20"/>
                <w:szCs w:val="20"/>
                <w:lang w:val="pt-BR"/>
              </w:rPr>
            </w:pPr>
            <w:r>
              <w:rPr>
                <w:rFonts w:hint="default" w:ascii="Arial" w:hAnsi="Arial" w:cs="Arial"/>
                <w:sz w:val="20"/>
                <w:szCs w:val="20"/>
                <w:lang w:val="pt-BR" w:eastAsia="zh-CN" w:bidi="ar"/>
              </w:rPr>
              <w:t>28</w:t>
            </w:r>
          </w:p>
        </w:tc>
        <w:tc>
          <w:tcPr>
            <w:tcW w:w="3466" w:type="dxa"/>
            <w:shd w:val="clear" w:color="auto" w:fill="auto"/>
            <w:noWrap w:val="0"/>
            <w:vAlign w:val="top"/>
          </w:tcPr>
          <w:p w14:paraId="597FAC48">
            <w:pPr>
              <w:keepNext w:val="0"/>
              <w:keepLines w:val="0"/>
              <w:pageBreakBefore w:val="0"/>
              <w:widowControl/>
              <w:kinsoku/>
              <w:wordWrap/>
              <w:overflowPunct/>
              <w:topLinePunct w:val="0"/>
              <w:autoSpaceDE/>
              <w:autoSpaceDN/>
              <w:bidi w:val="0"/>
              <w:adjustRightInd/>
              <w:snapToGrid/>
              <w:spacing w:after="0" w:line="240" w:lineRule="auto"/>
              <w:ind w:firstLine="0"/>
              <w:jc w:val="both"/>
              <w:rPr>
                <w:rFonts w:ascii="Arial" w:hAnsi="Arial" w:cs="Arial"/>
                <w:sz w:val="20"/>
                <w:szCs w:val="20"/>
              </w:rPr>
            </w:pPr>
            <w:r>
              <w:rPr>
                <w:rFonts w:ascii="Arial" w:hAnsi="Arial" w:cs="Arial"/>
                <w:sz w:val="20"/>
                <w:szCs w:val="20"/>
                <w:lang w:eastAsia="zh-CN" w:bidi="ar"/>
              </w:rPr>
              <w:t>EMEB BASILIANO DO CARMO DE JESUS</w:t>
            </w:r>
          </w:p>
        </w:tc>
        <w:tc>
          <w:tcPr>
            <w:tcW w:w="1418" w:type="dxa"/>
            <w:shd w:val="clear" w:color="auto" w:fill="auto"/>
            <w:noWrap w:val="0"/>
            <w:vAlign w:val="center"/>
          </w:tcPr>
          <w:p w14:paraId="25C5A534">
            <w:pPr>
              <w:keepNext w:val="0"/>
              <w:keepLines w:val="0"/>
              <w:pageBreakBefore w:val="0"/>
              <w:widowControl/>
              <w:kinsoku/>
              <w:wordWrap/>
              <w:overflowPunct/>
              <w:topLinePunct w:val="0"/>
              <w:autoSpaceDE/>
              <w:autoSpaceDN/>
              <w:bidi w:val="0"/>
              <w:adjustRightInd/>
              <w:snapToGrid/>
              <w:spacing w:after="0" w:line="240" w:lineRule="auto"/>
              <w:ind w:firstLine="0"/>
              <w:jc w:val="center"/>
              <w:textAlignment w:val="center"/>
              <w:rPr>
                <w:rFonts w:ascii="Arial" w:hAnsi="Arial" w:cs="Arial"/>
                <w:sz w:val="20"/>
                <w:szCs w:val="20"/>
              </w:rPr>
            </w:pPr>
            <w:r>
              <w:rPr>
                <w:rFonts w:ascii="Arial" w:hAnsi="Arial" w:eastAsia="SimSun" w:cs="Arial"/>
                <w:color w:val="000000"/>
                <w:sz w:val="20"/>
                <w:szCs w:val="20"/>
                <w:lang w:eastAsia="zh-CN" w:bidi="ar"/>
              </w:rPr>
              <w:t>0</w:t>
            </w:r>
          </w:p>
        </w:tc>
        <w:tc>
          <w:tcPr>
            <w:tcW w:w="1118" w:type="dxa"/>
            <w:shd w:val="clear" w:color="auto" w:fill="auto"/>
            <w:noWrap w:val="0"/>
            <w:vAlign w:val="center"/>
          </w:tcPr>
          <w:p w14:paraId="02101F47">
            <w:pPr>
              <w:keepNext w:val="0"/>
              <w:keepLines w:val="0"/>
              <w:pageBreakBefore w:val="0"/>
              <w:widowControl/>
              <w:kinsoku/>
              <w:wordWrap/>
              <w:overflowPunct/>
              <w:topLinePunct w:val="0"/>
              <w:autoSpaceDE/>
              <w:autoSpaceDN/>
              <w:bidi w:val="0"/>
              <w:adjustRightInd/>
              <w:snapToGrid/>
              <w:spacing w:after="0" w:line="240" w:lineRule="auto"/>
              <w:ind w:firstLine="0"/>
              <w:jc w:val="center"/>
              <w:textAlignment w:val="center"/>
              <w:rPr>
                <w:rFonts w:ascii="Arial" w:hAnsi="Arial" w:cs="Arial"/>
                <w:sz w:val="20"/>
                <w:szCs w:val="20"/>
              </w:rPr>
            </w:pPr>
            <w:r>
              <w:rPr>
                <w:rFonts w:ascii="Arial" w:hAnsi="Arial" w:eastAsia="SimSun" w:cs="Arial"/>
                <w:color w:val="000000"/>
                <w:sz w:val="20"/>
                <w:szCs w:val="20"/>
                <w:lang w:eastAsia="zh-CN" w:bidi="ar"/>
              </w:rPr>
              <w:t>0</w:t>
            </w:r>
          </w:p>
        </w:tc>
        <w:tc>
          <w:tcPr>
            <w:tcW w:w="1247" w:type="dxa"/>
            <w:shd w:val="clear" w:color="auto" w:fill="auto"/>
            <w:noWrap w:val="0"/>
            <w:vAlign w:val="center"/>
          </w:tcPr>
          <w:p w14:paraId="6D1673CF">
            <w:pPr>
              <w:keepNext w:val="0"/>
              <w:keepLines w:val="0"/>
              <w:pageBreakBefore w:val="0"/>
              <w:widowControl/>
              <w:kinsoku/>
              <w:wordWrap/>
              <w:overflowPunct/>
              <w:topLinePunct w:val="0"/>
              <w:autoSpaceDE/>
              <w:autoSpaceDN/>
              <w:bidi w:val="0"/>
              <w:adjustRightInd/>
              <w:snapToGrid/>
              <w:spacing w:after="0" w:line="240" w:lineRule="auto"/>
              <w:ind w:firstLine="0"/>
              <w:jc w:val="center"/>
              <w:textAlignment w:val="center"/>
              <w:rPr>
                <w:rFonts w:ascii="Arial" w:hAnsi="Arial" w:cs="Arial"/>
                <w:sz w:val="20"/>
                <w:szCs w:val="20"/>
              </w:rPr>
            </w:pPr>
            <w:r>
              <w:rPr>
                <w:rFonts w:ascii="Arial" w:hAnsi="Arial" w:eastAsia="SimSun" w:cs="Arial"/>
                <w:color w:val="000000"/>
                <w:sz w:val="20"/>
                <w:szCs w:val="20"/>
                <w:lang w:eastAsia="zh-CN" w:bidi="ar"/>
              </w:rPr>
              <w:t>992</w:t>
            </w:r>
          </w:p>
        </w:tc>
        <w:tc>
          <w:tcPr>
            <w:tcW w:w="1134" w:type="dxa"/>
            <w:shd w:val="clear" w:color="auto" w:fill="auto"/>
            <w:noWrap w:val="0"/>
            <w:vAlign w:val="center"/>
          </w:tcPr>
          <w:p w14:paraId="0C3F60CA">
            <w:pPr>
              <w:keepNext w:val="0"/>
              <w:keepLines w:val="0"/>
              <w:pageBreakBefore w:val="0"/>
              <w:widowControl/>
              <w:kinsoku/>
              <w:wordWrap/>
              <w:overflowPunct/>
              <w:topLinePunct w:val="0"/>
              <w:autoSpaceDE/>
              <w:autoSpaceDN/>
              <w:bidi w:val="0"/>
              <w:adjustRightInd/>
              <w:snapToGrid/>
              <w:spacing w:after="0" w:line="240" w:lineRule="auto"/>
              <w:ind w:firstLine="0"/>
              <w:jc w:val="center"/>
              <w:textAlignment w:val="center"/>
              <w:rPr>
                <w:rFonts w:ascii="Arial" w:hAnsi="Arial" w:cs="Arial"/>
                <w:sz w:val="20"/>
                <w:szCs w:val="20"/>
              </w:rPr>
            </w:pPr>
            <w:r>
              <w:rPr>
                <w:rFonts w:ascii="Arial" w:hAnsi="Arial" w:eastAsia="SimSun" w:cs="Arial"/>
                <w:color w:val="000000"/>
                <w:sz w:val="20"/>
                <w:szCs w:val="20"/>
                <w:lang w:eastAsia="zh-CN" w:bidi="ar"/>
              </w:rPr>
              <w:t>0</w:t>
            </w:r>
          </w:p>
        </w:tc>
        <w:tc>
          <w:tcPr>
            <w:tcW w:w="1218" w:type="dxa"/>
            <w:shd w:val="clear" w:color="auto" w:fill="auto"/>
            <w:noWrap w:val="0"/>
            <w:vAlign w:val="center"/>
          </w:tcPr>
          <w:p w14:paraId="5BFAB661">
            <w:pPr>
              <w:keepNext w:val="0"/>
              <w:keepLines w:val="0"/>
              <w:pageBreakBefore w:val="0"/>
              <w:widowControl/>
              <w:kinsoku/>
              <w:wordWrap/>
              <w:overflowPunct/>
              <w:topLinePunct w:val="0"/>
              <w:autoSpaceDE/>
              <w:autoSpaceDN/>
              <w:bidi w:val="0"/>
              <w:adjustRightInd/>
              <w:snapToGrid/>
              <w:spacing w:after="0" w:line="240" w:lineRule="auto"/>
              <w:ind w:firstLine="0"/>
              <w:jc w:val="center"/>
              <w:textAlignment w:val="center"/>
              <w:rPr>
                <w:rFonts w:ascii="Arial" w:hAnsi="Arial" w:cs="Arial"/>
                <w:sz w:val="20"/>
                <w:szCs w:val="20"/>
              </w:rPr>
            </w:pPr>
            <w:r>
              <w:rPr>
                <w:rFonts w:ascii="Arial" w:hAnsi="Arial" w:eastAsia="SimSun" w:cs="Arial"/>
                <w:color w:val="000000"/>
                <w:sz w:val="20"/>
                <w:szCs w:val="20"/>
                <w:lang w:eastAsia="zh-CN" w:bidi="ar"/>
              </w:rPr>
              <w:t>992</w:t>
            </w:r>
          </w:p>
        </w:tc>
      </w:tr>
      <w:tr w14:paraId="6B9E6F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87" w:type="dxa"/>
            <w:shd w:val="clear" w:color="auto" w:fill="auto"/>
            <w:noWrap w:val="0"/>
            <w:vAlign w:val="center"/>
          </w:tcPr>
          <w:p w14:paraId="675BBBB6">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29</w:t>
            </w:r>
          </w:p>
        </w:tc>
        <w:tc>
          <w:tcPr>
            <w:tcW w:w="3466" w:type="dxa"/>
            <w:shd w:val="clear" w:color="auto" w:fill="auto"/>
            <w:noWrap w:val="0"/>
            <w:vAlign w:val="top"/>
          </w:tcPr>
          <w:p w14:paraId="31002359">
            <w:pPr>
              <w:keepNext w:val="0"/>
              <w:keepLines w:val="0"/>
              <w:pageBreakBefore w:val="0"/>
              <w:widowControl/>
              <w:kinsoku/>
              <w:wordWrap/>
              <w:overflowPunct/>
              <w:topLinePunct w:val="0"/>
              <w:autoSpaceDE/>
              <w:autoSpaceDN/>
              <w:bidi w:val="0"/>
              <w:adjustRightInd/>
              <w:snapToGrid/>
              <w:spacing w:after="0" w:line="240" w:lineRule="auto"/>
              <w:ind w:firstLine="0" w:firstLineChars="0"/>
              <w:jc w:val="both"/>
              <w:rPr>
                <w:rFonts w:ascii="Arial" w:hAnsi="Arial" w:eastAsia="Times New Roman" w:cs="Arial"/>
                <w:sz w:val="20"/>
                <w:szCs w:val="20"/>
                <w:lang w:val="pt-BR" w:eastAsia="zh-CN" w:bidi="ar-SA"/>
              </w:rPr>
            </w:pPr>
            <w:r>
              <w:rPr>
                <w:rFonts w:ascii="Arial" w:hAnsi="Arial" w:cs="Arial"/>
                <w:sz w:val="20"/>
                <w:szCs w:val="20"/>
                <w:lang w:eastAsia="zh-CN" w:bidi="ar"/>
              </w:rPr>
              <w:t>EMEI PEQUENO PRÍNCIPE</w:t>
            </w:r>
          </w:p>
        </w:tc>
        <w:tc>
          <w:tcPr>
            <w:tcW w:w="1418" w:type="dxa"/>
            <w:shd w:val="clear" w:color="auto" w:fill="auto"/>
            <w:noWrap w:val="0"/>
            <w:vAlign w:val="center"/>
          </w:tcPr>
          <w:p w14:paraId="7110EA2C">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400</w:t>
            </w:r>
          </w:p>
        </w:tc>
        <w:tc>
          <w:tcPr>
            <w:tcW w:w="1118" w:type="dxa"/>
            <w:shd w:val="clear" w:color="auto" w:fill="auto"/>
            <w:noWrap w:val="0"/>
            <w:vAlign w:val="center"/>
          </w:tcPr>
          <w:p w14:paraId="63E1AE4A">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47" w:type="dxa"/>
            <w:shd w:val="clear" w:color="auto" w:fill="auto"/>
            <w:noWrap w:val="0"/>
            <w:vAlign w:val="center"/>
          </w:tcPr>
          <w:p w14:paraId="45541FBE">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134" w:type="dxa"/>
            <w:shd w:val="clear" w:color="auto" w:fill="auto"/>
            <w:noWrap w:val="0"/>
            <w:vAlign w:val="center"/>
          </w:tcPr>
          <w:p w14:paraId="37105B3D">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18" w:type="dxa"/>
            <w:shd w:val="clear" w:color="auto" w:fill="auto"/>
            <w:noWrap w:val="0"/>
            <w:vAlign w:val="center"/>
          </w:tcPr>
          <w:p w14:paraId="77FE17DA">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400</w:t>
            </w:r>
          </w:p>
        </w:tc>
      </w:tr>
      <w:tr w14:paraId="569997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87" w:type="dxa"/>
            <w:shd w:val="clear" w:color="auto" w:fill="auto"/>
            <w:noWrap w:val="0"/>
            <w:vAlign w:val="center"/>
          </w:tcPr>
          <w:p w14:paraId="04443FDB">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30</w:t>
            </w:r>
          </w:p>
        </w:tc>
        <w:tc>
          <w:tcPr>
            <w:tcW w:w="3466" w:type="dxa"/>
            <w:shd w:val="clear" w:color="auto" w:fill="auto"/>
            <w:noWrap w:val="0"/>
            <w:vAlign w:val="top"/>
          </w:tcPr>
          <w:p w14:paraId="023E8BFD">
            <w:pPr>
              <w:keepNext w:val="0"/>
              <w:keepLines w:val="0"/>
              <w:pageBreakBefore w:val="0"/>
              <w:widowControl/>
              <w:kinsoku/>
              <w:wordWrap/>
              <w:overflowPunct/>
              <w:topLinePunct w:val="0"/>
              <w:autoSpaceDE/>
              <w:autoSpaceDN/>
              <w:bidi w:val="0"/>
              <w:adjustRightInd/>
              <w:snapToGrid/>
              <w:spacing w:after="0" w:line="240" w:lineRule="auto"/>
              <w:ind w:firstLine="0" w:firstLineChars="0"/>
              <w:jc w:val="both"/>
              <w:rPr>
                <w:rFonts w:ascii="Arial" w:hAnsi="Arial" w:eastAsia="Times New Roman" w:cs="Arial"/>
                <w:sz w:val="20"/>
                <w:szCs w:val="20"/>
                <w:lang w:val="pt-BR" w:eastAsia="zh-CN" w:bidi="ar-SA"/>
              </w:rPr>
            </w:pPr>
            <w:r>
              <w:rPr>
                <w:rFonts w:ascii="Arial" w:hAnsi="Arial" w:cs="Arial"/>
                <w:sz w:val="20"/>
                <w:szCs w:val="20"/>
                <w:lang w:eastAsia="zh-CN" w:bidi="ar"/>
              </w:rPr>
              <w:t>EMEI TARSILA DO AMARAL</w:t>
            </w:r>
          </w:p>
        </w:tc>
        <w:tc>
          <w:tcPr>
            <w:tcW w:w="1418" w:type="dxa"/>
            <w:shd w:val="clear" w:color="auto" w:fill="auto"/>
            <w:noWrap w:val="0"/>
            <w:vAlign w:val="center"/>
          </w:tcPr>
          <w:p w14:paraId="69731361">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395</w:t>
            </w:r>
          </w:p>
        </w:tc>
        <w:tc>
          <w:tcPr>
            <w:tcW w:w="1118" w:type="dxa"/>
            <w:shd w:val="clear" w:color="auto" w:fill="auto"/>
            <w:noWrap w:val="0"/>
            <w:vAlign w:val="center"/>
          </w:tcPr>
          <w:p w14:paraId="5C555BC9">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47" w:type="dxa"/>
            <w:shd w:val="clear" w:color="auto" w:fill="auto"/>
            <w:noWrap w:val="0"/>
            <w:vAlign w:val="center"/>
          </w:tcPr>
          <w:p w14:paraId="58FF436F">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134" w:type="dxa"/>
            <w:shd w:val="clear" w:color="auto" w:fill="auto"/>
            <w:noWrap w:val="0"/>
            <w:vAlign w:val="center"/>
          </w:tcPr>
          <w:p w14:paraId="0BFCF8CA">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18" w:type="dxa"/>
            <w:shd w:val="clear" w:color="auto" w:fill="auto"/>
            <w:noWrap w:val="0"/>
            <w:vAlign w:val="center"/>
          </w:tcPr>
          <w:p w14:paraId="40768722">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395</w:t>
            </w:r>
          </w:p>
        </w:tc>
      </w:tr>
      <w:tr w14:paraId="2ABAF39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87" w:type="dxa"/>
            <w:shd w:val="clear" w:color="auto" w:fill="auto"/>
            <w:noWrap w:val="0"/>
            <w:vAlign w:val="center"/>
          </w:tcPr>
          <w:p w14:paraId="4AED6081">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31</w:t>
            </w:r>
          </w:p>
        </w:tc>
        <w:tc>
          <w:tcPr>
            <w:tcW w:w="3466" w:type="dxa"/>
            <w:shd w:val="clear" w:color="auto" w:fill="auto"/>
            <w:noWrap w:val="0"/>
            <w:vAlign w:val="top"/>
          </w:tcPr>
          <w:p w14:paraId="17ED8E1D">
            <w:pPr>
              <w:keepNext w:val="0"/>
              <w:keepLines w:val="0"/>
              <w:pageBreakBefore w:val="0"/>
              <w:widowControl/>
              <w:kinsoku/>
              <w:wordWrap/>
              <w:overflowPunct/>
              <w:topLinePunct w:val="0"/>
              <w:autoSpaceDE/>
              <w:autoSpaceDN/>
              <w:bidi w:val="0"/>
              <w:adjustRightInd/>
              <w:snapToGrid/>
              <w:spacing w:after="0" w:line="240" w:lineRule="auto"/>
              <w:ind w:firstLine="0" w:firstLineChars="0"/>
              <w:jc w:val="both"/>
              <w:rPr>
                <w:rFonts w:ascii="Arial" w:hAnsi="Arial" w:eastAsia="Times New Roman" w:cs="Arial"/>
                <w:sz w:val="20"/>
                <w:szCs w:val="20"/>
                <w:lang w:val="pt-BR" w:eastAsia="zh-CN" w:bidi="ar-SA"/>
              </w:rPr>
            </w:pPr>
            <w:r>
              <w:rPr>
                <w:rFonts w:ascii="Arial" w:hAnsi="Arial" w:cs="Arial"/>
                <w:sz w:val="20"/>
                <w:szCs w:val="20"/>
                <w:lang w:eastAsia="zh-CN" w:bidi="ar"/>
              </w:rPr>
              <w:t>EMEB MONTEIRO LOBATO</w:t>
            </w:r>
          </w:p>
        </w:tc>
        <w:tc>
          <w:tcPr>
            <w:tcW w:w="1418" w:type="dxa"/>
            <w:shd w:val="clear" w:color="auto" w:fill="auto"/>
            <w:noWrap w:val="0"/>
            <w:vAlign w:val="center"/>
          </w:tcPr>
          <w:p w14:paraId="7954D223">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152</w:t>
            </w:r>
          </w:p>
        </w:tc>
        <w:tc>
          <w:tcPr>
            <w:tcW w:w="1118" w:type="dxa"/>
            <w:shd w:val="clear" w:color="auto" w:fill="auto"/>
            <w:noWrap w:val="0"/>
            <w:vAlign w:val="center"/>
          </w:tcPr>
          <w:p w14:paraId="2A534530">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47" w:type="dxa"/>
            <w:shd w:val="clear" w:color="auto" w:fill="auto"/>
            <w:noWrap w:val="0"/>
            <w:vAlign w:val="center"/>
          </w:tcPr>
          <w:p w14:paraId="00506D43">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156</w:t>
            </w:r>
          </w:p>
        </w:tc>
        <w:tc>
          <w:tcPr>
            <w:tcW w:w="1134" w:type="dxa"/>
            <w:shd w:val="clear" w:color="auto" w:fill="auto"/>
            <w:noWrap w:val="0"/>
            <w:vAlign w:val="center"/>
          </w:tcPr>
          <w:p w14:paraId="646CB906">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18" w:type="dxa"/>
            <w:shd w:val="clear" w:color="auto" w:fill="auto"/>
            <w:noWrap w:val="0"/>
            <w:vAlign w:val="center"/>
          </w:tcPr>
          <w:p w14:paraId="265EF0D8">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308</w:t>
            </w:r>
          </w:p>
        </w:tc>
      </w:tr>
      <w:tr w14:paraId="6EE4A14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87" w:type="dxa"/>
            <w:shd w:val="clear" w:color="auto" w:fill="auto"/>
            <w:noWrap w:val="0"/>
            <w:vAlign w:val="center"/>
          </w:tcPr>
          <w:p w14:paraId="606C3FB3">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32</w:t>
            </w:r>
          </w:p>
        </w:tc>
        <w:tc>
          <w:tcPr>
            <w:tcW w:w="3466" w:type="dxa"/>
            <w:shd w:val="clear" w:color="auto" w:fill="auto"/>
            <w:noWrap w:val="0"/>
            <w:vAlign w:val="top"/>
          </w:tcPr>
          <w:p w14:paraId="1B1B8381">
            <w:pPr>
              <w:keepNext w:val="0"/>
              <w:keepLines w:val="0"/>
              <w:pageBreakBefore w:val="0"/>
              <w:widowControl/>
              <w:kinsoku/>
              <w:wordWrap/>
              <w:overflowPunct/>
              <w:topLinePunct w:val="0"/>
              <w:autoSpaceDE/>
              <w:autoSpaceDN/>
              <w:bidi w:val="0"/>
              <w:adjustRightInd/>
              <w:snapToGrid/>
              <w:spacing w:after="0" w:line="240" w:lineRule="auto"/>
              <w:ind w:firstLine="0" w:firstLineChars="0"/>
              <w:jc w:val="both"/>
              <w:rPr>
                <w:rFonts w:ascii="Arial" w:hAnsi="Arial" w:eastAsia="Times New Roman" w:cs="Arial"/>
                <w:sz w:val="20"/>
                <w:szCs w:val="20"/>
                <w:lang w:val="pt-BR" w:eastAsia="zh-CN" w:bidi="ar-SA"/>
              </w:rPr>
            </w:pPr>
            <w:r>
              <w:rPr>
                <w:rFonts w:ascii="Arial" w:hAnsi="Arial" w:cs="Arial"/>
                <w:sz w:val="20"/>
                <w:szCs w:val="20"/>
                <w:lang w:eastAsia="zh-CN" w:bidi="ar"/>
              </w:rPr>
              <w:t>EMEI TEMPO DE INFÂNCIA</w:t>
            </w:r>
          </w:p>
        </w:tc>
        <w:tc>
          <w:tcPr>
            <w:tcW w:w="1418" w:type="dxa"/>
            <w:shd w:val="clear" w:color="auto" w:fill="auto"/>
            <w:noWrap w:val="0"/>
            <w:vAlign w:val="center"/>
          </w:tcPr>
          <w:p w14:paraId="48D29676">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495</w:t>
            </w:r>
          </w:p>
        </w:tc>
        <w:tc>
          <w:tcPr>
            <w:tcW w:w="1118" w:type="dxa"/>
            <w:shd w:val="clear" w:color="auto" w:fill="auto"/>
            <w:noWrap w:val="0"/>
            <w:vAlign w:val="center"/>
          </w:tcPr>
          <w:p w14:paraId="42E88424">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47" w:type="dxa"/>
            <w:shd w:val="clear" w:color="auto" w:fill="auto"/>
            <w:noWrap w:val="0"/>
            <w:vAlign w:val="center"/>
          </w:tcPr>
          <w:p w14:paraId="2C583555">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134" w:type="dxa"/>
            <w:shd w:val="clear" w:color="auto" w:fill="auto"/>
            <w:noWrap w:val="0"/>
            <w:vAlign w:val="center"/>
          </w:tcPr>
          <w:p w14:paraId="37F26F10">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18" w:type="dxa"/>
            <w:shd w:val="clear" w:color="auto" w:fill="auto"/>
            <w:noWrap w:val="0"/>
            <w:vAlign w:val="center"/>
          </w:tcPr>
          <w:p w14:paraId="455F36DD">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495</w:t>
            </w:r>
          </w:p>
        </w:tc>
      </w:tr>
      <w:tr w14:paraId="519BE8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87" w:type="dxa"/>
            <w:shd w:val="clear" w:color="auto" w:fill="auto"/>
            <w:noWrap w:val="0"/>
            <w:vAlign w:val="center"/>
          </w:tcPr>
          <w:p w14:paraId="00C9F3A0">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33</w:t>
            </w:r>
          </w:p>
        </w:tc>
        <w:tc>
          <w:tcPr>
            <w:tcW w:w="3466" w:type="dxa"/>
            <w:shd w:val="clear" w:color="auto" w:fill="auto"/>
            <w:noWrap w:val="0"/>
            <w:vAlign w:val="top"/>
          </w:tcPr>
          <w:p w14:paraId="27659F65">
            <w:pPr>
              <w:keepNext w:val="0"/>
              <w:keepLines w:val="0"/>
              <w:pageBreakBefore w:val="0"/>
              <w:widowControl/>
              <w:kinsoku/>
              <w:wordWrap/>
              <w:overflowPunct/>
              <w:topLinePunct w:val="0"/>
              <w:autoSpaceDE/>
              <w:autoSpaceDN/>
              <w:bidi w:val="0"/>
              <w:adjustRightInd/>
              <w:snapToGrid/>
              <w:spacing w:after="0" w:line="240" w:lineRule="auto"/>
              <w:ind w:firstLine="0" w:firstLineChars="0"/>
              <w:jc w:val="both"/>
              <w:rPr>
                <w:rFonts w:ascii="Arial" w:hAnsi="Arial" w:eastAsia="Times New Roman" w:cs="Arial"/>
                <w:sz w:val="20"/>
                <w:szCs w:val="20"/>
                <w:lang w:val="pt-BR" w:eastAsia="zh-CN" w:bidi="ar-SA"/>
              </w:rPr>
            </w:pPr>
            <w:r>
              <w:rPr>
                <w:rFonts w:ascii="Arial" w:hAnsi="Arial" w:cs="Arial"/>
                <w:sz w:val="20"/>
                <w:szCs w:val="20"/>
                <w:lang w:eastAsia="zh-CN" w:bidi="ar"/>
              </w:rPr>
              <w:t>EMEI GENTE FELIZ</w:t>
            </w:r>
          </w:p>
        </w:tc>
        <w:tc>
          <w:tcPr>
            <w:tcW w:w="1418" w:type="dxa"/>
            <w:shd w:val="clear" w:color="auto" w:fill="auto"/>
            <w:noWrap w:val="0"/>
            <w:vAlign w:val="center"/>
          </w:tcPr>
          <w:p w14:paraId="7104D493">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325</w:t>
            </w:r>
          </w:p>
        </w:tc>
        <w:tc>
          <w:tcPr>
            <w:tcW w:w="1118" w:type="dxa"/>
            <w:shd w:val="clear" w:color="auto" w:fill="auto"/>
            <w:noWrap w:val="0"/>
            <w:vAlign w:val="center"/>
          </w:tcPr>
          <w:p w14:paraId="7892AB06">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47" w:type="dxa"/>
            <w:shd w:val="clear" w:color="auto" w:fill="auto"/>
            <w:noWrap w:val="0"/>
            <w:vAlign w:val="center"/>
          </w:tcPr>
          <w:p w14:paraId="7D794ABF">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134" w:type="dxa"/>
            <w:shd w:val="clear" w:color="auto" w:fill="auto"/>
            <w:noWrap w:val="0"/>
            <w:vAlign w:val="center"/>
          </w:tcPr>
          <w:p w14:paraId="418F7A4C">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18" w:type="dxa"/>
            <w:shd w:val="clear" w:color="auto" w:fill="auto"/>
            <w:noWrap w:val="0"/>
            <w:vAlign w:val="center"/>
          </w:tcPr>
          <w:p w14:paraId="07916B2A">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325</w:t>
            </w:r>
          </w:p>
        </w:tc>
      </w:tr>
      <w:tr w14:paraId="12F5709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87" w:type="dxa"/>
            <w:shd w:val="clear" w:color="auto" w:fill="auto"/>
            <w:noWrap w:val="0"/>
            <w:vAlign w:val="center"/>
          </w:tcPr>
          <w:p w14:paraId="72E1CBCD">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34</w:t>
            </w:r>
          </w:p>
        </w:tc>
        <w:tc>
          <w:tcPr>
            <w:tcW w:w="3466" w:type="dxa"/>
            <w:shd w:val="clear" w:color="auto" w:fill="auto"/>
            <w:noWrap w:val="0"/>
            <w:vAlign w:val="top"/>
          </w:tcPr>
          <w:p w14:paraId="4E03DBA0">
            <w:pPr>
              <w:keepNext w:val="0"/>
              <w:keepLines w:val="0"/>
              <w:pageBreakBefore w:val="0"/>
              <w:widowControl/>
              <w:kinsoku/>
              <w:wordWrap/>
              <w:overflowPunct/>
              <w:topLinePunct w:val="0"/>
              <w:autoSpaceDE/>
              <w:autoSpaceDN/>
              <w:bidi w:val="0"/>
              <w:adjustRightInd/>
              <w:snapToGrid/>
              <w:spacing w:after="0" w:line="240" w:lineRule="auto"/>
              <w:ind w:firstLine="0" w:firstLineChars="0"/>
              <w:jc w:val="both"/>
              <w:rPr>
                <w:rFonts w:ascii="Arial" w:hAnsi="Arial" w:eastAsia="Times New Roman" w:cs="Arial"/>
                <w:sz w:val="20"/>
                <w:szCs w:val="20"/>
                <w:lang w:val="pt-BR" w:eastAsia="zh-CN" w:bidi="ar-SA"/>
              </w:rPr>
            </w:pPr>
            <w:r>
              <w:rPr>
                <w:rFonts w:ascii="Arial" w:hAnsi="Arial" w:cs="Arial"/>
                <w:sz w:val="20"/>
                <w:szCs w:val="20"/>
                <w:lang w:eastAsia="zh-CN" w:bidi="ar"/>
              </w:rPr>
              <w:t>EMEB PROF</w:t>
            </w:r>
            <w:r>
              <w:rPr>
                <w:rFonts w:hint="default" w:ascii="Arial" w:hAnsi="Arial" w:cs="Arial"/>
                <w:sz w:val="20"/>
                <w:szCs w:val="20"/>
                <w:lang w:val="pt-BR" w:eastAsia="zh-CN" w:bidi="ar"/>
              </w:rPr>
              <w:t>ESSORA</w:t>
            </w:r>
            <w:r>
              <w:rPr>
                <w:rFonts w:ascii="Arial" w:hAnsi="Arial" w:cs="Arial"/>
                <w:sz w:val="20"/>
                <w:szCs w:val="20"/>
                <w:lang w:eastAsia="zh-CN" w:bidi="ar"/>
              </w:rPr>
              <w:t xml:space="preserve"> LENI TERESINHA BENEDETTI</w:t>
            </w:r>
          </w:p>
        </w:tc>
        <w:tc>
          <w:tcPr>
            <w:tcW w:w="1418" w:type="dxa"/>
            <w:shd w:val="clear" w:color="auto" w:fill="auto"/>
            <w:noWrap w:val="0"/>
            <w:vAlign w:val="center"/>
          </w:tcPr>
          <w:p w14:paraId="66BADFCE">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118" w:type="dxa"/>
            <w:shd w:val="clear" w:color="auto" w:fill="auto"/>
            <w:noWrap w:val="0"/>
            <w:vAlign w:val="center"/>
          </w:tcPr>
          <w:p w14:paraId="57C1A73A">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47" w:type="dxa"/>
            <w:shd w:val="clear" w:color="auto" w:fill="auto"/>
            <w:noWrap w:val="0"/>
            <w:vAlign w:val="center"/>
          </w:tcPr>
          <w:p w14:paraId="12EDD865">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758</w:t>
            </w:r>
          </w:p>
        </w:tc>
        <w:tc>
          <w:tcPr>
            <w:tcW w:w="1134" w:type="dxa"/>
            <w:shd w:val="clear" w:color="auto" w:fill="auto"/>
            <w:noWrap w:val="0"/>
            <w:vAlign w:val="center"/>
          </w:tcPr>
          <w:p w14:paraId="07496A03">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18" w:type="dxa"/>
            <w:shd w:val="clear" w:color="auto" w:fill="auto"/>
            <w:noWrap w:val="0"/>
            <w:vAlign w:val="center"/>
          </w:tcPr>
          <w:p w14:paraId="482C9B01">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758</w:t>
            </w:r>
          </w:p>
        </w:tc>
      </w:tr>
      <w:tr w14:paraId="24FEDA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87" w:type="dxa"/>
            <w:shd w:val="clear" w:color="auto" w:fill="auto"/>
            <w:noWrap w:val="0"/>
            <w:vAlign w:val="center"/>
          </w:tcPr>
          <w:p w14:paraId="32F810B0">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35</w:t>
            </w:r>
          </w:p>
        </w:tc>
        <w:tc>
          <w:tcPr>
            <w:tcW w:w="3466" w:type="dxa"/>
            <w:shd w:val="clear" w:color="auto" w:fill="auto"/>
            <w:noWrap w:val="0"/>
            <w:vAlign w:val="top"/>
          </w:tcPr>
          <w:p w14:paraId="51B951C6">
            <w:pPr>
              <w:keepNext w:val="0"/>
              <w:keepLines w:val="0"/>
              <w:pageBreakBefore w:val="0"/>
              <w:widowControl/>
              <w:kinsoku/>
              <w:wordWrap/>
              <w:overflowPunct/>
              <w:topLinePunct w:val="0"/>
              <w:autoSpaceDE/>
              <w:autoSpaceDN/>
              <w:bidi w:val="0"/>
              <w:adjustRightInd/>
              <w:snapToGrid/>
              <w:spacing w:after="0" w:line="240" w:lineRule="auto"/>
              <w:ind w:firstLine="0" w:firstLineChars="0"/>
              <w:jc w:val="both"/>
              <w:rPr>
                <w:rFonts w:ascii="Arial" w:hAnsi="Arial" w:eastAsia="Times New Roman" w:cs="Arial"/>
                <w:sz w:val="20"/>
                <w:szCs w:val="20"/>
                <w:lang w:val="pt-BR" w:eastAsia="zh-CN" w:bidi="ar-SA"/>
              </w:rPr>
            </w:pPr>
            <w:r>
              <w:rPr>
                <w:rFonts w:ascii="Arial" w:hAnsi="Arial" w:cs="Arial"/>
                <w:sz w:val="20"/>
                <w:szCs w:val="20"/>
                <w:lang w:eastAsia="zh-CN" w:bidi="ar"/>
              </w:rPr>
              <w:t>EMEB PROF</w:t>
            </w:r>
            <w:r>
              <w:rPr>
                <w:rFonts w:hint="default" w:ascii="Arial" w:hAnsi="Arial" w:cs="Arial"/>
                <w:sz w:val="20"/>
                <w:szCs w:val="20"/>
                <w:lang w:val="pt-BR" w:eastAsia="zh-CN" w:bidi="ar"/>
              </w:rPr>
              <w:t>ESSORA</w:t>
            </w:r>
            <w:r>
              <w:rPr>
                <w:rFonts w:ascii="Arial" w:hAnsi="Arial" w:cs="Arial"/>
                <w:sz w:val="20"/>
                <w:szCs w:val="20"/>
                <w:lang w:eastAsia="zh-CN" w:bidi="ar"/>
              </w:rPr>
              <w:t xml:space="preserve"> TACIANA BALTH JORDÃO</w:t>
            </w:r>
          </w:p>
        </w:tc>
        <w:tc>
          <w:tcPr>
            <w:tcW w:w="1418" w:type="dxa"/>
            <w:shd w:val="clear" w:color="auto" w:fill="auto"/>
            <w:noWrap w:val="0"/>
            <w:vAlign w:val="center"/>
          </w:tcPr>
          <w:p w14:paraId="25D1DD88">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118" w:type="dxa"/>
            <w:shd w:val="clear" w:color="auto" w:fill="auto"/>
            <w:noWrap w:val="0"/>
            <w:vAlign w:val="center"/>
          </w:tcPr>
          <w:p w14:paraId="0FF3B800">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47" w:type="dxa"/>
            <w:shd w:val="clear" w:color="auto" w:fill="auto"/>
            <w:noWrap w:val="0"/>
            <w:vAlign w:val="center"/>
          </w:tcPr>
          <w:p w14:paraId="03519D79">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638</w:t>
            </w:r>
          </w:p>
        </w:tc>
        <w:tc>
          <w:tcPr>
            <w:tcW w:w="1134" w:type="dxa"/>
            <w:shd w:val="clear" w:color="auto" w:fill="auto"/>
            <w:noWrap w:val="0"/>
            <w:vAlign w:val="center"/>
          </w:tcPr>
          <w:p w14:paraId="13A2625C">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18" w:type="dxa"/>
            <w:shd w:val="clear" w:color="auto" w:fill="auto"/>
            <w:noWrap w:val="0"/>
            <w:vAlign w:val="center"/>
          </w:tcPr>
          <w:p w14:paraId="128F10E2">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638</w:t>
            </w:r>
          </w:p>
        </w:tc>
      </w:tr>
      <w:tr w14:paraId="2A7683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87" w:type="dxa"/>
            <w:shd w:val="clear" w:color="auto" w:fill="auto"/>
            <w:noWrap w:val="0"/>
            <w:vAlign w:val="center"/>
          </w:tcPr>
          <w:p w14:paraId="05761183">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36</w:t>
            </w:r>
          </w:p>
        </w:tc>
        <w:tc>
          <w:tcPr>
            <w:tcW w:w="3466" w:type="dxa"/>
            <w:shd w:val="clear" w:color="auto" w:fill="auto"/>
            <w:noWrap w:val="0"/>
            <w:vAlign w:val="top"/>
          </w:tcPr>
          <w:p w14:paraId="3A1B623C">
            <w:pPr>
              <w:keepNext w:val="0"/>
              <w:keepLines w:val="0"/>
              <w:pageBreakBefore w:val="0"/>
              <w:widowControl/>
              <w:kinsoku/>
              <w:wordWrap/>
              <w:overflowPunct/>
              <w:topLinePunct w:val="0"/>
              <w:autoSpaceDE/>
              <w:autoSpaceDN/>
              <w:bidi w:val="0"/>
              <w:adjustRightInd/>
              <w:snapToGrid/>
              <w:spacing w:after="0" w:line="240" w:lineRule="auto"/>
              <w:ind w:firstLine="0" w:firstLineChars="0"/>
              <w:jc w:val="both"/>
              <w:rPr>
                <w:rFonts w:ascii="Arial" w:hAnsi="Arial" w:eastAsia="Times New Roman" w:cs="Arial"/>
                <w:sz w:val="20"/>
                <w:szCs w:val="20"/>
                <w:lang w:val="pt-BR" w:eastAsia="zh-CN" w:bidi="ar-SA"/>
              </w:rPr>
            </w:pPr>
            <w:r>
              <w:rPr>
                <w:rFonts w:ascii="Arial" w:hAnsi="Arial" w:cs="Arial"/>
                <w:sz w:val="20"/>
                <w:szCs w:val="20"/>
                <w:lang w:eastAsia="zh-CN" w:bidi="ar"/>
              </w:rPr>
              <w:t>EMEI SYLVIA ORTHOF</w:t>
            </w:r>
          </w:p>
        </w:tc>
        <w:tc>
          <w:tcPr>
            <w:tcW w:w="1418" w:type="dxa"/>
            <w:shd w:val="clear" w:color="auto" w:fill="auto"/>
            <w:noWrap w:val="0"/>
            <w:vAlign w:val="center"/>
          </w:tcPr>
          <w:p w14:paraId="6595A901">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300</w:t>
            </w:r>
          </w:p>
        </w:tc>
        <w:tc>
          <w:tcPr>
            <w:tcW w:w="1118" w:type="dxa"/>
            <w:shd w:val="clear" w:color="auto" w:fill="auto"/>
            <w:noWrap w:val="0"/>
            <w:vAlign w:val="center"/>
          </w:tcPr>
          <w:p w14:paraId="6AE36932">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47" w:type="dxa"/>
            <w:shd w:val="clear" w:color="auto" w:fill="auto"/>
            <w:noWrap w:val="0"/>
            <w:vAlign w:val="center"/>
          </w:tcPr>
          <w:p w14:paraId="43B03BC6">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134" w:type="dxa"/>
            <w:shd w:val="clear" w:color="auto" w:fill="auto"/>
            <w:noWrap w:val="0"/>
            <w:vAlign w:val="center"/>
          </w:tcPr>
          <w:p w14:paraId="2D1E4DBB">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18" w:type="dxa"/>
            <w:shd w:val="clear" w:color="auto" w:fill="auto"/>
            <w:noWrap w:val="0"/>
            <w:vAlign w:val="center"/>
          </w:tcPr>
          <w:p w14:paraId="4AE2D3E4">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300</w:t>
            </w:r>
          </w:p>
        </w:tc>
      </w:tr>
      <w:tr w14:paraId="044D30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87" w:type="dxa"/>
            <w:shd w:val="clear" w:color="auto" w:fill="auto"/>
            <w:noWrap w:val="0"/>
            <w:vAlign w:val="center"/>
          </w:tcPr>
          <w:p w14:paraId="55BB7237">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37</w:t>
            </w:r>
          </w:p>
        </w:tc>
        <w:tc>
          <w:tcPr>
            <w:tcW w:w="3466" w:type="dxa"/>
            <w:shd w:val="clear" w:color="auto" w:fill="auto"/>
            <w:noWrap w:val="0"/>
            <w:vAlign w:val="top"/>
          </w:tcPr>
          <w:p w14:paraId="7957F926">
            <w:pPr>
              <w:keepNext w:val="0"/>
              <w:keepLines w:val="0"/>
              <w:pageBreakBefore w:val="0"/>
              <w:widowControl/>
              <w:kinsoku/>
              <w:wordWrap/>
              <w:overflowPunct/>
              <w:topLinePunct w:val="0"/>
              <w:autoSpaceDE/>
              <w:autoSpaceDN/>
              <w:bidi w:val="0"/>
              <w:adjustRightInd/>
              <w:snapToGrid/>
              <w:spacing w:after="0" w:line="240" w:lineRule="auto"/>
              <w:ind w:firstLine="0" w:firstLineChars="0"/>
              <w:jc w:val="both"/>
              <w:rPr>
                <w:rFonts w:ascii="Arial" w:hAnsi="Arial" w:eastAsia="Times New Roman" w:cs="Arial"/>
                <w:sz w:val="20"/>
                <w:szCs w:val="20"/>
                <w:lang w:val="pt-BR" w:eastAsia="zh-CN" w:bidi="ar-SA"/>
              </w:rPr>
            </w:pPr>
            <w:r>
              <w:rPr>
                <w:rFonts w:ascii="Arial" w:hAnsi="Arial" w:cs="Arial"/>
                <w:sz w:val="20"/>
                <w:szCs w:val="20"/>
                <w:lang w:eastAsia="zh-CN" w:bidi="ar"/>
              </w:rPr>
              <w:t>EMEI TATIANA BELINKY</w:t>
            </w:r>
          </w:p>
        </w:tc>
        <w:tc>
          <w:tcPr>
            <w:tcW w:w="1418" w:type="dxa"/>
            <w:shd w:val="clear" w:color="auto" w:fill="auto"/>
            <w:noWrap w:val="0"/>
            <w:vAlign w:val="center"/>
          </w:tcPr>
          <w:p w14:paraId="15AB9179">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550</w:t>
            </w:r>
          </w:p>
        </w:tc>
        <w:tc>
          <w:tcPr>
            <w:tcW w:w="1118" w:type="dxa"/>
            <w:shd w:val="clear" w:color="auto" w:fill="auto"/>
            <w:noWrap w:val="0"/>
            <w:vAlign w:val="center"/>
          </w:tcPr>
          <w:p w14:paraId="4DADED1C">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47" w:type="dxa"/>
            <w:shd w:val="clear" w:color="auto" w:fill="auto"/>
            <w:noWrap w:val="0"/>
            <w:vAlign w:val="center"/>
          </w:tcPr>
          <w:p w14:paraId="302A882F">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134" w:type="dxa"/>
            <w:shd w:val="clear" w:color="auto" w:fill="auto"/>
            <w:noWrap w:val="0"/>
            <w:vAlign w:val="center"/>
          </w:tcPr>
          <w:p w14:paraId="4288596A">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18" w:type="dxa"/>
            <w:shd w:val="clear" w:color="auto" w:fill="auto"/>
            <w:noWrap w:val="0"/>
            <w:vAlign w:val="center"/>
          </w:tcPr>
          <w:p w14:paraId="268D170B">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550</w:t>
            </w:r>
          </w:p>
        </w:tc>
      </w:tr>
      <w:tr w14:paraId="430B94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87" w:type="dxa"/>
            <w:shd w:val="clear" w:color="auto" w:fill="auto"/>
            <w:noWrap w:val="0"/>
            <w:vAlign w:val="center"/>
          </w:tcPr>
          <w:p w14:paraId="7EBBFD0A">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38</w:t>
            </w:r>
          </w:p>
        </w:tc>
        <w:tc>
          <w:tcPr>
            <w:tcW w:w="3466" w:type="dxa"/>
            <w:shd w:val="clear" w:color="auto" w:fill="auto"/>
            <w:noWrap w:val="0"/>
            <w:vAlign w:val="top"/>
          </w:tcPr>
          <w:p w14:paraId="063B0FB4">
            <w:pPr>
              <w:keepNext w:val="0"/>
              <w:keepLines w:val="0"/>
              <w:pageBreakBefore w:val="0"/>
              <w:widowControl/>
              <w:kinsoku/>
              <w:wordWrap/>
              <w:overflowPunct/>
              <w:topLinePunct w:val="0"/>
              <w:autoSpaceDE/>
              <w:autoSpaceDN/>
              <w:bidi w:val="0"/>
              <w:adjustRightInd/>
              <w:snapToGrid/>
              <w:spacing w:after="0" w:line="240" w:lineRule="auto"/>
              <w:ind w:firstLine="0" w:firstLineChars="0"/>
              <w:jc w:val="both"/>
              <w:rPr>
                <w:rFonts w:ascii="Arial" w:hAnsi="Arial" w:eastAsia="Times New Roman" w:cs="Arial"/>
                <w:sz w:val="20"/>
                <w:szCs w:val="20"/>
                <w:lang w:val="pt-BR" w:eastAsia="zh-CN" w:bidi="ar-SA"/>
              </w:rPr>
            </w:pPr>
            <w:r>
              <w:rPr>
                <w:rFonts w:ascii="Arial" w:hAnsi="Arial" w:cs="Arial"/>
                <w:sz w:val="20"/>
                <w:szCs w:val="20"/>
                <w:lang w:eastAsia="zh-CN" w:bidi="ar"/>
              </w:rPr>
              <w:t>EMEI ELIZETE DALLABRIDA</w:t>
            </w:r>
          </w:p>
        </w:tc>
        <w:tc>
          <w:tcPr>
            <w:tcW w:w="1418" w:type="dxa"/>
            <w:shd w:val="clear" w:color="auto" w:fill="auto"/>
            <w:noWrap w:val="0"/>
            <w:vAlign w:val="center"/>
          </w:tcPr>
          <w:p w14:paraId="22DC1B53">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595</w:t>
            </w:r>
          </w:p>
        </w:tc>
        <w:tc>
          <w:tcPr>
            <w:tcW w:w="1118" w:type="dxa"/>
            <w:shd w:val="clear" w:color="auto" w:fill="auto"/>
            <w:noWrap w:val="0"/>
            <w:vAlign w:val="center"/>
          </w:tcPr>
          <w:p w14:paraId="29937016">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47" w:type="dxa"/>
            <w:shd w:val="clear" w:color="auto" w:fill="auto"/>
            <w:noWrap w:val="0"/>
            <w:vAlign w:val="center"/>
          </w:tcPr>
          <w:p w14:paraId="1250A643">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134" w:type="dxa"/>
            <w:shd w:val="clear" w:color="auto" w:fill="auto"/>
            <w:noWrap w:val="0"/>
            <w:vAlign w:val="center"/>
          </w:tcPr>
          <w:p w14:paraId="366DA1B4">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18" w:type="dxa"/>
            <w:shd w:val="clear" w:color="auto" w:fill="auto"/>
            <w:noWrap w:val="0"/>
            <w:vAlign w:val="center"/>
          </w:tcPr>
          <w:p w14:paraId="415E09CC">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595</w:t>
            </w:r>
          </w:p>
        </w:tc>
      </w:tr>
      <w:tr w14:paraId="14BECF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87" w:type="dxa"/>
            <w:shd w:val="clear" w:color="auto" w:fill="auto"/>
            <w:noWrap w:val="0"/>
            <w:vAlign w:val="center"/>
          </w:tcPr>
          <w:p w14:paraId="30152483">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39</w:t>
            </w:r>
          </w:p>
        </w:tc>
        <w:tc>
          <w:tcPr>
            <w:tcW w:w="3466" w:type="dxa"/>
            <w:shd w:val="clear" w:color="auto" w:fill="auto"/>
            <w:noWrap w:val="0"/>
            <w:vAlign w:val="top"/>
          </w:tcPr>
          <w:p w14:paraId="7C1F3F62">
            <w:pPr>
              <w:keepNext w:val="0"/>
              <w:keepLines w:val="0"/>
              <w:pageBreakBefore w:val="0"/>
              <w:widowControl/>
              <w:kinsoku/>
              <w:wordWrap/>
              <w:overflowPunct/>
              <w:topLinePunct w:val="0"/>
              <w:autoSpaceDE/>
              <w:autoSpaceDN/>
              <w:bidi w:val="0"/>
              <w:adjustRightInd/>
              <w:snapToGrid/>
              <w:spacing w:after="0" w:line="240" w:lineRule="auto"/>
              <w:ind w:firstLine="0" w:firstLineChars="0"/>
              <w:jc w:val="both"/>
              <w:rPr>
                <w:rFonts w:ascii="Arial" w:hAnsi="Arial" w:eastAsia="Times New Roman" w:cs="Arial"/>
                <w:sz w:val="20"/>
                <w:szCs w:val="20"/>
                <w:lang w:val="pt-BR" w:eastAsia="zh-CN" w:bidi="ar-SA"/>
              </w:rPr>
            </w:pPr>
            <w:r>
              <w:rPr>
                <w:rFonts w:ascii="Arial" w:hAnsi="Arial" w:cs="Arial"/>
                <w:sz w:val="20"/>
                <w:szCs w:val="20"/>
                <w:lang w:eastAsia="zh-CN" w:bidi="ar"/>
              </w:rPr>
              <w:t>EMEB SIMAO FLACH</w:t>
            </w:r>
          </w:p>
        </w:tc>
        <w:tc>
          <w:tcPr>
            <w:tcW w:w="1418" w:type="dxa"/>
            <w:shd w:val="clear" w:color="auto" w:fill="auto"/>
            <w:noWrap w:val="0"/>
            <w:vAlign w:val="center"/>
          </w:tcPr>
          <w:p w14:paraId="520AA5E7">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118" w:type="dxa"/>
            <w:shd w:val="clear" w:color="auto" w:fill="auto"/>
            <w:noWrap w:val="0"/>
            <w:vAlign w:val="center"/>
          </w:tcPr>
          <w:p w14:paraId="456E17BF">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47" w:type="dxa"/>
            <w:shd w:val="clear" w:color="auto" w:fill="auto"/>
            <w:noWrap w:val="0"/>
            <w:vAlign w:val="center"/>
          </w:tcPr>
          <w:p w14:paraId="21058ED1">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468</w:t>
            </w:r>
          </w:p>
        </w:tc>
        <w:tc>
          <w:tcPr>
            <w:tcW w:w="1134" w:type="dxa"/>
            <w:shd w:val="clear" w:color="auto" w:fill="auto"/>
            <w:noWrap w:val="0"/>
            <w:vAlign w:val="center"/>
          </w:tcPr>
          <w:p w14:paraId="7CF4EDD4">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18" w:type="dxa"/>
            <w:shd w:val="clear" w:color="auto" w:fill="auto"/>
            <w:noWrap w:val="0"/>
            <w:vAlign w:val="center"/>
          </w:tcPr>
          <w:p w14:paraId="02B82CEB">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468</w:t>
            </w:r>
          </w:p>
        </w:tc>
      </w:tr>
      <w:tr w14:paraId="055F6C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87" w:type="dxa"/>
            <w:shd w:val="clear" w:color="auto" w:fill="auto"/>
            <w:noWrap w:val="0"/>
            <w:vAlign w:val="center"/>
          </w:tcPr>
          <w:p w14:paraId="65DFEEA2">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40</w:t>
            </w:r>
          </w:p>
        </w:tc>
        <w:tc>
          <w:tcPr>
            <w:tcW w:w="3466" w:type="dxa"/>
            <w:shd w:val="clear" w:color="auto" w:fill="auto"/>
            <w:noWrap w:val="0"/>
            <w:vAlign w:val="center"/>
          </w:tcPr>
          <w:p w14:paraId="4123D929">
            <w:pPr>
              <w:keepNext w:val="0"/>
              <w:keepLines w:val="0"/>
              <w:pageBreakBefore w:val="0"/>
              <w:widowControl/>
              <w:kinsoku/>
              <w:wordWrap/>
              <w:overflowPunct/>
              <w:topLinePunct w:val="0"/>
              <w:autoSpaceDE/>
              <w:autoSpaceDN/>
              <w:bidi w:val="0"/>
              <w:adjustRightInd/>
              <w:snapToGrid/>
              <w:spacing w:after="0" w:line="240" w:lineRule="auto"/>
              <w:ind w:hanging="1"/>
              <w:jc w:val="both"/>
              <w:rPr>
                <w:rFonts w:ascii="Arial" w:hAnsi="Arial" w:eastAsia="Times New Roman" w:cs="Arial"/>
                <w:sz w:val="20"/>
                <w:szCs w:val="20"/>
                <w:lang w:val="pt-BR" w:eastAsia="zh-CN" w:bidi="ar-SA"/>
              </w:rPr>
            </w:pPr>
            <w:r>
              <w:rPr>
                <w:rFonts w:ascii="Arial" w:hAnsi="Arial" w:cs="Arial"/>
                <w:sz w:val="20"/>
                <w:szCs w:val="20"/>
                <w:lang w:val="en-US" w:eastAsia="zh-CN" w:bidi="ar"/>
              </w:rPr>
              <w:t xml:space="preserve">EMEB </w:t>
            </w:r>
            <w:r>
              <w:rPr>
                <w:rFonts w:hint="default" w:ascii="Arial" w:hAnsi="Arial" w:cs="Arial"/>
                <w:sz w:val="20"/>
                <w:szCs w:val="20"/>
                <w:lang w:val="pt-BR" w:eastAsia="zh-CN" w:bidi="ar"/>
              </w:rPr>
              <w:t>LISIANE FUCKS BOHRER</w:t>
            </w:r>
          </w:p>
        </w:tc>
        <w:tc>
          <w:tcPr>
            <w:tcW w:w="1418" w:type="dxa"/>
            <w:shd w:val="clear" w:color="auto" w:fill="auto"/>
            <w:noWrap w:val="0"/>
            <w:vAlign w:val="center"/>
          </w:tcPr>
          <w:p w14:paraId="0CA9D92A">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118" w:type="dxa"/>
            <w:shd w:val="clear" w:color="auto" w:fill="auto"/>
            <w:noWrap w:val="0"/>
            <w:vAlign w:val="center"/>
          </w:tcPr>
          <w:p w14:paraId="35A67A9B">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47" w:type="dxa"/>
            <w:shd w:val="clear" w:color="auto" w:fill="auto"/>
            <w:noWrap w:val="0"/>
            <w:vAlign w:val="center"/>
          </w:tcPr>
          <w:p w14:paraId="39648F24">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338</w:t>
            </w:r>
          </w:p>
        </w:tc>
        <w:tc>
          <w:tcPr>
            <w:tcW w:w="1134" w:type="dxa"/>
            <w:shd w:val="clear" w:color="auto" w:fill="auto"/>
            <w:noWrap w:val="0"/>
            <w:vAlign w:val="center"/>
          </w:tcPr>
          <w:p w14:paraId="01175FF9">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18" w:type="dxa"/>
            <w:shd w:val="clear" w:color="auto" w:fill="auto"/>
            <w:noWrap w:val="0"/>
            <w:vAlign w:val="center"/>
          </w:tcPr>
          <w:p w14:paraId="6DE004A2">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338</w:t>
            </w:r>
          </w:p>
        </w:tc>
      </w:tr>
      <w:tr w14:paraId="3EA34E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87" w:type="dxa"/>
            <w:shd w:val="clear" w:color="auto" w:fill="auto"/>
            <w:noWrap w:val="0"/>
            <w:vAlign w:val="center"/>
          </w:tcPr>
          <w:p w14:paraId="7A7521EF">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41</w:t>
            </w:r>
          </w:p>
        </w:tc>
        <w:tc>
          <w:tcPr>
            <w:tcW w:w="3466" w:type="dxa"/>
            <w:shd w:val="clear" w:color="auto" w:fill="auto"/>
            <w:noWrap w:val="0"/>
            <w:vAlign w:val="top"/>
          </w:tcPr>
          <w:p w14:paraId="2F045BB6">
            <w:pPr>
              <w:keepNext w:val="0"/>
              <w:keepLines w:val="0"/>
              <w:pageBreakBefore w:val="0"/>
              <w:widowControl/>
              <w:kinsoku/>
              <w:wordWrap/>
              <w:overflowPunct/>
              <w:topLinePunct w:val="0"/>
              <w:autoSpaceDE/>
              <w:autoSpaceDN/>
              <w:bidi w:val="0"/>
              <w:adjustRightInd/>
              <w:snapToGrid/>
              <w:spacing w:after="0" w:line="240" w:lineRule="auto"/>
              <w:ind w:firstLine="0" w:firstLineChars="0"/>
              <w:jc w:val="both"/>
              <w:rPr>
                <w:rFonts w:ascii="Arial" w:hAnsi="Arial" w:eastAsia="Times New Roman" w:cs="Arial"/>
                <w:sz w:val="20"/>
                <w:szCs w:val="20"/>
                <w:lang w:val="en-US" w:eastAsia="zh-CN" w:bidi="ar-SA"/>
              </w:rPr>
            </w:pPr>
            <w:r>
              <w:rPr>
                <w:rFonts w:ascii="Arial" w:hAnsi="Arial" w:cs="Arial"/>
                <w:sz w:val="20"/>
                <w:szCs w:val="20"/>
                <w:lang w:eastAsia="zh-CN" w:bidi="ar"/>
              </w:rPr>
              <w:t>EMEB PROF</w:t>
            </w:r>
            <w:r>
              <w:rPr>
                <w:rFonts w:hint="default" w:ascii="Arial" w:hAnsi="Arial" w:cs="Arial"/>
                <w:sz w:val="20"/>
                <w:szCs w:val="20"/>
                <w:lang w:val="pt-BR" w:eastAsia="zh-CN" w:bidi="ar"/>
              </w:rPr>
              <w:t>ESSORA</w:t>
            </w:r>
            <w:r>
              <w:rPr>
                <w:rFonts w:ascii="Arial" w:hAnsi="Arial" w:cs="Arial"/>
                <w:sz w:val="20"/>
                <w:szCs w:val="20"/>
                <w:lang w:eastAsia="zh-CN" w:bidi="ar"/>
              </w:rPr>
              <w:t xml:space="preserve"> MARIZETE WEBER</w:t>
            </w:r>
          </w:p>
        </w:tc>
        <w:tc>
          <w:tcPr>
            <w:tcW w:w="1418" w:type="dxa"/>
            <w:shd w:val="clear" w:color="auto" w:fill="auto"/>
            <w:noWrap w:val="0"/>
            <w:vAlign w:val="center"/>
          </w:tcPr>
          <w:p w14:paraId="50B0CD14">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50</w:t>
            </w:r>
          </w:p>
        </w:tc>
        <w:tc>
          <w:tcPr>
            <w:tcW w:w="1118" w:type="dxa"/>
            <w:shd w:val="clear" w:color="auto" w:fill="auto"/>
            <w:noWrap w:val="0"/>
            <w:vAlign w:val="center"/>
          </w:tcPr>
          <w:p w14:paraId="66DA2B4D">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47" w:type="dxa"/>
            <w:shd w:val="clear" w:color="auto" w:fill="auto"/>
            <w:noWrap w:val="0"/>
            <w:vAlign w:val="center"/>
          </w:tcPr>
          <w:p w14:paraId="1C2851AA">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810</w:t>
            </w:r>
          </w:p>
        </w:tc>
        <w:tc>
          <w:tcPr>
            <w:tcW w:w="1134" w:type="dxa"/>
            <w:shd w:val="clear" w:color="auto" w:fill="auto"/>
            <w:noWrap w:val="0"/>
            <w:vAlign w:val="center"/>
          </w:tcPr>
          <w:p w14:paraId="03E1AEBF">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18" w:type="dxa"/>
            <w:shd w:val="clear" w:color="auto" w:fill="auto"/>
            <w:noWrap w:val="0"/>
            <w:vAlign w:val="center"/>
          </w:tcPr>
          <w:p w14:paraId="76D2BCCA">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860</w:t>
            </w:r>
          </w:p>
        </w:tc>
      </w:tr>
      <w:tr w14:paraId="6D7790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87" w:type="dxa"/>
            <w:shd w:val="clear" w:color="auto" w:fill="auto"/>
            <w:noWrap w:val="0"/>
            <w:vAlign w:val="center"/>
          </w:tcPr>
          <w:p w14:paraId="2F23567B">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42</w:t>
            </w:r>
          </w:p>
        </w:tc>
        <w:tc>
          <w:tcPr>
            <w:tcW w:w="3466" w:type="dxa"/>
            <w:shd w:val="clear" w:color="auto" w:fill="auto"/>
            <w:noWrap w:val="0"/>
            <w:vAlign w:val="top"/>
          </w:tcPr>
          <w:p w14:paraId="1C2524F8">
            <w:pPr>
              <w:keepNext w:val="0"/>
              <w:keepLines w:val="0"/>
              <w:pageBreakBefore w:val="0"/>
              <w:widowControl/>
              <w:kinsoku/>
              <w:wordWrap/>
              <w:overflowPunct/>
              <w:topLinePunct w:val="0"/>
              <w:autoSpaceDE/>
              <w:autoSpaceDN/>
              <w:bidi w:val="0"/>
              <w:adjustRightInd/>
              <w:snapToGrid/>
              <w:spacing w:after="0" w:line="240" w:lineRule="auto"/>
              <w:ind w:firstLine="0" w:firstLineChars="0"/>
              <w:jc w:val="both"/>
              <w:rPr>
                <w:rFonts w:ascii="Arial" w:hAnsi="Arial" w:eastAsia="Times New Roman" w:cs="Arial"/>
                <w:sz w:val="20"/>
                <w:szCs w:val="20"/>
                <w:lang w:val="pt-BR" w:eastAsia="zh-CN" w:bidi="ar-SA"/>
              </w:rPr>
            </w:pPr>
            <w:r>
              <w:rPr>
                <w:rFonts w:ascii="Arial" w:hAnsi="Arial" w:cs="Arial"/>
                <w:sz w:val="20"/>
                <w:szCs w:val="20"/>
                <w:lang w:eastAsia="zh-CN" w:bidi="ar"/>
              </w:rPr>
              <w:t>EMEB PROF</w:t>
            </w:r>
            <w:r>
              <w:rPr>
                <w:rFonts w:hint="default" w:ascii="Arial" w:hAnsi="Arial" w:cs="Arial"/>
                <w:sz w:val="20"/>
                <w:szCs w:val="20"/>
                <w:lang w:val="pt-BR" w:eastAsia="zh-CN" w:bidi="ar"/>
              </w:rPr>
              <w:t>ESSORA</w:t>
            </w:r>
            <w:r>
              <w:rPr>
                <w:rFonts w:ascii="Arial" w:hAnsi="Arial" w:cs="Arial"/>
                <w:sz w:val="20"/>
                <w:szCs w:val="20"/>
                <w:lang w:eastAsia="zh-CN" w:bidi="ar"/>
              </w:rPr>
              <w:t xml:space="preserve"> SHIELEY DA COSTA FORTUNA</w:t>
            </w:r>
          </w:p>
        </w:tc>
        <w:tc>
          <w:tcPr>
            <w:tcW w:w="1418" w:type="dxa"/>
            <w:shd w:val="clear" w:color="auto" w:fill="auto"/>
            <w:noWrap w:val="0"/>
            <w:vAlign w:val="center"/>
          </w:tcPr>
          <w:p w14:paraId="34CD63BC">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118" w:type="dxa"/>
            <w:shd w:val="clear" w:color="auto" w:fill="auto"/>
            <w:noWrap w:val="0"/>
            <w:vAlign w:val="center"/>
          </w:tcPr>
          <w:p w14:paraId="6E918D27">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47" w:type="dxa"/>
            <w:shd w:val="clear" w:color="auto" w:fill="auto"/>
            <w:noWrap w:val="0"/>
            <w:vAlign w:val="center"/>
          </w:tcPr>
          <w:p w14:paraId="09DB40B8">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584</w:t>
            </w:r>
          </w:p>
        </w:tc>
        <w:tc>
          <w:tcPr>
            <w:tcW w:w="1134" w:type="dxa"/>
            <w:shd w:val="clear" w:color="auto" w:fill="auto"/>
            <w:noWrap w:val="0"/>
            <w:vAlign w:val="center"/>
          </w:tcPr>
          <w:p w14:paraId="09D43961">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18" w:type="dxa"/>
            <w:shd w:val="clear" w:color="auto" w:fill="auto"/>
            <w:noWrap w:val="0"/>
            <w:vAlign w:val="center"/>
          </w:tcPr>
          <w:p w14:paraId="443C92D6">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584</w:t>
            </w:r>
          </w:p>
        </w:tc>
      </w:tr>
      <w:tr w14:paraId="6ED744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87" w:type="dxa"/>
            <w:shd w:val="clear" w:color="auto" w:fill="auto"/>
            <w:noWrap w:val="0"/>
            <w:vAlign w:val="center"/>
          </w:tcPr>
          <w:p w14:paraId="7D3333D8">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rPr>
                <w:rFonts w:hint="default" w:ascii="Arial" w:hAnsi="Arial" w:eastAsia="Times New Roman" w:cs="Arial"/>
                <w:sz w:val="20"/>
                <w:szCs w:val="20"/>
                <w:lang w:val="pt-BR" w:eastAsia="zh-CN" w:bidi="ar-SA"/>
              </w:rPr>
            </w:pPr>
            <w:r>
              <w:rPr>
                <w:rFonts w:hint="default" w:ascii="Arial" w:hAnsi="Arial" w:cs="Arial"/>
                <w:sz w:val="20"/>
                <w:szCs w:val="20"/>
                <w:lang w:val="pt-BR" w:eastAsia="zh-CN" w:bidi="ar"/>
              </w:rPr>
              <w:t>43</w:t>
            </w:r>
          </w:p>
        </w:tc>
        <w:tc>
          <w:tcPr>
            <w:tcW w:w="3466" w:type="dxa"/>
            <w:shd w:val="clear" w:color="auto" w:fill="auto"/>
            <w:noWrap w:val="0"/>
            <w:vAlign w:val="top"/>
          </w:tcPr>
          <w:p w14:paraId="212CD867">
            <w:pPr>
              <w:keepNext w:val="0"/>
              <w:keepLines w:val="0"/>
              <w:pageBreakBefore w:val="0"/>
              <w:widowControl/>
              <w:kinsoku/>
              <w:wordWrap/>
              <w:overflowPunct/>
              <w:topLinePunct w:val="0"/>
              <w:autoSpaceDE/>
              <w:autoSpaceDN/>
              <w:bidi w:val="0"/>
              <w:adjustRightInd/>
              <w:snapToGrid/>
              <w:spacing w:after="0" w:line="240" w:lineRule="auto"/>
              <w:ind w:firstLine="0" w:firstLineChars="0"/>
              <w:jc w:val="both"/>
              <w:rPr>
                <w:rFonts w:ascii="Arial" w:hAnsi="Arial" w:eastAsia="Times New Roman" w:cs="Arial"/>
                <w:sz w:val="20"/>
                <w:szCs w:val="20"/>
                <w:lang w:val="pt-BR" w:eastAsia="zh-CN" w:bidi="ar-SA"/>
              </w:rPr>
            </w:pPr>
            <w:r>
              <w:rPr>
                <w:rFonts w:ascii="Arial" w:hAnsi="Arial" w:cs="Arial"/>
                <w:sz w:val="20"/>
                <w:szCs w:val="20"/>
                <w:lang w:eastAsia="zh-CN" w:bidi="ar"/>
              </w:rPr>
              <w:t>EMEB PROF</w:t>
            </w:r>
            <w:r>
              <w:rPr>
                <w:rFonts w:hint="default" w:ascii="Arial" w:hAnsi="Arial" w:cs="Arial"/>
                <w:sz w:val="20"/>
                <w:szCs w:val="20"/>
                <w:lang w:val="pt-BR" w:eastAsia="zh-CN" w:bidi="ar"/>
              </w:rPr>
              <w:t>ESSORA</w:t>
            </w:r>
            <w:r>
              <w:rPr>
                <w:rFonts w:ascii="Arial" w:hAnsi="Arial" w:cs="Arial"/>
                <w:sz w:val="20"/>
                <w:szCs w:val="20"/>
                <w:lang w:eastAsia="zh-CN" w:bidi="ar"/>
              </w:rPr>
              <w:t xml:space="preserve"> ALCÍDIA DIVANIR SIMOES SALES PAVAN</w:t>
            </w:r>
          </w:p>
        </w:tc>
        <w:tc>
          <w:tcPr>
            <w:tcW w:w="1418" w:type="dxa"/>
            <w:shd w:val="clear" w:color="auto" w:fill="auto"/>
            <w:noWrap w:val="0"/>
            <w:vAlign w:val="center"/>
          </w:tcPr>
          <w:p w14:paraId="2499D700">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118" w:type="dxa"/>
            <w:shd w:val="clear" w:color="auto" w:fill="auto"/>
            <w:noWrap w:val="0"/>
            <w:vAlign w:val="center"/>
          </w:tcPr>
          <w:p w14:paraId="1AA6EAC2">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47" w:type="dxa"/>
            <w:shd w:val="clear" w:color="auto" w:fill="auto"/>
            <w:noWrap w:val="0"/>
            <w:vAlign w:val="center"/>
          </w:tcPr>
          <w:p w14:paraId="71D18A61">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600</w:t>
            </w:r>
          </w:p>
        </w:tc>
        <w:tc>
          <w:tcPr>
            <w:tcW w:w="1134" w:type="dxa"/>
            <w:shd w:val="clear" w:color="auto" w:fill="auto"/>
            <w:noWrap w:val="0"/>
            <w:vAlign w:val="center"/>
          </w:tcPr>
          <w:p w14:paraId="1DFF3FBD">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0</w:t>
            </w:r>
          </w:p>
        </w:tc>
        <w:tc>
          <w:tcPr>
            <w:tcW w:w="1218" w:type="dxa"/>
            <w:shd w:val="clear" w:color="auto" w:fill="auto"/>
            <w:noWrap w:val="0"/>
            <w:vAlign w:val="center"/>
          </w:tcPr>
          <w:p w14:paraId="730B8279">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zh-CN" w:bidi="ar-SA"/>
              </w:rPr>
            </w:pPr>
            <w:r>
              <w:rPr>
                <w:rFonts w:ascii="Arial" w:hAnsi="Arial" w:eastAsia="SimSun" w:cs="Arial"/>
                <w:color w:val="000000"/>
                <w:sz w:val="20"/>
                <w:szCs w:val="20"/>
                <w:lang w:eastAsia="zh-CN" w:bidi="ar"/>
              </w:rPr>
              <w:t>600</w:t>
            </w:r>
          </w:p>
        </w:tc>
      </w:tr>
      <w:tr w14:paraId="769060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87" w:type="dxa"/>
            <w:shd w:val="clear" w:color="auto" w:fill="auto"/>
            <w:noWrap w:val="0"/>
            <w:vAlign w:val="center"/>
          </w:tcPr>
          <w:p w14:paraId="6899CD9D">
            <w:pPr>
              <w:keepNext w:val="0"/>
              <w:keepLines w:val="0"/>
              <w:pageBreakBefore w:val="0"/>
              <w:widowControl/>
              <w:kinsoku/>
              <w:wordWrap/>
              <w:overflowPunct/>
              <w:topLinePunct w:val="0"/>
              <w:autoSpaceDE/>
              <w:autoSpaceDN/>
              <w:bidi w:val="0"/>
              <w:adjustRightInd/>
              <w:snapToGrid/>
              <w:spacing w:after="0" w:line="240" w:lineRule="auto"/>
              <w:ind w:firstLine="0"/>
              <w:jc w:val="center"/>
              <w:rPr>
                <w:rFonts w:hint="default" w:ascii="Arial" w:hAnsi="Arial" w:cs="Arial"/>
                <w:sz w:val="20"/>
                <w:szCs w:val="20"/>
                <w:lang w:val="pt-BR"/>
              </w:rPr>
            </w:pPr>
            <w:r>
              <w:rPr>
                <w:rFonts w:hint="default" w:ascii="Arial" w:hAnsi="Arial" w:cs="Arial"/>
                <w:sz w:val="20"/>
                <w:szCs w:val="20"/>
                <w:lang w:val="pt-BR" w:eastAsia="zh-CN" w:bidi="ar"/>
              </w:rPr>
              <w:t>44</w:t>
            </w:r>
          </w:p>
        </w:tc>
        <w:tc>
          <w:tcPr>
            <w:tcW w:w="3466" w:type="dxa"/>
            <w:shd w:val="clear" w:color="auto" w:fill="auto"/>
            <w:noWrap w:val="0"/>
            <w:vAlign w:val="center"/>
          </w:tcPr>
          <w:p w14:paraId="59317DB8">
            <w:pPr>
              <w:keepNext w:val="0"/>
              <w:keepLines w:val="0"/>
              <w:pageBreakBefore w:val="0"/>
              <w:widowControl/>
              <w:kinsoku/>
              <w:wordWrap/>
              <w:overflowPunct/>
              <w:topLinePunct w:val="0"/>
              <w:autoSpaceDE/>
              <w:autoSpaceDN/>
              <w:bidi w:val="0"/>
              <w:adjustRightInd/>
              <w:snapToGrid/>
              <w:spacing w:after="0" w:line="240" w:lineRule="auto"/>
              <w:ind w:hanging="1"/>
              <w:jc w:val="both"/>
              <w:rPr>
                <w:rFonts w:ascii="Arial" w:hAnsi="Arial" w:cs="Arial"/>
                <w:sz w:val="20"/>
                <w:szCs w:val="20"/>
              </w:rPr>
            </w:pPr>
            <w:r>
              <w:rPr>
                <w:rFonts w:ascii="Arial" w:hAnsi="Arial" w:cs="Arial"/>
                <w:sz w:val="20"/>
                <w:szCs w:val="20"/>
                <w:lang w:val="en-US" w:eastAsia="zh-CN" w:bidi="ar"/>
              </w:rPr>
              <w:t xml:space="preserve">EMEB </w:t>
            </w:r>
            <w:r>
              <w:rPr>
                <w:rFonts w:ascii="Arial" w:hAnsi="Arial" w:cs="Arial"/>
                <w:sz w:val="20"/>
                <w:szCs w:val="20"/>
                <w:lang w:eastAsia="zh-CN" w:bidi="ar"/>
              </w:rPr>
              <w:t>LAURA HERONDINA</w:t>
            </w:r>
            <w:r>
              <w:rPr>
                <w:rFonts w:hint="default" w:ascii="Arial" w:hAnsi="Arial" w:cs="Arial"/>
                <w:sz w:val="20"/>
                <w:szCs w:val="20"/>
                <w:lang w:val="pt-BR" w:eastAsia="zh-CN" w:bidi="ar"/>
              </w:rPr>
              <w:t xml:space="preserve"> DE MORAES</w:t>
            </w:r>
          </w:p>
        </w:tc>
        <w:tc>
          <w:tcPr>
            <w:tcW w:w="1418" w:type="dxa"/>
            <w:shd w:val="clear" w:color="auto" w:fill="auto"/>
            <w:noWrap w:val="0"/>
            <w:vAlign w:val="center"/>
          </w:tcPr>
          <w:p w14:paraId="1D29CC35">
            <w:pPr>
              <w:keepNext w:val="0"/>
              <w:keepLines w:val="0"/>
              <w:pageBreakBefore w:val="0"/>
              <w:widowControl/>
              <w:kinsoku/>
              <w:wordWrap/>
              <w:overflowPunct/>
              <w:topLinePunct w:val="0"/>
              <w:autoSpaceDE/>
              <w:autoSpaceDN/>
              <w:bidi w:val="0"/>
              <w:adjustRightInd/>
              <w:snapToGrid/>
              <w:spacing w:after="0" w:line="240" w:lineRule="auto"/>
              <w:ind w:firstLine="0"/>
              <w:jc w:val="center"/>
              <w:textAlignment w:val="center"/>
              <w:rPr>
                <w:rFonts w:ascii="Arial" w:hAnsi="Arial" w:cs="Arial"/>
                <w:sz w:val="20"/>
                <w:szCs w:val="20"/>
              </w:rPr>
            </w:pPr>
            <w:r>
              <w:rPr>
                <w:rFonts w:ascii="Arial" w:hAnsi="Arial" w:eastAsia="SimSun" w:cs="Arial"/>
                <w:color w:val="000000"/>
                <w:sz w:val="20"/>
                <w:szCs w:val="20"/>
                <w:lang w:eastAsia="zh-CN" w:bidi="ar"/>
              </w:rPr>
              <w:t>0</w:t>
            </w:r>
          </w:p>
        </w:tc>
        <w:tc>
          <w:tcPr>
            <w:tcW w:w="1118" w:type="dxa"/>
            <w:shd w:val="clear" w:color="auto" w:fill="auto"/>
            <w:noWrap w:val="0"/>
            <w:vAlign w:val="center"/>
          </w:tcPr>
          <w:p w14:paraId="08AAA3FC">
            <w:pPr>
              <w:keepNext w:val="0"/>
              <w:keepLines w:val="0"/>
              <w:pageBreakBefore w:val="0"/>
              <w:widowControl/>
              <w:kinsoku/>
              <w:wordWrap/>
              <w:overflowPunct/>
              <w:topLinePunct w:val="0"/>
              <w:autoSpaceDE/>
              <w:autoSpaceDN/>
              <w:bidi w:val="0"/>
              <w:adjustRightInd/>
              <w:snapToGrid/>
              <w:spacing w:after="0" w:line="240" w:lineRule="auto"/>
              <w:ind w:firstLine="0"/>
              <w:jc w:val="center"/>
              <w:rPr>
                <w:rFonts w:ascii="Arial" w:hAnsi="Arial" w:cs="Arial"/>
                <w:sz w:val="20"/>
                <w:szCs w:val="20"/>
              </w:rPr>
            </w:pPr>
          </w:p>
        </w:tc>
        <w:tc>
          <w:tcPr>
            <w:tcW w:w="1247" w:type="dxa"/>
            <w:shd w:val="clear" w:color="auto" w:fill="auto"/>
            <w:noWrap w:val="0"/>
            <w:vAlign w:val="center"/>
          </w:tcPr>
          <w:p w14:paraId="1246944A">
            <w:pPr>
              <w:keepNext w:val="0"/>
              <w:keepLines w:val="0"/>
              <w:pageBreakBefore w:val="0"/>
              <w:widowControl/>
              <w:kinsoku/>
              <w:wordWrap/>
              <w:overflowPunct/>
              <w:topLinePunct w:val="0"/>
              <w:autoSpaceDE/>
              <w:autoSpaceDN/>
              <w:bidi w:val="0"/>
              <w:adjustRightInd/>
              <w:snapToGrid/>
              <w:spacing w:after="0" w:line="240" w:lineRule="auto"/>
              <w:ind w:firstLine="0"/>
              <w:jc w:val="center"/>
              <w:textAlignment w:val="center"/>
              <w:rPr>
                <w:rFonts w:ascii="Arial" w:hAnsi="Arial" w:cs="Arial"/>
                <w:sz w:val="20"/>
                <w:szCs w:val="20"/>
              </w:rPr>
            </w:pPr>
            <w:r>
              <w:rPr>
                <w:rFonts w:ascii="Arial" w:hAnsi="Arial" w:eastAsia="SimSun" w:cs="Arial"/>
                <w:color w:val="000000"/>
                <w:sz w:val="20"/>
                <w:szCs w:val="20"/>
                <w:lang w:eastAsia="zh-CN" w:bidi="ar"/>
              </w:rPr>
              <w:t>414</w:t>
            </w:r>
          </w:p>
        </w:tc>
        <w:tc>
          <w:tcPr>
            <w:tcW w:w="1134" w:type="dxa"/>
            <w:shd w:val="clear" w:color="auto" w:fill="auto"/>
            <w:noWrap w:val="0"/>
            <w:vAlign w:val="center"/>
          </w:tcPr>
          <w:p w14:paraId="366EC9AF">
            <w:pPr>
              <w:keepNext w:val="0"/>
              <w:keepLines w:val="0"/>
              <w:pageBreakBefore w:val="0"/>
              <w:widowControl/>
              <w:kinsoku/>
              <w:wordWrap/>
              <w:overflowPunct/>
              <w:topLinePunct w:val="0"/>
              <w:autoSpaceDE/>
              <w:autoSpaceDN/>
              <w:bidi w:val="0"/>
              <w:adjustRightInd/>
              <w:snapToGrid/>
              <w:spacing w:after="0" w:line="240" w:lineRule="auto"/>
              <w:ind w:firstLine="0"/>
              <w:jc w:val="center"/>
              <w:textAlignment w:val="center"/>
              <w:rPr>
                <w:rFonts w:ascii="Arial" w:hAnsi="Arial" w:cs="Arial"/>
                <w:sz w:val="20"/>
                <w:szCs w:val="20"/>
              </w:rPr>
            </w:pPr>
            <w:r>
              <w:rPr>
                <w:rFonts w:ascii="Arial" w:hAnsi="Arial" w:eastAsia="SimSun" w:cs="Arial"/>
                <w:color w:val="000000"/>
                <w:sz w:val="20"/>
                <w:szCs w:val="20"/>
                <w:lang w:eastAsia="zh-CN" w:bidi="ar"/>
              </w:rPr>
              <w:t>0</w:t>
            </w:r>
          </w:p>
        </w:tc>
        <w:tc>
          <w:tcPr>
            <w:tcW w:w="1218" w:type="dxa"/>
            <w:shd w:val="clear" w:color="auto" w:fill="auto"/>
            <w:noWrap w:val="0"/>
            <w:vAlign w:val="center"/>
          </w:tcPr>
          <w:p w14:paraId="5139120E">
            <w:pPr>
              <w:keepNext w:val="0"/>
              <w:keepLines w:val="0"/>
              <w:pageBreakBefore w:val="0"/>
              <w:widowControl/>
              <w:kinsoku/>
              <w:wordWrap/>
              <w:overflowPunct/>
              <w:topLinePunct w:val="0"/>
              <w:autoSpaceDE/>
              <w:autoSpaceDN/>
              <w:bidi w:val="0"/>
              <w:adjustRightInd/>
              <w:snapToGrid/>
              <w:spacing w:after="0" w:line="240" w:lineRule="auto"/>
              <w:ind w:firstLine="0"/>
              <w:jc w:val="center"/>
              <w:textAlignment w:val="center"/>
              <w:rPr>
                <w:rFonts w:ascii="Arial" w:hAnsi="Arial" w:cs="Arial"/>
                <w:sz w:val="20"/>
                <w:szCs w:val="20"/>
              </w:rPr>
            </w:pPr>
            <w:r>
              <w:rPr>
                <w:rFonts w:ascii="Arial" w:hAnsi="Arial" w:eastAsia="SimSun" w:cs="Arial"/>
                <w:color w:val="000000"/>
                <w:sz w:val="20"/>
                <w:szCs w:val="20"/>
                <w:lang w:eastAsia="zh-CN" w:bidi="ar"/>
              </w:rPr>
              <w:t>414</w:t>
            </w:r>
          </w:p>
        </w:tc>
      </w:tr>
      <w:tr w14:paraId="0D7A2C4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87" w:type="dxa"/>
            <w:shd w:val="clear" w:color="auto" w:fill="auto"/>
            <w:noWrap w:val="0"/>
            <w:vAlign w:val="center"/>
          </w:tcPr>
          <w:p w14:paraId="3DAC2BF2">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rPr>
                <w:rFonts w:hint="default" w:ascii="Arial" w:hAnsi="Arial" w:eastAsia="Times New Roman" w:cs="Arial"/>
                <w:sz w:val="20"/>
                <w:szCs w:val="20"/>
                <w:lang w:val="pt-BR" w:eastAsia="en-US" w:bidi="ar-SA"/>
              </w:rPr>
            </w:pPr>
            <w:r>
              <w:rPr>
                <w:rFonts w:hint="default" w:ascii="Arial" w:hAnsi="Arial" w:cs="Arial"/>
                <w:sz w:val="20"/>
                <w:szCs w:val="20"/>
                <w:lang w:val="pt-BR" w:eastAsia="zh-CN" w:bidi="ar"/>
              </w:rPr>
              <w:t>45</w:t>
            </w:r>
          </w:p>
        </w:tc>
        <w:tc>
          <w:tcPr>
            <w:tcW w:w="3466" w:type="dxa"/>
            <w:shd w:val="clear" w:color="auto" w:fill="auto"/>
            <w:noWrap w:val="0"/>
            <w:vAlign w:val="center"/>
          </w:tcPr>
          <w:p w14:paraId="277C4EE2">
            <w:pPr>
              <w:keepNext w:val="0"/>
              <w:keepLines w:val="0"/>
              <w:pageBreakBefore w:val="0"/>
              <w:widowControl/>
              <w:kinsoku/>
              <w:wordWrap/>
              <w:overflowPunct/>
              <w:topLinePunct w:val="0"/>
              <w:autoSpaceDE/>
              <w:autoSpaceDN/>
              <w:bidi w:val="0"/>
              <w:adjustRightInd/>
              <w:snapToGrid/>
              <w:spacing w:after="0" w:line="240" w:lineRule="auto"/>
              <w:ind w:hanging="1"/>
              <w:jc w:val="both"/>
              <w:rPr>
                <w:rFonts w:ascii="Arial" w:hAnsi="Arial" w:eastAsia="Times New Roman" w:cs="Arial"/>
                <w:sz w:val="20"/>
                <w:szCs w:val="20"/>
                <w:lang w:val="pt-BR" w:eastAsia="en-US" w:bidi="ar-SA"/>
              </w:rPr>
            </w:pPr>
            <w:r>
              <w:rPr>
                <w:rFonts w:ascii="Arial" w:hAnsi="Arial" w:cs="Arial"/>
                <w:sz w:val="20"/>
                <w:szCs w:val="20"/>
                <w:lang w:val="en-US" w:eastAsia="zh-CN" w:bidi="ar"/>
              </w:rPr>
              <w:t>EMEB J</w:t>
            </w:r>
            <w:r>
              <w:rPr>
                <w:rFonts w:ascii="Arial" w:hAnsi="Arial" w:cs="Arial"/>
                <w:sz w:val="20"/>
                <w:szCs w:val="20"/>
                <w:lang w:eastAsia="zh-CN" w:bidi="ar"/>
              </w:rPr>
              <w:t>OSÉ MÁRCIO</w:t>
            </w:r>
            <w:r>
              <w:rPr>
                <w:rFonts w:hint="default" w:ascii="Arial" w:hAnsi="Arial" w:cs="Arial"/>
                <w:sz w:val="20"/>
                <w:szCs w:val="20"/>
                <w:lang w:val="pt-BR" w:eastAsia="zh-CN" w:bidi="ar"/>
              </w:rPr>
              <w:t xml:space="preserve"> MENDONÇA DA SILA</w:t>
            </w:r>
          </w:p>
        </w:tc>
        <w:tc>
          <w:tcPr>
            <w:tcW w:w="1418" w:type="dxa"/>
            <w:shd w:val="clear" w:color="auto" w:fill="auto"/>
            <w:noWrap w:val="0"/>
            <w:vAlign w:val="center"/>
          </w:tcPr>
          <w:p w14:paraId="0E1A6F81">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en-US" w:bidi="ar-SA"/>
              </w:rPr>
            </w:pPr>
            <w:r>
              <w:rPr>
                <w:rFonts w:ascii="Arial" w:hAnsi="Arial" w:eastAsia="SimSun" w:cs="Arial"/>
                <w:color w:val="000000"/>
                <w:sz w:val="20"/>
                <w:szCs w:val="20"/>
                <w:lang w:eastAsia="zh-CN" w:bidi="ar"/>
              </w:rPr>
              <w:t>0</w:t>
            </w:r>
          </w:p>
        </w:tc>
        <w:tc>
          <w:tcPr>
            <w:tcW w:w="1118" w:type="dxa"/>
            <w:shd w:val="clear" w:color="auto" w:fill="auto"/>
            <w:noWrap w:val="0"/>
            <w:vAlign w:val="center"/>
          </w:tcPr>
          <w:p w14:paraId="5DA390FA">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en-US" w:bidi="ar-SA"/>
              </w:rPr>
            </w:pPr>
            <w:r>
              <w:rPr>
                <w:rFonts w:ascii="Arial" w:hAnsi="Arial" w:eastAsia="SimSun" w:cs="Arial"/>
                <w:color w:val="000000"/>
                <w:sz w:val="20"/>
                <w:szCs w:val="20"/>
                <w:lang w:eastAsia="zh-CN" w:bidi="ar"/>
              </w:rPr>
              <w:t>0</w:t>
            </w:r>
          </w:p>
        </w:tc>
        <w:tc>
          <w:tcPr>
            <w:tcW w:w="1247" w:type="dxa"/>
            <w:shd w:val="clear" w:color="auto" w:fill="auto"/>
            <w:noWrap w:val="0"/>
            <w:vAlign w:val="center"/>
          </w:tcPr>
          <w:p w14:paraId="489E94D0">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en-US" w:bidi="ar-SA"/>
              </w:rPr>
            </w:pPr>
            <w:r>
              <w:rPr>
                <w:rFonts w:ascii="Arial" w:hAnsi="Arial" w:eastAsia="SimSun" w:cs="Arial"/>
                <w:color w:val="000000"/>
                <w:sz w:val="20"/>
                <w:szCs w:val="20"/>
                <w:lang w:eastAsia="zh-CN" w:bidi="ar"/>
              </w:rPr>
              <w:t>370</w:t>
            </w:r>
          </w:p>
        </w:tc>
        <w:tc>
          <w:tcPr>
            <w:tcW w:w="1134" w:type="dxa"/>
            <w:shd w:val="clear" w:color="auto" w:fill="auto"/>
            <w:noWrap w:val="0"/>
            <w:vAlign w:val="center"/>
          </w:tcPr>
          <w:p w14:paraId="0331B950">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en-US" w:bidi="ar-SA"/>
              </w:rPr>
            </w:pPr>
            <w:r>
              <w:rPr>
                <w:rFonts w:ascii="Arial" w:hAnsi="Arial" w:eastAsia="SimSun" w:cs="Arial"/>
                <w:color w:val="000000"/>
                <w:sz w:val="20"/>
                <w:szCs w:val="20"/>
                <w:lang w:eastAsia="zh-CN" w:bidi="ar"/>
              </w:rPr>
              <w:t>0</w:t>
            </w:r>
          </w:p>
        </w:tc>
        <w:tc>
          <w:tcPr>
            <w:tcW w:w="1218" w:type="dxa"/>
            <w:shd w:val="clear" w:color="auto" w:fill="auto"/>
            <w:noWrap w:val="0"/>
            <w:vAlign w:val="center"/>
          </w:tcPr>
          <w:p w14:paraId="563A23A6">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en-US" w:bidi="ar-SA"/>
              </w:rPr>
            </w:pPr>
            <w:r>
              <w:rPr>
                <w:rFonts w:ascii="Arial" w:hAnsi="Arial" w:eastAsia="SimSun" w:cs="Arial"/>
                <w:color w:val="000000"/>
                <w:sz w:val="20"/>
                <w:szCs w:val="20"/>
                <w:lang w:eastAsia="zh-CN" w:bidi="ar"/>
              </w:rPr>
              <w:t>370</w:t>
            </w:r>
          </w:p>
        </w:tc>
      </w:tr>
      <w:tr w14:paraId="6448B4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87" w:type="dxa"/>
            <w:shd w:val="clear" w:color="auto" w:fill="auto"/>
            <w:noWrap w:val="0"/>
            <w:vAlign w:val="center"/>
          </w:tcPr>
          <w:p w14:paraId="5C7DC7B4">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rPr>
                <w:rFonts w:hint="default" w:ascii="Arial" w:hAnsi="Arial" w:eastAsia="Times New Roman" w:cs="Arial"/>
                <w:sz w:val="20"/>
                <w:szCs w:val="20"/>
                <w:lang w:val="pt-BR" w:eastAsia="en-US" w:bidi="ar-SA"/>
              </w:rPr>
            </w:pPr>
            <w:r>
              <w:rPr>
                <w:rFonts w:hint="default" w:ascii="Arial" w:hAnsi="Arial" w:cs="Arial"/>
                <w:sz w:val="20"/>
                <w:szCs w:val="20"/>
                <w:lang w:val="pt-BR" w:eastAsia="zh-CN" w:bidi="ar"/>
              </w:rPr>
              <w:t>46</w:t>
            </w:r>
          </w:p>
        </w:tc>
        <w:tc>
          <w:tcPr>
            <w:tcW w:w="3466" w:type="dxa"/>
            <w:shd w:val="clear" w:color="auto" w:fill="auto"/>
            <w:noWrap w:val="0"/>
            <w:vAlign w:val="top"/>
          </w:tcPr>
          <w:p w14:paraId="1ED4733E">
            <w:pPr>
              <w:keepNext w:val="0"/>
              <w:keepLines w:val="0"/>
              <w:pageBreakBefore w:val="0"/>
              <w:widowControl/>
              <w:kinsoku/>
              <w:wordWrap/>
              <w:overflowPunct/>
              <w:topLinePunct w:val="0"/>
              <w:autoSpaceDE/>
              <w:autoSpaceDN/>
              <w:bidi w:val="0"/>
              <w:adjustRightInd/>
              <w:snapToGrid/>
              <w:spacing w:after="0" w:line="240" w:lineRule="auto"/>
              <w:ind w:firstLine="0" w:firstLineChars="0"/>
              <w:jc w:val="both"/>
              <w:rPr>
                <w:rFonts w:ascii="Arial" w:hAnsi="Arial" w:eastAsia="Times New Roman" w:cs="Arial"/>
                <w:sz w:val="20"/>
                <w:szCs w:val="20"/>
                <w:lang w:val="pt-BR" w:eastAsia="en-US" w:bidi="ar-SA"/>
              </w:rPr>
            </w:pPr>
            <w:r>
              <w:rPr>
                <w:rFonts w:ascii="Arial" w:hAnsi="Arial" w:cs="Arial"/>
                <w:sz w:val="20"/>
                <w:szCs w:val="20"/>
                <w:lang w:eastAsia="zh-CN" w:bidi="ar"/>
              </w:rPr>
              <w:t>EMEB IVETE MARIA CROTTI DORNER</w:t>
            </w:r>
          </w:p>
        </w:tc>
        <w:tc>
          <w:tcPr>
            <w:tcW w:w="1418" w:type="dxa"/>
            <w:shd w:val="clear" w:color="auto" w:fill="auto"/>
            <w:noWrap w:val="0"/>
            <w:vAlign w:val="center"/>
          </w:tcPr>
          <w:p w14:paraId="22EC08C3">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en-US" w:bidi="ar-SA"/>
              </w:rPr>
            </w:pPr>
            <w:r>
              <w:rPr>
                <w:rFonts w:ascii="Arial" w:hAnsi="Arial" w:eastAsia="SimSun" w:cs="Arial"/>
                <w:color w:val="000000"/>
                <w:sz w:val="20"/>
                <w:szCs w:val="20"/>
                <w:lang w:eastAsia="zh-CN" w:bidi="ar"/>
              </w:rPr>
              <w:t>0</w:t>
            </w:r>
          </w:p>
        </w:tc>
        <w:tc>
          <w:tcPr>
            <w:tcW w:w="1118" w:type="dxa"/>
            <w:shd w:val="clear" w:color="auto" w:fill="auto"/>
            <w:noWrap w:val="0"/>
            <w:vAlign w:val="center"/>
          </w:tcPr>
          <w:p w14:paraId="5F45B318">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en-US" w:bidi="ar-SA"/>
              </w:rPr>
            </w:pPr>
            <w:r>
              <w:rPr>
                <w:rFonts w:ascii="Arial" w:hAnsi="Arial" w:eastAsia="SimSun" w:cs="Arial"/>
                <w:color w:val="000000"/>
                <w:sz w:val="20"/>
                <w:szCs w:val="20"/>
                <w:lang w:eastAsia="zh-CN" w:bidi="ar"/>
              </w:rPr>
              <w:t>0</w:t>
            </w:r>
          </w:p>
        </w:tc>
        <w:tc>
          <w:tcPr>
            <w:tcW w:w="1247" w:type="dxa"/>
            <w:shd w:val="clear" w:color="auto" w:fill="auto"/>
            <w:noWrap w:val="0"/>
            <w:vAlign w:val="center"/>
          </w:tcPr>
          <w:p w14:paraId="2BDB6C92">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en-US" w:bidi="ar-SA"/>
              </w:rPr>
            </w:pPr>
            <w:r>
              <w:rPr>
                <w:rFonts w:ascii="Arial" w:hAnsi="Arial" w:eastAsia="SimSun" w:cs="Arial"/>
                <w:color w:val="000000"/>
                <w:sz w:val="20"/>
                <w:szCs w:val="20"/>
                <w:lang w:eastAsia="zh-CN" w:bidi="ar"/>
              </w:rPr>
              <w:t>0</w:t>
            </w:r>
          </w:p>
        </w:tc>
        <w:tc>
          <w:tcPr>
            <w:tcW w:w="1134" w:type="dxa"/>
            <w:shd w:val="clear" w:color="auto" w:fill="auto"/>
            <w:noWrap w:val="0"/>
            <w:vAlign w:val="center"/>
          </w:tcPr>
          <w:p w14:paraId="3359484E">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en-US" w:bidi="ar-SA"/>
              </w:rPr>
            </w:pPr>
            <w:r>
              <w:rPr>
                <w:rFonts w:ascii="Arial" w:hAnsi="Arial" w:eastAsia="SimSun" w:cs="Arial"/>
                <w:color w:val="000000"/>
                <w:sz w:val="20"/>
                <w:szCs w:val="20"/>
                <w:lang w:eastAsia="zh-CN" w:bidi="ar"/>
              </w:rPr>
              <w:t>550</w:t>
            </w:r>
          </w:p>
        </w:tc>
        <w:tc>
          <w:tcPr>
            <w:tcW w:w="1218" w:type="dxa"/>
            <w:shd w:val="clear" w:color="auto" w:fill="auto"/>
            <w:noWrap w:val="0"/>
            <w:vAlign w:val="center"/>
          </w:tcPr>
          <w:p w14:paraId="72ACB590">
            <w:pPr>
              <w:keepNext w:val="0"/>
              <w:keepLines w:val="0"/>
              <w:pageBreakBefore w:val="0"/>
              <w:widowControl/>
              <w:kinsoku/>
              <w:wordWrap/>
              <w:overflowPunct/>
              <w:topLinePunct w:val="0"/>
              <w:autoSpaceDE/>
              <w:autoSpaceDN/>
              <w:bidi w:val="0"/>
              <w:adjustRightInd/>
              <w:snapToGrid/>
              <w:spacing w:after="0" w:line="240" w:lineRule="auto"/>
              <w:ind w:firstLine="0" w:firstLineChars="0"/>
              <w:jc w:val="center"/>
              <w:textAlignment w:val="center"/>
              <w:rPr>
                <w:rFonts w:ascii="Arial" w:hAnsi="Arial" w:eastAsia="Times New Roman" w:cs="Arial"/>
                <w:sz w:val="20"/>
                <w:szCs w:val="20"/>
                <w:lang w:val="pt-BR" w:eastAsia="en-US" w:bidi="ar-SA"/>
              </w:rPr>
            </w:pPr>
            <w:r>
              <w:rPr>
                <w:rFonts w:ascii="Arial" w:hAnsi="Arial" w:eastAsia="SimSun" w:cs="Arial"/>
                <w:color w:val="000000"/>
                <w:sz w:val="20"/>
                <w:szCs w:val="20"/>
                <w:lang w:eastAsia="zh-CN" w:bidi="ar"/>
              </w:rPr>
              <w:t>550</w:t>
            </w:r>
          </w:p>
        </w:tc>
      </w:tr>
      <w:tr w14:paraId="54D90F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87" w:type="dxa"/>
            <w:shd w:val="clear" w:color="auto" w:fill="auto"/>
            <w:noWrap w:val="0"/>
            <w:vAlign w:val="center"/>
          </w:tcPr>
          <w:p w14:paraId="73097E88">
            <w:pPr>
              <w:keepNext w:val="0"/>
              <w:keepLines w:val="0"/>
              <w:pageBreakBefore w:val="0"/>
              <w:widowControl/>
              <w:kinsoku/>
              <w:wordWrap/>
              <w:overflowPunct/>
              <w:topLinePunct w:val="0"/>
              <w:autoSpaceDE/>
              <w:autoSpaceDN/>
              <w:bidi w:val="0"/>
              <w:adjustRightInd/>
              <w:snapToGrid/>
              <w:spacing w:after="0" w:line="240" w:lineRule="auto"/>
              <w:ind w:firstLine="0"/>
              <w:jc w:val="center"/>
              <w:rPr>
                <w:rFonts w:hint="default" w:ascii="Arial" w:hAnsi="Arial" w:cs="Arial"/>
                <w:sz w:val="20"/>
                <w:szCs w:val="20"/>
                <w:lang w:val="pt-BR"/>
              </w:rPr>
            </w:pPr>
            <w:r>
              <w:rPr>
                <w:rFonts w:hint="default" w:ascii="Arial" w:hAnsi="Arial" w:cs="Arial"/>
                <w:sz w:val="20"/>
                <w:szCs w:val="20"/>
                <w:lang w:val="pt-BR" w:eastAsia="zh-CN" w:bidi="ar"/>
              </w:rPr>
              <w:t>47</w:t>
            </w:r>
          </w:p>
        </w:tc>
        <w:tc>
          <w:tcPr>
            <w:tcW w:w="3466" w:type="dxa"/>
            <w:shd w:val="clear" w:color="auto" w:fill="auto"/>
            <w:noWrap w:val="0"/>
            <w:vAlign w:val="center"/>
          </w:tcPr>
          <w:p w14:paraId="5EE47108">
            <w:pPr>
              <w:keepNext w:val="0"/>
              <w:keepLines w:val="0"/>
              <w:pageBreakBefore w:val="0"/>
              <w:widowControl/>
              <w:kinsoku/>
              <w:wordWrap/>
              <w:overflowPunct/>
              <w:topLinePunct w:val="0"/>
              <w:autoSpaceDE/>
              <w:autoSpaceDN/>
              <w:bidi w:val="0"/>
              <w:adjustRightInd/>
              <w:snapToGrid/>
              <w:spacing w:after="0" w:line="240" w:lineRule="auto"/>
              <w:ind w:hanging="1"/>
              <w:jc w:val="both"/>
              <w:textAlignment w:val="auto"/>
              <w:rPr>
                <w:rFonts w:ascii="Arial" w:hAnsi="Arial" w:cs="Arial"/>
                <w:sz w:val="20"/>
                <w:szCs w:val="20"/>
              </w:rPr>
            </w:pPr>
            <w:r>
              <w:rPr>
                <w:rFonts w:ascii="Arial" w:hAnsi="Arial" w:cs="Arial"/>
                <w:sz w:val="20"/>
                <w:szCs w:val="20"/>
                <w:lang w:eastAsia="zh-CN" w:bidi="ar"/>
              </w:rPr>
              <w:t>NICO BARACAT</w:t>
            </w:r>
            <w:r>
              <w:rPr>
                <w:rFonts w:hint="default" w:ascii="Arial" w:hAnsi="Arial" w:cs="Arial"/>
                <w:sz w:val="20"/>
                <w:szCs w:val="20"/>
                <w:lang w:val="pt-BR" w:eastAsia="zh-CN" w:bidi="ar"/>
              </w:rPr>
              <w:t xml:space="preserve"> (EM CONSTRUÇÃO)</w:t>
            </w:r>
          </w:p>
        </w:tc>
        <w:tc>
          <w:tcPr>
            <w:tcW w:w="1418" w:type="dxa"/>
            <w:shd w:val="clear" w:color="auto" w:fill="auto"/>
            <w:noWrap w:val="0"/>
            <w:vAlign w:val="center"/>
          </w:tcPr>
          <w:p w14:paraId="5186A29D">
            <w:pPr>
              <w:keepNext w:val="0"/>
              <w:keepLines w:val="0"/>
              <w:pageBreakBefore w:val="0"/>
              <w:widowControl/>
              <w:kinsoku/>
              <w:wordWrap/>
              <w:overflowPunct/>
              <w:topLinePunct w:val="0"/>
              <w:autoSpaceDE/>
              <w:autoSpaceDN/>
              <w:bidi w:val="0"/>
              <w:adjustRightInd/>
              <w:snapToGrid/>
              <w:spacing w:after="0" w:line="240" w:lineRule="auto"/>
              <w:ind w:firstLine="0"/>
              <w:jc w:val="center"/>
              <w:textAlignment w:val="center"/>
              <w:rPr>
                <w:rFonts w:ascii="Arial" w:hAnsi="Arial" w:cs="Arial"/>
                <w:sz w:val="20"/>
                <w:szCs w:val="20"/>
              </w:rPr>
            </w:pPr>
            <w:r>
              <w:rPr>
                <w:rFonts w:ascii="Arial" w:hAnsi="Arial" w:eastAsia="SimSun" w:cs="Arial"/>
                <w:color w:val="000000"/>
                <w:sz w:val="20"/>
                <w:szCs w:val="20"/>
                <w:lang w:eastAsia="zh-CN" w:bidi="ar"/>
              </w:rPr>
              <w:t>0</w:t>
            </w:r>
          </w:p>
        </w:tc>
        <w:tc>
          <w:tcPr>
            <w:tcW w:w="1118" w:type="dxa"/>
            <w:shd w:val="clear" w:color="auto" w:fill="auto"/>
            <w:noWrap w:val="0"/>
            <w:vAlign w:val="center"/>
          </w:tcPr>
          <w:p w14:paraId="1055B5FD">
            <w:pPr>
              <w:keepNext w:val="0"/>
              <w:keepLines w:val="0"/>
              <w:pageBreakBefore w:val="0"/>
              <w:widowControl/>
              <w:kinsoku/>
              <w:wordWrap/>
              <w:overflowPunct/>
              <w:topLinePunct w:val="0"/>
              <w:autoSpaceDE/>
              <w:autoSpaceDN/>
              <w:bidi w:val="0"/>
              <w:adjustRightInd/>
              <w:snapToGrid/>
              <w:spacing w:after="0" w:line="240" w:lineRule="auto"/>
              <w:ind w:firstLine="0"/>
              <w:jc w:val="center"/>
              <w:textAlignment w:val="center"/>
              <w:rPr>
                <w:rFonts w:ascii="Arial" w:hAnsi="Arial" w:cs="Arial"/>
                <w:sz w:val="20"/>
                <w:szCs w:val="20"/>
              </w:rPr>
            </w:pPr>
            <w:r>
              <w:rPr>
                <w:rFonts w:ascii="Arial" w:hAnsi="Arial" w:eastAsia="SimSun" w:cs="Arial"/>
                <w:color w:val="000000"/>
                <w:sz w:val="20"/>
                <w:szCs w:val="20"/>
                <w:lang w:eastAsia="zh-CN" w:bidi="ar"/>
              </w:rPr>
              <w:t>0</w:t>
            </w:r>
          </w:p>
        </w:tc>
        <w:tc>
          <w:tcPr>
            <w:tcW w:w="1247" w:type="dxa"/>
            <w:shd w:val="clear" w:color="auto" w:fill="auto"/>
            <w:noWrap w:val="0"/>
            <w:vAlign w:val="center"/>
          </w:tcPr>
          <w:p w14:paraId="509F5F72">
            <w:pPr>
              <w:keepNext w:val="0"/>
              <w:keepLines w:val="0"/>
              <w:pageBreakBefore w:val="0"/>
              <w:widowControl/>
              <w:kinsoku/>
              <w:wordWrap/>
              <w:overflowPunct/>
              <w:topLinePunct w:val="0"/>
              <w:autoSpaceDE/>
              <w:autoSpaceDN/>
              <w:bidi w:val="0"/>
              <w:adjustRightInd/>
              <w:snapToGrid/>
              <w:spacing w:after="0" w:line="240" w:lineRule="auto"/>
              <w:ind w:firstLine="0"/>
              <w:jc w:val="center"/>
              <w:textAlignment w:val="center"/>
              <w:rPr>
                <w:rFonts w:ascii="Arial" w:hAnsi="Arial" w:cs="Arial"/>
                <w:sz w:val="20"/>
                <w:szCs w:val="20"/>
              </w:rPr>
            </w:pPr>
            <w:r>
              <w:rPr>
                <w:rFonts w:ascii="Arial" w:hAnsi="Arial" w:eastAsia="SimSun" w:cs="Arial"/>
                <w:color w:val="000000"/>
                <w:sz w:val="20"/>
                <w:szCs w:val="20"/>
                <w:lang w:eastAsia="zh-CN" w:bidi="ar"/>
              </w:rPr>
              <w:t>584</w:t>
            </w:r>
          </w:p>
        </w:tc>
        <w:tc>
          <w:tcPr>
            <w:tcW w:w="1134" w:type="dxa"/>
            <w:shd w:val="clear" w:color="auto" w:fill="auto"/>
            <w:noWrap w:val="0"/>
            <w:vAlign w:val="center"/>
          </w:tcPr>
          <w:p w14:paraId="322FC75C">
            <w:pPr>
              <w:keepNext w:val="0"/>
              <w:keepLines w:val="0"/>
              <w:pageBreakBefore w:val="0"/>
              <w:widowControl/>
              <w:kinsoku/>
              <w:wordWrap/>
              <w:overflowPunct/>
              <w:topLinePunct w:val="0"/>
              <w:autoSpaceDE/>
              <w:autoSpaceDN/>
              <w:bidi w:val="0"/>
              <w:adjustRightInd/>
              <w:snapToGrid/>
              <w:spacing w:after="0" w:line="240" w:lineRule="auto"/>
              <w:ind w:firstLine="0"/>
              <w:jc w:val="center"/>
              <w:textAlignment w:val="center"/>
              <w:rPr>
                <w:rFonts w:ascii="Arial" w:hAnsi="Arial" w:cs="Arial"/>
                <w:sz w:val="20"/>
                <w:szCs w:val="20"/>
              </w:rPr>
            </w:pPr>
            <w:r>
              <w:rPr>
                <w:rFonts w:ascii="Arial" w:hAnsi="Arial" w:eastAsia="SimSun" w:cs="Arial"/>
                <w:color w:val="000000"/>
                <w:sz w:val="20"/>
                <w:szCs w:val="20"/>
                <w:lang w:eastAsia="zh-CN" w:bidi="ar"/>
              </w:rPr>
              <w:t>0</w:t>
            </w:r>
          </w:p>
        </w:tc>
        <w:tc>
          <w:tcPr>
            <w:tcW w:w="1218" w:type="dxa"/>
            <w:shd w:val="clear" w:color="auto" w:fill="auto"/>
            <w:noWrap w:val="0"/>
            <w:vAlign w:val="center"/>
          </w:tcPr>
          <w:p w14:paraId="3D875BE1">
            <w:pPr>
              <w:keepNext w:val="0"/>
              <w:keepLines w:val="0"/>
              <w:pageBreakBefore w:val="0"/>
              <w:widowControl/>
              <w:kinsoku/>
              <w:wordWrap/>
              <w:overflowPunct/>
              <w:topLinePunct w:val="0"/>
              <w:autoSpaceDE/>
              <w:autoSpaceDN/>
              <w:bidi w:val="0"/>
              <w:adjustRightInd/>
              <w:snapToGrid/>
              <w:spacing w:after="0" w:line="240" w:lineRule="auto"/>
              <w:ind w:firstLine="0"/>
              <w:jc w:val="center"/>
              <w:textAlignment w:val="center"/>
              <w:rPr>
                <w:rFonts w:ascii="Arial" w:hAnsi="Arial" w:cs="Arial"/>
                <w:sz w:val="20"/>
                <w:szCs w:val="20"/>
              </w:rPr>
            </w:pPr>
            <w:r>
              <w:rPr>
                <w:rFonts w:ascii="Arial" w:hAnsi="Arial" w:eastAsia="SimSun" w:cs="Arial"/>
                <w:color w:val="000000"/>
                <w:sz w:val="20"/>
                <w:szCs w:val="20"/>
                <w:lang w:eastAsia="zh-CN" w:bidi="ar"/>
              </w:rPr>
              <w:t>584</w:t>
            </w:r>
          </w:p>
        </w:tc>
      </w:tr>
      <w:tr w14:paraId="43A4A2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787" w:type="dxa"/>
            <w:shd w:val="clear" w:color="auto" w:fill="auto"/>
            <w:noWrap w:val="0"/>
            <w:vAlign w:val="center"/>
          </w:tcPr>
          <w:p w14:paraId="6A5CBC85">
            <w:pPr>
              <w:keepNext w:val="0"/>
              <w:keepLines w:val="0"/>
              <w:pageBreakBefore w:val="0"/>
              <w:widowControl/>
              <w:kinsoku/>
              <w:wordWrap/>
              <w:overflowPunct/>
              <w:topLinePunct w:val="0"/>
              <w:autoSpaceDE/>
              <w:autoSpaceDN/>
              <w:bidi w:val="0"/>
              <w:adjustRightInd/>
              <w:snapToGrid/>
              <w:spacing w:after="0" w:line="240" w:lineRule="auto"/>
              <w:ind w:firstLine="0"/>
              <w:jc w:val="center"/>
              <w:rPr>
                <w:rFonts w:hint="default" w:ascii="Arial" w:hAnsi="Arial" w:cs="Arial"/>
                <w:sz w:val="20"/>
                <w:szCs w:val="20"/>
                <w:lang w:val="pt-BR"/>
              </w:rPr>
            </w:pPr>
            <w:r>
              <w:rPr>
                <w:rFonts w:hint="default" w:ascii="Arial" w:hAnsi="Arial" w:cs="Arial"/>
                <w:sz w:val="20"/>
                <w:szCs w:val="20"/>
                <w:lang w:val="pt-BR" w:eastAsia="zh-CN" w:bidi="ar"/>
              </w:rPr>
              <w:t>48</w:t>
            </w:r>
          </w:p>
        </w:tc>
        <w:tc>
          <w:tcPr>
            <w:tcW w:w="3466" w:type="dxa"/>
            <w:shd w:val="clear" w:color="auto" w:fill="auto"/>
            <w:noWrap w:val="0"/>
            <w:vAlign w:val="center"/>
          </w:tcPr>
          <w:p w14:paraId="4EE6CA4C">
            <w:pPr>
              <w:keepNext w:val="0"/>
              <w:keepLines w:val="0"/>
              <w:pageBreakBefore w:val="0"/>
              <w:widowControl/>
              <w:kinsoku/>
              <w:wordWrap/>
              <w:overflowPunct/>
              <w:topLinePunct w:val="0"/>
              <w:autoSpaceDE/>
              <w:autoSpaceDN/>
              <w:bidi w:val="0"/>
              <w:adjustRightInd/>
              <w:snapToGrid/>
              <w:spacing w:after="0" w:line="240" w:lineRule="auto"/>
              <w:ind w:hanging="1"/>
              <w:jc w:val="both"/>
              <w:textAlignment w:val="auto"/>
              <w:rPr>
                <w:rFonts w:ascii="Arial" w:hAnsi="Arial" w:cs="Arial"/>
                <w:sz w:val="20"/>
                <w:szCs w:val="20"/>
              </w:rPr>
            </w:pPr>
            <w:r>
              <w:rPr>
                <w:rFonts w:ascii="Arial" w:hAnsi="Arial" w:cs="Arial"/>
                <w:sz w:val="20"/>
                <w:szCs w:val="20"/>
                <w:lang w:eastAsia="zh-CN" w:bidi="ar"/>
              </w:rPr>
              <w:t>EMEB JD. TERRA RICA</w:t>
            </w:r>
            <w:r>
              <w:rPr>
                <w:rFonts w:hint="default" w:ascii="Arial" w:hAnsi="Arial" w:cs="Arial"/>
                <w:sz w:val="20"/>
                <w:szCs w:val="20"/>
                <w:lang w:val="pt-BR" w:eastAsia="zh-CN" w:bidi="ar"/>
              </w:rPr>
              <w:t xml:space="preserve"> (EM CONSTRUÇÃO)</w:t>
            </w:r>
          </w:p>
        </w:tc>
        <w:tc>
          <w:tcPr>
            <w:tcW w:w="1418" w:type="dxa"/>
            <w:shd w:val="clear" w:color="auto" w:fill="auto"/>
            <w:noWrap w:val="0"/>
            <w:vAlign w:val="center"/>
          </w:tcPr>
          <w:p w14:paraId="2E1A2BC6">
            <w:pPr>
              <w:keepNext w:val="0"/>
              <w:keepLines w:val="0"/>
              <w:pageBreakBefore w:val="0"/>
              <w:widowControl/>
              <w:kinsoku/>
              <w:wordWrap/>
              <w:overflowPunct/>
              <w:topLinePunct w:val="0"/>
              <w:autoSpaceDE/>
              <w:autoSpaceDN/>
              <w:bidi w:val="0"/>
              <w:adjustRightInd/>
              <w:snapToGrid/>
              <w:spacing w:after="0" w:line="240" w:lineRule="auto"/>
              <w:ind w:firstLine="0"/>
              <w:jc w:val="center"/>
              <w:textAlignment w:val="center"/>
              <w:rPr>
                <w:rFonts w:ascii="Arial" w:hAnsi="Arial" w:cs="Arial"/>
                <w:sz w:val="20"/>
                <w:szCs w:val="20"/>
              </w:rPr>
            </w:pPr>
            <w:r>
              <w:rPr>
                <w:rFonts w:ascii="Arial" w:hAnsi="Arial" w:eastAsia="SimSun" w:cs="Arial"/>
                <w:color w:val="000000"/>
                <w:sz w:val="20"/>
                <w:szCs w:val="20"/>
                <w:lang w:eastAsia="zh-CN" w:bidi="ar"/>
              </w:rPr>
              <w:t>0</w:t>
            </w:r>
          </w:p>
        </w:tc>
        <w:tc>
          <w:tcPr>
            <w:tcW w:w="1118" w:type="dxa"/>
            <w:shd w:val="clear" w:color="auto" w:fill="auto"/>
            <w:noWrap w:val="0"/>
            <w:vAlign w:val="center"/>
          </w:tcPr>
          <w:p w14:paraId="43E234C7">
            <w:pPr>
              <w:keepNext w:val="0"/>
              <w:keepLines w:val="0"/>
              <w:pageBreakBefore w:val="0"/>
              <w:widowControl/>
              <w:kinsoku/>
              <w:wordWrap/>
              <w:overflowPunct/>
              <w:topLinePunct w:val="0"/>
              <w:autoSpaceDE/>
              <w:autoSpaceDN/>
              <w:bidi w:val="0"/>
              <w:adjustRightInd/>
              <w:snapToGrid/>
              <w:spacing w:after="0" w:line="240" w:lineRule="auto"/>
              <w:ind w:firstLine="0"/>
              <w:jc w:val="center"/>
              <w:textAlignment w:val="center"/>
              <w:rPr>
                <w:rFonts w:ascii="Arial" w:hAnsi="Arial" w:cs="Arial"/>
                <w:sz w:val="20"/>
                <w:szCs w:val="20"/>
              </w:rPr>
            </w:pPr>
            <w:r>
              <w:rPr>
                <w:rFonts w:ascii="Arial" w:hAnsi="Arial" w:eastAsia="SimSun" w:cs="Arial"/>
                <w:color w:val="000000"/>
                <w:sz w:val="20"/>
                <w:szCs w:val="20"/>
                <w:lang w:eastAsia="zh-CN" w:bidi="ar"/>
              </w:rPr>
              <w:t>0</w:t>
            </w:r>
          </w:p>
        </w:tc>
        <w:tc>
          <w:tcPr>
            <w:tcW w:w="1247" w:type="dxa"/>
            <w:shd w:val="clear" w:color="auto" w:fill="auto"/>
            <w:noWrap w:val="0"/>
            <w:vAlign w:val="center"/>
          </w:tcPr>
          <w:p w14:paraId="7DFE43EC">
            <w:pPr>
              <w:keepNext w:val="0"/>
              <w:keepLines w:val="0"/>
              <w:pageBreakBefore w:val="0"/>
              <w:widowControl/>
              <w:kinsoku/>
              <w:wordWrap/>
              <w:overflowPunct/>
              <w:topLinePunct w:val="0"/>
              <w:autoSpaceDE/>
              <w:autoSpaceDN/>
              <w:bidi w:val="0"/>
              <w:adjustRightInd/>
              <w:snapToGrid/>
              <w:spacing w:after="0" w:line="240" w:lineRule="auto"/>
              <w:ind w:firstLine="0"/>
              <w:jc w:val="center"/>
              <w:textAlignment w:val="center"/>
              <w:rPr>
                <w:rFonts w:ascii="Arial" w:hAnsi="Arial" w:cs="Arial"/>
                <w:sz w:val="20"/>
                <w:szCs w:val="20"/>
              </w:rPr>
            </w:pPr>
            <w:r>
              <w:rPr>
                <w:rFonts w:ascii="Arial" w:hAnsi="Arial" w:eastAsia="SimSun" w:cs="Arial"/>
                <w:color w:val="000000"/>
                <w:sz w:val="20"/>
                <w:szCs w:val="20"/>
                <w:lang w:eastAsia="zh-CN" w:bidi="ar"/>
              </w:rPr>
              <w:t>584</w:t>
            </w:r>
          </w:p>
        </w:tc>
        <w:tc>
          <w:tcPr>
            <w:tcW w:w="1134" w:type="dxa"/>
            <w:shd w:val="clear" w:color="auto" w:fill="auto"/>
            <w:noWrap w:val="0"/>
            <w:vAlign w:val="center"/>
          </w:tcPr>
          <w:p w14:paraId="6D2EA295">
            <w:pPr>
              <w:keepNext w:val="0"/>
              <w:keepLines w:val="0"/>
              <w:pageBreakBefore w:val="0"/>
              <w:widowControl/>
              <w:kinsoku/>
              <w:wordWrap/>
              <w:overflowPunct/>
              <w:topLinePunct w:val="0"/>
              <w:autoSpaceDE/>
              <w:autoSpaceDN/>
              <w:bidi w:val="0"/>
              <w:adjustRightInd/>
              <w:snapToGrid/>
              <w:spacing w:after="0" w:line="240" w:lineRule="auto"/>
              <w:ind w:firstLine="0"/>
              <w:jc w:val="center"/>
              <w:textAlignment w:val="center"/>
              <w:rPr>
                <w:rFonts w:ascii="Arial" w:hAnsi="Arial" w:cs="Arial"/>
                <w:sz w:val="20"/>
                <w:szCs w:val="20"/>
              </w:rPr>
            </w:pPr>
            <w:r>
              <w:rPr>
                <w:rFonts w:ascii="Arial" w:hAnsi="Arial" w:eastAsia="SimSun" w:cs="Arial"/>
                <w:color w:val="000000"/>
                <w:sz w:val="20"/>
                <w:szCs w:val="20"/>
                <w:lang w:eastAsia="zh-CN" w:bidi="ar"/>
              </w:rPr>
              <w:t>0</w:t>
            </w:r>
          </w:p>
        </w:tc>
        <w:tc>
          <w:tcPr>
            <w:tcW w:w="1218" w:type="dxa"/>
            <w:shd w:val="clear" w:color="auto" w:fill="auto"/>
            <w:noWrap w:val="0"/>
            <w:vAlign w:val="center"/>
          </w:tcPr>
          <w:p w14:paraId="79B4E74B">
            <w:pPr>
              <w:keepNext w:val="0"/>
              <w:keepLines w:val="0"/>
              <w:pageBreakBefore w:val="0"/>
              <w:widowControl/>
              <w:kinsoku/>
              <w:wordWrap/>
              <w:overflowPunct/>
              <w:topLinePunct w:val="0"/>
              <w:autoSpaceDE/>
              <w:autoSpaceDN/>
              <w:bidi w:val="0"/>
              <w:adjustRightInd/>
              <w:snapToGrid/>
              <w:spacing w:after="0" w:line="240" w:lineRule="auto"/>
              <w:ind w:firstLine="0"/>
              <w:jc w:val="center"/>
              <w:textAlignment w:val="center"/>
              <w:rPr>
                <w:rFonts w:ascii="Arial" w:hAnsi="Arial" w:cs="Arial"/>
                <w:sz w:val="20"/>
                <w:szCs w:val="20"/>
              </w:rPr>
            </w:pPr>
            <w:r>
              <w:rPr>
                <w:rFonts w:ascii="Arial" w:hAnsi="Arial" w:eastAsia="SimSun" w:cs="Arial"/>
                <w:color w:val="000000"/>
                <w:sz w:val="20"/>
                <w:szCs w:val="20"/>
                <w:lang w:eastAsia="zh-CN" w:bidi="ar"/>
              </w:rPr>
              <w:t>584</w:t>
            </w:r>
          </w:p>
        </w:tc>
      </w:tr>
      <w:tr w14:paraId="2C8B8B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00" w:hRule="atLeast"/>
          <w:jc w:val="center"/>
        </w:trPr>
        <w:tc>
          <w:tcPr>
            <w:tcW w:w="4253" w:type="dxa"/>
            <w:gridSpan w:val="2"/>
            <w:shd w:val="clear" w:color="auto" w:fill="D1D1D1"/>
            <w:noWrap w:val="0"/>
            <w:vAlign w:val="center"/>
          </w:tcPr>
          <w:p w14:paraId="726D48AD">
            <w:pPr>
              <w:keepNext w:val="0"/>
              <w:keepLines w:val="0"/>
              <w:pageBreakBefore w:val="0"/>
              <w:widowControl/>
              <w:kinsoku/>
              <w:wordWrap/>
              <w:overflowPunct/>
              <w:topLinePunct w:val="0"/>
              <w:autoSpaceDE/>
              <w:autoSpaceDN/>
              <w:bidi w:val="0"/>
              <w:adjustRightInd/>
              <w:snapToGrid/>
              <w:spacing w:after="0" w:line="240" w:lineRule="auto"/>
              <w:ind w:firstLine="0"/>
              <w:jc w:val="center"/>
              <w:textAlignment w:val="auto"/>
              <w:rPr>
                <w:rFonts w:ascii="Arial" w:hAnsi="Arial" w:cs="Arial"/>
                <w:b/>
                <w:bCs/>
                <w:sz w:val="20"/>
                <w:szCs w:val="20"/>
              </w:rPr>
            </w:pPr>
            <w:r>
              <w:rPr>
                <w:rFonts w:ascii="Arial" w:hAnsi="Arial" w:cs="Arial"/>
                <w:b/>
                <w:bCs/>
                <w:sz w:val="20"/>
                <w:szCs w:val="20"/>
                <w:lang w:eastAsia="zh-CN" w:bidi="ar"/>
              </w:rPr>
              <w:t>TOTAL</w:t>
            </w:r>
          </w:p>
        </w:tc>
        <w:tc>
          <w:tcPr>
            <w:tcW w:w="1418" w:type="dxa"/>
            <w:shd w:val="clear" w:color="auto" w:fill="D1D1D1"/>
            <w:noWrap w:val="0"/>
            <w:vAlign w:val="center"/>
          </w:tcPr>
          <w:p w14:paraId="72471EFC">
            <w:pPr>
              <w:keepNext w:val="0"/>
              <w:keepLines w:val="0"/>
              <w:pageBreakBefore w:val="0"/>
              <w:widowControl/>
              <w:kinsoku/>
              <w:wordWrap/>
              <w:overflowPunct/>
              <w:topLinePunct w:val="0"/>
              <w:autoSpaceDE/>
              <w:autoSpaceDN/>
              <w:bidi w:val="0"/>
              <w:adjustRightInd/>
              <w:snapToGrid/>
              <w:spacing w:after="0" w:line="240" w:lineRule="auto"/>
              <w:ind w:firstLine="0"/>
              <w:jc w:val="center"/>
              <w:textAlignment w:val="center"/>
              <w:rPr>
                <w:rFonts w:ascii="Arial" w:hAnsi="Arial" w:cs="Arial"/>
                <w:sz w:val="20"/>
                <w:szCs w:val="20"/>
              </w:rPr>
            </w:pPr>
            <w:r>
              <w:rPr>
                <w:rFonts w:ascii="Arial" w:hAnsi="Arial" w:eastAsia="SimSun" w:cs="Arial"/>
                <w:b/>
                <w:bCs/>
                <w:color w:val="000000"/>
                <w:sz w:val="20"/>
                <w:szCs w:val="20"/>
                <w:lang w:eastAsia="zh-CN" w:bidi="ar"/>
              </w:rPr>
              <w:t>9057</w:t>
            </w:r>
          </w:p>
        </w:tc>
        <w:tc>
          <w:tcPr>
            <w:tcW w:w="1118" w:type="dxa"/>
            <w:shd w:val="clear" w:color="auto" w:fill="D1D1D1"/>
            <w:noWrap w:val="0"/>
            <w:vAlign w:val="center"/>
          </w:tcPr>
          <w:p w14:paraId="279CDBFF">
            <w:pPr>
              <w:keepNext w:val="0"/>
              <w:keepLines w:val="0"/>
              <w:pageBreakBefore w:val="0"/>
              <w:widowControl/>
              <w:kinsoku/>
              <w:wordWrap/>
              <w:overflowPunct/>
              <w:topLinePunct w:val="0"/>
              <w:autoSpaceDE/>
              <w:autoSpaceDN/>
              <w:bidi w:val="0"/>
              <w:adjustRightInd/>
              <w:snapToGrid/>
              <w:spacing w:after="0" w:line="240" w:lineRule="auto"/>
              <w:ind w:firstLine="0"/>
              <w:jc w:val="center"/>
              <w:textAlignment w:val="center"/>
              <w:rPr>
                <w:rFonts w:ascii="Arial" w:hAnsi="Arial" w:cs="Arial"/>
                <w:sz w:val="20"/>
                <w:szCs w:val="20"/>
              </w:rPr>
            </w:pPr>
            <w:r>
              <w:rPr>
                <w:rFonts w:ascii="Arial" w:hAnsi="Arial" w:eastAsia="SimSun" w:cs="Arial"/>
                <w:b/>
                <w:bCs/>
                <w:color w:val="000000"/>
                <w:sz w:val="20"/>
                <w:szCs w:val="20"/>
                <w:lang w:eastAsia="zh-CN" w:bidi="ar"/>
              </w:rPr>
              <w:t>50</w:t>
            </w:r>
          </w:p>
        </w:tc>
        <w:tc>
          <w:tcPr>
            <w:tcW w:w="1247" w:type="dxa"/>
            <w:shd w:val="clear" w:color="auto" w:fill="D1D1D1"/>
            <w:noWrap w:val="0"/>
            <w:vAlign w:val="center"/>
          </w:tcPr>
          <w:p w14:paraId="290A7380">
            <w:pPr>
              <w:keepNext w:val="0"/>
              <w:keepLines w:val="0"/>
              <w:pageBreakBefore w:val="0"/>
              <w:widowControl/>
              <w:kinsoku/>
              <w:wordWrap/>
              <w:overflowPunct/>
              <w:topLinePunct w:val="0"/>
              <w:autoSpaceDE/>
              <w:autoSpaceDN/>
              <w:bidi w:val="0"/>
              <w:adjustRightInd/>
              <w:snapToGrid/>
              <w:spacing w:after="0" w:line="240" w:lineRule="auto"/>
              <w:ind w:firstLine="0"/>
              <w:jc w:val="center"/>
              <w:textAlignment w:val="center"/>
              <w:rPr>
                <w:rFonts w:ascii="Arial" w:hAnsi="Arial" w:cs="Arial"/>
                <w:sz w:val="20"/>
                <w:szCs w:val="20"/>
              </w:rPr>
            </w:pPr>
            <w:r>
              <w:rPr>
                <w:rFonts w:ascii="Arial" w:hAnsi="Arial" w:eastAsia="SimSun" w:cs="Arial"/>
                <w:b/>
                <w:bCs/>
                <w:color w:val="000000"/>
                <w:sz w:val="20"/>
                <w:szCs w:val="20"/>
                <w:lang w:eastAsia="zh-CN" w:bidi="ar"/>
              </w:rPr>
              <w:t>15944</w:t>
            </w:r>
          </w:p>
        </w:tc>
        <w:tc>
          <w:tcPr>
            <w:tcW w:w="1134" w:type="dxa"/>
            <w:shd w:val="clear" w:color="auto" w:fill="D1D1D1"/>
            <w:noWrap w:val="0"/>
            <w:vAlign w:val="center"/>
          </w:tcPr>
          <w:p w14:paraId="3C5C1CFF">
            <w:pPr>
              <w:keepNext w:val="0"/>
              <w:keepLines w:val="0"/>
              <w:pageBreakBefore w:val="0"/>
              <w:widowControl/>
              <w:kinsoku/>
              <w:wordWrap/>
              <w:overflowPunct/>
              <w:topLinePunct w:val="0"/>
              <w:autoSpaceDE/>
              <w:autoSpaceDN/>
              <w:bidi w:val="0"/>
              <w:adjustRightInd/>
              <w:snapToGrid/>
              <w:spacing w:after="0" w:line="240" w:lineRule="auto"/>
              <w:ind w:firstLine="0"/>
              <w:jc w:val="center"/>
              <w:textAlignment w:val="center"/>
              <w:rPr>
                <w:rFonts w:ascii="Arial" w:hAnsi="Arial" w:cs="Arial"/>
                <w:sz w:val="20"/>
                <w:szCs w:val="20"/>
              </w:rPr>
            </w:pPr>
            <w:r>
              <w:rPr>
                <w:rFonts w:ascii="Arial" w:hAnsi="Arial" w:eastAsia="SimSun" w:cs="Arial"/>
                <w:b/>
                <w:bCs/>
                <w:color w:val="000000"/>
                <w:sz w:val="20"/>
                <w:szCs w:val="20"/>
                <w:lang w:eastAsia="zh-CN" w:bidi="ar"/>
              </w:rPr>
              <w:t>1160</w:t>
            </w:r>
          </w:p>
        </w:tc>
        <w:tc>
          <w:tcPr>
            <w:tcW w:w="1218" w:type="dxa"/>
            <w:shd w:val="clear" w:color="auto" w:fill="D1D1D1"/>
            <w:noWrap w:val="0"/>
            <w:vAlign w:val="center"/>
          </w:tcPr>
          <w:p w14:paraId="3E564A1D">
            <w:pPr>
              <w:keepNext w:val="0"/>
              <w:keepLines w:val="0"/>
              <w:pageBreakBefore w:val="0"/>
              <w:widowControl/>
              <w:kinsoku/>
              <w:wordWrap/>
              <w:overflowPunct/>
              <w:topLinePunct w:val="0"/>
              <w:autoSpaceDE/>
              <w:autoSpaceDN/>
              <w:bidi w:val="0"/>
              <w:adjustRightInd/>
              <w:snapToGrid/>
              <w:spacing w:after="0" w:line="240" w:lineRule="auto"/>
              <w:ind w:firstLine="0"/>
              <w:jc w:val="center"/>
              <w:textAlignment w:val="center"/>
              <w:rPr>
                <w:rFonts w:ascii="Arial" w:hAnsi="Arial" w:cs="Arial"/>
                <w:sz w:val="20"/>
                <w:szCs w:val="20"/>
              </w:rPr>
            </w:pPr>
            <w:r>
              <w:rPr>
                <w:rFonts w:ascii="Arial" w:hAnsi="Arial" w:eastAsia="SimSun" w:cs="Arial"/>
                <w:b/>
                <w:bCs/>
                <w:color w:val="000000"/>
                <w:sz w:val="20"/>
                <w:szCs w:val="20"/>
                <w:lang w:eastAsia="zh-CN" w:bidi="ar"/>
              </w:rPr>
              <w:t>26211</w:t>
            </w:r>
          </w:p>
        </w:tc>
      </w:tr>
    </w:tbl>
    <w:p w14:paraId="38274D25">
      <w:pPr>
        <w:spacing w:line="360" w:lineRule="auto"/>
        <w:ind w:right="176" w:rightChars="80"/>
        <w:jc w:val="both"/>
        <w:rPr>
          <w:rFonts w:ascii="Arial" w:hAnsi="Arial" w:cs="Arial"/>
        </w:rPr>
      </w:pP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28"/>
      </w:tblGrid>
      <w:tr w14:paraId="71A114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8" w:type="dxa"/>
            <w:shd w:val="clear" w:color="auto" w:fill="D8D8D8" w:themeFill="background1" w:themeFillShade="D9"/>
          </w:tcPr>
          <w:p w14:paraId="13DBC855">
            <w:pPr>
              <w:keepNext w:val="0"/>
              <w:keepLines w:val="0"/>
              <w:pageBreakBefore w:val="0"/>
              <w:widowControl/>
              <w:numPr>
                <w:ilvl w:val="0"/>
                <w:numId w:val="3"/>
              </w:numPr>
              <w:kinsoku/>
              <w:wordWrap/>
              <w:overflowPunct/>
              <w:topLinePunct w:val="0"/>
              <w:autoSpaceDE/>
              <w:autoSpaceDN/>
              <w:bidi w:val="0"/>
              <w:adjustRightInd/>
              <w:snapToGrid/>
              <w:spacing w:before="181" w:beforeLines="50" w:after="120" w:line="240" w:lineRule="auto"/>
              <w:ind w:right="176"/>
              <w:jc w:val="center"/>
              <w:textAlignment w:val="auto"/>
              <w:rPr>
                <w:rFonts w:ascii="Arial" w:hAnsi="Arial" w:cs="Arial"/>
                <w:sz w:val="24"/>
                <w:szCs w:val="24"/>
              </w:rPr>
            </w:pPr>
            <w:r>
              <w:rPr>
                <w:rFonts w:ascii="Arial" w:hAnsi="Arial" w:cs="Arial"/>
                <w:b/>
                <w:sz w:val="24"/>
                <w:szCs w:val="24"/>
              </w:rPr>
              <w:t>JUSTIFICATIVA/NECESSIDADE</w:t>
            </w:r>
            <w:r>
              <w:rPr>
                <w:rFonts w:ascii="Arial" w:hAnsi="Arial" w:cs="Arial"/>
                <w:b/>
                <w:spacing w:val="-5"/>
                <w:sz w:val="24"/>
                <w:szCs w:val="24"/>
              </w:rPr>
              <w:t xml:space="preserve"> </w:t>
            </w:r>
            <w:r>
              <w:rPr>
                <w:rFonts w:ascii="Arial" w:hAnsi="Arial" w:cs="Arial"/>
                <w:b/>
                <w:sz w:val="24"/>
                <w:szCs w:val="24"/>
              </w:rPr>
              <w:t>DA</w:t>
            </w:r>
            <w:r>
              <w:rPr>
                <w:rFonts w:ascii="Arial" w:hAnsi="Arial" w:cs="Arial"/>
                <w:b/>
                <w:spacing w:val="-3"/>
                <w:sz w:val="24"/>
                <w:szCs w:val="24"/>
              </w:rPr>
              <w:t xml:space="preserve"> </w:t>
            </w:r>
            <w:r>
              <w:rPr>
                <w:rFonts w:ascii="Arial" w:hAnsi="Arial" w:cs="Arial"/>
                <w:b/>
                <w:sz w:val="24"/>
                <w:szCs w:val="24"/>
              </w:rPr>
              <w:t>CONTRATAÇÃO</w:t>
            </w:r>
          </w:p>
        </w:tc>
      </w:tr>
    </w:tbl>
    <w:p w14:paraId="4BA632F0">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Justifica-se que a alimentação escolar é um instrumento essencial de política pública, reconhecido como direito social no Art. 6º da Constituição Federal e garantido pela Lei nº 11.947, de 16 de junho de 2009, que dispõe sobre o atendimento da alimentação escolar aos alunos da educação básica pública, esse direito é operacionalizado por meio do Programa Nacional de Alimentação Escolar (PNAE), coordenado pelo Fundo Nacional de Desenvolvimento da Educação (FNDE), que estabelece as normas de execução e financiamento da alimentação escolar em âmbito nacional.</w:t>
      </w:r>
    </w:p>
    <w:p w14:paraId="41FD00B9">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O PNAE por sua vez é atualmente regulamentado pela Resolução CD/FNDE nº 6, de 8 de maio de 2020, com alterações introduzidas pela Resolução CD/FNDE nº 2, de 10 de março de 2023, onde define diretrizes quanto à composição nutricional, à qualidade e à regularidade da alimentação escolar, bem como à obrigatoriedade de aquisição de, no mínimo, 30% dos gêneros alimentícios junto à agricultura familiar e do empreendedor familiar rural.</w:t>
      </w:r>
    </w:p>
    <w:p w14:paraId="22118363">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Nesse diapasão cabe aos entes federativos, em especial aos municípios, como executores finais do programa, garantir a oferta regular, segura, adequada, saudável e de qualidade da alimentação escolar, em consonância com o calendário letivo e com os princípios da segurança alimentar e nutricional, do desenvolvimento sustentável e da valorização da cultura alimentar local.</w:t>
      </w:r>
    </w:p>
    <w:p w14:paraId="14EA4010">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No município de Sinop/MT, a alimentação escolar é fornecida atualmente a aproximadamente 23.111 (vinte e três mil, cento e onze) estudantes, diariamente, matriculados na Educação Infantil e no Ensino Fundamental, atendidos em 46 (quarenta e seis) unidades educativas atualmente em funcionamento. A gestão de toda essa operação é de responsabilidade da Secretaria Municipal de Educação (SME), que coordena não apenas os aspectos pedagógicos das unidades, mas também toda a logística de aquisição, recebimento, distribuição, controle de qualidade, armazenamento e preparo dos alimentos, garantindo o cumprimento das diretrizes técnicas, nutricionais e legais estabelecidas pelo FNDE e demais órgãos reguladores.</w:t>
      </w:r>
    </w:p>
    <w:p w14:paraId="79A86A25">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Importa destacar que há, neste momento, a previsão de abertura de mais 03 (três) unidades escolares, cujas obras estão em andamento e mais 02 (duas) unidades rurais que passarão para a administração municipal, o que ampliará significativamente a capacidade da rede municipal e, por consequência, a demanda por alimentação escolar em número de refeições, volume de insumos e estrutura de atendimento logístico e operacional. Tal crescimento exige planejamento antecipado por parte da Administração Pública, a fim de evitar sobrecargas futuras no sistema e garantir a continuidade do atendimento com qualidade.</w:t>
      </w:r>
    </w:p>
    <w:p w14:paraId="4CFD0075">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A alimentação escolar em Sinop/MT, portanto, configura-se como uma atividade pública altamente complexa e multidimensional, que vai muito além da simples entrega de alimentos. Trata-se de uma operação contínua e sensível, que requer uma estrutura técnica e administrativa robusta, sincronizada e permanentemente ativa para garantir que, diariamente, milhares de refeições sejam preparadas e servidas com qualidade, segurança e regularidade em todas as unidades da rede.</w:t>
      </w:r>
    </w:p>
    <w:p w14:paraId="21075B74">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Esse processo envolve diversas frentes de trabalho interligadas, como o planejamento de cardápios equilibrados conforme faixas etárias e necessidades específicas dos alunos; o controle de estoques e prazos de validade; a conferência e recebimento de dezenas de itens alimentícios de fornecedores distintos; o acompanhamento da logística de distribuição; a manipulação e preparo adequado dos alimentos in loco; a higienização de utensílios e equipamentos; e a fiscalização do cumprimento das normas sanitárias. Cada uma dessas etapas exige a atuação direta de nutricionistas, merendeiras, motoristas, auxiliares administrativos, fiscais e gestores públicos.</w:t>
      </w:r>
    </w:p>
    <w:p w14:paraId="324C278A">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Sob o ponto de vista administrativo, o desafio é igualmente relevante. A SME precisa gerenciar diversos contratos e atas simultâneos, atender às exigências legais e técnicas do FNDE, prestar contas detalhadas aos órgãos de controle interno e externo, atender as normativas do TCE/MT, planejar a execução orçamentária e ainda lidar com as imprevisibilidades diárias da rotina escolar, como faltas de servidores, atrasos de entregas, equipamentos defeituosos, demandas emergências e mudanças no calendário letivo.</w:t>
      </w:r>
    </w:p>
    <w:p w14:paraId="2E95AE07">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Todo esse esforço se intensifica diante da crescente demanda da rede municipal, que tem projeção de atender no próximo ano, em capacidade máxima, aproximadamente 26 mil alunos em 50 unidades escolares. Essa realidade reforça a necessidade de soluções administrativas mais eficazes, capazes de garantir padronização, controle, agilidade e qualidade, sem comprometer os princípios da legalidade, economicidade e eficiência que regem a Administração Pública.</w:t>
      </w:r>
    </w:p>
    <w:p w14:paraId="3F4214AA">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Isso tudo posto, é necessário elencar que a gestão da alimentação escolar no município de Sinop/MT, atualmente conduzida de forma centralizada, envolve a formalização anual de múltiplas atas de registro de preços e contratos com diversas empresas e cooperativas.</w:t>
      </w:r>
    </w:p>
    <w:p w14:paraId="651F9A98">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 xml:space="preserve">Embora o Setor de Alimentação Escolar da Secretaria Municipal de Educação (SME), juntamente com sua equipe técnica, realiza um trabalho exemplar no planejamento e execução das políticas de alimentação escolar em Sinop/MT, a dedicação e competência desses profissionais garantem que os alunos recebam refeições balanceadas e adequadas às suas necessidades nutricionais. </w:t>
      </w:r>
    </w:p>
    <w:p w14:paraId="087A9516">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Contudo, o modelo atual de gestão, caracterizado pela centralização e pela multiplicidade de contratos e fornecedores, impõe desafios administrativos significativos, ao passo que a complexidade na coordenação de diversos processos licitatórios, o acompanhamento simultâneo de múltiplos contratos e a necessidade de fiscalização contínua de diversos fornecedores resultam em uma carga operacional elevada e em custos administrativos consideráveis, sendo que essa estrutura fragmentada demanda esforços adicionais da equipe da SME para assegurar a qualidade e a regularidade na oferta da alimentação escolar, o que evidenciou a necessidade de reavaliar o modelo de gestão vigente.</w:t>
      </w:r>
    </w:p>
    <w:p w14:paraId="61B614A1">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 xml:space="preserve">Visto que a cada ano, a Secretaria Municipal de Educação (SME) precisa coordenar diversos processos licitatórios para a aquisição de gêneros alimentícios destinados à merenda escolar, a cunho de exemplo, no presente ano de 2025 foram formalizados 16 instrumentos contratuais distintos, incluindo atas de registro de preços e contratos de credenciamento com diversas empresas e cooperativas, ou seja cerca de 13 atas de registro de preços e 3 contratos de credenciamento, cada um abrangendo uma variedade de itens necessários para a composição da merenda escolar, onde cada uma dessas atas e contratos pode englobar uma ampla gama de itens e quantidades variadas. </w:t>
      </w:r>
    </w:p>
    <w:p w14:paraId="214241B4">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Embora o atual modelo de aquisição e fornecimento da alimentação escolar, baseado na formalização de múltiplas atas de registro de preços e contratos de credenciamento, tenha permitido o atendimento às demandas da rede municipal até o momento, tal modelo vem se demonstrando progressivamente ineficaz frente à complexidade e à escala operacional atingida. O desafio atual não se restringe a custo direto, mas sim ao impacto gerado pela fragmentação da gestão, que compromete a linearidade da execução, dificulta o controle, e obriga a SME a realizar constantes intervenções emergenciais.</w:t>
      </w:r>
    </w:p>
    <w:p w14:paraId="05DF485F">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Com 13 atas de registro de preços e 3 contratos de credenciamento, o município gerencia diversos fornecedores para atender as necessidades da alimentação escolar. Isso resulta em uma coordenação rigorosa e detalhada, pois cada fornecedor tem condições de entrega próprias, aumentando a necessidade de controle e acompanhamento constantes.</w:t>
      </w:r>
    </w:p>
    <w:p w14:paraId="61E81DE8">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 xml:space="preserve"> Apesar de cláusulas contratuais claras, as empresas fornecedoras podem prejudicar a administração ao não cumprir os cronogramas estabelecidos, entregar produtos errados ou até mesmo não entregar os produtos solicitados, além disso, há possibilidade de haver entrega de quantidades incorretas, o que impacta diretamente a execução do objeto desta </w:t>
      </w:r>
      <w:r>
        <w:rPr>
          <w:rFonts w:ascii="Arial" w:hAnsi="Arial" w:eastAsia="SimSun" w:cs="Arial"/>
          <w:color w:val="000000"/>
          <w:lang w:eastAsia="zh-CN" w:bidi="ar"/>
        </w:rPr>
        <w:t>Licitação</w:t>
      </w:r>
      <w:r>
        <w:rPr>
          <w:rFonts w:ascii="Arial" w:hAnsi="Arial"/>
        </w:rPr>
        <w:t>.</w:t>
      </w:r>
    </w:p>
    <w:p w14:paraId="20D02C5E">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A gestão simultânea de mais de uma dezena de fornecedores impõe à SME uma carga operacional desproporcional, resultando em retrabalho frequente, substituições improvisadas de cardápio, inconsistências na padronização das refeições servidas e dificuldade na responsabilização por falhas. Em diversos episódios, a não entrega de itens por um ou mais fornecedores obrigou a substituição emergencial de ingredientes essenciais, afetando a composição nutricional planejada, especialmente para alunos com necessidades alimentares específicas.</w:t>
      </w:r>
    </w:p>
    <w:p w14:paraId="6D42D8E1">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Assim, a contratação de uma empresa única especializada para assumir todas as etapas da alimentação escolar da logística ao preparo é medida não apenas de conveniência administrativa, mas de otimização da estrutura pública, pois permitirá padronização, previsibilidade, uniformidade nos serviços e responsabilização centralizada, esse modelo proporcionará maior eficiência no uso da verba pública, com resultados operacionais superiores e redução dos riscos de descontinuidade ou falhas no serviço.</w:t>
      </w:r>
    </w:p>
    <w:p w14:paraId="38871B90">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Portanto, a adoção do modelo centralizado se justifica técnica e administrativamente como a alternativa mais eficiente frente aos desafios de um sistema fragmentado, sem que isso represente necessariamente um aumento ou diminuição do custo direto, mas sim uma melhoria objetiva na governança pública, na execução contratual e na segurança alimentar dos alunos.</w:t>
      </w:r>
    </w:p>
    <w:p w14:paraId="3239257A">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Outro desafio significativo do modelo atual refere-se à dificuldade das empresas em fornecer alimentos adequados para alunos com restrições alimentares ou, até mesmo, em participar dos pregões que demandam também o fornecimento desses produtos. Quando se trata de atender às necessidades alimentares especiais, como no caso de alunos com intolerâncias alimentares, alergias ou necessidades específicas de dietas, o fornecimento de produtos com garantia de qualidade, certificação e adequação nutricional é um processo mais complexo e custoso.</w:t>
      </w:r>
    </w:p>
    <w:p w14:paraId="555F7BB5">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Muitas vezes, as empresas participantes dos pregões não têm capacidade técnica, infraestrutura ou mesmo o interesse comercial para fornecer tais produtos, o que resulta na dificuldade de atender essas necessidades de maneira adequada.</w:t>
      </w:r>
    </w:p>
    <w:p w14:paraId="4B19A60C">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Essa dificuldade, inclusive, já se materializou em processos licitatórios específicos. O Pregão Eletrônico nº 001/2024, por exemplo, restou parcialmente fracassado quanto aos itens voltados à alimentação especial. Diante disso, foi aberto o Pregão Eletrônico nº 29/2024, com o objetivo exclusivo de suprir os itens frustrados, com abertura prevista apenas para 29/08/2024. Essa situação revela a morosidade do processo e o descompasso entre a demanda nutricional das escolas e a capacidade de resposta do mercado.</w:t>
      </w:r>
    </w:p>
    <w:p w14:paraId="3203E54A">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Quando se trata de atender às necessidades alimentares especiais, como no caso de alunos com intolerâncias alimentares, alergias ou necessidades específicas de dietas, o fornecimento de produtos com garantia de qualidade, certificação e adequação nutricional é um processo mais complexo e custoso. Muitas vezes, as empresas participantes dos pregões não têm capacidade técnica, infraestrutura ou mesmo o interesse comercial para fornecer tais produtos, o que resulta na dificuldade de atender essas necessidades de maneira adequada.</w:t>
      </w:r>
    </w:p>
    <w:p w14:paraId="5A8013EF">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Além disso, a especificação de produtos livres de glúten, lactose, ou que atendam a dietas específicas, como dietas sem açúcar ou com restrição de sódio, exige que as empresas sejam capazes de garantir controle de qualidade rigoroso, certificação de ingredientes e manipulação segura, o que muitas vezes não está ao alcance de fornecedores locais ou de pequenas empresas, que dominam a maior parte do mercado. Isso pode resultar em custos mais elevados para a administração, já que fornecedores especializados em alimentos para dietas restritivas frequentemente cobram preços mais altos devido à sua infraestrutura diferenciada e aos processos de fabricação especializados.</w:t>
      </w:r>
    </w:p>
    <w:p w14:paraId="7E899FAC">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 xml:space="preserve">Portanto, a falta de fornecedores qualificados ou o desinteresse das empresas em fornecer produtos específicos para atender alunos com restrições alimentares pode prejudicar a oferta de alimentação escolar e impactar negativamente a qualidade nutricional das refeições oferecidas, situação essa que pode facilmente ser combatida com empresa única, conforme disposto no presente processo. </w:t>
      </w:r>
    </w:p>
    <w:p w14:paraId="00BF8040">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 xml:space="preserve">Tais episódios evidenciam a inviabilidade técnica e comercial de manter a aquisição pulverizada desses gêneros alimentícios, sendo imprescindível a adoção de modelo que permita o fornecimento integrado e contínuo, com responsabilidade por parte de empresa especializada, garantindo regularidade, rastreabilidade e atendimento às exigências legais do PNAE. </w:t>
      </w:r>
    </w:p>
    <w:p w14:paraId="4DA7C6FB">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Uma das dificuldades adicionais enfrentadas com o modelo atual é a necessidade constante de alteração de cardápios de última hora, em decorrência da não entrega de produtos por parte de alguns fornecedores. Quando as entregas não são realizadas conforme o cronograma ou não atendem às especificações acordadas, a equipe da SME é obrigada a realizar ajustes emergenciais nos cardápios, muitas vezes substituindo alimentos planejados por outros que não estavam previstos. Essas alterações repentinas comprometem o planejamento nutricional das refeições, pois os produtos substitutos podem não cumprir a mesma função nutricional que os ingredientes originais, afetando o equilíbrio alimentar dos alunos.</w:t>
      </w:r>
    </w:p>
    <w:p w14:paraId="388959B6">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Além disso, essas mudanças de última hora podem ter impacto direto nas necessidades nutricionais dos estudantes, que dependem de uma alimentação balanceada para garantir o adequado desenvolvimento físico e cognitivo, essencial para o rendimento escolar. Substituições mal planejadas podem resultar em refeições com deficiência em determinados nutrientes, comprometendo a saúde dos alunos e, consequentemente, o objetivo do Programa Nacional de Alimentação Escolar (PNAE), que visa à promoção da saúde e do bem-estar dos estudantes.</w:t>
      </w:r>
    </w:p>
    <w:p w14:paraId="084367D9">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 xml:space="preserve">Outro aspecto importante é o impacto nas logísticas de distribuição e armazenamento, é que a troca de ingredientes em cima da hora gera desafios operacionais adicionais, que exigem maior esforço de organização para garantir que os novos produtos sejam devidamente armazenados e distribuídos sem prejudicar o cronograma das refeições. Isso aumenta os custos indiretos, como com transporte e armazenamento improvisado, sem mencionar o risco de desperdício de alimentos e a insatisfação dos alunos com as mudanças nos cardápios. Em resumo, as alterações de cardápio causadas pela falha na entrega de produtos comprometem não apenas a qualidade das refeições, mas também as necessidades nutricionais essenciais dos alunos, prejudicando o objetivo da alimentação escolar e aumentando a complexidade da gestão do objeto desta </w:t>
      </w:r>
      <w:r>
        <w:rPr>
          <w:rFonts w:ascii="Arial" w:hAnsi="Arial" w:eastAsia="SimSun" w:cs="Arial"/>
          <w:color w:val="000000"/>
          <w:lang w:eastAsia="zh-CN" w:bidi="ar"/>
        </w:rPr>
        <w:t>Licitação</w:t>
      </w:r>
      <w:r>
        <w:rPr>
          <w:rFonts w:ascii="Arial" w:hAnsi="Arial"/>
        </w:rPr>
        <w:t>.</w:t>
      </w:r>
    </w:p>
    <w:p w14:paraId="1CF3A34F">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Em resumo, o modelo atual, embora baseado em cláusulas contratuais bem estruturadas, é oneroso devido à quantidade de contratos e fornecedores envolvidos, o que cria várias oportunidades para as empresas prejudicarem o processo, resultando em uma complexidade crescente e custos elevados para a administração.</w:t>
      </w:r>
    </w:p>
    <w:p w14:paraId="49CCDF5F">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Essa realidade impõe uma carga operacional adicional à equipe técnica da Secretaria Municipal de Educação (SME), que precisa dedicar esforços substanciais para monitorar, fiscalizar e corrigir possíveis inconformidades, visando assegurar a qualidade e a regularidade na oferta da alimentação escolar aos estudantes.</w:t>
      </w:r>
    </w:p>
    <w:p w14:paraId="53A218E6">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Diante desse cenário, torna-se evidente que, embora o modelo atual de gestão da alimentação escolar em Sinop/MT funcione, ele o faz a um custo operacional elevado e com desafios administrativos significativos. A centralização dos serviços por meio da contratação de uma empresa especializada para fornecer a alimentação escolar de forma integrada surge como uma alternativa para reduzir a complexidade administrativa, otimizar recursos e assegurar a qualidade e regularidade das refeições oferecidas aos alunos da rede municipal.​</w:t>
      </w:r>
    </w:p>
    <w:p w14:paraId="0CA22426">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 xml:space="preserve">Portanto frente as dificuldades identificadas com o modelo atual, torna-se tecnicamente justificada a contratação de uma empresa especializada para a execução dos serviços contínuos de alimentação escolar, com o fornecimento integral de todos os gêneros alimentícios e demais insumos necessários para o preparo e fornecimento das refeições nas unidades escolares do município de Sinop/MT. </w:t>
      </w:r>
    </w:p>
    <w:p w14:paraId="43516B32">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A empresa contratada será responsável pelo fornecimento completo dos insumos alimentares, garantindo a qualidade nutricional e a segurança alimentar em conformidade com as normas do Programa Nacional de Alimentação Escolar (PNAE), e atendendo as necessidades dos alunos, incluindo aqueles com restrições alimentares específicas, sendo que a solução proposta, por sua vez, oferece uma alternativa integrada, que centraliza todas as etapas do processo, desde o fornecimento de alimentos até a entrega das refeições, simplificando o sistema e assegurando maior controle, previsibilidade e eficiência.</w:t>
      </w:r>
    </w:p>
    <w:p w14:paraId="258A2925">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Na prática ao centralizar a responsabilidade da alimentação escolar em uma única empresa especializada, será possível garantir padronização e qualidade contínua, com a responsabilidade integral pelo fornecimento, pré-preparo, preparo e distribuição das refeições. Essa solução elimina a complexidade gerada pela multiplicidade de fornecedores, que, por sua vez, trazem incertezas quanto à pontualidade das entregas, quantidade dos alimentos e cumprimento dos cronogramas. Além disso, o modelo integrado permitirá uma logística mais eficiente, com a empresa sendo responsável pela manutenção preventiva e corretiva dos equipamentos e utensílios das cozinhas escolares, garantindo a permanente operabilidade dos recursos necessários para a execução das atividades, alem de as dietas para alunos com necessidades alimentares especiais.</w:t>
      </w:r>
    </w:p>
    <w:p w14:paraId="40592AF6">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Ainda é necessário elencar que o fornecimento de todos os gêneros alimentícios e demais insumos será feito de maneira integrada, com a empresa contratada também assumindo a logística de abastecimento, cabendo a empresa garantir que todos os insumos estejam disponíveis nas escolas de maneira regular e eficiente, evitando desabastecimentos e proporcionando maior controle de estoque, sem depender de múltiplos fornecedores.</w:t>
      </w:r>
    </w:p>
    <w:p w14:paraId="37D1F3E3">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A supervisão técnica será responsabilidade da empresa contratada, que deverá manter a segurança alimentar, garantindo o controle de qualidade e a higienização dos alimentos e dos utensílios utilizados, cabendo a SME e Equipe Técnica a fiscalização do cumprimento dessas responsabilidades, assegurando que todos os alimentos entregues atendam aos padrões de qualidade e segurança alimentar exigidos para a saúde e o bem-estar dos alunos, atendendo não apenas às necessidades alimentares, mas também às exigências legais.</w:t>
      </w:r>
    </w:p>
    <w:p w14:paraId="0C86211D">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Outro ponto importante é que a empresa especializada será responsável pela prestação de serviços de manutenção preventiva e corretiva das estruturas físicas, equipamentos e utensílios utilizados nas cozinhas escolares, garantindo que os equipamentos utilizados no preparo das refeições estejam sempre operacionais, evitando interrupções nos serviços e melhorando a eficiência da operação nas escolas.</w:t>
      </w:r>
    </w:p>
    <w:p w14:paraId="10B0FA41">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Ainda importante destacar que na esfera burocrática, tal contratação eliminará a complexidade gerada pela multiplicidade de fornecedores, que, por sua vez, trazem incertezas quanto à pontualidade das entregas, quantidade dos alimentos e cumprimento dos cronogramas, evitando os desafios logísticos consideráveis, pois com uma única empresa especializada, a SME poderá focar seus esforços na supervisão e controle de qualidade, sem a sobrecarga de gerenciar dezenas de contratos e fornecedores distintos. O controle unificado dos processos, das entregas e dos insumos permitirá não apenas maior eficiência administrativa, mas também maior segurança alimentar, com o cumprimento rigoroso dos padrões exigidos pelo PNAE .</w:t>
      </w:r>
    </w:p>
    <w:p w14:paraId="707D433C">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 xml:space="preserve">Embora a contratação de uma empresa especializada para a execução do serviço contínuo de alimentação escolar resolva muitos dos desafios operacionais do modelo atual, é importante destacar que a Secretaria Municipal de Educação continuará desempenhando um papel fundamental no acompanhamento da execução dos serviços, na fiscalização e no controle de qualidade. </w:t>
      </w:r>
    </w:p>
    <w:p w14:paraId="10895AC6">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A SME manterá quadro técnico de nutricionistas (QT) que farão o atendimento em cada escola, a luz das exigências do FNDE, que será responsável dentre outras atividades previstas na legislação, monitorar a qualidade dos alimentos, a quantidade per capita e a adequação das refeições às necessidades nutricionais dos alunos. Além disso, a equipe administrativa da SME conjuntamente com o nutricionista responsável técnico (RT) continuará a atuar ativamente na gestão, supervisão e rígida fiscalização do contrato, garantindo que todos os padrões de qualidade e segurança alimentar sejam cumpridos.</w:t>
      </w:r>
    </w:p>
    <w:p w14:paraId="006C08B8">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 xml:space="preserve">Portanto é necessário elencar que a fiscalização e o acompanhamento da execução continuarão sendo funções essenciais para garantir que a empresa contratada cumpra rigorosamente todas as cláusulas do contrato, especialmente em relação às entregas pontuais, padronização das refeições e atendimento das necessidades alimentares específicas de alunos com restrições. </w:t>
      </w:r>
    </w:p>
    <w:p w14:paraId="4B972374">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 xml:space="preserve">Sendo que por sua vez a eficiência da administração se torna evidente, pois o trabalho da SME será mais focado, pois será possível ter maior controle sobre a execução de um único fornecedor, sem as dificuldades que surgem quando há fornecedores que não cumprem seus compromissos ou entregam produtos inadequados. </w:t>
      </w:r>
    </w:p>
    <w:p w14:paraId="00380438">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 xml:space="preserve">Por fim, a presente contratação se justifica, pois uma empresa especializada não só resolverá as ineficiências do modelo atual, mas também proporcionará uma solução mais ágil, segura e economicamente viável, alinhada com as exigências legais e com as necessidades reais da alimentação escolar em Sinop/MT. Essa solução integrada, ao otimizar todos os processos envolvidos, é a mais adequada e eficaz para garantir que a alimentação escolar seja fornecida de forma regular, qualificada e sem interrupções, atendendo, assim, à saúde e ao bem-estar dos alunos, e, ao mesmo tempo, promovendo uma administração mais eficiente e menos custosa. </w:t>
      </w:r>
    </w:p>
    <w:p w14:paraId="00068694">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Concluindo, portanto, que a contratação de uma empresa especializada, será possível centralizar todas as etapas do processo, desde o fornecimento até a preparação das refeições, distribuição e supervisão de qualidade, simplificando a gestão e proporcionando maior controle sobre os serviços prestados. A centralização desse processo elimina a multiplicidade de fornecedores, garantindo que os cardápios sejam seguidos corretamente, que as restrições alimentares sejam atendidas de forma eficaz, e que as entregas ocorram de forma regular e pontual.</w:t>
      </w:r>
    </w:p>
    <w:p w14:paraId="15659205">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Além disso, a contratação de uma empresa especializada otimizará os recursos administrativos e reduzirá os custos indiretos com logística e armazenamento, garantindo uma gestão financeira mais eficiente. A qualidade nutricional das refeições será mantida, e a segurança alimentar será assegurada, alinhada com as diretrizes do Programa Nacional de Alimentação Escolar (PNAE).</w:t>
      </w:r>
    </w:p>
    <w:p w14:paraId="749F78C8">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A solução proposta, portanto, é a mais adequada para os desafios do modelo atual, oferecendo uma alternativa que garantirá uma alimentação escolar padronizada, regular, e de qualidade, sem as dificuldades e custos elevados do sistema centralizado. A SME continuará a desempenhar seu papel de fiscalização e acompanhamento, mas de forma mais eficiente e focada, já que a empresa contratada assumirá a responsabilidade total pelo fornecimento e pela execução das etapas operacionais.</w:t>
      </w:r>
    </w:p>
    <w:p w14:paraId="24E9863D">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A centralização, ao invés de segmentar as contratações, oferece maior segurança para a gestão da alimentação escolar, contribuindo para um serviço mais integrado, eficaz e economicamente viável. Assim, a contratação de uma empresa especializada representa a melhor solução para garantir o fornecimento contínuo e de qualidade da alimentação escolar no município de Sinop/MT, atendendo às necessidades dos alunos com a segurança alimentar necessária e proporcionando uma administração mais eficiente e menos onerosa.</w:t>
      </w:r>
    </w:p>
    <w:p w14:paraId="2DCFA40F">
      <w:pPr>
        <w:pStyle w:val="26"/>
        <w:tabs>
          <w:tab w:val="left" w:pos="567"/>
          <w:tab w:val="clear" w:pos="4157"/>
        </w:tabs>
        <w:spacing w:beforeLines="50" w:line="360" w:lineRule="auto"/>
        <w:ind w:right="176" w:rightChars="80" w:firstLine="660" w:firstLineChars="300"/>
        <w:rPr>
          <w:rFonts w:ascii="Arial" w:hAnsi="Arial"/>
          <w:b/>
          <w:bCs/>
        </w:rPr>
      </w:pPr>
      <w:r>
        <w:rPr>
          <w:rFonts w:ascii="Arial" w:hAnsi="Arial"/>
          <w:b/>
          <w:bCs/>
        </w:rPr>
        <w:t>3.1. REORGANIZAÇÃO FUNCIONAL DAS AUXILIARES DE NUTRIÇÃO ESCOLAR E FORTALECIMENTO DA FISCALIZAÇÃO CONTRATUAL</w:t>
      </w:r>
    </w:p>
    <w:p w14:paraId="11D59B62">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Com a adoção do modelo de terceirização integral da alimentação escolar, faz-se necessário esclarecer o reposicionamento funcional das servidoras efetivas ocupantes do cargo de Auxiliar de Nutrição Escolar, pertencentes ao quadro de Apoio Administrativo Educacional da Rede Municipal de Ensino, demonstrando que a presente contratação representa otimização de recursos humanos, não implicando ociosidade ou desperdício de mão de obra qualificada do município.</w:t>
      </w:r>
    </w:p>
    <w:p w14:paraId="4AB6C077">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A transferência da execução material do preparo e manipulação da merenda para a empresa contratada não resulta em perda de relevância funcional das Auxiliares de Nutrição Escolar. Ao contrário, essas servidoras passarão a exercer papel estratégico e indispensável no acompanhamento e controle da execução contratual, atuando como agentes de apoio à fiscalização em suas respectivas unidades educativas, em plena consonância com as atribuições originárias do cargo e com as exigências legais de acompanhamento de contratos administrativos.</w:t>
      </w:r>
    </w:p>
    <w:p w14:paraId="6002621B">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A Lei Federal nº 14.133/2021 estabelece em seu art. 117 a obrigatoriedade de designação de fiscal ou equipe de fiscalização para acompanhar e fiscalizar a execução de todos os contratos celebrados pela Administração Pública. Conforme disposto no item 8 deste Termo de Referência, o contrato contará com fiscal formalmente designado, responsável pela coordenação geral da fiscalização e pela interlocução oficial com a CONTRATADA, ao passo que a legislação permite expressamente que o fiscal titular seja assistido e subsidiado por outros agentes da Administração com informações pertinentes à fiscalização, possibilitando a constituição de equipe de apoio à fiscalização contratual.</w:t>
      </w:r>
    </w:p>
    <w:p w14:paraId="567A8D95">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 xml:space="preserve">Para o adequado cumprimento das atribuições de fiscalização no contexto da alimentação escolar, torna-se imprescindível contar com agentes que possuam conhecimento técnico especializado sobre manipulação de alimentos, normas sanitárias, controle de qualidade, armazenamento adequado, porcionamento correto e conformidade com cardápios nutricionais, atuando como apoio presencial ao fiscal titular nas unidades educativas onde os serviços são efetivamente executados. </w:t>
      </w:r>
    </w:p>
    <w:p w14:paraId="36967CEC">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As competências legais das Auxiliares de Nutrição Escolar encontram-se estabelecidas na Lei Municipal nº 568/1999, art. 10º, e na Lei Complementar nº 62/2011, art. 8º, inciso I, ambos os diplomas normativos estabelecem como atribuições específicas destes servidores: preparar os alimentos que compõem a merenda escolar; manter a limpeza e organização do local, materiais e equipamentos necessários ao refeitório e cozinha; e manter a higiene, organização e controle dos insumos utilizados na preparação da merenda e demais refeições. Dessas atribuições legalmente estabelecidas, depreende-se que as Auxiliares de Nutrição Escolar já possuem competência técnica para o controle de qualidade dos alimentos, incluindo a verificação da qualidade dos produtos, descarte de alimentos impróprios e seguimento das normas de manipulação.</w:t>
      </w:r>
    </w:p>
    <w:p w14:paraId="464343E0">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A atribuição de manutenção da higiene e organização do ambiente, materiais e equipamentos, prevista expressamente na legislação municipal, confere naturalmente aos referidos servidores a competência para verificar se as empresas terceirizadas mantêm os padrões adequados de higiene da cozinha, limpeza de equipamentos e utensílios, e organização dos espaços de trabalho. Esta competência de controle e verificação não representa atribuição nova ou estranha ao cargo, mas sim extensão natural das responsabilidades já previstas na legislação de carreira, sendo fundamental para garantir a segurança alimentar dos estudantes e o cumprimento das normas sanitárias vigentes.</w:t>
      </w:r>
    </w:p>
    <w:p w14:paraId="1D8FAF8F">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Quanto ao acompanhamento do preparo dos alimentos, a atribuição legal de preparar os alimentos que compõem a merenda implica necessariamente no conhecimento técnico do porcionamento adequado, seguimento de receitas e cardápios estabelecidos, e controle de horários de preparo e distribuição. Este conhecimento específico qualifica as Auxiliares de Nutrição Escolar para verificar se as empresas terceirizadas estão cumprindo adequadamente o cardápio estabelecido, respeitando as quantidades por prato e o número de refeições servidas. A competência para controle dos insumos utilizados na preparação da merenda, expressamente prevista na Lei Complementar nº 62/2011, art. 8º, inciso I, estende-se naturalmente à fiscalização dos insumos fornecidos por empresas terceirizadas, bem como ao controle das condições de armazenamento e qualidade dos produtos utilizados no preparo das refeições escolares.</w:t>
      </w:r>
    </w:p>
    <w:p w14:paraId="2C4EC9DB">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A estrutura de supervisão técnica já está devidamente estabelecida na legislação vigente, prevendo que as Auxiliares de Nutrição Escolar recebam orientação técnica dos nutricionistas da Secretaria Municipal de Educação e subordinem-se à direção das unidades educativas. Esta estrutura hierárquica garante que as atividades de acompanhamento e verificação sejam exercidas sob adequada supervisão profissional, assegurando a qualidade técnica das verificações realizadas e mantendo a subordinação institucional necessária ao bom funcionamento dos serviços públicos.</w:t>
      </w:r>
    </w:p>
    <w:p w14:paraId="65A2A648">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As responsabilidades implícitas já previstas no ordenamento jurídico municipal, como o seguimento das normas da vigilância sanitária, uso de equipamentos de proteção individual, manutenção da higiene pessoal, prevenção de contaminação cruzada, e gestão eficiente dos recursos públicos, reforçam a competência destes servidores para exercer atividades de verificação e acompanhamento que visem garantir a qualidade da alimentação escolar e a segurança alimentar dos estudantes. A presença diária dos Auxiliares de Nutrição Escolar nas unidades educativas, aliada ao seu conhecimento técnico específico da rotina de alimentação escolar, os qualifica como agentes naturais para o acompanhamento dos serviços terceirizados.</w:t>
      </w:r>
    </w:p>
    <w:p w14:paraId="2BD1FC30">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A atuação das Auxiliares de Nutrição Escolar como agentes de apoio à fiscalização do contrato apresenta vantagens operacionais e estratégicas significativas para a Administração Municipal. Diferentemente de fiscais externos ou de servidores lotados exclusivamente em órgãos centrais, as Auxiliares já atuam diariamente nas escolas, o que possibilita o acompanhamento permanente e imediato da execução dos serviços, subsidiando o fiscal titular com informações em tempo real sobre a conformidade da prestação dos serviços. Essa presença contínua permite a identificação imediata de irregularidades e o reporte tempestivo ao fiscal titular para adoção de medidas corretivas, reduzindo riscos à segurança alimentar dos estudantes.</w:t>
      </w:r>
    </w:p>
    <w:p w14:paraId="31C483B9">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 xml:space="preserve">As Auxiliares de Nutrição Escolar atuarão em integração direta com o Sistema Digital de Controle, funcionando como agentes verificadores presenciais dos dados gerados pelo sistema biométrico ou facial de controle da alimentação escolar, subsidiando o fiscal titular do contrato com informações precisas sobre a execução dos serviços. Nessa função, verificarão </w:t>
      </w:r>
      <w:r>
        <w:rPr>
          <w:rFonts w:ascii="Arial" w:hAnsi="Arial"/>
          <w:i/>
          <w:iCs/>
        </w:rPr>
        <w:t>in loco</w:t>
      </w:r>
      <w:r>
        <w:rPr>
          <w:rFonts w:ascii="Arial" w:hAnsi="Arial"/>
        </w:rPr>
        <w:t xml:space="preserve"> a correspondência entre os registros digitais e o quantitativo efetivamente servido, o cumprimento dos cardápios estabelecidos pelo Setor de Alimentação Escolar, a qualidade e adequação das porções conforme per capita definido, o correto funcionamento dos equipamentos de aferição digital e a regularidade dos procedimentos de higiene e manipulação durante o serviço, reportando ao fiscal titular qualquer não conformidade identificada.</w:t>
      </w:r>
    </w:p>
    <w:p w14:paraId="5AFE1238">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Em caso de falha do sistema digital, as Auxiliares exercerão acompanhamento presencial reforçado, conferindo os registros manuais emitidos pela cozinheira designada da CONTRATADA, validando as contagens e assegurando que os dados contingenciais reflitam fielmente as refeições servidas, antes da assinatura do Gestor Escolar e do Responsável Técnico da empresa. Essas servidoras conhecem profundamente a rotina de cada unidade, o perfil dos estudantes atendidos, as particularidades dos espaços físicos e dos equipamentos disponíveis, o que confere maior precisão e efetividade ao acompanhamento dos serviços prestados.</w:t>
      </w:r>
    </w:p>
    <w:p w14:paraId="600DC928">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Do ponto de vista da eficiência administrativa, a atribuição destas competências de acompanhamento aos Auxiliares de Nutrição Escolar representa otimização dos recursos humanos disponíveis, aproveitando servidores já capacitados e lotados nas unidades educativas para exercer atividades de controle e verificação que se alinham perfeitamente com suas atribuições legais originárias. A utilização de servidores já existentes no quadro municipal evita a necessidade de criação de novos cargos, realização de concursos públicos ou contratações adicionais, observando os princípios da economicidade e eficiência previstos no art. 37 da Constituição Federal.</w:t>
      </w:r>
    </w:p>
    <w:p w14:paraId="0BEAE311">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No âmbito da alimentação escolar, a Resolução CD/FNDE nº 06/2020, que dispõe sobre o Programa Nacional de Alimentação Escolar (PNAE), estabelece que compete ao Município garantir a oferta da alimentação escolar aos alunos da educação básica pública, assegurando a qualidade nutricional, sanitária e de aceitabilidade dos cardápios oferecidos. Essa responsabilidade é indelegável: ainda que os serviços sejam executados por empresa terceirizada, o Município permanece integralmente responsável pela qualidade, segurança e adequação da alimentação oferecida aos estudantes. O acompanhamento rigoroso e permanente, realizado por servidores qualificados presentes diariamente nas unidades educativas, é condição indispensável para o cumprimento dessa responsabilidade constitucional e legal.</w:t>
      </w:r>
    </w:p>
    <w:p w14:paraId="4D15CD5B">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Cabe ressaltar que essa reorganização funcional respeita integralmente os direitos das servidoras, uma vez que não implica redução remuneratória, alteração de carga horária ou imposição de atividades incompatíveis com o cargo. Ao contrário, representa valorização da experiência e do conhecimento técnico acumulado ao longo da carreira dessas profissionais, conferindo às Auxiliares de Nutrição Escolar função de maior responsabilidade institucional e relevância estratégica na garantia da qualidade da alimentação escolar. A implementação desta medida não demanda alteração da legislação vigente, sendo suficiente uma reorganização administrativa interna que estabeleça fluxos operacionais, instrumentos de controle e procedimentos padronizados para o exercício do acompanhamento, definindo as rotinas de verificação, os formulários de registro, os prazos para comunicação de irregularidades e os canais de comunicação com o quadro técnico de nutricionistas e com o fiscal titular do contrato.</w:t>
      </w:r>
    </w:p>
    <w:p w14:paraId="5873EF27">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 xml:space="preserve">Assim, a atuação das Auxiliares de Nutrição Escolar como agentes de apoio à fiscalização do contrato de terceirização da merenda escolar, integrando a equipe de acompanhamento da execução contratual sob coordenação do fiscal titular, constitui solução administrativa juridicamente fundamentada nas atribuições legais do cargo estabelecidas pela Lei Municipal nº 568/1999 e Lei Complementar nº 62/2011, tecnicamente adequada e operacionalmente eficiente, alinhada aos princípios da legalidade, economicidade, eficiência e segurança alimentar. </w:t>
      </w:r>
    </w:p>
    <w:p w14:paraId="72AA95DD">
      <w:pPr>
        <w:pStyle w:val="26"/>
        <w:tabs>
          <w:tab w:val="left" w:pos="567"/>
          <w:tab w:val="clear" w:pos="4157"/>
        </w:tabs>
        <w:spacing w:beforeLines="50" w:line="360" w:lineRule="auto"/>
        <w:ind w:right="176" w:rightChars="80" w:firstLine="660" w:firstLineChars="300"/>
        <w:rPr>
          <w:rFonts w:ascii="Arial" w:hAnsi="Arial"/>
        </w:rPr>
      </w:pPr>
      <w:r>
        <w:rPr>
          <w:rFonts w:ascii="Arial" w:hAnsi="Arial"/>
        </w:rPr>
        <w:t>Por fim essa medida assegura que a terceirização seja acompanhada de forma rigorosa, permanente e qualificada em todas as unidades da rede municipal de ensino, com integração plena ao sistema digital de controle, garantindo a otimização dos recursos humanos do município e o fortalecimento da capacidade de acompanhamento e controle da Administração Pública sobre a execução do contrato.</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28"/>
      </w:tblGrid>
      <w:tr w14:paraId="744A86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8" w:type="dxa"/>
            <w:shd w:val="clear" w:color="auto" w:fill="D8D8D8" w:themeFill="background1" w:themeFillShade="D9"/>
          </w:tcPr>
          <w:p w14:paraId="1544324E">
            <w:pPr>
              <w:keepNext w:val="0"/>
              <w:keepLines w:val="0"/>
              <w:pageBreakBefore w:val="0"/>
              <w:widowControl/>
              <w:numPr>
                <w:ilvl w:val="0"/>
                <w:numId w:val="3"/>
              </w:numPr>
              <w:kinsoku/>
              <w:wordWrap/>
              <w:overflowPunct/>
              <w:topLinePunct w:val="0"/>
              <w:autoSpaceDE/>
              <w:autoSpaceDN/>
              <w:bidi w:val="0"/>
              <w:adjustRightInd/>
              <w:snapToGrid/>
              <w:spacing w:before="181" w:beforeLines="50" w:after="120" w:line="240" w:lineRule="auto"/>
              <w:ind w:right="176"/>
              <w:jc w:val="center"/>
              <w:textAlignment w:val="auto"/>
              <w:rPr>
                <w:rFonts w:ascii="Arial" w:hAnsi="Arial" w:cs="Arial"/>
                <w:sz w:val="24"/>
                <w:szCs w:val="24"/>
              </w:rPr>
            </w:pPr>
            <w:r>
              <w:rPr>
                <w:rFonts w:ascii="Arial" w:hAnsi="Arial" w:cs="Arial"/>
                <w:b/>
                <w:bCs/>
                <w:sz w:val="24"/>
                <w:szCs w:val="24"/>
              </w:rPr>
              <w:t>MAPA/GERENCIAMENTO DE RISCO</w:t>
            </w:r>
          </w:p>
        </w:tc>
      </w:tr>
    </w:tbl>
    <w:p w14:paraId="6A26C221">
      <w:pPr>
        <w:pStyle w:val="26"/>
        <w:numPr>
          <w:ilvl w:val="1"/>
          <w:numId w:val="3"/>
        </w:numPr>
        <w:tabs>
          <w:tab w:val="left" w:pos="567"/>
          <w:tab w:val="clear" w:pos="4157"/>
        </w:tabs>
        <w:spacing w:beforeLines="50" w:line="360" w:lineRule="auto"/>
        <w:ind w:right="176" w:rightChars="80"/>
        <w:rPr>
          <w:rFonts w:ascii="Arial" w:hAnsi="Arial"/>
          <w:lang w:eastAsia="pt-BR"/>
        </w:rPr>
      </w:pPr>
      <w:r>
        <w:rPr>
          <w:rFonts w:ascii="Arial" w:hAnsi="Arial" w:cs="Arial"/>
          <w:sz w:val="24"/>
          <w:szCs w:val="24"/>
        </w:rPr>
        <w:t>O MAPA/GERENCIAMENTO</w:t>
      </w:r>
      <w:r>
        <w:rPr>
          <w:rFonts w:ascii="Arial" w:hAnsi="Arial" w:cs="Arial"/>
          <w:b/>
          <w:bCs/>
          <w:sz w:val="24"/>
          <w:szCs w:val="24"/>
        </w:rPr>
        <w:t xml:space="preserve"> </w:t>
      </w:r>
      <w:r>
        <w:rPr>
          <w:rFonts w:ascii="Arial" w:hAnsi="Arial" w:cs="Arial"/>
          <w:sz w:val="24"/>
          <w:szCs w:val="24"/>
        </w:rPr>
        <w:t>de risco tem o objetivo de mapear os riscos pertinentes à Licitação, em suas fases de planejamento, escolha do fornecedor e gestão do contrato/empenho. Os riscos foram classificados em Probabilidade: Alta, Média e Baixa conforme documento anexo ao Termo de Referência.</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28"/>
      </w:tblGrid>
      <w:tr w14:paraId="4D756D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9628" w:type="dxa"/>
            <w:shd w:val="clear" w:color="auto" w:fill="D8D8D8" w:themeFill="background1" w:themeFillShade="D9"/>
          </w:tcPr>
          <w:p w14:paraId="6BF26765">
            <w:pPr>
              <w:keepNext w:val="0"/>
              <w:keepLines w:val="0"/>
              <w:pageBreakBefore w:val="0"/>
              <w:widowControl/>
              <w:numPr>
                <w:ilvl w:val="0"/>
                <w:numId w:val="3"/>
              </w:numPr>
              <w:kinsoku/>
              <w:wordWrap/>
              <w:overflowPunct/>
              <w:topLinePunct w:val="0"/>
              <w:autoSpaceDE/>
              <w:autoSpaceDN/>
              <w:bidi w:val="0"/>
              <w:adjustRightInd/>
              <w:snapToGrid/>
              <w:spacing w:before="181" w:beforeLines="50" w:after="120" w:line="240" w:lineRule="auto"/>
              <w:ind w:right="176"/>
              <w:jc w:val="center"/>
              <w:textAlignment w:val="auto"/>
              <w:rPr>
                <w:rFonts w:ascii="Arial" w:hAnsi="Arial" w:cs="Arial"/>
                <w:sz w:val="24"/>
                <w:szCs w:val="24"/>
              </w:rPr>
            </w:pPr>
            <w:r>
              <w:rPr>
                <w:rFonts w:ascii="Arial" w:hAnsi="Arial" w:cs="Arial"/>
                <w:b/>
                <w:bCs/>
                <w:sz w:val="24"/>
                <w:szCs w:val="24"/>
              </w:rPr>
              <w:t>REQUISITOS DA CONTRATAÇÃO</w:t>
            </w:r>
          </w:p>
        </w:tc>
      </w:tr>
    </w:tbl>
    <w:p w14:paraId="2D00337F">
      <w:pPr>
        <w:numPr>
          <w:ilvl w:val="1"/>
          <w:numId w:val="3"/>
        </w:numPr>
        <w:spacing w:before="120" w:beforeLines="50" w:after="120" w:afterLines="50" w:line="360" w:lineRule="auto"/>
        <w:ind w:right="176" w:rightChars="80"/>
        <w:jc w:val="both"/>
        <w:rPr>
          <w:rFonts w:ascii="Arial" w:hAnsi="Arial" w:eastAsia="Helvetica" w:cs="Arial"/>
          <w:lang w:eastAsia="zh-CN" w:bidi="ar"/>
        </w:rPr>
      </w:pPr>
      <w:r>
        <w:rPr>
          <w:rFonts w:ascii="Arial" w:hAnsi="Arial" w:eastAsia="Helvetica" w:cs="Arial"/>
          <w:lang w:eastAsia="zh-CN" w:bidi="ar"/>
        </w:rPr>
        <w:t xml:space="preserve">A contratação dar-se-á através da </w:t>
      </w:r>
      <w:r>
        <w:rPr>
          <w:rFonts w:ascii="Arial" w:hAnsi="Arial" w:cs="Arial"/>
        </w:rPr>
        <w:t>na modalidade PREGÃO, na</w:t>
      </w:r>
      <w:r>
        <w:rPr>
          <w:rFonts w:ascii="Arial" w:hAnsi="Arial" w:cs="Arial"/>
          <w:spacing w:val="1"/>
        </w:rPr>
        <w:t xml:space="preserve"> </w:t>
      </w:r>
      <w:r>
        <w:rPr>
          <w:rFonts w:ascii="Arial" w:hAnsi="Arial" w:cs="Arial"/>
        </w:rPr>
        <w:t>forma</w:t>
      </w:r>
      <w:r>
        <w:rPr>
          <w:rFonts w:ascii="Arial" w:hAnsi="Arial" w:cs="Arial"/>
          <w:spacing w:val="1"/>
        </w:rPr>
        <w:t xml:space="preserve"> </w:t>
      </w:r>
      <w:r>
        <w:rPr>
          <w:rFonts w:ascii="Arial" w:hAnsi="Arial" w:cs="Arial"/>
        </w:rPr>
        <w:t>ELETRÔNICA,</w:t>
      </w:r>
      <w:r>
        <w:rPr>
          <w:rFonts w:ascii="Arial" w:hAnsi="Arial" w:cs="Arial"/>
          <w:spacing w:val="1"/>
        </w:rPr>
        <w:t xml:space="preserve"> </w:t>
      </w:r>
      <w:r>
        <w:rPr>
          <w:rFonts w:ascii="Arial" w:hAnsi="Arial" w:cs="Arial"/>
        </w:rPr>
        <w:t>pelo</w:t>
      </w:r>
      <w:r>
        <w:rPr>
          <w:rFonts w:ascii="Arial" w:hAnsi="Arial" w:cs="Arial"/>
          <w:spacing w:val="1"/>
        </w:rPr>
        <w:t xml:space="preserve"> </w:t>
      </w:r>
      <w:r>
        <w:rPr>
          <w:rFonts w:ascii="Arial" w:hAnsi="Arial" w:cs="Arial"/>
        </w:rPr>
        <w:t>critério</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julgamento</w:t>
      </w:r>
      <w:r>
        <w:rPr>
          <w:rFonts w:ascii="Arial" w:hAnsi="Arial" w:cs="Arial"/>
          <w:spacing w:val="1"/>
        </w:rPr>
        <w:t xml:space="preserve"> </w:t>
      </w:r>
      <w:r>
        <w:rPr>
          <w:rFonts w:ascii="Arial" w:hAnsi="Arial" w:cs="Arial"/>
        </w:rPr>
        <w:t>MENOR</w:t>
      </w:r>
      <w:r>
        <w:rPr>
          <w:rFonts w:ascii="Arial" w:hAnsi="Arial" w:cs="Arial"/>
          <w:spacing w:val="1"/>
        </w:rPr>
        <w:t xml:space="preserve"> </w:t>
      </w:r>
      <w:r>
        <w:rPr>
          <w:rFonts w:ascii="Arial" w:hAnsi="Arial" w:cs="Arial"/>
        </w:rPr>
        <w:t>PREÇO GLOBAL (GRUPO ÚNICO),</w:t>
      </w:r>
      <w:r>
        <w:rPr>
          <w:rFonts w:ascii="Arial" w:hAnsi="Arial" w:cs="Arial"/>
          <w:spacing w:val="1"/>
        </w:rPr>
        <w:t xml:space="preserve"> </w:t>
      </w:r>
      <w:r>
        <w:rPr>
          <w:rFonts w:ascii="Arial" w:hAnsi="Arial" w:cs="Arial"/>
        </w:rPr>
        <w:t>destinada</w:t>
      </w:r>
      <w:r>
        <w:rPr>
          <w:rFonts w:ascii="Arial" w:hAnsi="Arial" w:cs="Arial"/>
          <w:spacing w:val="1"/>
        </w:rPr>
        <w:t xml:space="preserve"> </w:t>
      </w:r>
      <w:r>
        <w:rPr>
          <w:rFonts w:ascii="Arial" w:hAnsi="Arial" w:cs="Arial"/>
        </w:rPr>
        <w:t>à</w:t>
      </w:r>
      <w:r>
        <w:rPr>
          <w:rFonts w:ascii="Arial" w:hAnsi="Arial" w:cs="Arial"/>
          <w:spacing w:val="1"/>
        </w:rPr>
        <w:t xml:space="preserve"> </w:t>
      </w:r>
      <w:r>
        <w:rPr>
          <w:rFonts w:ascii="Arial" w:hAnsi="Arial" w:cs="Arial"/>
          <w:b/>
          <w:bCs/>
        </w:rPr>
        <w:t xml:space="preserve">CONTRATAÇÃO DE EMPRESA ESPECIALIZADA PARA O FORNECIMENTO DE </w:t>
      </w:r>
      <w:r>
        <w:rPr>
          <w:rFonts w:ascii="Arial" w:hAnsi="Arial"/>
          <w:b/>
          <w:bCs/>
        </w:rPr>
        <w:t>REFEIÇÃO</w:t>
      </w:r>
      <w:r>
        <w:rPr>
          <w:rFonts w:ascii="Arial" w:hAnsi="Arial" w:cs="Arial"/>
          <w:b/>
          <w:bCs/>
        </w:rPr>
        <w:t xml:space="preserve"> ESCOLAR, EXECUTADO ATRAVÉS DE SERVIÇOS CONTÍNUOS, INCLUINDO O PRÉ-PREPARO E PREPARO DA ALIMENTAÇÃO, COM O FORNECIMENTO DE TODOS OS GÊNEROS ALIMENTÍCIOS E DEMAIS INSUMOS, PREPARAÇÃO NOS LOCAIS DE CONSUMO, LOGÍSTICA, SUPERVISÃO, PRESTAÇÃO DE SERVIÇOS DE MANUTENÇÃO PREVENTIVA E CORRETIVA DAS ESTRUTURAS FÍSICAS, EQUIPAMENTOS E UTENSÍLIOS UTILIZADOS, PARA ATENDER ESTUDANTES DAS UNIDADES EDUCATIVAS DA PREFEITURA MUNICIPAL DE SINOP/MT, SOB GESTÃO DO SETOR DE ALIMENTAÇÃO ESCOLAR DA SECRETARIA MUNICIPAL DE EDUCAÇÃO</w:t>
      </w:r>
      <w:r>
        <w:rPr>
          <w:rFonts w:ascii="Arial" w:hAnsi="Arial" w:cs="Arial"/>
          <w:bCs/>
          <w:i/>
        </w:rPr>
        <w:t xml:space="preserve">, </w:t>
      </w:r>
      <w:r>
        <w:rPr>
          <w:rFonts w:ascii="Arial" w:hAnsi="Arial" w:cs="Arial"/>
        </w:rPr>
        <w:t>para atender a Secretaria Municipal de Educação</w:t>
      </w:r>
      <w:r>
        <w:rPr>
          <w:rFonts w:ascii="Arial" w:hAnsi="Arial" w:cs="Arial"/>
          <w:bCs/>
          <w:i/>
        </w:rPr>
        <w:t>.</w:t>
      </w:r>
      <w:r>
        <w:rPr>
          <w:rFonts w:ascii="Arial" w:hAnsi="Arial" w:cs="Arial"/>
        </w:rPr>
        <w:t xml:space="preserve"> </w:t>
      </w:r>
    </w:p>
    <w:p w14:paraId="7BC45351">
      <w:pPr>
        <w:numPr>
          <w:ilvl w:val="1"/>
          <w:numId w:val="3"/>
        </w:numPr>
        <w:spacing w:before="120" w:beforeLines="50" w:after="120" w:afterLines="50" w:line="360" w:lineRule="auto"/>
        <w:ind w:right="176" w:rightChars="80"/>
        <w:jc w:val="both"/>
        <w:rPr>
          <w:rFonts w:ascii="Arial" w:hAnsi="Arial" w:eastAsia="Helvetica" w:cs="Arial"/>
          <w:lang w:eastAsia="zh-CN" w:bidi="ar"/>
        </w:rPr>
      </w:pPr>
      <w:r>
        <w:rPr>
          <w:rFonts w:ascii="Arial" w:hAnsi="Arial" w:cs="Arial"/>
        </w:rPr>
        <w:t xml:space="preserve">Faz-se necessário seguir diversos requisitos e procedimentos legais estabelecido em Edital, de acordo com </w:t>
      </w:r>
      <w:r>
        <w:rPr>
          <w:rFonts w:ascii="Arial" w:hAnsi="Arial" w:eastAsia="Rawline Medium" w:cs="Arial"/>
        </w:rPr>
        <w:t xml:space="preserve">Art. 25. </w:t>
      </w:r>
      <w:r>
        <w:rPr>
          <w:rFonts w:ascii="Arial" w:hAnsi="Arial" w:cs="Arial"/>
          <w:lang w:eastAsia="zh-CN"/>
        </w:rPr>
        <w:t>da Lei nº 14.133/2021:</w:t>
      </w:r>
    </w:p>
    <w:p w14:paraId="35BD55DE">
      <w:pPr>
        <w:spacing w:before="120" w:beforeLines="50" w:after="120" w:afterLines="50" w:line="360" w:lineRule="auto"/>
        <w:ind w:left="3520" w:leftChars="1600" w:right="176" w:rightChars="80"/>
        <w:jc w:val="both"/>
        <w:rPr>
          <w:rFonts w:ascii="Arial" w:hAnsi="Arial" w:eastAsia="Helvetica" w:cs="Arial"/>
          <w:lang w:eastAsia="zh-CN" w:bidi="ar"/>
        </w:rPr>
      </w:pPr>
      <w:r>
        <w:rPr>
          <w:rFonts w:ascii="Arial" w:hAnsi="Arial" w:cs="Arial"/>
          <w:sz w:val="20"/>
          <w:szCs w:val="20"/>
          <w:lang w:eastAsia="zh-CN"/>
        </w:rPr>
        <w:t xml:space="preserve"> </w:t>
      </w:r>
      <w:r>
        <w:rPr>
          <w:rFonts w:ascii="Arial" w:hAnsi="Arial" w:eastAsia="Rawline-Medium" w:cs="Arial"/>
          <w:i/>
          <w:iCs/>
          <w:sz w:val="20"/>
          <w:szCs w:val="20"/>
          <w:lang w:eastAsia="zh-CN" w:bidi="ar"/>
        </w:rPr>
        <w:t>Art. 25. O edital deverá conter o objeto da licitação e as regras relativas à convocação, ao julgamento, à habilitação, aos recursos e às penalidades da licitação, à fiscalização e à gestão do contrato, à entrega do objeto e às condições de pagamento.</w:t>
      </w:r>
    </w:p>
    <w:p w14:paraId="3B9400D6">
      <w:pPr>
        <w:numPr>
          <w:ilvl w:val="1"/>
          <w:numId w:val="3"/>
        </w:numPr>
        <w:tabs>
          <w:tab w:val="left" w:pos="9680"/>
        </w:tabs>
        <w:snapToGrid w:val="0"/>
        <w:spacing w:before="120" w:beforeLines="50" w:after="120" w:afterLines="50" w:line="360" w:lineRule="auto"/>
        <w:ind w:right="176" w:rightChars="80"/>
        <w:jc w:val="both"/>
        <w:rPr>
          <w:rFonts w:ascii="Arial" w:hAnsi="Arial" w:eastAsia="Helvetica" w:cs="Arial"/>
          <w:b/>
          <w:bCs/>
          <w:color w:val="000000"/>
          <w:lang w:eastAsia="zh-CN" w:bidi="ar"/>
        </w:rPr>
      </w:pPr>
      <w:r>
        <w:rPr>
          <w:rFonts w:ascii="Arial" w:hAnsi="Arial" w:cs="Arial"/>
          <w:b/>
          <w:bCs/>
        </w:rPr>
        <w:t>DAS</w:t>
      </w:r>
      <w:r>
        <w:rPr>
          <w:rFonts w:ascii="Arial" w:hAnsi="Arial" w:cs="Arial"/>
          <w:b/>
          <w:bCs/>
          <w:spacing w:val="-2"/>
        </w:rPr>
        <w:t xml:space="preserve"> </w:t>
      </w:r>
      <w:r>
        <w:rPr>
          <w:rFonts w:ascii="Arial" w:hAnsi="Arial" w:cs="Arial"/>
          <w:b/>
          <w:bCs/>
        </w:rPr>
        <w:t>CONDIÇÕES</w:t>
      </w:r>
      <w:r>
        <w:rPr>
          <w:rFonts w:ascii="Arial" w:hAnsi="Arial" w:cs="Arial"/>
          <w:b/>
          <w:bCs/>
          <w:spacing w:val="-2"/>
        </w:rPr>
        <w:t xml:space="preserve"> </w:t>
      </w:r>
      <w:r>
        <w:rPr>
          <w:rFonts w:ascii="Arial" w:hAnsi="Arial" w:cs="Arial"/>
          <w:b/>
          <w:bCs/>
        </w:rPr>
        <w:t>DE</w:t>
      </w:r>
      <w:r>
        <w:rPr>
          <w:rFonts w:ascii="Arial" w:hAnsi="Arial" w:cs="Arial"/>
          <w:b/>
          <w:bCs/>
          <w:spacing w:val="-4"/>
        </w:rPr>
        <w:t xml:space="preserve"> </w:t>
      </w:r>
      <w:r>
        <w:rPr>
          <w:rFonts w:ascii="Arial" w:hAnsi="Arial" w:cs="Arial"/>
          <w:b/>
          <w:bCs/>
        </w:rPr>
        <w:t>PARTICIPAÇÃO</w:t>
      </w:r>
      <w:r>
        <w:rPr>
          <w:rFonts w:ascii="Arial" w:hAnsi="Arial" w:cs="Arial"/>
          <w:b/>
          <w:bCs/>
          <w:spacing w:val="-3"/>
        </w:rPr>
        <w:t xml:space="preserve"> </w:t>
      </w:r>
      <w:r>
        <w:rPr>
          <w:rFonts w:ascii="Arial" w:hAnsi="Arial" w:cs="Arial"/>
          <w:b/>
          <w:bCs/>
        </w:rPr>
        <w:t>E</w:t>
      </w:r>
      <w:r>
        <w:rPr>
          <w:rFonts w:ascii="Arial" w:hAnsi="Arial" w:cs="Arial"/>
          <w:b/>
          <w:bCs/>
          <w:spacing w:val="-3"/>
        </w:rPr>
        <w:t xml:space="preserve"> </w:t>
      </w:r>
      <w:r>
        <w:rPr>
          <w:rFonts w:ascii="Arial" w:hAnsi="Arial" w:cs="Arial"/>
          <w:b/>
          <w:bCs/>
        </w:rPr>
        <w:t>CREDENCIAMENTO:</w:t>
      </w:r>
    </w:p>
    <w:p w14:paraId="37F0EDC1">
      <w:pPr>
        <w:pStyle w:val="26"/>
        <w:numPr>
          <w:ilvl w:val="2"/>
          <w:numId w:val="3"/>
        </w:numPr>
        <w:spacing w:line="360" w:lineRule="auto"/>
        <w:ind w:right="176" w:rightChars="80"/>
        <w:rPr>
          <w:rFonts w:ascii="Arial" w:hAnsi="Arial" w:cs="Arial"/>
        </w:rPr>
      </w:pPr>
      <w:r>
        <w:rPr>
          <w:rFonts w:ascii="Arial" w:hAnsi="Arial" w:cs="Arial"/>
        </w:rPr>
        <w:t>Poderão</w:t>
      </w:r>
      <w:r>
        <w:rPr>
          <w:rFonts w:ascii="Arial" w:hAnsi="Arial" w:cs="Arial"/>
          <w:spacing w:val="1"/>
        </w:rPr>
        <w:t xml:space="preserve"> </w:t>
      </w:r>
      <w:r>
        <w:rPr>
          <w:rFonts w:ascii="Arial" w:hAnsi="Arial" w:cs="Arial"/>
        </w:rPr>
        <w:t>participar</w:t>
      </w:r>
      <w:r>
        <w:rPr>
          <w:rFonts w:ascii="Arial" w:hAnsi="Arial" w:cs="Arial"/>
          <w:spacing w:val="1"/>
        </w:rPr>
        <w:t xml:space="preserve"> </w:t>
      </w:r>
      <w:r>
        <w:rPr>
          <w:rFonts w:ascii="Arial" w:hAnsi="Arial" w:cs="Arial"/>
        </w:rPr>
        <w:t>do certame</w:t>
      </w:r>
      <w:r>
        <w:rPr>
          <w:rFonts w:ascii="Arial" w:hAnsi="Arial" w:cs="Arial"/>
          <w:spacing w:val="1"/>
        </w:rPr>
        <w:t xml:space="preserve"> </w:t>
      </w:r>
      <w:r>
        <w:rPr>
          <w:rFonts w:ascii="Arial" w:hAnsi="Arial" w:cs="Arial"/>
        </w:rPr>
        <w:t>os</w:t>
      </w:r>
      <w:r>
        <w:rPr>
          <w:rFonts w:ascii="Arial" w:hAnsi="Arial" w:cs="Arial"/>
          <w:spacing w:val="1"/>
        </w:rPr>
        <w:t xml:space="preserve"> </w:t>
      </w:r>
      <w:r>
        <w:rPr>
          <w:rFonts w:ascii="Arial" w:hAnsi="Arial" w:cs="Arial"/>
        </w:rPr>
        <w:t>interessados</w:t>
      </w:r>
      <w:r>
        <w:rPr>
          <w:rFonts w:ascii="Arial" w:hAnsi="Arial" w:cs="Arial"/>
          <w:spacing w:val="1"/>
        </w:rPr>
        <w:t xml:space="preserve"> </w:t>
      </w:r>
      <w:r>
        <w:rPr>
          <w:rFonts w:ascii="Arial" w:hAnsi="Arial" w:cs="Arial"/>
        </w:rPr>
        <w:t>que</w:t>
      </w:r>
      <w:r>
        <w:rPr>
          <w:rFonts w:ascii="Arial" w:hAnsi="Arial" w:cs="Arial"/>
          <w:spacing w:val="1"/>
        </w:rPr>
        <w:t xml:space="preserve"> </w:t>
      </w:r>
      <w:r>
        <w:rPr>
          <w:rFonts w:ascii="Arial" w:hAnsi="Arial" w:cs="Arial"/>
        </w:rPr>
        <w:t>estiverem</w:t>
      </w:r>
      <w:r>
        <w:rPr>
          <w:rFonts w:ascii="Arial" w:hAnsi="Arial" w:cs="Arial"/>
          <w:spacing w:val="1"/>
        </w:rPr>
        <w:t xml:space="preserve"> </w:t>
      </w:r>
      <w:r>
        <w:rPr>
          <w:rFonts w:ascii="Arial" w:hAnsi="Arial" w:cs="Arial"/>
        </w:rPr>
        <w:t>previamente</w:t>
      </w:r>
      <w:r>
        <w:rPr>
          <w:rFonts w:ascii="Arial" w:hAnsi="Arial" w:cs="Arial"/>
          <w:spacing w:val="1"/>
        </w:rPr>
        <w:t xml:space="preserve"> </w:t>
      </w:r>
      <w:r>
        <w:rPr>
          <w:rFonts w:ascii="Arial" w:hAnsi="Arial" w:cs="Arial"/>
        </w:rPr>
        <w:t>credenciados no sistema eletrônico oficial</w:t>
      </w:r>
      <w:r>
        <w:rPr>
          <w:rFonts w:ascii="Arial" w:hAnsi="Arial" w:cs="Arial"/>
          <w:spacing w:val="1"/>
        </w:rPr>
        <w:t xml:space="preserve"> </w:t>
      </w:r>
      <w:r>
        <w:fldChar w:fldCharType="begin"/>
      </w:r>
      <w:r>
        <w:instrText xml:space="preserve"> HYPERLINK "https://www.portaldecompraspublicas.com.br/" </w:instrText>
      </w:r>
      <w:r>
        <w:fldChar w:fldCharType="separate"/>
      </w:r>
      <w:r>
        <w:rPr>
          <w:rStyle w:val="11"/>
          <w:rFonts w:ascii="Arial" w:hAnsi="Arial" w:cs="Arial"/>
          <w:spacing w:val="1"/>
        </w:rPr>
        <w:t>https://www.portaldecompraspublicas.com.br/</w:t>
      </w:r>
      <w:r>
        <w:rPr>
          <w:rStyle w:val="11"/>
          <w:rFonts w:ascii="Arial" w:hAnsi="Arial" w:cs="Arial"/>
          <w:spacing w:val="1"/>
        </w:rPr>
        <w:fldChar w:fldCharType="end"/>
      </w:r>
      <w:r>
        <w:rPr>
          <w:rFonts w:ascii="Arial" w:hAnsi="Arial" w:cs="Arial"/>
          <w:spacing w:val="1"/>
        </w:rPr>
        <w:t>.</w:t>
      </w:r>
    </w:p>
    <w:p w14:paraId="30DDE10D">
      <w:pPr>
        <w:pStyle w:val="26"/>
        <w:numPr>
          <w:ilvl w:val="3"/>
          <w:numId w:val="3"/>
        </w:numPr>
        <w:spacing w:line="360" w:lineRule="auto"/>
        <w:ind w:left="440" w:leftChars="200" w:right="176" w:rightChars="80"/>
        <w:rPr>
          <w:rFonts w:ascii="Arial" w:hAnsi="Arial" w:cs="Arial"/>
        </w:rPr>
      </w:pPr>
      <w:r>
        <w:rPr>
          <w:rFonts w:ascii="Arial" w:hAnsi="Arial" w:cs="Arial"/>
        </w:rPr>
        <w:t>Para</w:t>
      </w:r>
      <w:r>
        <w:rPr>
          <w:rFonts w:ascii="Arial" w:hAnsi="Arial" w:cs="Arial"/>
          <w:spacing w:val="1"/>
        </w:rPr>
        <w:t xml:space="preserve"> </w:t>
      </w:r>
      <w:r>
        <w:rPr>
          <w:rFonts w:ascii="Arial" w:hAnsi="Arial" w:cs="Arial"/>
        </w:rPr>
        <w:t>ter</w:t>
      </w:r>
      <w:r>
        <w:rPr>
          <w:rFonts w:ascii="Arial" w:hAnsi="Arial" w:cs="Arial"/>
          <w:spacing w:val="1"/>
        </w:rPr>
        <w:t xml:space="preserve"> </w:t>
      </w:r>
      <w:r>
        <w:rPr>
          <w:rFonts w:ascii="Arial" w:hAnsi="Arial" w:cs="Arial"/>
        </w:rPr>
        <w:t>acesso</w:t>
      </w:r>
      <w:r>
        <w:rPr>
          <w:rFonts w:ascii="Arial" w:hAnsi="Arial" w:cs="Arial"/>
          <w:spacing w:val="1"/>
        </w:rPr>
        <w:t xml:space="preserve"> </w:t>
      </w:r>
      <w:r>
        <w:rPr>
          <w:rFonts w:ascii="Arial" w:hAnsi="Arial" w:cs="Arial"/>
        </w:rPr>
        <w:t>ao</w:t>
      </w:r>
      <w:r>
        <w:rPr>
          <w:rFonts w:ascii="Arial" w:hAnsi="Arial" w:cs="Arial"/>
          <w:spacing w:val="1"/>
        </w:rPr>
        <w:t xml:space="preserve"> </w:t>
      </w:r>
      <w:r>
        <w:rPr>
          <w:rFonts w:ascii="Arial" w:hAnsi="Arial" w:cs="Arial"/>
        </w:rPr>
        <w:t>sistema</w:t>
      </w:r>
      <w:r>
        <w:rPr>
          <w:rFonts w:ascii="Arial" w:hAnsi="Arial" w:cs="Arial"/>
          <w:spacing w:val="1"/>
        </w:rPr>
        <w:t xml:space="preserve"> </w:t>
      </w:r>
      <w:r>
        <w:rPr>
          <w:rFonts w:ascii="Arial" w:hAnsi="Arial" w:cs="Arial"/>
        </w:rPr>
        <w:t>eletrônico,</w:t>
      </w:r>
      <w:r>
        <w:rPr>
          <w:rFonts w:ascii="Arial" w:hAnsi="Arial" w:cs="Arial"/>
          <w:spacing w:val="1"/>
        </w:rPr>
        <w:t xml:space="preserve"> </w:t>
      </w:r>
      <w:r>
        <w:rPr>
          <w:rFonts w:ascii="Arial" w:hAnsi="Arial" w:cs="Arial"/>
        </w:rPr>
        <w:t>os</w:t>
      </w:r>
      <w:r>
        <w:rPr>
          <w:rFonts w:ascii="Arial" w:hAnsi="Arial" w:cs="Arial"/>
          <w:spacing w:val="1"/>
        </w:rPr>
        <w:t xml:space="preserve"> </w:t>
      </w:r>
      <w:r>
        <w:rPr>
          <w:rFonts w:ascii="Arial" w:hAnsi="Arial" w:cs="Arial"/>
        </w:rPr>
        <w:t>interessados</w:t>
      </w:r>
      <w:r>
        <w:rPr>
          <w:rFonts w:ascii="Arial" w:hAnsi="Arial" w:cs="Arial"/>
          <w:spacing w:val="1"/>
        </w:rPr>
        <w:t xml:space="preserve"> </w:t>
      </w:r>
      <w:r>
        <w:rPr>
          <w:rFonts w:ascii="Arial" w:hAnsi="Arial" w:cs="Arial"/>
        </w:rPr>
        <w:t>em</w:t>
      </w:r>
      <w:r>
        <w:rPr>
          <w:rFonts w:ascii="Arial" w:hAnsi="Arial" w:cs="Arial"/>
          <w:spacing w:val="1"/>
        </w:rPr>
        <w:t xml:space="preserve"> </w:t>
      </w:r>
      <w:r>
        <w:rPr>
          <w:rFonts w:ascii="Arial" w:hAnsi="Arial" w:cs="Arial"/>
        </w:rPr>
        <w:t>participar</w:t>
      </w:r>
      <w:r>
        <w:rPr>
          <w:rFonts w:ascii="Arial" w:hAnsi="Arial" w:cs="Arial"/>
          <w:spacing w:val="1"/>
        </w:rPr>
        <w:t xml:space="preserve"> </w:t>
      </w:r>
      <w:r>
        <w:rPr>
          <w:rFonts w:ascii="Arial" w:hAnsi="Arial" w:cs="Arial"/>
        </w:rPr>
        <w:t>deste</w:t>
      </w:r>
      <w:r>
        <w:rPr>
          <w:rFonts w:ascii="Arial" w:hAnsi="Arial" w:cs="Arial"/>
          <w:spacing w:val="1"/>
        </w:rPr>
        <w:t xml:space="preserve"> </w:t>
      </w:r>
      <w:r>
        <w:rPr>
          <w:rFonts w:ascii="Arial" w:hAnsi="Arial" w:cs="Arial"/>
        </w:rPr>
        <w:t>certame deverão dispor de chave de identificação e senha pessoal, obtidas junto ao provedor do Sistema,</w:t>
      </w:r>
      <w:r>
        <w:rPr>
          <w:rFonts w:ascii="Arial" w:hAnsi="Arial" w:cs="Arial"/>
          <w:spacing w:val="1"/>
        </w:rPr>
        <w:t xml:space="preserve"> </w:t>
      </w:r>
      <w:r>
        <w:rPr>
          <w:rFonts w:ascii="Arial" w:hAnsi="Arial" w:cs="Arial"/>
        </w:rPr>
        <w:t>onde</w:t>
      </w:r>
      <w:r>
        <w:rPr>
          <w:rFonts w:ascii="Arial" w:hAnsi="Arial" w:cs="Arial"/>
          <w:spacing w:val="1"/>
        </w:rPr>
        <w:t xml:space="preserve"> </w:t>
      </w:r>
      <w:r>
        <w:rPr>
          <w:rFonts w:ascii="Arial" w:hAnsi="Arial" w:cs="Arial"/>
        </w:rPr>
        <w:t>também</w:t>
      </w:r>
      <w:r>
        <w:rPr>
          <w:rFonts w:ascii="Arial" w:hAnsi="Arial" w:cs="Arial"/>
          <w:spacing w:val="1"/>
        </w:rPr>
        <w:t xml:space="preserve"> </w:t>
      </w:r>
      <w:r>
        <w:rPr>
          <w:rFonts w:ascii="Arial" w:hAnsi="Arial" w:cs="Arial"/>
        </w:rPr>
        <w:t>deverão</w:t>
      </w:r>
      <w:r>
        <w:rPr>
          <w:rFonts w:ascii="Arial" w:hAnsi="Arial" w:cs="Arial"/>
          <w:spacing w:val="1"/>
        </w:rPr>
        <w:t xml:space="preserve"> </w:t>
      </w:r>
      <w:r>
        <w:rPr>
          <w:rFonts w:ascii="Arial" w:hAnsi="Arial" w:cs="Arial"/>
        </w:rPr>
        <w:t>informar-se</w:t>
      </w:r>
      <w:r>
        <w:rPr>
          <w:rFonts w:ascii="Arial" w:hAnsi="Arial" w:cs="Arial"/>
          <w:spacing w:val="1"/>
        </w:rPr>
        <w:t xml:space="preserve"> </w:t>
      </w:r>
      <w:r>
        <w:rPr>
          <w:rFonts w:ascii="Arial" w:hAnsi="Arial" w:cs="Arial"/>
        </w:rPr>
        <w:t>a</w:t>
      </w:r>
      <w:r>
        <w:rPr>
          <w:rFonts w:ascii="Arial" w:hAnsi="Arial" w:cs="Arial"/>
          <w:spacing w:val="1"/>
        </w:rPr>
        <w:t xml:space="preserve"> </w:t>
      </w:r>
      <w:r>
        <w:rPr>
          <w:rFonts w:ascii="Arial" w:hAnsi="Arial" w:cs="Arial"/>
        </w:rPr>
        <w:t>respeito</w:t>
      </w:r>
      <w:r>
        <w:rPr>
          <w:rFonts w:ascii="Arial" w:hAnsi="Arial" w:cs="Arial"/>
          <w:spacing w:val="1"/>
        </w:rPr>
        <w:t xml:space="preserve"> </w:t>
      </w:r>
      <w:r>
        <w:rPr>
          <w:rFonts w:ascii="Arial" w:hAnsi="Arial" w:cs="Arial"/>
        </w:rPr>
        <w:t>do seu funcionamento</w:t>
      </w:r>
      <w:r>
        <w:rPr>
          <w:rFonts w:ascii="Arial" w:hAnsi="Arial" w:cs="Arial"/>
          <w:spacing w:val="1"/>
        </w:rPr>
        <w:t xml:space="preserve"> </w:t>
      </w:r>
      <w:r>
        <w:rPr>
          <w:rFonts w:ascii="Arial" w:hAnsi="Arial" w:cs="Arial"/>
        </w:rPr>
        <w:t>e regulamento, bem</w:t>
      </w:r>
      <w:r>
        <w:rPr>
          <w:rFonts w:ascii="Arial" w:hAnsi="Arial" w:cs="Arial"/>
          <w:spacing w:val="1"/>
        </w:rPr>
        <w:t xml:space="preserve"> </w:t>
      </w:r>
      <w:r>
        <w:rPr>
          <w:rFonts w:ascii="Arial" w:hAnsi="Arial" w:cs="Arial"/>
        </w:rPr>
        <w:t>como receber</w:t>
      </w:r>
      <w:r>
        <w:rPr>
          <w:rFonts w:ascii="Arial" w:hAnsi="Arial" w:cs="Arial"/>
          <w:spacing w:val="1"/>
        </w:rPr>
        <w:t xml:space="preserve"> </w:t>
      </w:r>
      <w:r>
        <w:rPr>
          <w:rFonts w:ascii="Arial" w:hAnsi="Arial" w:cs="Arial"/>
        </w:rPr>
        <w:t>as</w:t>
      </w:r>
      <w:r>
        <w:rPr>
          <w:rFonts w:ascii="Arial" w:hAnsi="Arial" w:cs="Arial"/>
          <w:spacing w:val="1"/>
        </w:rPr>
        <w:t xml:space="preserve"> </w:t>
      </w:r>
      <w:r>
        <w:rPr>
          <w:rFonts w:ascii="Arial" w:hAnsi="Arial" w:cs="Arial"/>
        </w:rPr>
        <w:t>instruções</w:t>
      </w:r>
      <w:r>
        <w:rPr>
          <w:rFonts w:ascii="Arial" w:hAnsi="Arial" w:cs="Arial"/>
          <w:spacing w:val="-1"/>
        </w:rPr>
        <w:t xml:space="preserve"> </w:t>
      </w:r>
      <w:r>
        <w:rPr>
          <w:rFonts w:ascii="Arial" w:hAnsi="Arial" w:cs="Arial"/>
        </w:rPr>
        <w:t>detalhadas de</w:t>
      </w:r>
      <w:r>
        <w:rPr>
          <w:rFonts w:ascii="Arial" w:hAnsi="Arial" w:cs="Arial"/>
          <w:spacing w:val="1"/>
        </w:rPr>
        <w:t xml:space="preserve"> </w:t>
      </w:r>
      <w:r>
        <w:rPr>
          <w:rFonts w:ascii="Arial" w:hAnsi="Arial" w:cs="Arial"/>
        </w:rPr>
        <w:t>sua</w:t>
      </w:r>
      <w:r>
        <w:rPr>
          <w:rFonts w:ascii="Arial" w:hAnsi="Arial" w:cs="Arial"/>
          <w:spacing w:val="-1"/>
        </w:rPr>
        <w:t xml:space="preserve"> </w:t>
      </w:r>
      <w:r>
        <w:rPr>
          <w:rFonts w:ascii="Arial" w:hAnsi="Arial" w:cs="Arial"/>
        </w:rPr>
        <w:t>correta</w:t>
      </w:r>
      <w:r>
        <w:rPr>
          <w:rFonts w:ascii="Arial" w:hAnsi="Arial" w:cs="Arial"/>
          <w:spacing w:val="-1"/>
        </w:rPr>
        <w:t xml:space="preserve"> </w:t>
      </w:r>
      <w:r>
        <w:rPr>
          <w:rFonts w:ascii="Arial" w:hAnsi="Arial" w:cs="Arial"/>
        </w:rPr>
        <w:t>utilização.</w:t>
      </w:r>
    </w:p>
    <w:p w14:paraId="4B0F84B1">
      <w:pPr>
        <w:pStyle w:val="26"/>
        <w:numPr>
          <w:ilvl w:val="3"/>
          <w:numId w:val="3"/>
        </w:numPr>
        <w:spacing w:line="360" w:lineRule="auto"/>
        <w:ind w:left="440" w:leftChars="200" w:right="176" w:rightChars="80"/>
        <w:rPr>
          <w:rFonts w:ascii="Arial" w:hAnsi="Arial" w:cs="Arial"/>
        </w:rPr>
      </w:pPr>
      <w:r>
        <w:rPr>
          <w:rFonts w:ascii="Arial" w:hAnsi="Arial" w:cs="Arial"/>
        </w:rPr>
        <w:t>O uso da senha de acesso é de responsabilidade exclusiva da licitante, incluindo</w:t>
      </w:r>
      <w:r>
        <w:rPr>
          <w:rFonts w:ascii="Arial" w:hAnsi="Arial" w:cs="Arial"/>
          <w:spacing w:val="1"/>
        </w:rPr>
        <w:t xml:space="preserve"> </w:t>
      </w:r>
      <w:r>
        <w:rPr>
          <w:rFonts w:ascii="Arial" w:hAnsi="Arial" w:cs="Arial"/>
        </w:rPr>
        <w:t>qualquer transação por ela efetuada diretamente, ou por seu representante, não cabendo</w:t>
      </w:r>
      <w:r>
        <w:rPr>
          <w:rFonts w:ascii="Arial" w:hAnsi="Arial" w:cs="Arial"/>
          <w:spacing w:val="1"/>
        </w:rPr>
        <w:t xml:space="preserve"> </w:t>
      </w:r>
      <w:r>
        <w:rPr>
          <w:rFonts w:ascii="Arial" w:hAnsi="Arial" w:cs="Arial"/>
        </w:rPr>
        <w:t>ao</w:t>
      </w:r>
      <w:r>
        <w:rPr>
          <w:rFonts w:ascii="Arial" w:hAnsi="Arial" w:cs="Arial"/>
          <w:spacing w:val="-14"/>
        </w:rPr>
        <w:t xml:space="preserve"> </w:t>
      </w:r>
      <w:r>
        <w:rPr>
          <w:rFonts w:ascii="Arial" w:hAnsi="Arial" w:cs="Arial"/>
        </w:rPr>
        <w:t>provedor</w:t>
      </w:r>
      <w:r>
        <w:rPr>
          <w:rFonts w:ascii="Arial" w:hAnsi="Arial" w:cs="Arial"/>
          <w:spacing w:val="-14"/>
        </w:rPr>
        <w:t xml:space="preserve"> </w:t>
      </w:r>
      <w:r>
        <w:rPr>
          <w:rFonts w:ascii="Arial" w:hAnsi="Arial" w:cs="Arial"/>
        </w:rPr>
        <w:t>do</w:t>
      </w:r>
      <w:r>
        <w:rPr>
          <w:rFonts w:ascii="Arial" w:hAnsi="Arial" w:cs="Arial"/>
          <w:spacing w:val="-13"/>
        </w:rPr>
        <w:t xml:space="preserve"> </w:t>
      </w:r>
      <w:r>
        <w:rPr>
          <w:rFonts w:ascii="Arial" w:hAnsi="Arial" w:cs="Arial"/>
        </w:rPr>
        <w:t>sistema</w:t>
      </w:r>
      <w:r>
        <w:rPr>
          <w:rFonts w:ascii="Arial" w:hAnsi="Arial" w:cs="Arial"/>
          <w:spacing w:val="-14"/>
        </w:rPr>
        <w:t xml:space="preserve"> </w:t>
      </w:r>
      <w:r>
        <w:rPr>
          <w:rFonts w:ascii="Arial" w:hAnsi="Arial" w:cs="Arial"/>
        </w:rPr>
        <w:t>ou</w:t>
      </w:r>
      <w:r>
        <w:rPr>
          <w:rFonts w:ascii="Arial" w:hAnsi="Arial" w:cs="Arial"/>
          <w:spacing w:val="-13"/>
        </w:rPr>
        <w:t xml:space="preserve"> </w:t>
      </w:r>
      <w:r>
        <w:rPr>
          <w:rFonts w:ascii="Arial" w:hAnsi="Arial" w:cs="Arial"/>
        </w:rPr>
        <w:t>a PREFEITURA</w:t>
      </w:r>
      <w:r>
        <w:rPr>
          <w:rFonts w:ascii="Arial" w:hAnsi="Arial" w:cs="Arial"/>
          <w:spacing w:val="-11"/>
        </w:rPr>
        <w:t xml:space="preserve"> </w:t>
      </w:r>
      <w:r>
        <w:rPr>
          <w:rFonts w:ascii="Arial" w:hAnsi="Arial" w:cs="Arial"/>
        </w:rPr>
        <w:t>responsabilidade</w:t>
      </w:r>
      <w:r>
        <w:rPr>
          <w:rFonts w:ascii="Arial" w:hAnsi="Arial" w:cs="Arial"/>
          <w:spacing w:val="-14"/>
        </w:rPr>
        <w:t xml:space="preserve"> </w:t>
      </w:r>
      <w:r>
        <w:rPr>
          <w:rFonts w:ascii="Arial" w:hAnsi="Arial" w:cs="Arial"/>
        </w:rPr>
        <w:t>por</w:t>
      </w:r>
      <w:r>
        <w:rPr>
          <w:rFonts w:ascii="Arial" w:hAnsi="Arial" w:cs="Arial"/>
          <w:spacing w:val="-14"/>
        </w:rPr>
        <w:t xml:space="preserve"> </w:t>
      </w:r>
      <w:r>
        <w:rPr>
          <w:rFonts w:ascii="Arial" w:hAnsi="Arial" w:cs="Arial"/>
        </w:rPr>
        <w:t>eventuais</w:t>
      </w:r>
      <w:r>
        <w:rPr>
          <w:rFonts w:ascii="Arial" w:hAnsi="Arial" w:cs="Arial"/>
          <w:spacing w:val="-13"/>
        </w:rPr>
        <w:t xml:space="preserve"> </w:t>
      </w:r>
      <w:r>
        <w:rPr>
          <w:rFonts w:ascii="Arial" w:hAnsi="Arial" w:cs="Arial"/>
        </w:rPr>
        <w:t>danos</w:t>
      </w:r>
      <w:r>
        <w:rPr>
          <w:rFonts w:ascii="Arial" w:hAnsi="Arial" w:cs="Arial"/>
          <w:spacing w:val="-13"/>
        </w:rPr>
        <w:t xml:space="preserve"> </w:t>
      </w:r>
      <w:r>
        <w:rPr>
          <w:rFonts w:ascii="Arial" w:hAnsi="Arial" w:cs="Arial"/>
        </w:rPr>
        <w:t>decorrentes</w:t>
      </w:r>
      <w:r>
        <w:rPr>
          <w:rFonts w:ascii="Arial" w:hAnsi="Arial" w:cs="Arial"/>
          <w:spacing w:val="-58"/>
        </w:rPr>
        <w:t xml:space="preserve"> </w:t>
      </w:r>
      <w:r>
        <w:rPr>
          <w:rFonts w:ascii="Arial" w:hAnsi="Arial" w:cs="Arial"/>
        </w:rPr>
        <w:t>do</w:t>
      </w:r>
      <w:r>
        <w:rPr>
          <w:rFonts w:ascii="Arial" w:hAnsi="Arial" w:cs="Arial"/>
          <w:spacing w:val="-1"/>
        </w:rPr>
        <w:t xml:space="preserve"> </w:t>
      </w:r>
      <w:r>
        <w:rPr>
          <w:rFonts w:ascii="Arial" w:hAnsi="Arial" w:cs="Arial"/>
        </w:rPr>
        <w:t>uso indevido da</w:t>
      </w:r>
      <w:r>
        <w:rPr>
          <w:rFonts w:ascii="Arial" w:hAnsi="Arial" w:cs="Arial"/>
          <w:spacing w:val="-1"/>
        </w:rPr>
        <w:t xml:space="preserve"> </w:t>
      </w:r>
      <w:r>
        <w:rPr>
          <w:rFonts w:ascii="Arial" w:hAnsi="Arial" w:cs="Arial"/>
        </w:rPr>
        <w:t>senha, ainda</w:t>
      </w:r>
      <w:r>
        <w:rPr>
          <w:rFonts w:ascii="Arial" w:hAnsi="Arial" w:cs="Arial"/>
          <w:spacing w:val="-1"/>
        </w:rPr>
        <w:t xml:space="preserve"> </w:t>
      </w:r>
      <w:r>
        <w:rPr>
          <w:rFonts w:ascii="Arial" w:hAnsi="Arial" w:cs="Arial"/>
        </w:rPr>
        <w:t>que</w:t>
      </w:r>
      <w:r>
        <w:rPr>
          <w:rFonts w:ascii="Arial" w:hAnsi="Arial" w:cs="Arial"/>
          <w:spacing w:val="-1"/>
        </w:rPr>
        <w:t xml:space="preserve"> </w:t>
      </w:r>
      <w:r>
        <w:rPr>
          <w:rFonts w:ascii="Arial" w:hAnsi="Arial" w:cs="Arial"/>
        </w:rPr>
        <w:t>por</w:t>
      </w:r>
      <w:r>
        <w:rPr>
          <w:rFonts w:ascii="Arial" w:hAnsi="Arial" w:cs="Arial"/>
          <w:spacing w:val="-1"/>
        </w:rPr>
        <w:t xml:space="preserve"> </w:t>
      </w:r>
      <w:r>
        <w:rPr>
          <w:rFonts w:ascii="Arial" w:hAnsi="Arial" w:cs="Arial"/>
        </w:rPr>
        <w:t>terceiros.</w:t>
      </w:r>
    </w:p>
    <w:p w14:paraId="2D625364">
      <w:pPr>
        <w:pStyle w:val="26"/>
        <w:numPr>
          <w:ilvl w:val="2"/>
          <w:numId w:val="3"/>
        </w:numPr>
        <w:spacing w:line="360" w:lineRule="auto"/>
        <w:ind w:right="176" w:rightChars="80"/>
        <w:rPr>
          <w:rFonts w:ascii="Arial" w:hAnsi="Arial" w:cs="Arial"/>
        </w:rPr>
      </w:pPr>
      <w:r>
        <w:rPr>
          <w:rFonts w:ascii="Arial" w:hAnsi="Arial" w:cs="Arial"/>
        </w:rPr>
        <w:t>Somente</w:t>
      </w:r>
      <w:r>
        <w:rPr>
          <w:rFonts w:ascii="Arial" w:hAnsi="Arial" w:cs="Arial"/>
          <w:spacing w:val="1"/>
        </w:rPr>
        <w:t xml:space="preserve"> </w:t>
      </w:r>
      <w:r>
        <w:rPr>
          <w:rFonts w:ascii="Arial" w:hAnsi="Arial" w:cs="Arial"/>
        </w:rPr>
        <w:t>poderão</w:t>
      </w:r>
      <w:r>
        <w:rPr>
          <w:rFonts w:ascii="Arial" w:hAnsi="Arial" w:cs="Arial"/>
          <w:spacing w:val="1"/>
        </w:rPr>
        <w:t xml:space="preserve"> </w:t>
      </w:r>
      <w:r>
        <w:rPr>
          <w:rFonts w:ascii="Arial" w:hAnsi="Arial" w:cs="Arial"/>
        </w:rPr>
        <w:t>apresentar</w:t>
      </w:r>
      <w:r>
        <w:rPr>
          <w:rFonts w:ascii="Arial" w:hAnsi="Arial" w:cs="Arial"/>
          <w:spacing w:val="1"/>
        </w:rPr>
        <w:t xml:space="preserve"> </w:t>
      </w:r>
      <w:r>
        <w:rPr>
          <w:rFonts w:ascii="Arial" w:hAnsi="Arial" w:cs="Arial"/>
        </w:rPr>
        <w:t>proposta</w:t>
      </w:r>
      <w:r>
        <w:rPr>
          <w:rFonts w:ascii="Arial" w:hAnsi="Arial" w:cs="Arial"/>
          <w:spacing w:val="1"/>
        </w:rPr>
        <w:t xml:space="preserve"> </w:t>
      </w:r>
      <w:r>
        <w:rPr>
          <w:rFonts w:ascii="Arial" w:hAnsi="Arial" w:cs="Arial"/>
        </w:rPr>
        <w:t>as</w:t>
      </w:r>
      <w:r>
        <w:rPr>
          <w:rFonts w:ascii="Arial" w:hAnsi="Arial" w:cs="Arial"/>
          <w:spacing w:val="1"/>
        </w:rPr>
        <w:t xml:space="preserve"> </w:t>
      </w:r>
      <w:r>
        <w:rPr>
          <w:rFonts w:ascii="Arial" w:hAnsi="Arial" w:cs="Arial"/>
        </w:rPr>
        <w:t>empresas</w:t>
      </w:r>
      <w:r>
        <w:rPr>
          <w:rFonts w:ascii="Arial" w:hAnsi="Arial" w:cs="Arial"/>
          <w:spacing w:val="1"/>
        </w:rPr>
        <w:t xml:space="preserve"> </w:t>
      </w:r>
      <w:r>
        <w:rPr>
          <w:rFonts w:ascii="Arial" w:hAnsi="Arial" w:cs="Arial"/>
        </w:rPr>
        <w:t>legalmente</w:t>
      </w:r>
      <w:r>
        <w:rPr>
          <w:rFonts w:ascii="Arial" w:hAnsi="Arial" w:cs="Arial"/>
          <w:spacing w:val="1"/>
        </w:rPr>
        <w:t xml:space="preserve"> </w:t>
      </w:r>
      <w:r>
        <w:rPr>
          <w:rFonts w:ascii="Arial" w:hAnsi="Arial" w:cs="Arial"/>
        </w:rPr>
        <w:t>estabelecidas,</w:t>
      </w:r>
      <w:r>
        <w:rPr>
          <w:rFonts w:ascii="Arial" w:hAnsi="Arial" w:cs="Arial"/>
          <w:spacing w:val="1"/>
        </w:rPr>
        <w:t xml:space="preserve"> </w:t>
      </w:r>
      <w:r>
        <w:rPr>
          <w:rFonts w:ascii="Arial" w:hAnsi="Arial" w:cs="Arial"/>
        </w:rPr>
        <w:t>especializadas</w:t>
      </w:r>
      <w:r>
        <w:rPr>
          <w:rFonts w:ascii="Arial" w:hAnsi="Arial" w:cs="Arial"/>
          <w:spacing w:val="-1"/>
        </w:rPr>
        <w:t xml:space="preserve"> </w:t>
      </w:r>
      <w:r>
        <w:rPr>
          <w:rFonts w:ascii="Arial" w:hAnsi="Arial" w:cs="Arial"/>
        </w:rPr>
        <w:t>no ramo</w:t>
      </w:r>
      <w:r>
        <w:rPr>
          <w:rFonts w:ascii="Arial" w:hAnsi="Arial" w:cs="Arial"/>
          <w:spacing w:val="-1"/>
        </w:rPr>
        <w:t xml:space="preserve"> </w:t>
      </w:r>
      <w:r>
        <w:rPr>
          <w:rFonts w:ascii="Arial" w:hAnsi="Arial" w:cs="Arial"/>
        </w:rPr>
        <w:t>e</w:t>
      </w:r>
      <w:r>
        <w:rPr>
          <w:rFonts w:ascii="Arial" w:hAnsi="Arial" w:cs="Arial"/>
          <w:spacing w:val="1"/>
        </w:rPr>
        <w:t xml:space="preserve"> </w:t>
      </w:r>
      <w:r>
        <w:rPr>
          <w:rFonts w:ascii="Arial" w:hAnsi="Arial" w:cs="Arial"/>
        </w:rPr>
        <w:t>que</w:t>
      </w:r>
      <w:r>
        <w:rPr>
          <w:rFonts w:ascii="Arial" w:hAnsi="Arial" w:cs="Arial"/>
          <w:spacing w:val="-1"/>
        </w:rPr>
        <w:t xml:space="preserve"> </w:t>
      </w:r>
      <w:r>
        <w:rPr>
          <w:rFonts w:ascii="Arial" w:hAnsi="Arial" w:cs="Arial"/>
        </w:rPr>
        <w:t>satisfaçam</w:t>
      </w:r>
      <w:r>
        <w:rPr>
          <w:rFonts w:ascii="Arial" w:hAnsi="Arial" w:cs="Arial"/>
          <w:spacing w:val="-1"/>
        </w:rPr>
        <w:t xml:space="preserve"> </w:t>
      </w:r>
      <w:r>
        <w:rPr>
          <w:rFonts w:ascii="Arial" w:hAnsi="Arial" w:cs="Arial"/>
        </w:rPr>
        <w:t>às condições</w:t>
      </w:r>
      <w:r>
        <w:rPr>
          <w:rFonts w:ascii="Arial" w:hAnsi="Arial" w:cs="Arial"/>
          <w:spacing w:val="-1"/>
        </w:rPr>
        <w:t xml:space="preserve"> </w:t>
      </w:r>
      <w:r>
        <w:rPr>
          <w:rFonts w:ascii="Arial" w:hAnsi="Arial" w:cs="Arial"/>
        </w:rPr>
        <w:t>deste</w:t>
      </w:r>
      <w:r>
        <w:rPr>
          <w:rFonts w:ascii="Arial" w:hAnsi="Arial" w:cs="Arial"/>
          <w:spacing w:val="-1"/>
        </w:rPr>
        <w:t xml:space="preserve"> </w:t>
      </w:r>
      <w:r>
        <w:rPr>
          <w:rFonts w:ascii="Arial" w:hAnsi="Arial" w:cs="Arial"/>
        </w:rPr>
        <w:t>edital e</w:t>
      </w:r>
      <w:r>
        <w:rPr>
          <w:rFonts w:ascii="Arial" w:hAnsi="Arial" w:cs="Arial"/>
          <w:spacing w:val="-2"/>
        </w:rPr>
        <w:t xml:space="preserve"> </w:t>
      </w:r>
      <w:r>
        <w:rPr>
          <w:rFonts w:ascii="Arial" w:hAnsi="Arial" w:cs="Arial"/>
        </w:rPr>
        <w:t>seus anexos.</w:t>
      </w:r>
    </w:p>
    <w:p w14:paraId="3025FC0B">
      <w:pPr>
        <w:pStyle w:val="26"/>
        <w:numPr>
          <w:ilvl w:val="2"/>
          <w:numId w:val="3"/>
        </w:numPr>
        <w:spacing w:line="360" w:lineRule="auto"/>
        <w:ind w:right="176" w:rightChars="80"/>
        <w:rPr>
          <w:rFonts w:ascii="Arial" w:hAnsi="Arial" w:cs="Arial"/>
        </w:rPr>
      </w:pPr>
      <w:r>
        <w:rPr>
          <w:rFonts w:ascii="Arial" w:hAnsi="Arial" w:cs="Arial"/>
        </w:rPr>
        <w:t>Não</w:t>
      </w:r>
      <w:r>
        <w:rPr>
          <w:rFonts w:ascii="Arial" w:hAnsi="Arial" w:cs="Arial"/>
          <w:spacing w:val="-9"/>
        </w:rPr>
        <w:t xml:space="preserve"> </w:t>
      </w:r>
      <w:r>
        <w:rPr>
          <w:rFonts w:ascii="Arial" w:hAnsi="Arial" w:cs="Arial"/>
        </w:rPr>
        <w:t>poderão</w:t>
      </w:r>
      <w:r>
        <w:rPr>
          <w:rFonts w:ascii="Arial" w:hAnsi="Arial" w:cs="Arial"/>
          <w:spacing w:val="-9"/>
        </w:rPr>
        <w:t xml:space="preserve"> </w:t>
      </w:r>
      <w:r>
        <w:rPr>
          <w:rFonts w:ascii="Arial" w:hAnsi="Arial" w:cs="Arial"/>
        </w:rPr>
        <w:t>participar</w:t>
      </w:r>
      <w:r>
        <w:rPr>
          <w:rFonts w:ascii="Arial" w:hAnsi="Arial" w:cs="Arial"/>
          <w:spacing w:val="-10"/>
        </w:rPr>
        <w:t xml:space="preserve"> </w:t>
      </w:r>
      <w:r>
        <w:rPr>
          <w:rFonts w:ascii="Arial" w:hAnsi="Arial" w:cs="Arial"/>
        </w:rPr>
        <w:t>da</w:t>
      </w:r>
      <w:r>
        <w:rPr>
          <w:rFonts w:ascii="Arial" w:hAnsi="Arial" w:cs="Arial"/>
          <w:spacing w:val="-7"/>
        </w:rPr>
        <w:t xml:space="preserve"> </w:t>
      </w:r>
      <w:r>
        <w:rPr>
          <w:rFonts w:ascii="Arial" w:hAnsi="Arial" w:cs="Arial"/>
        </w:rPr>
        <w:t>presente</w:t>
      </w:r>
      <w:r>
        <w:rPr>
          <w:rFonts w:ascii="Arial" w:hAnsi="Arial" w:cs="Arial"/>
          <w:spacing w:val="-10"/>
        </w:rPr>
        <w:t xml:space="preserve"> </w:t>
      </w:r>
      <w:r>
        <w:rPr>
          <w:rFonts w:ascii="Arial" w:hAnsi="Arial" w:cs="Arial"/>
        </w:rPr>
        <w:t>licitação,</w:t>
      </w:r>
      <w:r>
        <w:rPr>
          <w:rFonts w:ascii="Arial" w:hAnsi="Arial" w:cs="Arial"/>
          <w:spacing w:val="-7"/>
        </w:rPr>
        <w:t xml:space="preserve"> </w:t>
      </w:r>
      <w:r>
        <w:rPr>
          <w:rFonts w:ascii="Arial" w:hAnsi="Arial" w:cs="Arial"/>
        </w:rPr>
        <w:t>direta</w:t>
      </w:r>
      <w:r>
        <w:rPr>
          <w:rFonts w:ascii="Arial" w:hAnsi="Arial" w:cs="Arial"/>
          <w:spacing w:val="-10"/>
        </w:rPr>
        <w:t xml:space="preserve"> </w:t>
      </w:r>
      <w:r>
        <w:rPr>
          <w:rFonts w:ascii="Arial" w:hAnsi="Arial" w:cs="Arial"/>
        </w:rPr>
        <w:t>ou</w:t>
      </w:r>
      <w:r>
        <w:rPr>
          <w:rFonts w:ascii="Arial" w:hAnsi="Arial" w:cs="Arial"/>
          <w:spacing w:val="-9"/>
        </w:rPr>
        <w:t xml:space="preserve"> </w:t>
      </w:r>
      <w:r>
        <w:rPr>
          <w:rFonts w:ascii="Arial" w:hAnsi="Arial" w:cs="Arial"/>
        </w:rPr>
        <w:t>indiretamente,</w:t>
      </w:r>
      <w:r>
        <w:rPr>
          <w:rFonts w:ascii="Arial" w:hAnsi="Arial" w:cs="Arial"/>
          <w:spacing w:val="-9"/>
        </w:rPr>
        <w:t xml:space="preserve"> </w:t>
      </w:r>
      <w:r>
        <w:rPr>
          <w:rFonts w:ascii="Arial" w:hAnsi="Arial" w:cs="Arial"/>
        </w:rPr>
        <w:t>isoladamente</w:t>
      </w:r>
      <w:r>
        <w:rPr>
          <w:rFonts w:ascii="Arial" w:hAnsi="Arial" w:cs="Arial"/>
          <w:spacing w:val="-11"/>
        </w:rPr>
        <w:t xml:space="preserve"> </w:t>
      </w:r>
      <w:r>
        <w:rPr>
          <w:rFonts w:ascii="Arial" w:hAnsi="Arial" w:cs="Arial"/>
        </w:rPr>
        <w:t>ou</w:t>
      </w:r>
      <w:r>
        <w:rPr>
          <w:rFonts w:ascii="Arial" w:hAnsi="Arial" w:cs="Arial"/>
          <w:spacing w:val="-6"/>
        </w:rPr>
        <w:t xml:space="preserve"> </w:t>
      </w:r>
      <w:r>
        <w:rPr>
          <w:rFonts w:ascii="Arial" w:hAnsi="Arial" w:cs="Arial"/>
        </w:rPr>
        <w:t>em</w:t>
      </w:r>
      <w:r>
        <w:rPr>
          <w:rFonts w:ascii="Arial" w:hAnsi="Arial" w:cs="Arial"/>
          <w:spacing w:val="-58"/>
        </w:rPr>
        <w:t xml:space="preserve"> </w:t>
      </w:r>
      <w:r>
        <w:rPr>
          <w:rFonts w:ascii="Arial" w:hAnsi="Arial" w:cs="Arial"/>
        </w:rPr>
        <w:t>consórcio,</w:t>
      </w:r>
      <w:r>
        <w:rPr>
          <w:rFonts w:ascii="Arial" w:hAnsi="Arial" w:cs="Arial"/>
          <w:spacing w:val="-1"/>
        </w:rPr>
        <w:t xml:space="preserve"> </w:t>
      </w:r>
      <w:r>
        <w:rPr>
          <w:rFonts w:ascii="Arial" w:hAnsi="Arial" w:cs="Arial"/>
        </w:rPr>
        <w:t>empresas ou sociedades</w:t>
      </w:r>
      <w:r>
        <w:rPr>
          <w:rFonts w:ascii="Arial" w:hAnsi="Arial" w:cs="Arial"/>
          <w:spacing w:val="1"/>
        </w:rPr>
        <w:t xml:space="preserve"> </w:t>
      </w:r>
      <w:r>
        <w:rPr>
          <w:rFonts w:ascii="Arial" w:hAnsi="Arial" w:cs="Arial"/>
        </w:rPr>
        <w:t>cooperativas que, por</w:t>
      </w:r>
      <w:r>
        <w:rPr>
          <w:rFonts w:ascii="Arial" w:hAnsi="Arial" w:cs="Arial"/>
          <w:spacing w:val="-2"/>
        </w:rPr>
        <w:t xml:space="preserve"> </w:t>
      </w:r>
      <w:r>
        <w:rPr>
          <w:rFonts w:ascii="Arial" w:hAnsi="Arial" w:cs="Arial"/>
        </w:rPr>
        <w:t>qualquer</w:t>
      </w:r>
      <w:r>
        <w:rPr>
          <w:rFonts w:ascii="Arial" w:hAnsi="Arial" w:cs="Arial"/>
          <w:spacing w:val="-1"/>
        </w:rPr>
        <w:t xml:space="preserve"> </w:t>
      </w:r>
      <w:r>
        <w:rPr>
          <w:rFonts w:ascii="Arial" w:hAnsi="Arial" w:cs="Arial"/>
        </w:rPr>
        <w:t>motivo:</w:t>
      </w:r>
    </w:p>
    <w:p w14:paraId="3C430E3C">
      <w:pPr>
        <w:pStyle w:val="26"/>
        <w:numPr>
          <w:ilvl w:val="3"/>
          <w:numId w:val="3"/>
        </w:numPr>
        <w:spacing w:line="360" w:lineRule="auto"/>
        <w:ind w:left="440" w:leftChars="200" w:right="176" w:rightChars="80"/>
        <w:rPr>
          <w:rFonts w:ascii="Arial" w:hAnsi="Arial" w:cs="Arial"/>
        </w:rPr>
      </w:pPr>
      <w:r>
        <w:rPr>
          <w:rFonts w:ascii="Arial" w:hAnsi="Arial" w:cs="Arial"/>
        </w:rPr>
        <w:t>Tenham sido declaradas inidôneas para licitar ou contratar por qualquer órgão ou</w:t>
      </w:r>
      <w:r>
        <w:rPr>
          <w:rFonts w:ascii="Arial" w:hAnsi="Arial" w:cs="Arial"/>
          <w:spacing w:val="1"/>
        </w:rPr>
        <w:t xml:space="preserve"> </w:t>
      </w:r>
      <w:r>
        <w:rPr>
          <w:rFonts w:ascii="Arial" w:hAnsi="Arial" w:cs="Arial"/>
        </w:rPr>
        <w:t>entidade da Administração Pública direta ou indireta federal, estadual, municipal ou</w:t>
      </w:r>
      <w:r>
        <w:rPr>
          <w:rFonts w:ascii="Arial" w:hAnsi="Arial" w:cs="Arial"/>
          <w:spacing w:val="1"/>
        </w:rPr>
        <w:t xml:space="preserve"> </w:t>
      </w:r>
      <w:r>
        <w:rPr>
          <w:rFonts w:ascii="Arial" w:hAnsi="Arial" w:cs="Arial"/>
        </w:rPr>
        <w:t>distrital, tendo por fundamento o art. 156, IV, da</w:t>
      </w:r>
      <w:r>
        <w:rPr>
          <w:rFonts w:ascii="Arial" w:hAnsi="Arial" w:cs="Arial"/>
          <w:spacing w:val="1"/>
        </w:rPr>
        <w:t xml:space="preserve"> </w:t>
      </w:r>
      <w:r>
        <w:rPr>
          <w:rFonts w:ascii="Arial" w:hAnsi="Arial" w:cs="Arial"/>
        </w:rPr>
        <w:t>Lei</w:t>
      </w:r>
      <w:r>
        <w:rPr>
          <w:rFonts w:ascii="Arial" w:hAnsi="Arial" w:cs="Arial"/>
          <w:spacing w:val="-1"/>
        </w:rPr>
        <w:t xml:space="preserve"> </w:t>
      </w:r>
      <w:r>
        <w:rPr>
          <w:rFonts w:ascii="Arial" w:hAnsi="Arial" w:cs="Arial"/>
        </w:rPr>
        <w:t>nº 14.133/2021;</w:t>
      </w:r>
    </w:p>
    <w:p w14:paraId="7385DE46">
      <w:pPr>
        <w:pStyle w:val="26"/>
        <w:numPr>
          <w:ilvl w:val="3"/>
          <w:numId w:val="3"/>
        </w:numPr>
        <w:spacing w:line="360" w:lineRule="auto"/>
        <w:ind w:left="440" w:leftChars="200" w:right="176" w:rightChars="80"/>
        <w:rPr>
          <w:rFonts w:ascii="Arial" w:hAnsi="Arial" w:cs="Arial"/>
        </w:rPr>
      </w:pPr>
      <w:r>
        <w:rPr>
          <w:rFonts w:ascii="Arial" w:hAnsi="Arial" w:cs="Arial"/>
        </w:rPr>
        <w:t>Estejam impedidas de licitar e contratar com o Município de Sinop, nos termos do do art. 156,</w:t>
      </w:r>
      <w:r>
        <w:rPr>
          <w:rFonts w:ascii="Arial" w:hAnsi="Arial" w:cs="Arial"/>
          <w:spacing w:val="2"/>
        </w:rPr>
        <w:t xml:space="preserve"> </w:t>
      </w:r>
      <w:r>
        <w:rPr>
          <w:rFonts w:ascii="Arial" w:hAnsi="Arial" w:cs="Arial"/>
        </w:rPr>
        <w:t>III,</w:t>
      </w:r>
      <w:r>
        <w:rPr>
          <w:rFonts w:ascii="Arial" w:hAnsi="Arial" w:cs="Arial"/>
          <w:spacing w:val="-1"/>
        </w:rPr>
        <w:t xml:space="preserve"> </w:t>
      </w:r>
      <w:r>
        <w:rPr>
          <w:rFonts w:ascii="Arial" w:hAnsi="Arial" w:cs="Arial"/>
        </w:rPr>
        <w:t>da</w:t>
      </w:r>
      <w:r>
        <w:rPr>
          <w:rFonts w:ascii="Arial" w:hAnsi="Arial" w:cs="Arial"/>
          <w:spacing w:val="1"/>
        </w:rPr>
        <w:t xml:space="preserve"> </w:t>
      </w:r>
      <w:r>
        <w:rPr>
          <w:rFonts w:ascii="Arial" w:hAnsi="Arial" w:cs="Arial"/>
        </w:rPr>
        <w:t>Lei nº 14.133/2021;</w:t>
      </w:r>
    </w:p>
    <w:p w14:paraId="71AD1265">
      <w:pPr>
        <w:pStyle w:val="26"/>
        <w:numPr>
          <w:ilvl w:val="3"/>
          <w:numId w:val="3"/>
        </w:numPr>
        <w:spacing w:line="360" w:lineRule="auto"/>
        <w:ind w:left="440" w:leftChars="200" w:right="176" w:rightChars="80"/>
        <w:rPr>
          <w:rFonts w:ascii="Arial" w:hAnsi="Arial" w:cs="Arial"/>
        </w:rPr>
      </w:pPr>
      <w:r>
        <w:rPr>
          <w:rFonts w:ascii="Arial" w:hAnsi="Arial" w:cs="Arial"/>
        </w:rPr>
        <w:t>Estejam</w:t>
      </w:r>
      <w:r>
        <w:rPr>
          <w:rFonts w:ascii="Arial" w:hAnsi="Arial" w:cs="Arial"/>
          <w:spacing w:val="-1"/>
        </w:rPr>
        <w:t xml:space="preserve"> </w:t>
      </w:r>
      <w:r>
        <w:rPr>
          <w:rFonts w:ascii="Arial" w:hAnsi="Arial" w:cs="Arial"/>
        </w:rPr>
        <w:t>elencadas</w:t>
      </w:r>
      <w:r>
        <w:rPr>
          <w:rFonts w:ascii="Arial" w:hAnsi="Arial" w:cs="Arial"/>
          <w:spacing w:val="1"/>
        </w:rPr>
        <w:t xml:space="preserve"> </w:t>
      </w:r>
      <w:r>
        <w:rPr>
          <w:rFonts w:ascii="Arial" w:hAnsi="Arial" w:cs="Arial"/>
        </w:rPr>
        <w:t>no</w:t>
      </w:r>
      <w:r>
        <w:rPr>
          <w:rFonts w:ascii="Arial" w:hAnsi="Arial" w:cs="Arial"/>
          <w:spacing w:val="-1"/>
        </w:rPr>
        <w:t xml:space="preserve"> </w:t>
      </w:r>
      <w:r>
        <w:rPr>
          <w:rFonts w:ascii="Arial" w:hAnsi="Arial" w:cs="Arial"/>
        </w:rPr>
        <w:t>art.</w:t>
      </w:r>
      <w:r>
        <w:rPr>
          <w:rFonts w:ascii="Arial" w:hAnsi="Arial" w:cs="Arial"/>
          <w:spacing w:val="-1"/>
        </w:rPr>
        <w:t xml:space="preserve"> </w:t>
      </w:r>
      <w:r>
        <w:rPr>
          <w:rFonts w:ascii="Arial" w:hAnsi="Arial" w:cs="Arial"/>
        </w:rPr>
        <w:t>14</w:t>
      </w:r>
      <w:r>
        <w:rPr>
          <w:rFonts w:ascii="Arial" w:hAnsi="Arial" w:cs="Arial"/>
          <w:spacing w:val="-1"/>
        </w:rPr>
        <w:t xml:space="preserve"> </w:t>
      </w:r>
      <w:r>
        <w:rPr>
          <w:rFonts w:ascii="Arial" w:hAnsi="Arial" w:cs="Arial"/>
        </w:rPr>
        <w:t>da</w:t>
      </w:r>
      <w:r>
        <w:rPr>
          <w:rFonts w:ascii="Arial" w:hAnsi="Arial" w:cs="Arial"/>
          <w:spacing w:val="-1"/>
        </w:rPr>
        <w:t xml:space="preserve"> </w:t>
      </w:r>
      <w:r>
        <w:rPr>
          <w:rFonts w:ascii="Arial" w:hAnsi="Arial" w:cs="Arial"/>
        </w:rPr>
        <w:t>Lei</w:t>
      </w:r>
      <w:r>
        <w:rPr>
          <w:rFonts w:ascii="Arial" w:hAnsi="Arial" w:cs="Arial"/>
          <w:spacing w:val="-1"/>
        </w:rPr>
        <w:t xml:space="preserve"> </w:t>
      </w:r>
      <w:r>
        <w:rPr>
          <w:rFonts w:ascii="Arial" w:hAnsi="Arial" w:cs="Arial"/>
        </w:rPr>
        <w:t>nº</w:t>
      </w:r>
      <w:r>
        <w:rPr>
          <w:rFonts w:ascii="Arial" w:hAnsi="Arial" w:cs="Arial"/>
          <w:spacing w:val="-1"/>
        </w:rPr>
        <w:t xml:space="preserve"> </w:t>
      </w:r>
      <w:r>
        <w:rPr>
          <w:rFonts w:ascii="Arial" w:hAnsi="Arial" w:cs="Arial"/>
        </w:rPr>
        <w:t>14.133/2021;</w:t>
      </w:r>
    </w:p>
    <w:p w14:paraId="17A7AD59">
      <w:pPr>
        <w:pStyle w:val="26"/>
        <w:numPr>
          <w:ilvl w:val="3"/>
          <w:numId w:val="3"/>
        </w:numPr>
        <w:spacing w:line="360" w:lineRule="auto"/>
        <w:ind w:left="440" w:leftChars="200" w:right="176" w:rightChars="80"/>
        <w:rPr>
          <w:rFonts w:ascii="Arial" w:hAnsi="Arial" w:cs="Arial"/>
        </w:rPr>
      </w:pPr>
      <w:r>
        <w:rPr>
          <w:rFonts w:ascii="Arial" w:hAnsi="Arial" w:cs="Arial"/>
        </w:rPr>
        <w:t>Encontrem-se</w:t>
      </w:r>
      <w:r>
        <w:rPr>
          <w:rFonts w:ascii="Arial" w:hAnsi="Arial" w:cs="Arial"/>
          <w:spacing w:val="-2"/>
        </w:rPr>
        <w:t xml:space="preserve"> </w:t>
      </w:r>
      <w:r>
        <w:rPr>
          <w:rFonts w:ascii="Arial" w:hAnsi="Arial" w:cs="Arial"/>
        </w:rPr>
        <w:t>em</w:t>
      </w:r>
      <w:r>
        <w:rPr>
          <w:rFonts w:ascii="Arial" w:hAnsi="Arial" w:cs="Arial"/>
          <w:spacing w:val="2"/>
        </w:rPr>
        <w:t xml:space="preserve"> </w:t>
      </w:r>
      <w:r>
        <w:rPr>
          <w:rFonts w:ascii="Arial" w:hAnsi="Arial" w:cs="Arial"/>
        </w:rPr>
        <w:t>processo</w:t>
      </w:r>
      <w:r>
        <w:rPr>
          <w:rFonts w:ascii="Arial" w:hAnsi="Arial" w:cs="Arial"/>
          <w:spacing w:val="-2"/>
        </w:rPr>
        <w:t xml:space="preserve"> </w:t>
      </w:r>
      <w:r>
        <w:rPr>
          <w:rFonts w:ascii="Arial" w:hAnsi="Arial" w:cs="Arial"/>
        </w:rPr>
        <w:t>de</w:t>
      </w:r>
      <w:r>
        <w:rPr>
          <w:rFonts w:ascii="Arial" w:hAnsi="Arial" w:cs="Arial"/>
          <w:spacing w:val="-2"/>
        </w:rPr>
        <w:t xml:space="preserve"> </w:t>
      </w:r>
      <w:r>
        <w:rPr>
          <w:rFonts w:ascii="Arial" w:hAnsi="Arial" w:cs="Arial"/>
        </w:rPr>
        <w:t>dissolução</w:t>
      </w:r>
      <w:r>
        <w:rPr>
          <w:rFonts w:ascii="Arial" w:hAnsi="Arial" w:cs="Arial"/>
          <w:spacing w:val="-1"/>
        </w:rPr>
        <w:t xml:space="preserve"> </w:t>
      </w:r>
      <w:r>
        <w:rPr>
          <w:rFonts w:ascii="Arial" w:hAnsi="Arial" w:cs="Arial"/>
        </w:rPr>
        <w:t>ou</w:t>
      </w:r>
      <w:r>
        <w:rPr>
          <w:rFonts w:ascii="Arial" w:hAnsi="Arial" w:cs="Arial"/>
          <w:spacing w:val="-1"/>
        </w:rPr>
        <w:t xml:space="preserve"> </w:t>
      </w:r>
      <w:r>
        <w:rPr>
          <w:rFonts w:ascii="Arial" w:hAnsi="Arial" w:cs="Arial"/>
        </w:rPr>
        <w:t>liquidação;</w:t>
      </w:r>
    </w:p>
    <w:p w14:paraId="16B1DE2A">
      <w:pPr>
        <w:pStyle w:val="26"/>
        <w:numPr>
          <w:ilvl w:val="3"/>
          <w:numId w:val="3"/>
        </w:numPr>
        <w:spacing w:line="360" w:lineRule="auto"/>
        <w:ind w:left="440" w:leftChars="200" w:right="176" w:rightChars="80"/>
        <w:rPr>
          <w:rFonts w:ascii="Arial" w:hAnsi="Arial" w:cs="Arial"/>
        </w:rPr>
      </w:pPr>
      <w:r>
        <w:rPr>
          <w:rFonts w:ascii="Arial" w:hAnsi="Arial" w:cs="Arial"/>
        </w:rPr>
        <w:t>Constituam</w:t>
      </w:r>
      <w:r>
        <w:rPr>
          <w:rFonts w:ascii="Arial" w:hAnsi="Arial" w:cs="Arial"/>
          <w:spacing w:val="1"/>
        </w:rPr>
        <w:t xml:space="preserve"> </w:t>
      </w:r>
      <w:r>
        <w:rPr>
          <w:rFonts w:ascii="Arial" w:hAnsi="Arial" w:cs="Arial"/>
        </w:rPr>
        <w:t>sociedades</w:t>
      </w:r>
      <w:r>
        <w:rPr>
          <w:rFonts w:ascii="Arial" w:hAnsi="Arial" w:cs="Arial"/>
          <w:spacing w:val="1"/>
        </w:rPr>
        <w:t xml:space="preserve"> </w:t>
      </w:r>
      <w:r>
        <w:rPr>
          <w:rFonts w:ascii="Arial" w:hAnsi="Arial" w:cs="Arial"/>
        </w:rPr>
        <w:t>integrantes</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um</w:t>
      </w:r>
      <w:r>
        <w:rPr>
          <w:rFonts w:ascii="Arial" w:hAnsi="Arial" w:cs="Arial"/>
          <w:spacing w:val="1"/>
        </w:rPr>
        <w:t xml:space="preserve"> </w:t>
      </w:r>
      <w:r>
        <w:rPr>
          <w:rFonts w:ascii="Arial" w:hAnsi="Arial" w:cs="Arial"/>
        </w:rPr>
        <w:t>mesmo</w:t>
      </w:r>
      <w:r>
        <w:rPr>
          <w:rFonts w:ascii="Arial" w:hAnsi="Arial" w:cs="Arial"/>
          <w:spacing w:val="1"/>
        </w:rPr>
        <w:t xml:space="preserve"> </w:t>
      </w:r>
      <w:r>
        <w:rPr>
          <w:rFonts w:ascii="Arial" w:hAnsi="Arial" w:cs="Arial"/>
        </w:rPr>
        <w:t>grupo</w:t>
      </w:r>
      <w:r>
        <w:rPr>
          <w:rFonts w:ascii="Arial" w:hAnsi="Arial" w:cs="Arial"/>
          <w:spacing w:val="1"/>
        </w:rPr>
        <w:t xml:space="preserve"> </w:t>
      </w:r>
      <w:r>
        <w:rPr>
          <w:rFonts w:ascii="Arial" w:hAnsi="Arial" w:cs="Arial"/>
        </w:rPr>
        <w:t>econômico,</w:t>
      </w:r>
      <w:r>
        <w:rPr>
          <w:rFonts w:ascii="Arial" w:hAnsi="Arial" w:cs="Arial"/>
          <w:spacing w:val="1"/>
        </w:rPr>
        <w:t xml:space="preserve"> </w:t>
      </w:r>
      <w:r>
        <w:rPr>
          <w:rFonts w:ascii="Arial" w:hAnsi="Arial" w:cs="Arial"/>
        </w:rPr>
        <w:t>assim</w:t>
      </w:r>
      <w:r>
        <w:rPr>
          <w:rFonts w:ascii="Arial" w:hAnsi="Arial" w:cs="Arial"/>
          <w:spacing w:val="1"/>
        </w:rPr>
        <w:t xml:space="preserve"> </w:t>
      </w:r>
      <w:r>
        <w:rPr>
          <w:rFonts w:ascii="Arial" w:hAnsi="Arial" w:cs="Arial"/>
        </w:rPr>
        <w:t>entendidas</w:t>
      </w:r>
      <w:r>
        <w:rPr>
          <w:rFonts w:ascii="Arial" w:hAnsi="Arial" w:cs="Arial"/>
          <w:spacing w:val="-5"/>
        </w:rPr>
        <w:t xml:space="preserve"> </w:t>
      </w:r>
      <w:r>
        <w:rPr>
          <w:rFonts w:ascii="Arial" w:hAnsi="Arial" w:cs="Arial"/>
        </w:rPr>
        <w:t>aquelas</w:t>
      </w:r>
      <w:r>
        <w:rPr>
          <w:rFonts w:ascii="Arial" w:hAnsi="Arial" w:cs="Arial"/>
          <w:spacing w:val="-5"/>
        </w:rPr>
        <w:t xml:space="preserve"> </w:t>
      </w:r>
      <w:r>
        <w:rPr>
          <w:rFonts w:ascii="Arial" w:hAnsi="Arial" w:cs="Arial"/>
        </w:rPr>
        <w:t>que</w:t>
      </w:r>
      <w:r>
        <w:rPr>
          <w:rFonts w:ascii="Arial" w:hAnsi="Arial" w:cs="Arial"/>
          <w:spacing w:val="-2"/>
        </w:rPr>
        <w:t xml:space="preserve"> </w:t>
      </w:r>
      <w:r>
        <w:rPr>
          <w:rFonts w:ascii="Arial" w:hAnsi="Arial" w:cs="Arial"/>
        </w:rPr>
        <w:t>tenham</w:t>
      </w:r>
      <w:r>
        <w:rPr>
          <w:rFonts w:ascii="Arial" w:hAnsi="Arial" w:cs="Arial"/>
          <w:spacing w:val="-4"/>
        </w:rPr>
        <w:t xml:space="preserve"> </w:t>
      </w:r>
      <w:r>
        <w:rPr>
          <w:rFonts w:ascii="Arial" w:hAnsi="Arial" w:cs="Arial"/>
        </w:rPr>
        <w:t>diretores,</w:t>
      </w:r>
      <w:r>
        <w:rPr>
          <w:rFonts w:ascii="Arial" w:hAnsi="Arial" w:cs="Arial"/>
          <w:spacing w:val="-1"/>
        </w:rPr>
        <w:t xml:space="preserve"> </w:t>
      </w:r>
      <w:r>
        <w:rPr>
          <w:rFonts w:ascii="Arial" w:hAnsi="Arial" w:cs="Arial"/>
        </w:rPr>
        <w:t>sócios</w:t>
      </w:r>
      <w:r>
        <w:rPr>
          <w:rFonts w:ascii="Arial" w:hAnsi="Arial" w:cs="Arial"/>
          <w:spacing w:val="-5"/>
        </w:rPr>
        <w:t xml:space="preserve"> </w:t>
      </w:r>
      <w:r>
        <w:rPr>
          <w:rFonts w:ascii="Arial" w:hAnsi="Arial" w:cs="Arial"/>
        </w:rPr>
        <w:t>ou</w:t>
      </w:r>
      <w:r>
        <w:rPr>
          <w:rFonts w:ascii="Arial" w:hAnsi="Arial" w:cs="Arial"/>
          <w:spacing w:val="-1"/>
        </w:rPr>
        <w:t xml:space="preserve"> </w:t>
      </w:r>
      <w:r>
        <w:rPr>
          <w:rFonts w:ascii="Arial" w:hAnsi="Arial" w:cs="Arial"/>
        </w:rPr>
        <w:t>representantes</w:t>
      </w:r>
      <w:r>
        <w:rPr>
          <w:rFonts w:ascii="Arial" w:hAnsi="Arial" w:cs="Arial"/>
          <w:spacing w:val="-5"/>
        </w:rPr>
        <w:t xml:space="preserve"> </w:t>
      </w:r>
      <w:r>
        <w:rPr>
          <w:rFonts w:ascii="Arial" w:hAnsi="Arial" w:cs="Arial"/>
        </w:rPr>
        <w:t>legais</w:t>
      </w:r>
      <w:r>
        <w:rPr>
          <w:rFonts w:ascii="Arial" w:hAnsi="Arial" w:cs="Arial"/>
          <w:spacing w:val="-4"/>
        </w:rPr>
        <w:t xml:space="preserve"> </w:t>
      </w:r>
      <w:r>
        <w:rPr>
          <w:rFonts w:ascii="Arial" w:hAnsi="Arial" w:cs="Arial"/>
        </w:rPr>
        <w:t>comuns,</w:t>
      </w:r>
      <w:r>
        <w:rPr>
          <w:rFonts w:ascii="Arial" w:hAnsi="Arial" w:cs="Arial"/>
          <w:spacing w:val="-5"/>
        </w:rPr>
        <w:t xml:space="preserve"> </w:t>
      </w:r>
      <w:r>
        <w:rPr>
          <w:rFonts w:ascii="Arial" w:hAnsi="Arial" w:cs="Arial"/>
        </w:rPr>
        <w:t>ou</w:t>
      </w:r>
      <w:r>
        <w:rPr>
          <w:rFonts w:ascii="Arial" w:hAnsi="Arial" w:cs="Arial"/>
          <w:spacing w:val="-5"/>
        </w:rPr>
        <w:t xml:space="preserve"> </w:t>
      </w:r>
      <w:r>
        <w:rPr>
          <w:rFonts w:ascii="Arial" w:hAnsi="Arial" w:cs="Arial"/>
        </w:rPr>
        <w:t>que</w:t>
      </w:r>
      <w:r>
        <w:rPr>
          <w:rFonts w:ascii="Arial" w:hAnsi="Arial" w:cs="Arial"/>
          <w:spacing w:val="-57"/>
        </w:rPr>
        <w:t xml:space="preserve">  </w:t>
      </w:r>
      <w:r>
        <w:rPr>
          <w:rFonts w:ascii="Arial" w:hAnsi="Arial" w:cs="Arial"/>
        </w:rPr>
        <w:t>utilizem</w:t>
      </w:r>
      <w:r>
        <w:rPr>
          <w:rFonts w:ascii="Arial" w:hAnsi="Arial" w:cs="Arial"/>
          <w:spacing w:val="-12"/>
        </w:rPr>
        <w:t xml:space="preserve"> </w:t>
      </w:r>
      <w:r>
        <w:rPr>
          <w:rFonts w:ascii="Arial" w:hAnsi="Arial" w:cs="Arial"/>
        </w:rPr>
        <w:t>recursos</w:t>
      </w:r>
      <w:r>
        <w:rPr>
          <w:rFonts w:ascii="Arial" w:hAnsi="Arial" w:cs="Arial"/>
          <w:spacing w:val="-9"/>
        </w:rPr>
        <w:t xml:space="preserve"> </w:t>
      </w:r>
      <w:r>
        <w:rPr>
          <w:rFonts w:ascii="Arial" w:hAnsi="Arial" w:cs="Arial"/>
        </w:rPr>
        <w:t>materiais,</w:t>
      </w:r>
      <w:r>
        <w:rPr>
          <w:rFonts w:ascii="Arial" w:hAnsi="Arial" w:cs="Arial"/>
          <w:spacing w:val="-11"/>
        </w:rPr>
        <w:t xml:space="preserve"> </w:t>
      </w:r>
      <w:r>
        <w:rPr>
          <w:rFonts w:ascii="Arial" w:hAnsi="Arial" w:cs="Arial"/>
        </w:rPr>
        <w:t>tecnológicos</w:t>
      </w:r>
      <w:r>
        <w:rPr>
          <w:rFonts w:ascii="Arial" w:hAnsi="Arial" w:cs="Arial"/>
          <w:spacing w:val="-9"/>
        </w:rPr>
        <w:t xml:space="preserve"> </w:t>
      </w:r>
      <w:r>
        <w:rPr>
          <w:rFonts w:ascii="Arial" w:hAnsi="Arial" w:cs="Arial"/>
        </w:rPr>
        <w:t>ou</w:t>
      </w:r>
      <w:r>
        <w:rPr>
          <w:rFonts w:ascii="Arial" w:hAnsi="Arial" w:cs="Arial"/>
          <w:spacing w:val="-11"/>
        </w:rPr>
        <w:t xml:space="preserve"> </w:t>
      </w:r>
      <w:r>
        <w:rPr>
          <w:rFonts w:ascii="Arial" w:hAnsi="Arial" w:cs="Arial"/>
        </w:rPr>
        <w:t>humanos</w:t>
      </w:r>
      <w:r>
        <w:rPr>
          <w:rFonts w:ascii="Arial" w:hAnsi="Arial" w:cs="Arial"/>
          <w:spacing w:val="-9"/>
        </w:rPr>
        <w:t xml:space="preserve"> </w:t>
      </w:r>
      <w:r>
        <w:rPr>
          <w:rFonts w:ascii="Arial" w:hAnsi="Arial" w:cs="Arial"/>
        </w:rPr>
        <w:t>em</w:t>
      </w:r>
      <w:r>
        <w:rPr>
          <w:rFonts w:ascii="Arial" w:hAnsi="Arial" w:cs="Arial"/>
          <w:spacing w:val="-10"/>
        </w:rPr>
        <w:t xml:space="preserve"> </w:t>
      </w:r>
      <w:r>
        <w:rPr>
          <w:rFonts w:ascii="Arial" w:hAnsi="Arial" w:cs="Arial"/>
        </w:rPr>
        <w:t>comum,</w:t>
      </w:r>
      <w:r>
        <w:rPr>
          <w:rFonts w:ascii="Arial" w:hAnsi="Arial" w:cs="Arial"/>
          <w:spacing w:val="-10"/>
        </w:rPr>
        <w:t xml:space="preserve"> </w:t>
      </w:r>
      <w:r>
        <w:rPr>
          <w:rFonts w:ascii="Arial" w:hAnsi="Arial" w:cs="Arial"/>
        </w:rPr>
        <w:t>exceto</w:t>
      </w:r>
      <w:r>
        <w:rPr>
          <w:rFonts w:ascii="Arial" w:hAnsi="Arial" w:cs="Arial"/>
          <w:spacing w:val="-10"/>
        </w:rPr>
        <w:t xml:space="preserve"> </w:t>
      </w:r>
      <w:r>
        <w:rPr>
          <w:rFonts w:ascii="Arial" w:hAnsi="Arial" w:cs="Arial"/>
        </w:rPr>
        <w:t>se</w:t>
      </w:r>
      <w:r>
        <w:rPr>
          <w:rFonts w:ascii="Arial" w:hAnsi="Arial" w:cs="Arial"/>
          <w:spacing w:val="-12"/>
        </w:rPr>
        <w:t xml:space="preserve"> </w:t>
      </w:r>
      <w:r>
        <w:rPr>
          <w:rFonts w:ascii="Arial" w:hAnsi="Arial" w:cs="Arial"/>
        </w:rPr>
        <w:t>demonstrado</w:t>
      </w:r>
      <w:r>
        <w:rPr>
          <w:rFonts w:ascii="Arial" w:hAnsi="Arial" w:cs="Arial"/>
          <w:spacing w:val="-57"/>
        </w:rPr>
        <w:t xml:space="preserve"> </w:t>
      </w:r>
      <w:r>
        <w:rPr>
          <w:rFonts w:ascii="Arial" w:hAnsi="Arial" w:cs="Arial"/>
        </w:rPr>
        <w:t>que</w:t>
      </w:r>
      <w:r>
        <w:rPr>
          <w:rFonts w:ascii="Arial" w:hAnsi="Arial" w:cs="Arial"/>
          <w:spacing w:val="-2"/>
        </w:rPr>
        <w:t xml:space="preserve"> </w:t>
      </w:r>
      <w:r>
        <w:rPr>
          <w:rFonts w:ascii="Arial" w:hAnsi="Arial" w:cs="Arial"/>
        </w:rPr>
        <w:t>não agem representando interesse</w:t>
      </w:r>
      <w:r>
        <w:rPr>
          <w:rFonts w:ascii="Arial" w:hAnsi="Arial" w:cs="Arial"/>
          <w:spacing w:val="-2"/>
        </w:rPr>
        <w:t xml:space="preserve"> </w:t>
      </w:r>
      <w:r>
        <w:rPr>
          <w:rFonts w:ascii="Arial" w:hAnsi="Arial" w:cs="Arial"/>
        </w:rPr>
        <w:t>econômico</w:t>
      </w:r>
      <w:r>
        <w:rPr>
          <w:rFonts w:ascii="Arial" w:hAnsi="Arial" w:cs="Arial"/>
          <w:spacing w:val="2"/>
        </w:rPr>
        <w:t xml:space="preserve"> </w:t>
      </w:r>
      <w:r>
        <w:rPr>
          <w:rFonts w:ascii="Arial" w:hAnsi="Arial" w:cs="Arial"/>
        </w:rPr>
        <w:t>em comum.</w:t>
      </w:r>
    </w:p>
    <w:p w14:paraId="40A4B8E4">
      <w:pPr>
        <w:pStyle w:val="26"/>
        <w:numPr>
          <w:ilvl w:val="3"/>
          <w:numId w:val="3"/>
        </w:numPr>
        <w:spacing w:line="360" w:lineRule="auto"/>
        <w:ind w:left="440" w:leftChars="200" w:right="176" w:rightChars="80"/>
        <w:rPr>
          <w:rFonts w:ascii="Arial" w:hAnsi="Arial" w:cs="Arial"/>
        </w:rPr>
      </w:pPr>
      <w:r>
        <w:rPr>
          <w:rFonts w:ascii="Arial" w:hAnsi="Arial" w:cs="Arial"/>
          <w:spacing w:val="-1"/>
        </w:rPr>
        <w:t>Em</w:t>
      </w:r>
      <w:r>
        <w:rPr>
          <w:rFonts w:ascii="Arial" w:hAnsi="Arial" w:cs="Arial"/>
          <w:spacing w:val="-12"/>
        </w:rPr>
        <w:t xml:space="preserve"> </w:t>
      </w:r>
      <w:r>
        <w:rPr>
          <w:rFonts w:ascii="Arial" w:hAnsi="Arial" w:cs="Arial"/>
          <w:spacing w:val="-1"/>
        </w:rPr>
        <w:t>razão</w:t>
      </w:r>
      <w:r>
        <w:rPr>
          <w:rFonts w:ascii="Arial" w:hAnsi="Arial" w:cs="Arial"/>
          <w:spacing w:val="-15"/>
        </w:rPr>
        <w:t xml:space="preserve"> </w:t>
      </w:r>
      <w:r>
        <w:rPr>
          <w:rFonts w:ascii="Arial" w:hAnsi="Arial" w:cs="Arial"/>
          <w:spacing w:val="-1"/>
        </w:rPr>
        <w:t>da</w:t>
      </w:r>
      <w:r>
        <w:rPr>
          <w:rFonts w:ascii="Arial" w:hAnsi="Arial" w:cs="Arial"/>
          <w:spacing w:val="-15"/>
        </w:rPr>
        <w:t xml:space="preserve"> </w:t>
      </w:r>
      <w:r>
        <w:rPr>
          <w:rFonts w:ascii="Arial" w:hAnsi="Arial" w:cs="Arial"/>
          <w:spacing w:val="-1"/>
        </w:rPr>
        <w:t>prática</w:t>
      </w:r>
      <w:r>
        <w:rPr>
          <w:rFonts w:ascii="Arial" w:hAnsi="Arial" w:cs="Arial"/>
          <w:spacing w:val="-16"/>
        </w:rPr>
        <w:t xml:space="preserve"> </w:t>
      </w:r>
      <w:r>
        <w:rPr>
          <w:rFonts w:ascii="Arial" w:hAnsi="Arial" w:cs="Arial"/>
        </w:rPr>
        <w:t>de</w:t>
      </w:r>
      <w:r>
        <w:rPr>
          <w:rFonts w:ascii="Arial" w:hAnsi="Arial" w:cs="Arial"/>
          <w:spacing w:val="-13"/>
        </w:rPr>
        <w:t xml:space="preserve"> </w:t>
      </w:r>
      <w:r>
        <w:rPr>
          <w:rFonts w:ascii="Arial" w:hAnsi="Arial" w:cs="Arial"/>
        </w:rPr>
        <w:t>ato</w:t>
      </w:r>
      <w:r>
        <w:rPr>
          <w:rFonts w:ascii="Arial" w:hAnsi="Arial" w:cs="Arial"/>
          <w:spacing w:val="-14"/>
        </w:rPr>
        <w:t xml:space="preserve"> </w:t>
      </w:r>
      <w:r>
        <w:rPr>
          <w:rFonts w:ascii="Arial" w:hAnsi="Arial" w:cs="Arial"/>
        </w:rPr>
        <w:t>de</w:t>
      </w:r>
      <w:r>
        <w:rPr>
          <w:rFonts w:ascii="Arial" w:hAnsi="Arial" w:cs="Arial"/>
          <w:spacing w:val="-13"/>
        </w:rPr>
        <w:t xml:space="preserve"> </w:t>
      </w:r>
      <w:r>
        <w:rPr>
          <w:rFonts w:ascii="Arial" w:hAnsi="Arial" w:cs="Arial"/>
        </w:rPr>
        <w:t>improbidade</w:t>
      </w:r>
      <w:r>
        <w:rPr>
          <w:rFonts w:ascii="Arial" w:hAnsi="Arial" w:cs="Arial"/>
          <w:spacing w:val="-13"/>
        </w:rPr>
        <w:t xml:space="preserve"> </w:t>
      </w:r>
      <w:r>
        <w:rPr>
          <w:rFonts w:ascii="Arial" w:hAnsi="Arial" w:cs="Arial"/>
        </w:rPr>
        <w:t>administrativa,</w:t>
      </w:r>
      <w:r>
        <w:rPr>
          <w:rFonts w:ascii="Arial" w:hAnsi="Arial" w:cs="Arial"/>
          <w:spacing w:val="-14"/>
        </w:rPr>
        <w:t xml:space="preserve"> </w:t>
      </w:r>
      <w:r>
        <w:rPr>
          <w:rFonts w:ascii="Arial" w:hAnsi="Arial" w:cs="Arial"/>
        </w:rPr>
        <w:t>o</w:t>
      </w:r>
      <w:r>
        <w:rPr>
          <w:rFonts w:ascii="Arial" w:hAnsi="Arial" w:cs="Arial"/>
          <w:spacing w:val="-15"/>
        </w:rPr>
        <w:t xml:space="preserve"> </w:t>
      </w:r>
      <w:r>
        <w:rPr>
          <w:rFonts w:ascii="Arial" w:hAnsi="Arial" w:cs="Arial"/>
        </w:rPr>
        <w:t>sócio</w:t>
      </w:r>
      <w:r>
        <w:rPr>
          <w:rFonts w:ascii="Arial" w:hAnsi="Arial" w:cs="Arial"/>
          <w:spacing w:val="-15"/>
        </w:rPr>
        <w:t xml:space="preserve"> </w:t>
      </w:r>
      <w:r>
        <w:rPr>
          <w:rFonts w:ascii="Arial" w:hAnsi="Arial" w:cs="Arial"/>
        </w:rPr>
        <w:t>majoritário</w:t>
      </w:r>
      <w:r>
        <w:rPr>
          <w:rFonts w:ascii="Arial" w:hAnsi="Arial" w:cs="Arial"/>
          <w:spacing w:val="-15"/>
        </w:rPr>
        <w:t xml:space="preserve"> </w:t>
      </w:r>
      <w:r>
        <w:rPr>
          <w:rFonts w:ascii="Arial" w:hAnsi="Arial" w:cs="Arial"/>
        </w:rPr>
        <w:t>esteja proibido</w:t>
      </w:r>
      <w:r>
        <w:rPr>
          <w:rFonts w:ascii="Arial" w:hAnsi="Arial" w:cs="Arial"/>
          <w:spacing w:val="-1"/>
        </w:rPr>
        <w:t xml:space="preserve"> </w:t>
      </w:r>
      <w:r>
        <w:rPr>
          <w:rFonts w:ascii="Arial" w:hAnsi="Arial" w:cs="Arial"/>
        </w:rPr>
        <w:t>de</w:t>
      </w:r>
      <w:r>
        <w:rPr>
          <w:rFonts w:ascii="Arial" w:hAnsi="Arial" w:cs="Arial"/>
          <w:spacing w:val="-2"/>
        </w:rPr>
        <w:t xml:space="preserve"> </w:t>
      </w:r>
      <w:r>
        <w:rPr>
          <w:rFonts w:ascii="Arial" w:hAnsi="Arial" w:cs="Arial"/>
        </w:rPr>
        <w:t>contratar</w:t>
      </w:r>
      <w:r>
        <w:rPr>
          <w:rFonts w:ascii="Arial" w:hAnsi="Arial" w:cs="Arial"/>
          <w:spacing w:val="-1"/>
        </w:rPr>
        <w:t xml:space="preserve"> </w:t>
      </w:r>
      <w:r>
        <w:rPr>
          <w:rFonts w:ascii="Arial" w:hAnsi="Arial" w:cs="Arial"/>
        </w:rPr>
        <w:t>com</w:t>
      </w:r>
      <w:r>
        <w:rPr>
          <w:rFonts w:ascii="Arial" w:hAnsi="Arial" w:cs="Arial"/>
          <w:spacing w:val="-1"/>
        </w:rPr>
        <w:t xml:space="preserve"> </w:t>
      </w:r>
      <w:r>
        <w:rPr>
          <w:rFonts w:ascii="Arial" w:hAnsi="Arial" w:cs="Arial"/>
        </w:rPr>
        <w:t>o poder</w:t>
      </w:r>
      <w:r>
        <w:rPr>
          <w:rFonts w:ascii="Arial" w:hAnsi="Arial" w:cs="Arial"/>
          <w:spacing w:val="-2"/>
        </w:rPr>
        <w:t xml:space="preserve"> </w:t>
      </w:r>
      <w:r>
        <w:rPr>
          <w:rFonts w:ascii="Arial" w:hAnsi="Arial" w:cs="Arial"/>
        </w:rPr>
        <w:t>público,</w:t>
      </w:r>
      <w:r>
        <w:rPr>
          <w:rFonts w:ascii="Arial" w:hAnsi="Arial" w:cs="Arial"/>
          <w:spacing w:val="-1"/>
        </w:rPr>
        <w:t xml:space="preserve"> </w:t>
      </w:r>
      <w:r>
        <w:rPr>
          <w:rFonts w:ascii="Arial" w:hAnsi="Arial" w:cs="Arial"/>
        </w:rPr>
        <w:t>nos termos</w:t>
      </w:r>
      <w:r>
        <w:rPr>
          <w:rFonts w:ascii="Arial" w:hAnsi="Arial" w:cs="Arial"/>
          <w:spacing w:val="-1"/>
        </w:rPr>
        <w:t xml:space="preserve"> </w:t>
      </w:r>
      <w:r>
        <w:rPr>
          <w:rFonts w:ascii="Arial" w:hAnsi="Arial" w:cs="Arial"/>
        </w:rPr>
        <w:t>do art.</w:t>
      </w:r>
      <w:r>
        <w:rPr>
          <w:rFonts w:ascii="Arial" w:hAnsi="Arial" w:cs="Arial"/>
          <w:spacing w:val="-1"/>
        </w:rPr>
        <w:t xml:space="preserve"> </w:t>
      </w:r>
      <w:r>
        <w:rPr>
          <w:rFonts w:ascii="Arial" w:hAnsi="Arial" w:cs="Arial"/>
        </w:rPr>
        <w:t>12</w:t>
      </w:r>
      <w:r>
        <w:rPr>
          <w:rFonts w:ascii="Arial" w:hAnsi="Arial" w:cs="Arial"/>
          <w:spacing w:val="-1"/>
        </w:rPr>
        <w:t xml:space="preserve"> </w:t>
      </w:r>
      <w:r>
        <w:rPr>
          <w:rFonts w:ascii="Arial" w:hAnsi="Arial" w:cs="Arial"/>
        </w:rPr>
        <w:t>da</w:t>
      </w:r>
      <w:r>
        <w:rPr>
          <w:rFonts w:ascii="Arial" w:hAnsi="Arial" w:cs="Arial"/>
          <w:spacing w:val="1"/>
        </w:rPr>
        <w:t xml:space="preserve"> </w:t>
      </w:r>
      <w:r>
        <w:rPr>
          <w:rFonts w:ascii="Arial" w:hAnsi="Arial" w:cs="Arial"/>
        </w:rPr>
        <w:t>Lei</w:t>
      </w:r>
      <w:r>
        <w:rPr>
          <w:rFonts w:ascii="Arial" w:hAnsi="Arial" w:cs="Arial"/>
          <w:spacing w:val="-1"/>
        </w:rPr>
        <w:t xml:space="preserve"> </w:t>
      </w:r>
      <w:r>
        <w:rPr>
          <w:rFonts w:ascii="Arial" w:hAnsi="Arial" w:cs="Arial"/>
        </w:rPr>
        <w:t>nº</w:t>
      </w:r>
      <w:r>
        <w:rPr>
          <w:rFonts w:ascii="Arial" w:hAnsi="Arial" w:cs="Arial"/>
          <w:spacing w:val="2"/>
        </w:rPr>
        <w:t xml:space="preserve"> </w:t>
      </w:r>
      <w:r>
        <w:rPr>
          <w:rFonts w:ascii="Arial" w:hAnsi="Arial" w:cs="Arial"/>
        </w:rPr>
        <w:t>8.429/92;</w:t>
      </w:r>
    </w:p>
    <w:p w14:paraId="0A55CF2F">
      <w:pPr>
        <w:pStyle w:val="26"/>
        <w:numPr>
          <w:ilvl w:val="2"/>
          <w:numId w:val="3"/>
        </w:numPr>
        <w:spacing w:line="360" w:lineRule="auto"/>
        <w:ind w:right="176" w:rightChars="80"/>
        <w:rPr>
          <w:rFonts w:ascii="Arial" w:hAnsi="Arial" w:cs="Arial"/>
        </w:rPr>
      </w:pPr>
      <w:r>
        <w:rPr>
          <w:rFonts w:ascii="Arial" w:hAnsi="Arial" w:cs="Arial"/>
        </w:rPr>
        <w:t>A fim de verificar as condições de participação previstas neste Capítulo, o Agente de</w:t>
      </w:r>
      <w:r>
        <w:rPr>
          <w:rFonts w:ascii="Arial" w:hAnsi="Arial" w:cs="Arial"/>
          <w:spacing w:val="1"/>
        </w:rPr>
        <w:t xml:space="preserve"> </w:t>
      </w:r>
      <w:r>
        <w:rPr>
          <w:rFonts w:ascii="Arial" w:hAnsi="Arial" w:cs="Arial"/>
        </w:rPr>
        <w:t>Contratação</w:t>
      </w:r>
      <w:r>
        <w:rPr>
          <w:rFonts w:ascii="Arial" w:hAnsi="Arial" w:cs="Arial"/>
          <w:spacing w:val="-1"/>
        </w:rPr>
        <w:t xml:space="preserve"> </w:t>
      </w:r>
      <w:r>
        <w:rPr>
          <w:rFonts w:ascii="Arial" w:hAnsi="Arial" w:cs="Arial"/>
        </w:rPr>
        <w:t>realizará</w:t>
      </w:r>
      <w:r>
        <w:rPr>
          <w:rFonts w:ascii="Arial" w:hAnsi="Arial" w:cs="Arial"/>
          <w:spacing w:val="1"/>
        </w:rPr>
        <w:t xml:space="preserve"> </w:t>
      </w:r>
      <w:r>
        <w:rPr>
          <w:rFonts w:ascii="Arial" w:hAnsi="Arial" w:cs="Arial"/>
        </w:rPr>
        <w:t>consulta</w:t>
      </w:r>
      <w:r>
        <w:rPr>
          <w:rFonts w:ascii="Arial" w:hAnsi="Arial" w:cs="Arial"/>
          <w:spacing w:val="-1"/>
        </w:rPr>
        <w:t xml:space="preserve"> </w:t>
      </w:r>
      <w:r>
        <w:rPr>
          <w:rFonts w:ascii="Arial" w:hAnsi="Arial" w:cs="Arial"/>
        </w:rPr>
        <w:t>nas seguintes</w:t>
      </w:r>
      <w:r>
        <w:rPr>
          <w:rFonts w:ascii="Arial" w:hAnsi="Arial" w:cs="Arial"/>
          <w:spacing w:val="-1"/>
        </w:rPr>
        <w:t xml:space="preserve"> </w:t>
      </w:r>
      <w:r>
        <w:rPr>
          <w:rFonts w:ascii="Arial" w:hAnsi="Arial" w:cs="Arial"/>
        </w:rPr>
        <w:t>bases</w:t>
      </w:r>
      <w:r>
        <w:rPr>
          <w:rFonts w:ascii="Arial" w:hAnsi="Arial" w:cs="Arial"/>
          <w:spacing w:val="2"/>
        </w:rPr>
        <w:t xml:space="preserve"> </w:t>
      </w:r>
      <w:r>
        <w:rPr>
          <w:rFonts w:ascii="Arial" w:hAnsi="Arial" w:cs="Arial"/>
        </w:rPr>
        <w:t>de</w:t>
      </w:r>
      <w:r>
        <w:rPr>
          <w:rFonts w:ascii="Arial" w:hAnsi="Arial" w:cs="Arial"/>
          <w:spacing w:val="-1"/>
        </w:rPr>
        <w:t xml:space="preserve"> </w:t>
      </w:r>
      <w:r>
        <w:rPr>
          <w:rFonts w:ascii="Arial" w:hAnsi="Arial" w:cs="Arial"/>
        </w:rPr>
        <w:t>dados:</w:t>
      </w:r>
    </w:p>
    <w:p w14:paraId="18F9F513">
      <w:pPr>
        <w:pStyle w:val="26"/>
        <w:numPr>
          <w:ilvl w:val="3"/>
          <w:numId w:val="3"/>
        </w:numPr>
        <w:spacing w:line="360" w:lineRule="auto"/>
        <w:ind w:left="440" w:leftChars="200" w:right="176" w:rightChars="80"/>
        <w:rPr>
          <w:rFonts w:ascii="Arial" w:hAnsi="Arial" w:cs="Arial"/>
        </w:rPr>
      </w:pPr>
      <w:r>
        <w:rPr>
          <w:rFonts w:ascii="Arial" w:hAnsi="Arial" w:cs="Arial"/>
        </w:rPr>
        <w:t>Relação de</w:t>
      </w:r>
      <w:r>
        <w:rPr>
          <w:rFonts w:ascii="Arial" w:hAnsi="Arial" w:cs="Arial"/>
          <w:spacing w:val="-3"/>
        </w:rPr>
        <w:t xml:space="preserve"> </w:t>
      </w:r>
      <w:r>
        <w:rPr>
          <w:rFonts w:ascii="Arial" w:hAnsi="Arial" w:cs="Arial"/>
        </w:rPr>
        <w:t>Servidores</w:t>
      </w:r>
      <w:r>
        <w:rPr>
          <w:rFonts w:ascii="Arial" w:hAnsi="Arial" w:cs="Arial"/>
          <w:spacing w:val="-2"/>
        </w:rPr>
        <w:t xml:space="preserve"> </w:t>
      </w:r>
      <w:r>
        <w:rPr>
          <w:rFonts w:ascii="Arial" w:hAnsi="Arial" w:cs="Arial"/>
        </w:rPr>
        <w:t>disponível</w:t>
      </w:r>
      <w:r>
        <w:rPr>
          <w:rFonts w:ascii="Arial" w:hAnsi="Arial" w:cs="Arial"/>
          <w:spacing w:val="-1"/>
        </w:rPr>
        <w:t xml:space="preserve"> </w:t>
      </w:r>
      <w:r>
        <w:rPr>
          <w:rFonts w:ascii="Arial" w:hAnsi="Arial" w:cs="Arial"/>
        </w:rPr>
        <w:t>no</w:t>
      </w:r>
      <w:r>
        <w:rPr>
          <w:rFonts w:ascii="Arial" w:hAnsi="Arial" w:cs="Arial"/>
          <w:spacing w:val="-2"/>
        </w:rPr>
        <w:t xml:space="preserve"> </w:t>
      </w:r>
      <w:r>
        <w:rPr>
          <w:rFonts w:ascii="Arial" w:hAnsi="Arial" w:cs="Arial"/>
        </w:rPr>
        <w:t>Portal</w:t>
      </w:r>
      <w:r>
        <w:rPr>
          <w:rFonts w:ascii="Arial" w:hAnsi="Arial" w:cs="Arial"/>
          <w:spacing w:val="-2"/>
        </w:rPr>
        <w:t xml:space="preserve"> </w:t>
      </w:r>
      <w:r>
        <w:rPr>
          <w:rFonts w:ascii="Arial" w:hAnsi="Arial" w:cs="Arial"/>
        </w:rPr>
        <w:t>da</w:t>
      </w:r>
      <w:r>
        <w:rPr>
          <w:rFonts w:ascii="Arial" w:hAnsi="Arial" w:cs="Arial"/>
          <w:spacing w:val="-2"/>
        </w:rPr>
        <w:t xml:space="preserve"> </w:t>
      </w:r>
      <w:r>
        <w:rPr>
          <w:rFonts w:ascii="Arial" w:hAnsi="Arial" w:cs="Arial"/>
        </w:rPr>
        <w:t>Transparência</w:t>
      </w:r>
      <w:r>
        <w:rPr>
          <w:rFonts w:ascii="Arial" w:hAnsi="Arial" w:cs="Arial"/>
          <w:spacing w:val="-3"/>
        </w:rPr>
        <w:t xml:space="preserve"> </w:t>
      </w:r>
      <w:r>
        <w:rPr>
          <w:rFonts w:ascii="Arial" w:hAnsi="Arial" w:cs="Arial"/>
        </w:rPr>
        <w:t>da Prefeitura Municipal de Sinop, a fim de verificar a composição societária das empresas e certificar eventual</w:t>
      </w:r>
      <w:r>
        <w:rPr>
          <w:rFonts w:ascii="Arial" w:hAnsi="Arial" w:cs="Arial"/>
          <w:spacing w:val="1"/>
        </w:rPr>
        <w:t xml:space="preserve"> </w:t>
      </w:r>
      <w:r>
        <w:rPr>
          <w:rFonts w:ascii="Arial" w:hAnsi="Arial" w:cs="Arial"/>
        </w:rPr>
        <w:t>participação</w:t>
      </w:r>
      <w:r>
        <w:rPr>
          <w:rFonts w:ascii="Arial" w:hAnsi="Arial" w:cs="Arial"/>
          <w:spacing w:val="-1"/>
        </w:rPr>
        <w:t xml:space="preserve"> </w:t>
      </w:r>
      <w:r>
        <w:rPr>
          <w:rFonts w:ascii="Arial" w:hAnsi="Arial" w:cs="Arial"/>
        </w:rPr>
        <w:t>indireta</w:t>
      </w:r>
      <w:r>
        <w:rPr>
          <w:rFonts w:ascii="Arial" w:hAnsi="Arial" w:cs="Arial"/>
          <w:spacing w:val="-1"/>
        </w:rPr>
        <w:t xml:space="preserve"> </w:t>
      </w:r>
      <w:r>
        <w:rPr>
          <w:rFonts w:ascii="Arial" w:hAnsi="Arial" w:cs="Arial"/>
        </w:rPr>
        <w:t>que ofenda</w:t>
      </w:r>
      <w:r>
        <w:rPr>
          <w:rFonts w:ascii="Arial" w:hAnsi="Arial" w:cs="Arial"/>
          <w:spacing w:val="-1"/>
        </w:rPr>
        <w:t xml:space="preserve"> </w:t>
      </w:r>
      <w:r>
        <w:rPr>
          <w:rFonts w:ascii="Arial" w:hAnsi="Arial" w:cs="Arial"/>
        </w:rPr>
        <w:t>o art.</w:t>
      </w:r>
      <w:r>
        <w:rPr>
          <w:rFonts w:ascii="Arial" w:hAnsi="Arial" w:cs="Arial"/>
          <w:spacing w:val="-1"/>
        </w:rPr>
        <w:t xml:space="preserve"> </w:t>
      </w:r>
      <w:r>
        <w:rPr>
          <w:rFonts w:ascii="Arial" w:hAnsi="Arial" w:cs="Arial"/>
        </w:rPr>
        <w:t>14,</w:t>
      </w:r>
      <w:r>
        <w:rPr>
          <w:rFonts w:ascii="Arial" w:hAnsi="Arial" w:cs="Arial"/>
          <w:spacing w:val="2"/>
        </w:rPr>
        <w:t xml:space="preserve"> </w:t>
      </w:r>
      <w:r>
        <w:rPr>
          <w:rFonts w:ascii="Arial" w:hAnsi="Arial" w:cs="Arial"/>
        </w:rPr>
        <w:t>IV, da Lei nº</w:t>
      </w:r>
      <w:r>
        <w:rPr>
          <w:rFonts w:ascii="Arial" w:hAnsi="Arial" w:cs="Arial"/>
          <w:spacing w:val="-1"/>
        </w:rPr>
        <w:t xml:space="preserve"> </w:t>
      </w:r>
      <w:r>
        <w:rPr>
          <w:rFonts w:ascii="Arial" w:hAnsi="Arial" w:cs="Arial"/>
        </w:rPr>
        <w:t>14.133/2021;</w:t>
      </w:r>
    </w:p>
    <w:p w14:paraId="483B99D1">
      <w:pPr>
        <w:pStyle w:val="26"/>
        <w:numPr>
          <w:ilvl w:val="3"/>
          <w:numId w:val="3"/>
        </w:numPr>
        <w:spacing w:line="360" w:lineRule="auto"/>
        <w:ind w:left="440" w:leftChars="200" w:right="176" w:rightChars="80"/>
        <w:rPr>
          <w:rFonts w:ascii="Arial" w:hAnsi="Arial" w:cs="Arial"/>
        </w:rPr>
      </w:pPr>
      <w:r>
        <w:rPr>
          <w:rFonts w:ascii="Arial" w:hAnsi="Arial" w:cs="Arial"/>
        </w:rPr>
        <w:t>Cadastro</w:t>
      </w:r>
      <w:r>
        <w:rPr>
          <w:rFonts w:ascii="Arial" w:hAnsi="Arial" w:cs="Arial"/>
          <w:spacing w:val="1"/>
        </w:rPr>
        <w:t xml:space="preserve"> </w:t>
      </w:r>
      <w:r>
        <w:rPr>
          <w:rFonts w:ascii="Arial" w:hAnsi="Arial" w:cs="Arial"/>
        </w:rPr>
        <w:t>Nacional</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Condenações</w:t>
      </w:r>
      <w:r>
        <w:rPr>
          <w:rFonts w:ascii="Arial" w:hAnsi="Arial" w:cs="Arial"/>
          <w:spacing w:val="1"/>
        </w:rPr>
        <w:t xml:space="preserve"> </w:t>
      </w:r>
      <w:r>
        <w:rPr>
          <w:rFonts w:ascii="Arial" w:hAnsi="Arial" w:cs="Arial"/>
        </w:rPr>
        <w:t>Cíveis</w:t>
      </w:r>
      <w:r>
        <w:rPr>
          <w:rFonts w:ascii="Arial" w:hAnsi="Arial" w:cs="Arial"/>
          <w:spacing w:val="1"/>
        </w:rPr>
        <w:t xml:space="preserve"> </w:t>
      </w:r>
      <w:r>
        <w:rPr>
          <w:rFonts w:ascii="Arial" w:hAnsi="Arial" w:cs="Arial"/>
        </w:rPr>
        <w:t>por</w:t>
      </w:r>
      <w:r>
        <w:rPr>
          <w:rFonts w:ascii="Arial" w:hAnsi="Arial" w:cs="Arial"/>
          <w:spacing w:val="1"/>
        </w:rPr>
        <w:t xml:space="preserve"> </w:t>
      </w:r>
      <w:r>
        <w:rPr>
          <w:rFonts w:ascii="Arial" w:hAnsi="Arial" w:cs="Arial"/>
        </w:rPr>
        <w:t>Atos</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Improbidade</w:t>
      </w:r>
      <w:r>
        <w:rPr>
          <w:rFonts w:ascii="Arial" w:hAnsi="Arial" w:cs="Arial"/>
          <w:spacing w:val="1"/>
        </w:rPr>
        <w:t xml:space="preserve"> </w:t>
      </w:r>
      <w:r>
        <w:rPr>
          <w:rFonts w:ascii="Arial" w:hAnsi="Arial" w:cs="Arial"/>
          <w:spacing w:val="-1"/>
        </w:rPr>
        <w:t>Administrativa,</w:t>
      </w:r>
      <w:r>
        <w:rPr>
          <w:rFonts w:ascii="Arial" w:hAnsi="Arial" w:cs="Arial"/>
          <w:spacing w:val="-15"/>
        </w:rPr>
        <w:t xml:space="preserve"> </w:t>
      </w:r>
      <w:r>
        <w:rPr>
          <w:rFonts w:ascii="Arial" w:hAnsi="Arial" w:cs="Arial"/>
        </w:rPr>
        <w:t>mantido</w:t>
      </w:r>
      <w:r>
        <w:rPr>
          <w:rFonts w:ascii="Arial" w:hAnsi="Arial" w:cs="Arial"/>
          <w:spacing w:val="-12"/>
        </w:rPr>
        <w:t xml:space="preserve"> </w:t>
      </w:r>
      <w:r>
        <w:rPr>
          <w:rFonts w:ascii="Arial" w:hAnsi="Arial" w:cs="Arial"/>
        </w:rPr>
        <w:t>pelo</w:t>
      </w:r>
      <w:r>
        <w:rPr>
          <w:rFonts w:ascii="Arial" w:hAnsi="Arial" w:cs="Arial"/>
          <w:spacing w:val="-15"/>
        </w:rPr>
        <w:t xml:space="preserve"> </w:t>
      </w:r>
      <w:r>
        <w:rPr>
          <w:rFonts w:ascii="Arial" w:hAnsi="Arial" w:cs="Arial"/>
        </w:rPr>
        <w:t>Conselho</w:t>
      </w:r>
      <w:r>
        <w:rPr>
          <w:rFonts w:ascii="Arial" w:hAnsi="Arial" w:cs="Arial"/>
          <w:spacing w:val="-15"/>
        </w:rPr>
        <w:t xml:space="preserve"> </w:t>
      </w:r>
      <w:r>
        <w:rPr>
          <w:rFonts w:ascii="Arial" w:hAnsi="Arial" w:cs="Arial"/>
        </w:rPr>
        <w:t>Nacional</w:t>
      </w:r>
      <w:r>
        <w:rPr>
          <w:rFonts w:ascii="Arial" w:hAnsi="Arial" w:cs="Arial"/>
          <w:spacing w:val="-14"/>
        </w:rPr>
        <w:t xml:space="preserve"> </w:t>
      </w:r>
      <w:r>
        <w:rPr>
          <w:rFonts w:ascii="Arial" w:hAnsi="Arial" w:cs="Arial"/>
        </w:rPr>
        <w:t>de</w:t>
      </w:r>
      <w:r>
        <w:rPr>
          <w:rFonts w:ascii="Arial" w:hAnsi="Arial" w:cs="Arial"/>
          <w:spacing w:val="-16"/>
        </w:rPr>
        <w:t xml:space="preserve"> </w:t>
      </w:r>
      <w:r>
        <w:rPr>
          <w:rFonts w:ascii="Arial" w:hAnsi="Arial" w:cs="Arial"/>
        </w:rPr>
        <w:t>Justiça</w:t>
      </w:r>
      <w:r>
        <w:rPr>
          <w:rFonts w:ascii="Arial" w:hAnsi="Arial" w:cs="Arial"/>
          <w:spacing w:val="-16"/>
        </w:rPr>
        <w:t xml:space="preserve"> </w:t>
      </w:r>
      <w:r>
        <w:rPr>
          <w:rFonts w:ascii="Arial" w:hAnsi="Arial" w:cs="Arial"/>
        </w:rPr>
        <w:t>(CNJ),</w:t>
      </w:r>
      <w:r>
        <w:rPr>
          <w:rFonts w:ascii="Arial" w:hAnsi="Arial" w:cs="Arial"/>
          <w:spacing w:val="-15"/>
        </w:rPr>
        <w:t xml:space="preserve"> </w:t>
      </w:r>
      <w:r>
        <w:rPr>
          <w:rFonts w:ascii="Arial" w:hAnsi="Arial" w:cs="Arial"/>
        </w:rPr>
        <w:t>no</w:t>
      </w:r>
      <w:r>
        <w:rPr>
          <w:rFonts w:ascii="Arial" w:hAnsi="Arial" w:cs="Arial"/>
          <w:spacing w:val="-15"/>
        </w:rPr>
        <w:t xml:space="preserve"> </w:t>
      </w:r>
      <w:r>
        <w:rPr>
          <w:rFonts w:ascii="Arial" w:hAnsi="Arial" w:cs="Arial"/>
        </w:rPr>
        <w:t>endereço</w:t>
      </w:r>
      <w:r>
        <w:rPr>
          <w:rFonts w:ascii="Arial" w:hAnsi="Arial" w:cs="Arial"/>
          <w:spacing w:val="-12"/>
        </w:rPr>
        <w:t xml:space="preserve"> </w:t>
      </w:r>
      <w:r>
        <w:rPr>
          <w:rFonts w:ascii="Arial" w:hAnsi="Arial" w:cs="Arial"/>
        </w:rPr>
        <w:t xml:space="preserve">eletrônico </w:t>
      </w:r>
      <w:r>
        <w:fldChar w:fldCharType="begin"/>
      </w:r>
      <w:r>
        <w:instrText xml:space="preserve"> HYPERLINK "https://www.cnj.jus.br/improbidade_adm/consultar_requerido.php" </w:instrText>
      </w:r>
      <w:r>
        <w:fldChar w:fldCharType="separate"/>
      </w:r>
      <w:r>
        <w:rPr>
          <w:rStyle w:val="10"/>
          <w:rFonts w:ascii="Arial" w:hAnsi="Arial" w:cs="Arial"/>
        </w:rPr>
        <w:t>https://www.cnj.jus.br/improbidade_adm/consultar_requerido.php</w:t>
      </w:r>
      <w:r>
        <w:rPr>
          <w:rStyle w:val="10"/>
          <w:rFonts w:ascii="Arial" w:hAnsi="Arial" w:cs="Arial"/>
        </w:rPr>
        <w:fldChar w:fldCharType="end"/>
      </w:r>
      <w:r>
        <w:fldChar w:fldCharType="begin"/>
      </w:r>
      <w:r>
        <w:instrText xml:space="preserve"> HYPERLINK "http://www.cnj.jus.br/improbidade_adm/consultar_requerido.php%3B" \h </w:instrText>
      </w:r>
      <w:r>
        <w:fldChar w:fldCharType="separate"/>
      </w:r>
      <w:r>
        <w:rPr>
          <w:rFonts w:ascii="Arial" w:hAnsi="Arial" w:cs="Arial"/>
        </w:rPr>
        <w:t xml:space="preserve"> ;</w:t>
      </w:r>
      <w:r>
        <w:rPr>
          <w:rFonts w:ascii="Arial" w:hAnsi="Arial" w:cs="Arial"/>
        </w:rPr>
        <w:fldChar w:fldCharType="end"/>
      </w:r>
    </w:p>
    <w:p w14:paraId="3188BE71">
      <w:pPr>
        <w:pStyle w:val="26"/>
        <w:numPr>
          <w:ilvl w:val="3"/>
          <w:numId w:val="3"/>
        </w:numPr>
        <w:spacing w:line="360" w:lineRule="auto"/>
        <w:ind w:left="440" w:leftChars="200" w:right="176" w:rightChars="80"/>
        <w:rPr>
          <w:rFonts w:ascii="Arial" w:hAnsi="Arial" w:cs="Arial"/>
        </w:rPr>
      </w:pPr>
      <w:r>
        <w:rPr>
          <w:rFonts w:ascii="Arial" w:hAnsi="Arial" w:cs="Arial"/>
        </w:rPr>
        <w:t>Cadastro</w:t>
      </w:r>
      <w:r>
        <w:rPr>
          <w:rFonts w:ascii="Arial" w:hAnsi="Arial" w:cs="Arial"/>
          <w:spacing w:val="36"/>
        </w:rPr>
        <w:t xml:space="preserve"> </w:t>
      </w:r>
      <w:r>
        <w:rPr>
          <w:rFonts w:ascii="Arial" w:hAnsi="Arial" w:cs="Arial"/>
        </w:rPr>
        <w:t>Nacional</w:t>
      </w:r>
      <w:r>
        <w:rPr>
          <w:rFonts w:ascii="Arial" w:hAnsi="Arial" w:cs="Arial"/>
          <w:spacing w:val="36"/>
        </w:rPr>
        <w:t xml:space="preserve"> </w:t>
      </w:r>
      <w:r>
        <w:rPr>
          <w:rFonts w:ascii="Arial" w:hAnsi="Arial" w:cs="Arial"/>
        </w:rPr>
        <w:t>das</w:t>
      </w:r>
      <w:r>
        <w:rPr>
          <w:rFonts w:ascii="Arial" w:hAnsi="Arial" w:cs="Arial"/>
          <w:spacing w:val="36"/>
        </w:rPr>
        <w:t xml:space="preserve"> </w:t>
      </w:r>
      <w:r>
        <w:rPr>
          <w:rFonts w:ascii="Arial" w:hAnsi="Arial" w:cs="Arial"/>
        </w:rPr>
        <w:t>Empresas</w:t>
      </w:r>
      <w:r>
        <w:rPr>
          <w:rFonts w:ascii="Arial" w:hAnsi="Arial" w:cs="Arial"/>
          <w:spacing w:val="39"/>
        </w:rPr>
        <w:t xml:space="preserve"> </w:t>
      </w:r>
      <w:r>
        <w:rPr>
          <w:rFonts w:ascii="Arial" w:hAnsi="Arial" w:cs="Arial"/>
        </w:rPr>
        <w:t>Inidôneas</w:t>
      </w:r>
      <w:r>
        <w:rPr>
          <w:rFonts w:ascii="Arial" w:hAnsi="Arial" w:cs="Arial"/>
          <w:spacing w:val="36"/>
        </w:rPr>
        <w:t xml:space="preserve"> </w:t>
      </w:r>
      <w:r>
        <w:rPr>
          <w:rFonts w:ascii="Arial" w:hAnsi="Arial" w:cs="Arial"/>
        </w:rPr>
        <w:t>e</w:t>
      </w:r>
      <w:r>
        <w:rPr>
          <w:rFonts w:ascii="Arial" w:hAnsi="Arial" w:cs="Arial"/>
          <w:spacing w:val="35"/>
        </w:rPr>
        <w:t xml:space="preserve"> </w:t>
      </w:r>
      <w:r>
        <w:rPr>
          <w:rFonts w:ascii="Arial" w:hAnsi="Arial" w:cs="Arial"/>
        </w:rPr>
        <w:t>Suspensas</w:t>
      </w:r>
      <w:r>
        <w:rPr>
          <w:rFonts w:ascii="Arial" w:hAnsi="Arial" w:cs="Arial"/>
          <w:spacing w:val="39"/>
        </w:rPr>
        <w:t xml:space="preserve"> </w:t>
      </w:r>
      <w:r>
        <w:rPr>
          <w:rFonts w:ascii="Arial" w:hAnsi="Arial" w:cs="Arial"/>
        </w:rPr>
        <w:t>(CEIS), mantido pela Controladoria-Geral da União - CGU no</w:t>
      </w:r>
      <w:r>
        <w:rPr>
          <w:rFonts w:ascii="Arial" w:hAnsi="Arial" w:cs="Arial"/>
          <w:spacing w:val="36"/>
        </w:rPr>
        <w:t xml:space="preserve"> </w:t>
      </w:r>
      <w:r>
        <w:rPr>
          <w:rFonts w:ascii="Arial" w:hAnsi="Arial" w:cs="Arial"/>
        </w:rPr>
        <w:t xml:space="preserve">endereço </w:t>
      </w:r>
      <w:r>
        <w:fldChar w:fldCharType="begin"/>
      </w:r>
      <w:r>
        <w:instrText xml:space="preserve"> HYPERLINK "https://certidoes.cgu.gov.br/" </w:instrText>
      </w:r>
      <w:r>
        <w:fldChar w:fldCharType="separate"/>
      </w:r>
      <w:r>
        <w:rPr>
          <w:rStyle w:val="11"/>
          <w:rFonts w:ascii="Arial" w:hAnsi="Arial" w:cs="Arial"/>
        </w:rPr>
        <w:t>https://certidoes.cgu.gov.br/</w:t>
      </w:r>
      <w:r>
        <w:rPr>
          <w:rStyle w:val="11"/>
          <w:rFonts w:ascii="Arial" w:hAnsi="Arial" w:cs="Arial"/>
        </w:rPr>
        <w:fldChar w:fldCharType="end"/>
      </w:r>
      <w:r>
        <w:rPr>
          <w:rFonts w:ascii="Arial" w:hAnsi="Arial" w:cs="Arial"/>
          <w:color w:val="0000FF"/>
          <w:spacing w:val="-57"/>
        </w:rPr>
        <w:t xml:space="preserve"> </w:t>
      </w:r>
      <w:r>
        <w:rPr>
          <w:rFonts w:ascii="Arial" w:hAnsi="Arial" w:cs="Arial"/>
        </w:rPr>
        <w:t>;</w:t>
      </w:r>
    </w:p>
    <w:p w14:paraId="65FED4E2">
      <w:pPr>
        <w:pStyle w:val="26"/>
        <w:numPr>
          <w:ilvl w:val="3"/>
          <w:numId w:val="3"/>
        </w:numPr>
        <w:spacing w:line="360" w:lineRule="auto"/>
        <w:ind w:left="440" w:leftChars="200" w:right="176" w:rightChars="80"/>
        <w:rPr>
          <w:rFonts w:ascii="Arial" w:hAnsi="Arial" w:cs="Arial"/>
        </w:rPr>
      </w:pPr>
      <w:r>
        <w:rPr>
          <w:rFonts w:ascii="Arial" w:hAnsi="Arial" w:cs="Arial"/>
        </w:rPr>
        <w:t>Consulta</w:t>
      </w:r>
      <w:r>
        <w:rPr>
          <w:rFonts w:ascii="Arial" w:hAnsi="Arial" w:cs="Arial"/>
          <w:spacing w:val="-8"/>
        </w:rPr>
        <w:t xml:space="preserve"> </w:t>
      </w:r>
      <w:r>
        <w:rPr>
          <w:rFonts w:ascii="Arial" w:hAnsi="Arial" w:cs="Arial"/>
        </w:rPr>
        <w:t>ao</w:t>
      </w:r>
      <w:r>
        <w:rPr>
          <w:rFonts w:ascii="Arial" w:hAnsi="Arial" w:cs="Arial"/>
          <w:spacing w:val="-7"/>
        </w:rPr>
        <w:t xml:space="preserve"> </w:t>
      </w:r>
      <w:r>
        <w:rPr>
          <w:rFonts w:ascii="Arial" w:hAnsi="Arial" w:cs="Arial"/>
        </w:rPr>
        <w:t>Sistema</w:t>
      </w:r>
      <w:r>
        <w:rPr>
          <w:rFonts w:ascii="Arial" w:hAnsi="Arial" w:cs="Arial"/>
          <w:spacing w:val="-6"/>
        </w:rPr>
        <w:t xml:space="preserve"> d</w:t>
      </w:r>
      <w:r>
        <w:rPr>
          <w:rFonts w:ascii="Arial" w:hAnsi="Arial" w:cs="Arial"/>
        </w:rPr>
        <w:t>e</w:t>
      </w:r>
      <w:r>
        <w:rPr>
          <w:rFonts w:ascii="Arial" w:hAnsi="Arial" w:cs="Arial"/>
          <w:spacing w:val="-6"/>
        </w:rPr>
        <w:t xml:space="preserve"> </w:t>
      </w:r>
      <w:r>
        <w:rPr>
          <w:rFonts w:ascii="Arial" w:hAnsi="Arial" w:cs="Arial"/>
        </w:rPr>
        <w:t>Inidôneos,</w:t>
      </w:r>
      <w:r>
        <w:rPr>
          <w:rFonts w:ascii="Arial" w:hAnsi="Arial" w:cs="Arial"/>
          <w:spacing w:val="-7"/>
        </w:rPr>
        <w:t xml:space="preserve"> </w:t>
      </w:r>
      <w:r>
        <w:rPr>
          <w:rFonts w:ascii="Arial" w:hAnsi="Arial" w:cs="Arial"/>
        </w:rPr>
        <w:t>mantido</w:t>
      </w:r>
      <w:r>
        <w:rPr>
          <w:rFonts w:ascii="Arial" w:hAnsi="Arial" w:cs="Arial"/>
          <w:spacing w:val="-7"/>
        </w:rPr>
        <w:t xml:space="preserve"> </w:t>
      </w:r>
      <w:r>
        <w:rPr>
          <w:rFonts w:ascii="Arial" w:hAnsi="Arial" w:cs="Arial"/>
        </w:rPr>
        <w:t>pelo</w:t>
      </w:r>
      <w:r>
        <w:rPr>
          <w:rFonts w:ascii="Arial" w:hAnsi="Arial" w:cs="Arial"/>
          <w:spacing w:val="-7"/>
        </w:rPr>
        <w:t xml:space="preserve"> </w:t>
      </w:r>
      <w:r>
        <w:rPr>
          <w:rFonts w:ascii="Arial" w:hAnsi="Arial" w:cs="Arial"/>
        </w:rPr>
        <w:t>Tribunal</w:t>
      </w:r>
      <w:r>
        <w:rPr>
          <w:rFonts w:ascii="Arial" w:hAnsi="Arial" w:cs="Arial"/>
          <w:spacing w:val="-6"/>
        </w:rPr>
        <w:t xml:space="preserve"> </w:t>
      </w:r>
      <w:r>
        <w:rPr>
          <w:rFonts w:ascii="Arial" w:hAnsi="Arial" w:cs="Arial"/>
        </w:rPr>
        <w:t>de</w:t>
      </w:r>
      <w:r>
        <w:rPr>
          <w:rFonts w:ascii="Arial" w:hAnsi="Arial" w:cs="Arial"/>
          <w:spacing w:val="-8"/>
        </w:rPr>
        <w:t xml:space="preserve"> </w:t>
      </w:r>
      <w:r>
        <w:rPr>
          <w:rFonts w:ascii="Arial" w:hAnsi="Arial" w:cs="Arial"/>
        </w:rPr>
        <w:t>Contas</w:t>
      </w:r>
      <w:r>
        <w:rPr>
          <w:rFonts w:ascii="Arial" w:hAnsi="Arial" w:cs="Arial"/>
          <w:spacing w:val="-7"/>
        </w:rPr>
        <w:t xml:space="preserve"> </w:t>
      </w:r>
      <w:r>
        <w:rPr>
          <w:rFonts w:ascii="Arial" w:hAnsi="Arial" w:cs="Arial"/>
        </w:rPr>
        <w:t>da</w:t>
      </w:r>
      <w:r>
        <w:rPr>
          <w:rFonts w:ascii="Arial" w:hAnsi="Arial" w:cs="Arial"/>
          <w:spacing w:val="-57"/>
        </w:rPr>
        <w:t xml:space="preserve"> </w:t>
      </w:r>
      <w:r>
        <w:rPr>
          <w:rFonts w:ascii="Arial" w:hAnsi="Arial" w:cs="Arial"/>
        </w:rPr>
        <w:t>União</w:t>
      </w:r>
      <w:r>
        <w:rPr>
          <w:rFonts w:ascii="Arial" w:hAnsi="Arial" w:cs="Arial"/>
          <w:spacing w:val="-1"/>
        </w:rPr>
        <w:t xml:space="preserve"> </w:t>
      </w:r>
      <w:r>
        <w:rPr>
          <w:rFonts w:ascii="Arial" w:hAnsi="Arial" w:cs="Arial"/>
        </w:rPr>
        <w:t>(TCU), no</w:t>
      </w:r>
      <w:r>
        <w:rPr>
          <w:rFonts w:ascii="Arial" w:hAnsi="Arial" w:cs="Arial"/>
          <w:spacing w:val="-1"/>
        </w:rPr>
        <w:t xml:space="preserve"> </w:t>
      </w:r>
      <w:r>
        <w:rPr>
          <w:rFonts w:ascii="Arial" w:hAnsi="Arial" w:cs="Arial"/>
        </w:rPr>
        <w:t xml:space="preserve">endereço: </w:t>
      </w:r>
      <w:r>
        <w:fldChar w:fldCharType="begin"/>
      </w:r>
      <w:r>
        <w:instrText xml:space="preserve"> HYPERLINK "https://certidoes-apf.apps.tcu.gov.br/" </w:instrText>
      </w:r>
      <w:r>
        <w:fldChar w:fldCharType="separate"/>
      </w:r>
      <w:r>
        <w:rPr>
          <w:rStyle w:val="11"/>
          <w:rFonts w:ascii="Arial" w:hAnsi="Arial" w:cs="Arial"/>
        </w:rPr>
        <w:t>https://certidoes-apf.apps.tcu.gov.br/</w:t>
      </w:r>
      <w:r>
        <w:rPr>
          <w:rStyle w:val="11"/>
          <w:rFonts w:ascii="Arial" w:hAnsi="Arial" w:cs="Arial"/>
        </w:rPr>
        <w:fldChar w:fldCharType="end"/>
      </w:r>
      <w:r>
        <w:rPr>
          <w:rFonts w:ascii="Arial" w:hAnsi="Arial" w:cs="Arial"/>
        </w:rPr>
        <w:t>.</w:t>
      </w:r>
    </w:p>
    <w:p w14:paraId="7C39C827">
      <w:pPr>
        <w:pStyle w:val="26"/>
        <w:numPr>
          <w:ilvl w:val="2"/>
          <w:numId w:val="3"/>
        </w:numPr>
        <w:spacing w:line="360" w:lineRule="auto"/>
        <w:ind w:right="176" w:rightChars="80"/>
        <w:rPr>
          <w:rFonts w:ascii="Arial" w:hAnsi="Arial" w:cs="Arial"/>
        </w:rPr>
      </w:pPr>
      <w:r>
        <w:rPr>
          <w:rFonts w:ascii="Arial" w:hAnsi="Arial" w:cs="Arial"/>
        </w:rPr>
        <w:t xml:space="preserve"> Constatada a ocorrência objetiva de uma das hipóteses de impedimento de participação</w:t>
      </w:r>
      <w:r>
        <w:rPr>
          <w:rFonts w:ascii="Arial" w:hAnsi="Arial" w:cs="Arial"/>
          <w:spacing w:val="1"/>
        </w:rPr>
        <w:t xml:space="preserve"> </w:t>
      </w:r>
      <w:r>
        <w:rPr>
          <w:rFonts w:ascii="Arial" w:hAnsi="Arial" w:cs="Arial"/>
        </w:rPr>
        <w:t>previstas</w:t>
      </w:r>
      <w:r>
        <w:rPr>
          <w:rFonts w:ascii="Arial" w:hAnsi="Arial" w:cs="Arial"/>
          <w:spacing w:val="-2"/>
        </w:rPr>
        <w:t xml:space="preserve"> </w:t>
      </w:r>
      <w:r>
        <w:rPr>
          <w:rFonts w:ascii="Arial" w:hAnsi="Arial" w:cs="Arial"/>
        </w:rPr>
        <w:t>neste</w:t>
      </w:r>
      <w:r>
        <w:rPr>
          <w:rFonts w:ascii="Arial" w:hAnsi="Arial" w:cs="Arial"/>
          <w:spacing w:val="-3"/>
        </w:rPr>
        <w:t xml:space="preserve"> </w:t>
      </w:r>
      <w:r>
        <w:rPr>
          <w:rFonts w:ascii="Arial" w:hAnsi="Arial" w:cs="Arial"/>
        </w:rPr>
        <w:t>Capítulo,</w:t>
      </w:r>
      <w:r>
        <w:rPr>
          <w:rFonts w:ascii="Arial" w:hAnsi="Arial" w:cs="Arial"/>
          <w:spacing w:val="-5"/>
        </w:rPr>
        <w:t xml:space="preserve"> </w:t>
      </w:r>
      <w:r>
        <w:rPr>
          <w:rFonts w:ascii="Arial" w:hAnsi="Arial" w:cs="Arial"/>
        </w:rPr>
        <w:t>o</w:t>
      </w:r>
      <w:r>
        <w:rPr>
          <w:rFonts w:ascii="Arial" w:hAnsi="Arial" w:cs="Arial"/>
          <w:spacing w:val="-2"/>
        </w:rPr>
        <w:t xml:space="preserve"> </w:t>
      </w:r>
      <w:r>
        <w:rPr>
          <w:rFonts w:ascii="Arial" w:hAnsi="Arial" w:cs="Arial"/>
        </w:rPr>
        <w:t>Agente</w:t>
      </w:r>
      <w:r>
        <w:rPr>
          <w:rFonts w:ascii="Arial" w:hAnsi="Arial" w:cs="Arial"/>
          <w:spacing w:val="-3"/>
        </w:rPr>
        <w:t xml:space="preserve"> </w:t>
      </w:r>
      <w:r>
        <w:rPr>
          <w:rFonts w:ascii="Arial" w:hAnsi="Arial" w:cs="Arial"/>
        </w:rPr>
        <w:t>de</w:t>
      </w:r>
      <w:r>
        <w:rPr>
          <w:rFonts w:ascii="Arial" w:hAnsi="Arial" w:cs="Arial"/>
          <w:spacing w:val="-3"/>
        </w:rPr>
        <w:t xml:space="preserve"> </w:t>
      </w:r>
      <w:r>
        <w:rPr>
          <w:rFonts w:ascii="Arial" w:hAnsi="Arial" w:cs="Arial"/>
        </w:rPr>
        <w:t>Contratação relatará</w:t>
      </w:r>
      <w:r>
        <w:rPr>
          <w:rFonts w:ascii="Arial" w:hAnsi="Arial" w:cs="Arial"/>
          <w:spacing w:val="-3"/>
        </w:rPr>
        <w:t xml:space="preserve"> </w:t>
      </w:r>
      <w:r>
        <w:rPr>
          <w:rFonts w:ascii="Arial" w:hAnsi="Arial" w:cs="Arial"/>
        </w:rPr>
        <w:t>o</w:t>
      </w:r>
      <w:r>
        <w:rPr>
          <w:rFonts w:ascii="Arial" w:hAnsi="Arial" w:cs="Arial"/>
          <w:spacing w:val="-2"/>
        </w:rPr>
        <w:t xml:space="preserve"> </w:t>
      </w:r>
      <w:r>
        <w:rPr>
          <w:rFonts w:ascii="Arial" w:hAnsi="Arial" w:cs="Arial"/>
        </w:rPr>
        <w:t>fato</w:t>
      </w:r>
      <w:r>
        <w:rPr>
          <w:rFonts w:ascii="Arial" w:hAnsi="Arial" w:cs="Arial"/>
          <w:spacing w:val="-2"/>
        </w:rPr>
        <w:t xml:space="preserve"> </w:t>
      </w:r>
      <w:r>
        <w:rPr>
          <w:rFonts w:ascii="Arial" w:hAnsi="Arial" w:cs="Arial"/>
        </w:rPr>
        <w:t>em</w:t>
      </w:r>
      <w:r>
        <w:rPr>
          <w:rFonts w:ascii="Arial" w:hAnsi="Arial" w:cs="Arial"/>
          <w:spacing w:val="-1"/>
        </w:rPr>
        <w:t xml:space="preserve"> </w:t>
      </w:r>
      <w:r>
        <w:rPr>
          <w:rFonts w:ascii="Arial" w:hAnsi="Arial" w:cs="Arial"/>
        </w:rPr>
        <w:t>campo</w:t>
      </w:r>
      <w:r>
        <w:rPr>
          <w:rFonts w:ascii="Arial" w:hAnsi="Arial" w:cs="Arial"/>
          <w:spacing w:val="-2"/>
        </w:rPr>
        <w:t xml:space="preserve"> </w:t>
      </w:r>
      <w:r>
        <w:rPr>
          <w:rFonts w:ascii="Arial" w:hAnsi="Arial" w:cs="Arial"/>
        </w:rPr>
        <w:t>próprio</w:t>
      </w:r>
      <w:r>
        <w:rPr>
          <w:rFonts w:ascii="Arial" w:hAnsi="Arial" w:cs="Arial"/>
          <w:spacing w:val="-2"/>
        </w:rPr>
        <w:t xml:space="preserve"> </w:t>
      </w:r>
      <w:r>
        <w:rPr>
          <w:rFonts w:ascii="Arial" w:hAnsi="Arial" w:cs="Arial"/>
        </w:rPr>
        <w:t>do</w:t>
      </w:r>
      <w:r>
        <w:rPr>
          <w:rFonts w:ascii="Arial" w:hAnsi="Arial" w:cs="Arial"/>
          <w:spacing w:val="-2"/>
        </w:rPr>
        <w:t xml:space="preserve"> </w:t>
      </w:r>
      <w:r>
        <w:rPr>
          <w:rFonts w:ascii="Arial" w:hAnsi="Arial" w:cs="Arial"/>
        </w:rPr>
        <w:t>sistema</w:t>
      </w:r>
      <w:r>
        <w:rPr>
          <w:rFonts w:ascii="Arial" w:hAnsi="Arial" w:cs="Arial"/>
          <w:spacing w:val="-58"/>
        </w:rPr>
        <w:t xml:space="preserve"> </w:t>
      </w:r>
      <w:r>
        <w:rPr>
          <w:rFonts w:ascii="Arial" w:hAnsi="Arial" w:cs="Arial"/>
        </w:rPr>
        <w:t>e</w:t>
      </w:r>
      <w:r>
        <w:rPr>
          <w:rFonts w:ascii="Arial" w:hAnsi="Arial" w:cs="Arial"/>
          <w:spacing w:val="1"/>
        </w:rPr>
        <w:t xml:space="preserve"> </w:t>
      </w:r>
      <w:r>
        <w:rPr>
          <w:rFonts w:ascii="Arial" w:hAnsi="Arial" w:cs="Arial"/>
        </w:rPr>
        <w:t>concederá</w:t>
      </w:r>
      <w:r>
        <w:rPr>
          <w:rFonts w:ascii="Arial" w:hAnsi="Arial" w:cs="Arial"/>
          <w:spacing w:val="1"/>
        </w:rPr>
        <w:t xml:space="preserve"> </w:t>
      </w:r>
      <w:r>
        <w:rPr>
          <w:rFonts w:ascii="Arial" w:hAnsi="Arial" w:cs="Arial"/>
        </w:rPr>
        <w:t>à</w:t>
      </w:r>
      <w:r>
        <w:rPr>
          <w:rFonts w:ascii="Arial" w:hAnsi="Arial" w:cs="Arial"/>
          <w:spacing w:val="1"/>
        </w:rPr>
        <w:t xml:space="preserve"> </w:t>
      </w:r>
      <w:r>
        <w:rPr>
          <w:rFonts w:ascii="Arial" w:hAnsi="Arial" w:cs="Arial"/>
        </w:rPr>
        <w:t>respectiva</w:t>
      </w:r>
      <w:r>
        <w:rPr>
          <w:rFonts w:ascii="Arial" w:hAnsi="Arial" w:cs="Arial"/>
          <w:spacing w:val="1"/>
        </w:rPr>
        <w:t xml:space="preserve"> </w:t>
      </w:r>
      <w:r>
        <w:rPr>
          <w:rFonts w:ascii="Arial" w:hAnsi="Arial" w:cs="Arial"/>
        </w:rPr>
        <w:t>licitante</w:t>
      </w:r>
      <w:r>
        <w:rPr>
          <w:rFonts w:ascii="Arial" w:hAnsi="Arial" w:cs="Arial"/>
          <w:spacing w:val="1"/>
        </w:rPr>
        <w:t xml:space="preserve"> </w:t>
      </w:r>
      <w:r>
        <w:rPr>
          <w:rFonts w:ascii="Arial" w:hAnsi="Arial" w:cs="Arial"/>
        </w:rPr>
        <w:t>a</w:t>
      </w:r>
      <w:r>
        <w:rPr>
          <w:rFonts w:ascii="Arial" w:hAnsi="Arial" w:cs="Arial"/>
          <w:spacing w:val="1"/>
        </w:rPr>
        <w:t xml:space="preserve"> </w:t>
      </w:r>
      <w:r>
        <w:rPr>
          <w:rFonts w:ascii="Arial" w:hAnsi="Arial" w:cs="Arial"/>
        </w:rPr>
        <w:t>oportunidade</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manifestação</w:t>
      </w:r>
      <w:r>
        <w:rPr>
          <w:rFonts w:ascii="Arial" w:hAnsi="Arial" w:cs="Arial"/>
          <w:spacing w:val="1"/>
        </w:rPr>
        <w:t xml:space="preserve"> </w:t>
      </w:r>
      <w:r>
        <w:rPr>
          <w:rFonts w:ascii="Arial" w:hAnsi="Arial" w:cs="Arial"/>
        </w:rPr>
        <w:t>acerca</w:t>
      </w:r>
      <w:r>
        <w:rPr>
          <w:rFonts w:ascii="Arial" w:hAnsi="Arial" w:cs="Arial"/>
          <w:spacing w:val="1"/>
        </w:rPr>
        <w:t xml:space="preserve"> </w:t>
      </w:r>
      <w:r>
        <w:rPr>
          <w:rFonts w:ascii="Arial" w:hAnsi="Arial" w:cs="Arial"/>
        </w:rPr>
        <w:t>da</w:t>
      </w:r>
      <w:r>
        <w:rPr>
          <w:rFonts w:ascii="Arial" w:hAnsi="Arial" w:cs="Arial"/>
          <w:spacing w:val="1"/>
        </w:rPr>
        <w:t xml:space="preserve"> </w:t>
      </w:r>
      <w:r>
        <w:rPr>
          <w:rFonts w:ascii="Arial" w:hAnsi="Arial" w:cs="Arial"/>
        </w:rPr>
        <w:t>matéria</w:t>
      </w:r>
      <w:r>
        <w:rPr>
          <w:rFonts w:ascii="Arial" w:hAnsi="Arial" w:cs="Arial"/>
          <w:spacing w:val="1"/>
        </w:rPr>
        <w:t xml:space="preserve"> </w:t>
      </w:r>
      <w:r>
        <w:rPr>
          <w:rFonts w:ascii="Arial" w:hAnsi="Arial" w:cs="Arial"/>
        </w:rPr>
        <w:t>e,</w:t>
      </w:r>
      <w:r>
        <w:rPr>
          <w:rFonts w:ascii="Arial" w:hAnsi="Arial" w:cs="Arial"/>
          <w:spacing w:val="1"/>
        </w:rPr>
        <w:t xml:space="preserve"> </w:t>
      </w:r>
      <w:r>
        <w:rPr>
          <w:rFonts w:ascii="Arial" w:hAnsi="Arial" w:cs="Arial"/>
        </w:rPr>
        <w:t>eventualmente,</w:t>
      </w:r>
      <w:r>
        <w:rPr>
          <w:rFonts w:ascii="Arial" w:hAnsi="Arial" w:cs="Arial"/>
          <w:spacing w:val="-2"/>
        </w:rPr>
        <w:t xml:space="preserve"> </w:t>
      </w:r>
      <w:r>
        <w:rPr>
          <w:rFonts w:ascii="Arial" w:hAnsi="Arial" w:cs="Arial"/>
        </w:rPr>
        <w:t>a</w:t>
      </w:r>
      <w:r>
        <w:rPr>
          <w:rFonts w:ascii="Arial" w:hAnsi="Arial" w:cs="Arial"/>
          <w:spacing w:val="-3"/>
        </w:rPr>
        <w:t xml:space="preserve"> </w:t>
      </w:r>
      <w:r>
        <w:rPr>
          <w:rFonts w:ascii="Arial" w:hAnsi="Arial" w:cs="Arial"/>
        </w:rPr>
        <w:t>comprovação</w:t>
      </w:r>
      <w:r>
        <w:rPr>
          <w:rFonts w:ascii="Arial" w:hAnsi="Arial" w:cs="Arial"/>
          <w:spacing w:val="-1"/>
        </w:rPr>
        <w:t xml:space="preserve"> </w:t>
      </w:r>
      <w:r>
        <w:rPr>
          <w:rFonts w:ascii="Arial" w:hAnsi="Arial" w:cs="Arial"/>
        </w:rPr>
        <w:t>do</w:t>
      </w:r>
      <w:r>
        <w:rPr>
          <w:rFonts w:ascii="Arial" w:hAnsi="Arial" w:cs="Arial"/>
          <w:spacing w:val="-2"/>
        </w:rPr>
        <w:t xml:space="preserve"> </w:t>
      </w:r>
      <w:r>
        <w:rPr>
          <w:rFonts w:ascii="Arial" w:hAnsi="Arial" w:cs="Arial"/>
        </w:rPr>
        <w:t>afastamento</w:t>
      </w:r>
      <w:r>
        <w:rPr>
          <w:rFonts w:ascii="Arial" w:hAnsi="Arial" w:cs="Arial"/>
          <w:spacing w:val="-2"/>
        </w:rPr>
        <w:t xml:space="preserve"> </w:t>
      </w:r>
      <w:r>
        <w:rPr>
          <w:rFonts w:ascii="Arial" w:hAnsi="Arial" w:cs="Arial"/>
        </w:rPr>
        <w:t>dos</w:t>
      </w:r>
      <w:r>
        <w:rPr>
          <w:rFonts w:ascii="Arial" w:hAnsi="Arial" w:cs="Arial"/>
          <w:spacing w:val="-1"/>
        </w:rPr>
        <w:t xml:space="preserve"> </w:t>
      </w:r>
      <w:r>
        <w:rPr>
          <w:rFonts w:ascii="Arial" w:hAnsi="Arial" w:cs="Arial"/>
        </w:rPr>
        <w:t>efeitos</w:t>
      </w:r>
      <w:r>
        <w:rPr>
          <w:rFonts w:ascii="Arial" w:hAnsi="Arial" w:cs="Arial"/>
          <w:spacing w:val="-2"/>
        </w:rPr>
        <w:t xml:space="preserve"> </w:t>
      </w:r>
      <w:r>
        <w:rPr>
          <w:rFonts w:ascii="Arial" w:hAnsi="Arial" w:cs="Arial"/>
        </w:rPr>
        <w:t>da</w:t>
      </w:r>
      <w:r>
        <w:rPr>
          <w:rFonts w:ascii="Arial" w:hAnsi="Arial" w:cs="Arial"/>
          <w:spacing w:val="-2"/>
        </w:rPr>
        <w:t xml:space="preserve"> </w:t>
      </w:r>
      <w:r>
        <w:rPr>
          <w:rFonts w:ascii="Arial" w:hAnsi="Arial" w:cs="Arial"/>
        </w:rPr>
        <w:t>causa</w:t>
      </w:r>
      <w:r>
        <w:rPr>
          <w:rFonts w:ascii="Arial" w:hAnsi="Arial" w:cs="Arial"/>
          <w:spacing w:val="-3"/>
        </w:rPr>
        <w:t xml:space="preserve"> </w:t>
      </w:r>
      <w:r>
        <w:rPr>
          <w:rFonts w:ascii="Arial" w:hAnsi="Arial" w:cs="Arial"/>
        </w:rPr>
        <w:t>impeditiva</w:t>
      </w:r>
      <w:r>
        <w:rPr>
          <w:rFonts w:ascii="Arial" w:hAnsi="Arial" w:cs="Arial"/>
          <w:spacing w:val="-3"/>
        </w:rPr>
        <w:t xml:space="preserve"> </w:t>
      </w:r>
      <w:r>
        <w:rPr>
          <w:rFonts w:ascii="Arial" w:hAnsi="Arial" w:cs="Arial"/>
        </w:rPr>
        <w:t>de</w:t>
      </w:r>
      <w:r>
        <w:rPr>
          <w:rFonts w:ascii="Arial" w:hAnsi="Arial" w:cs="Arial"/>
          <w:spacing w:val="-2"/>
        </w:rPr>
        <w:t xml:space="preserve"> </w:t>
      </w:r>
      <w:r>
        <w:rPr>
          <w:rFonts w:ascii="Arial" w:hAnsi="Arial" w:cs="Arial"/>
        </w:rPr>
        <w:t>participação</w:t>
      </w:r>
      <w:r>
        <w:rPr>
          <w:rFonts w:ascii="Arial" w:hAnsi="Arial" w:cs="Arial"/>
          <w:spacing w:val="-58"/>
        </w:rPr>
        <w:t xml:space="preserve"> </w:t>
      </w:r>
      <w:r>
        <w:rPr>
          <w:rFonts w:ascii="Arial" w:hAnsi="Arial" w:cs="Arial"/>
        </w:rPr>
        <w:t>no</w:t>
      </w:r>
      <w:r>
        <w:rPr>
          <w:rFonts w:ascii="Arial" w:hAnsi="Arial" w:cs="Arial"/>
          <w:spacing w:val="-1"/>
        </w:rPr>
        <w:t xml:space="preserve"> </w:t>
      </w:r>
      <w:r>
        <w:rPr>
          <w:rFonts w:ascii="Arial" w:hAnsi="Arial" w:cs="Arial"/>
        </w:rPr>
        <w:t>certame.</w:t>
      </w:r>
    </w:p>
    <w:p w14:paraId="4FC06924">
      <w:pPr>
        <w:pStyle w:val="26"/>
        <w:numPr>
          <w:ilvl w:val="2"/>
          <w:numId w:val="3"/>
        </w:numPr>
        <w:spacing w:line="360" w:lineRule="auto"/>
        <w:ind w:right="176" w:rightChars="80"/>
        <w:rPr>
          <w:rFonts w:ascii="Arial" w:hAnsi="Arial" w:cs="Arial"/>
        </w:rPr>
      </w:pPr>
      <w:r>
        <w:rPr>
          <w:rFonts w:ascii="Arial" w:hAnsi="Arial" w:cs="Arial"/>
        </w:rPr>
        <w:t xml:space="preserve"> As sociedades cooperativas poderão participar deste certame desde que satisfaçam os</w:t>
      </w:r>
      <w:r>
        <w:rPr>
          <w:rFonts w:ascii="Arial" w:hAnsi="Arial" w:cs="Arial"/>
          <w:spacing w:val="1"/>
        </w:rPr>
        <w:t xml:space="preserve"> </w:t>
      </w:r>
      <w:r>
        <w:rPr>
          <w:rFonts w:ascii="Arial" w:hAnsi="Arial" w:cs="Arial"/>
        </w:rPr>
        <w:t>requisitos</w:t>
      </w:r>
      <w:r>
        <w:rPr>
          <w:rFonts w:ascii="Arial" w:hAnsi="Arial" w:cs="Arial"/>
          <w:spacing w:val="-1"/>
        </w:rPr>
        <w:t xml:space="preserve"> </w:t>
      </w:r>
      <w:r>
        <w:rPr>
          <w:rFonts w:ascii="Arial" w:hAnsi="Arial" w:cs="Arial"/>
        </w:rPr>
        <w:t>estipulados pelo art. 16 da</w:t>
      </w:r>
      <w:r>
        <w:rPr>
          <w:rFonts w:ascii="Arial" w:hAnsi="Arial" w:cs="Arial"/>
          <w:spacing w:val="1"/>
        </w:rPr>
        <w:t xml:space="preserve"> </w:t>
      </w:r>
      <w:r>
        <w:rPr>
          <w:rFonts w:ascii="Arial" w:hAnsi="Arial" w:cs="Arial"/>
        </w:rPr>
        <w:t>Lei</w:t>
      </w:r>
      <w:r>
        <w:rPr>
          <w:rFonts w:ascii="Arial" w:hAnsi="Arial" w:cs="Arial"/>
          <w:spacing w:val="-1"/>
        </w:rPr>
        <w:t xml:space="preserve"> </w:t>
      </w:r>
      <w:r>
        <w:rPr>
          <w:rFonts w:ascii="Arial" w:hAnsi="Arial" w:cs="Arial"/>
        </w:rPr>
        <w:t>nº 14.133/2021.</w:t>
      </w:r>
    </w:p>
    <w:p w14:paraId="238E765A">
      <w:pPr>
        <w:pStyle w:val="26"/>
        <w:numPr>
          <w:ilvl w:val="2"/>
          <w:numId w:val="3"/>
        </w:numPr>
        <w:spacing w:line="360" w:lineRule="auto"/>
        <w:ind w:right="176" w:rightChars="80"/>
        <w:rPr>
          <w:rFonts w:ascii="Arial" w:hAnsi="Arial" w:cs="Arial"/>
        </w:rPr>
      </w:pPr>
      <w:r>
        <w:rPr>
          <w:rFonts w:ascii="Arial" w:hAnsi="Arial" w:cs="Arial"/>
        </w:rPr>
        <w:t xml:space="preserve"> Será admitida a participação de pessoas jurídicas em consórcio, observadas as seguintes normas:</w:t>
      </w:r>
    </w:p>
    <w:p w14:paraId="2B5F203B">
      <w:pPr>
        <w:pStyle w:val="15"/>
        <w:spacing w:before="120" w:beforeLines="50" w:beforeAutospacing="0" w:after="120" w:afterLines="50" w:afterAutospacing="0" w:line="360" w:lineRule="auto"/>
        <w:ind w:right="176" w:rightChars="80" w:firstLine="570"/>
        <w:jc w:val="both"/>
        <w:rPr>
          <w:rFonts w:ascii="Arial" w:hAnsi="Arial" w:cs="Arial"/>
          <w:color w:val="000000"/>
          <w:szCs w:val="22"/>
          <w:lang w:val="pt-BR"/>
        </w:rPr>
      </w:pPr>
      <w:r>
        <w:rPr>
          <w:rFonts w:ascii="Arial" w:hAnsi="Arial" w:cs="Arial"/>
          <w:color w:val="000000"/>
          <w:szCs w:val="22"/>
          <w:lang w:val="pt-BR"/>
        </w:rPr>
        <w:t xml:space="preserve">I </w:t>
      </w:r>
      <w:r>
        <w:rPr>
          <w:rFonts w:ascii="Arial" w:hAnsi="Arial" w:cs="Arial"/>
          <w:b/>
          <w:szCs w:val="22"/>
          <w:lang w:val="pt-BR"/>
        </w:rPr>
        <w:t>–</w:t>
      </w:r>
      <w:r>
        <w:rPr>
          <w:rFonts w:ascii="Arial" w:hAnsi="Arial" w:cs="Arial"/>
          <w:color w:val="000000"/>
          <w:szCs w:val="22"/>
          <w:lang w:val="pt-BR"/>
        </w:rPr>
        <w:t xml:space="preserve"> comprovação de compromisso público ou particular de constituição de consórcio, subscrito pelos consorciados;</w:t>
      </w:r>
    </w:p>
    <w:p w14:paraId="7B64407C">
      <w:pPr>
        <w:pStyle w:val="15"/>
        <w:spacing w:before="120" w:beforeLines="50" w:beforeAutospacing="0" w:after="120" w:afterLines="50" w:afterAutospacing="0" w:line="360" w:lineRule="auto"/>
        <w:ind w:right="176" w:rightChars="80" w:firstLine="570"/>
        <w:jc w:val="both"/>
        <w:rPr>
          <w:rFonts w:ascii="Arial" w:hAnsi="Arial" w:cs="Arial"/>
          <w:color w:val="000000"/>
          <w:szCs w:val="22"/>
          <w:lang w:val="pt-BR"/>
        </w:rPr>
      </w:pPr>
      <w:bookmarkStart w:id="1" w:name="art15ii"/>
      <w:bookmarkEnd w:id="1"/>
      <w:r>
        <w:rPr>
          <w:rFonts w:ascii="Arial" w:hAnsi="Arial" w:cs="Arial"/>
          <w:color w:val="000000"/>
          <w:szCs w:val="22"/>
          <w:lang w:val="pt-BR"/>
        </w:rPr>
        <w:t xml:space="preserve">II </w:t>
      </w:r>
      <w:r>
        <w:rPr>
          <w:rFonts w:ascii="Arial" w:hAnsi="Arial" w:cs="Arial"/>
          <w:b/>
          <w:szCs w:val="22"/>
          <w:lang w:val="pt-BR"/>
        </w:rPr>
        <w:t>–</w:t>
      </w:r>
      <w:r>
        <w:rPr>
          <w:rFonts w:ascii="Arial" w:hAnsi="Arial" w:cs="Arial"/>
          <w:color w:val="000000"/>
          <w:szCs w:val="22"/>
          <w:lang w:val="pt-BR"/>
        </w:rPr>
        <w:t xml:space="preserve"> indicação da empresa líder do consórcio, que será responsável por sua representação perante a Administração;</w:t>
      </w:r>
    </w:p>
    <w:p w14:paraId="500AD912">
      <w:pPr>
        <w:pStyle w:val="15"/>
        <w:spacing w:before="120" w:beforeLines="50" w:beforeAutospacing="0" w:after="120" w:afterLines="50" w:afterAutospacing="0" w:line="360" w:lineRule="auto"/>
        <w:ind w:right="176" w:rightChars="80" w:firstLine="570"/>
        <w:jc w:val="both"/>
        <w:rPr>
          <w:rFonts w:ascii="Arial" w:hAnsi="Arial" w:cs="Arial"/>
          <w:color w:val="000000"/>
          <w:szCs w:val="22"/>
          <w:lang w:val="pt-BR"/>
        </w:rPr>
      </w:pPr>
      <w:bookmarkStart w:id="2" w:name="art15iii"/>
      <w:bookmarkEnd w:id="2"/>
      <w:r>
        <w:rPr>
          <w:rFonts w:ascii="Arial" w:hAnsi="Arial" w:cs="Arial"/>
          <w:color w:val="000000"/>
          <w:szCs w:val="22"/>
          <w:lang w:val="pt-BR"/>
        </w:rPr>
        <w:t xml:space="preserve">III </w:t>
      </w:r>
      <w:r>
        <w:rPr>
          <w:rFonts w:ascii="Arial" w:hAnsi="Arial" w:cs="Arial"/>
          <w:b/>
          <w:szCs w:val="22"/>
          <w:lang w:val="pt-BR"/>
        </w:rPr>
        <w:t>–</w:t>
      </w:r>
      <w:r>
        <w:rPr>
          <w:rFonts w:ascii="Arial" w:hAnsi="Arial" w:cs="Arial"/>
          <w:color w:val="000000"/>
          <w:szCs w:val="22"/>
          <w:lang w:val="pt-BR"/>
        </w:rPr>
        <w:t xml:space="preserve"> admissão, para efeito de habilitação técnica, do somatório dos quantitativos de cada consorciado e, para efeito de habilitação econômico-financeira, do somatório dos valores de cada consorciado;</w:t>
      </w:r>
    </w:p>
    <w:p w14:paraId="4B36637A">
      <w:pPr>
        <w:pStyle w:val="15"/>
        <w:spacing w:before="120" w:beforeLines="50" w:beforeAutospacing="0" w:after="120" w:afterLines="50" w:afterAutospacing="0" w:line="360" w:lineRule="auto"/>
        <w:ind w:right="176" w:rightChars="80" w:firstLine="570"/>
        <w:jc w:val="both"/>
        <w:rPr>
          <w:rFonts w:ascii="Arial" w:hAnsi="Arial" w:cs="Arial"/>
          <w:color w:val="000000"/>
          <w:szCs w:val="22"/>
          <w:lang w:val="pt-BR"/>
        </w:rPr>
      </w:pPr>
      <w:bookmarkStart w:id="3" w:name="art15iv"/>
      <w:bookmarkEnd w:id="3"/>
      <w:r>
        <w:rPr>
          <w:rFonts w:ascii="Arial" w:hAnsi="Arial" w:cs="Arial"/>
          <w:color w:val="000000"/>
          <w:szCs w:val="22"/>
          <w:lang w:val="pt-BR"/>
        </w:rPr>
        <w:t xml:space="preserve">IV </w:t>
      </w:r>
      <w:r>
        <w:rPr>
          <w:rFonts w:ascii="Arial" w:hAnsi="Arial" w:cs="Arial"/>
          <w:b/>
          <w:szCs w:val="22"/>
          <w:lang w:val="pt-BR"/>
        </w:rPr>
        <w:t>–</w:t>
      </w:r>
      <w:r>
        <w:rPr>
          <w:rFonts w:ascii="Arial" w:hAnsi="Arial" w:cs="Arial"/>
          <w:color w:val="000000"/>
          <w:szCs w:val="22"/>
          <w:lang w:val="pt-BR"/>
        </w:rPr>
        <w:t xml:space="preserve"> impedimento de a empresa consorciada participar, na mesma licitação, de mais de um consórcio ou de forma isolada;</w:t>
      </w:r>
    </w:p>
    <w:p w14:paraId="0093144B">
      <w:pPr>
        <w:pStyle w:val="15"/>
        <w:spacing w:before="120" w:beforeLines="50" w:beforeAutospacing="0" w:after="120" w:afterLines="50" w:afterAutospacing="0" w:line="360" w:lineRule="auto"/>
        <w:ind w:right="176" w:rightChars="80" w:firstLine="570"/>
        <w:jc w:val="both"/>
        <w:rPr>
          <w:rFonts w:ascii="Arial" w:hAnsi="Arial" w:cs="Arial"/>
          <w:color w:val="000000"/>
          <w:szCs w:val="22"/>
          <w:lang w:val="pt-BR"/>
        </w:rPr>
      </w:pPr>
      <w:bookmarkStart w:id="4" w:name="art15v"/>
      <w:bookmarkEnd w:id="4"/>
      <w:r>
        <w:rPr>
          <w:rFonts w:ascii="Arial" w:hAnsi="Arial" w:cs="Arial"/>
          <w:color w:val="000000"/>
          <w:szCs w:val="22"/>
          <w:lang w:val="pt-BR"/>
        </w:rPr>
        <w:t xml:space="preserve">V </w:t>
      </w:r>
      <w:r>
        <w:rPr>
          <w:rFonts w:ascii="Arial" w:hAnsi="Arial" w:cs="Arial"/>
          <w:b/>
          <w:szCs w:val="22"/>
          <w:lang w:val="pt-BR"/>
        </w:rPr>
        <w:t>–</w:t>
      </w:r>
      <w:r>
        <w:rPr>
          <w:rFonts w:ascii="Arial" w:hAnsi="Arial" w:cs="Arial"/>
          <w:color w:val="000000"/>
          <w:szCs w:val="22"/>
          <w:lang w:val="pt-BR"/>
        </w:rPr>
        <w:t xml:space="preserve"> responsabilidade solidária dos integrantes pelos atos praticados em consórcio, tanto na fase de licitação quanto na de execução do contrato.</w:t>
      </w:r>
    </w:p>
    <w:p w14:paraId="257E33F9">
      <w:pPr>
        <w:pStyle w:val="15"/>
        <w:spacing w:before="120" w:beforeLines="50" w:beforeAutospacing="0" w:after="120" w:afterLines="50" w:afterAutospacing="0" w:line="360" w:lineRule="auto"/>
        <w:ind w:right="176" w:rightChars="80" w:firstLine="570"/>
        <w:jc w:val="both"/>
        <w:rPr>
          <w:rFonts w:ascii="Arial" w:hAnsi="Arial" w:cs="Arial"/>
          <w:color w:val="000000"/>
          <w:szCs w:val="22"/>
          <w:lang w:val="pt-BR"/>
        </w:rPr>
      </w:pPr>
      <w:bookmarkStart w:id="5" w:name="art15§1"/>
      <w:bookmarkEnd w:id="5"/>
      <w:r>
        <w:rPr>
          <w:rFonts w:ascii="Arial" w:hAnsi="Arial" w:cs="Arial"/>
          <w:color w:val="000000"/>
          <w:szCs w:val="22"/>
          <w:lang w:val="pt-BR"/>
        </w:rPr>
        <w:t xml:space="preserve">VI </w:t>
      </w:r>
      <w:r>
        <w:rPr>
          <w:rFonts w:ascii="Arial" w:hAnsi="Arial" w:cs="Arial"/>
          <w:b/>
          <w:szCs w:val="22"/>
          <w:lang w:val="pt-BR"/>
        </w:rPr>
        <w:t>–</w:t>
      </w:r>
      <w:r>
        <w:rPr>
          <w:rFonts w:ascii="Arial" w:hAnsi="Arial" w:cs="Arial"/>
          <w:color w:val="000000"/>
          <w:szCs w:val="22"/>
          <w:lang w:val="pt-BR"/>
        </w:rPr>
        <w:t xml:space="preserve"> deverá o consórcio demonstrar possuir o acréscimo de 10% (dez por cento) sobre o valor exigido de licitante individual para a habilitação econômico-financeira.</w:t>
      </w:r>
    </w:p>
    <w:p w14:paraId="759CB02C">
      <w:pPr>
        <w:pStyle w:val="15"/>
        <w:spacing w:before="120" w:beforeLines="50" w:beforeAutospacing="0" w:after="120" w:afterLines="50" w:afterAutospacing="0" w:line="360" w:lineRule="auto"/>
        <w:ind w:right="176" w:rightChars="80" w:firstLine="570"/>
        <w:jc w:val="both"/>
        <w:rPr>
          <w:rFonts w:ascii="Arial" w:hAnsi="Arial" w:cs="Arial"/>
          <w:color w:val="000000"/>
          <w:szCs w:val="22"/>
          <w:lang w:val="pt-BR"/>
        </w:rPr>
      </w:pPr>
      <w:bookmarkStart w:id="6" w:name="art15§2"/>
      <w:bookmarkEnd w:id="6"/>
      <w:r>
        <w:rPr>
          <w:rFonts w:ascii="Arial" w:hAnsi="Arial" w:cs="Arial"/>
          <w:color w:val="000000"/>
          <w:szCs w:val="22"/>
          <w:lang w:val="pt-BR"/>
        </w:rPr>
        <w:t xml:space="preserve">VII </w:t>
      </w:r>
      <w:r>
        <w:rPr>
          <w:rFonts w:ascii="Arial" w:hAnsi="Arial" w:cs="Arial"/>
          <w:b/>
          <w:szCs w:val="22"/>
          <w:lang w:val="pt-BR"/>
        </w:rPr>
        <w:t>–</w:t>
      </w:r>
      <w:r>
        <w:rPr>
          <w:rFonts w:ascii="Arial" w:hAnsi="Arial" w:cs="Arial"/>
          <w:color w:val="000000"/>
          <w:szCs w:val="22"/>
          <w:lang w:val="pt-BR"/>
        </w:rPr>
        <w:t xml:space="preserve"> o acréscimo previsto no subtópico anterior não se aplica aos consórcios compostos, em sua totalidade, de microempresas e pequenas empresas, assim definidas em lei.</w:t>
      </w:r>
    </w:p>
    <w:p w14:paraId="171F6FBA">
      <w:pPr>
        <w:pStyle w:val="15"/>
        <w:spacing w:before="120" w:beforeLines="50" w:beforeAutospacing="0" w:after="120" w:afterLines="50" w:afterAutospacing="0" w:line="360" w:lineRule="auto"/>
        <w:ind w:right="176" w:rightChars="80" w:firstLine="570"/>
        <w:jc w:val="both"/>
        <w:rPr>
          <w:rFonts w:ascii="Arial" w:hAnsi="Arial" w:cs="Arial"/>
          <w:color w:val="000000"/>
          <w:szCs w:val="22"/>
          <w:lang w:val="pt-BR"/>
        </w:rPr>
      </w:pPr>
      <w:bookmarkStart w:id="7" w:name="art15§3"/>
      <w:bookmarkEnd w:id="7"/>
      <w:r>
        <w:rPr>
          <w:rFonts w:ascii="Arial" w:hAnsi="Arial" w:cs="Arial"/>
          <w:color w:val="000000"/>
          <w:szCs w:val="22"/>
          <w:lang w:val="pt-BR"/>
        </w:rPr>
        <w:t xml:space="preserve">VIII </w:t>
      </w:r>
      <w:r>
        <w:rPr>
          <w:rFonts w:ascii="Arial" w:hAnsi="Arial" w:cs="Arial"/>
          <w:b/>
          <w:szCs w:val="22"/>
          <w:lang w:val="pt-BR"/>
        </w:rPr>
        <w:t>–</w:t>
      </w:r>
      <w:r>
        <w:rPr>
          <w:rFonts w:ascii="Arial" w:hAnsi="Arial" w:cs="Arial"/>
          <w:color w:val="000000"/>
          <w:szCs w:val="22"/>
          <w:lang w:val="pt-BR"/>
        </w:rPr>
        <w:t xml:space="preserve"> o licitante vencedor é obrigado a promover, antes da celebração do contrato, a constituição e o registro do consórcio, nos termos do compromisso referido no Art. 15, inciso I da Lei nº 14.133/2021.</w:t>
      </w:r>
      <w:bookmarkStart w:id="8" w:name="art15§4"/>
      <w:bookmarkEnd w:id="8"/>
    </w:p>
    <w:p w14:paraId="2C0DE573">
      <w:pPr>
        <w:pStyle w:val="15"/>
        <w:spacing w:before="120" w:beforeLines="50" w:beforeAutospacing="0" w:after="120" w:afterLines="50" w:afterAutospacing="0" w:line="360" w:lineRule="auto"/>
        <w:ind w:right="176" w:rightChars="80" w:firstLine="570"/>
        <w:jc w:val="both"/>
        <w:rPr>
          <w:rFonts w:ascii="Arial" w:hAnsi="Arial" w:cs="Arial"/>
          <w:color w:val="000000"/>
          <w:szCs w:val="22"/>
          <w:lang w:val="pt-BR"/>
        </w:rPr>
      </w:pPr>
      <w:r>
        <w:rPr>
          <w:rFonts w:ascii="Arial" w:hAnsi="Arial" w:cs="Arial"/>
          <w:color w:val="000000"/>
          <w:szCs w:val="22"/>
          <w:lang w:val="pt-BR"/>
        </w:rPr>
        <w:t xml:space="preserve">IX </w:t>
      </w:r>
      <w:r>
        <w:rPr>
          <w:rFonts w:ascii="Arial" w:hAnsi="Arial" w:cs="Arial"/>
          <w:b/>
          <w:szCs w:val="22"/>
          <w:lang w:val="pt-BR"/>
        </w:rPr>
        <w:t>–</w:t>
      </w:r>
      <w:r>
        <w:rPr>
          <w:rFonts w:ascii="Arial" w:hAnsi="Arial" w:cs="Arial"/>
          <w:color w:val="000000"/>
          <w:szCs w:val="22"/>
          <w:lang w:val="pt-BR"/>
        </w:rPr>
        <w:t xml:space="preserve"> a substituição de consorciado deverá ser expressamente autorizada pelo órgão ou entidade contratante e condicionada à comprovação de que a nova empresa do consórcio possui, no mínimo, os mesmos quantitativos para efeito de habilitação técnica e os mesmos valores para efeito de qualificação econômico-financeira apresentados pela empresa substituída para fins de habilitação do consórcio no processo licitatório que originou o contrato.</w:t>
      </w:r>
    </w:p>
    <w:p w14:paraId="2C282D11">
      <w:pPr>
        <w:pStyle w:val="15"/>
        <w:numPr>
          <w:ilvl w:val="1"/>
          <w:numId w:val="3"/>
        </w:numPr>
        <w:spacing w:before="120" w:beforeLines="50" w:beforeAutospacing="0" w:after="120" w:afterLines="50" w:afterAutospacing="0" w:line="360" w:lineRule="auto"/>
        <w:ind w:right="176" w:rightChars="80"/>
        <w:jc w:val="both"/>
        <w:rPr>
          <w:rFonts w:ascii="Arial" w:hAnsi="Arial" w:cs="Arial"/>
          <w:sz w:val="24"/>
          <w:lang w:val="pt-BR"/>
        </w:rPr>
      </w:pPr>
      <w:r>
        <w:rPr>
          <w:rFonts w:ascii="Arial" w:hAnsi="Arial" w:cs="Arial"/>
          <w:b/>
          <w:spacing w:val="-2"/>
          <w:sz w:val="24"/>
          <w:lang w:val="pt-BR"/>
        </w:rPr>
        <w:t xml:space="preserve">Garantia de Proposta: </w:t>
      </w:r>
    </w:p>
    <w:p w14:paraId="1C55B92C">
      <w:pPr>
        <w:pStyle w:val="15"/>
        <w:numPr>
          <w:ilvl w:val="2"/>
          <w:numId w:val="3"/>
        </w:numPr>
        <w:spacing w:before="120" w:beforeLines="50" w:beforeAutospacing="0" w:after="120" w:afterLines="50" w:afterAutospacing="0" w:line="360" w:lineRule="auto"/>
        <w:ind w:right="176" w:rightChars="80"/>
        <w:jc w:val="both"/>
        <w:rPr>
          <w:rFonts w:ascii="Arial" w:hAnsi="Arial" w:cs="Arial"/>
          <w:sz w:val="24"/>
          <w:lang w:val="pt-BR"/>
        </w:rPr>
      </w:pPr>
      <w:r>
        <w:rPr>
          <w:rFonts w:ascii="Arial" w:hAnsi="Arial" w:cs="Arial"/>
          <w:color w:val="000000"/>
          <w:sz w:val="24"/>
          <w:lang w:val="pt-BR" w:bidi="ar"/>
        </w:rPr>
        <w:t>No momento da apresentação da proposta, os interessados deverão apresentar comprovante de pagamento no valor de 1% do valor estimado da presente contratação à título de garantia da proposta, que poderá ser prestada nas modalidades do artigo 96 da Lei 14.133/2021.</w:t>
      </w:r>
    </w:p>
    <w:p w14:paraId="1FAD9837">
      <w:pPr>
        <w:pStyle w:val="15"/>
        <w:numPr>
          <w:ilvl w:val="3"/>
          <w:numId w:val="3"/>
        </w:numPr>
        <w:spacing w:before="120" w:beforeLines="50" w:beforeAutospacing="0" w:after="120" w:afterLines="50" w:afterAutospacing="0" w:line="360" w:lineRule="auto"/>
        <w:ind w:right="176" w:rightChars="80"/>
        <w:jc w:val="both"/>
        <w:rPr>
          <w:rFonts w:ascii="Arial" w:hAnsi="Arial" w:cs="Arial"/>
          <w:sz w:val="24"/>
          <w:lang w:val="pt-BR"/>
        </w:rPr>
      </w:pPr>
      <w:r>
        <w:rPr>
          <w:rFonts w:ascii="Arial" w:hAnsi="Arial" w:cs="Arial"/>
          <w:color w:val="000000"/>
          <w:sz w:val="24"/>
          <w:lang w:val="pt-BR" w:bidi="ar"/>
        </w:rPr>
        <w:t xml:space="preserve">A garantia da proposta deve ser juntada como anexo à proposta. </w:t>
      </w:r>
    </w:p>
    <w:p w14:paraId="61B5378A">
      <w:pPr>
        <w:pStyle w:val="15"/>
        <w:numPr>
          <w:ilvl w:val="3"/>
          <w:numId w:val="3"/>
        </w:numPr>
        <w:spacing w:before="120" w:beforeLines="50" w:beforeAutospacing="0" w:after="120" w:afterLines="50" w:afterAutospacing="0" w:line="360" w:lineRule="auto"/>
        <w:ind w:right="176" w:rightChars="80"/>
        <w:jc w:val="both"/>
        <w:rPr>
          <w:rFonts w:ascii="Arial" w:hAnsi="Arial" w:cs="Arial"/>
          <w:sz w:val="24"/>
          <w:lang w:val="pt-BR"/>
        </w:rPr>
      </w:pPr>
      <w:r>
        <w:rPr>
          <w:rFonts w:ascii="Arial" w:hAnsi="Arial" w:cs="Arial"/>
          <w:color w:val="000000"/>
          <w:sz w:val="24"/>
          <w:lang w:val="pt-BR" w:bidi="ar"/>
        </w:rPr>
        <w:t xml:space="preserve">O licitante que apresentar garantia de proposta com valor inferior ao exigido no edital será desclassficado sem prejuízo das sanções cabíveis. </w:t>
      </w:r>
    </w:p>
    <w:p w14:paraId="0020A6DE">
      <w:pPr>
        <w:pStyle w:val="15"/>
        <w:numPr>
          <w:ilvl w:val="3"/>
          <w:numId w:val="3"/>
        </w:numPr>
        <w:spacing w:before="120" w:beforeLines="50" w:beforeAutospacing="0" w:after="120" w:afterLines="50" w:afterAutospacing="0" w:line="360" w:lineRule="auto"/>
        <w:ind w:right="176" w:rightChars="80"/>
        <w:jc w:val="both"/>
        <w:rPr>
          <w:rFonts w:ascii="Arial" w:hAnsi="Arial" w:cs="Arial"/>
          <w:sz w:val="24"/>
          <w:lang w:val="pt-BR"/>
        </w:rPr>
      </w:pPr>
      <w:r>
        <w:rPr>
          <w:rFonts w:ascii="Arial" w:hAnsi="Arial" w:cs="Arial"/>
          <w:color w:val="000000"/>
          <w:sz w:val="24"/>
          <w:lang w:val="pt-BR" w:bidi="ar"/>
        </w:rPr>
        <w:t xml:space="preserve">O valor recolhido será devolvido aos licitantes que participaram do certame no prazo de 10 (dez) dias úteis, contados da assinatura do contrato ou da data em que for declarada fracassada a licitação. </w:t>
      </w:r>
    </w:p>
    <w:p w14:paraId="7FAE3E2E">
      <w:pPr>
        <w:pStyle w:val="15"/>
        <w:numPr>
          <w:ilvl w:val="3"/>
          <w:numId w:val="3"/>
        </w:numPr>
        <w:spacing w:before="120" w:beforeLines="50" w:beforeAutospacing="0" w:after="120" w:afterLines="50" w:afterAutospacing="0" w:line="360" w:lineRule="auto"/>
        <w:ind w:right="176" w:rightChars="80"/>
        <w:jc w:val="both"/>
        <w:rPr>
          <w:rFonts w:ascii="Arial" w:hAnsi="Arial" w:cs="Arial"/>
          <w:sz w:val="24"/>
          <w:lang w:val="pt-BR"/>
        </w:rPr>
      </w:pPr>
      <w:r>
        <w:rPr>
          <w:rFonts w:ascii="Arial" w:hAnsi="Arial" w:cs="Arial"/>
          <w:color w:val="000000"/>
          <w:sz w:val="24"/>
          <w:lang w:val="pt-BR" w:bidi="ar"/>
        </w:rPr>
        <w:t xml:space="preserve">O valor integral referente à garantia da proposta será executado no caso de recusa em assinar o contrato ou não apresentação dos documentos para a contratação e/ou licitação. </w:t>
      </w:r>
    </w:p>
    <w:p w14:paraId="5A945901">
      <w:pPr>
        <w:pStyle w:val="15"/>
        <w:numPr>
          <w:ilvl w:val="3"/>
          <w:numId w:val="3"/>
        </w:numPr>
        <w:spacing w:before="120" w:beforeLines="50" w:beforeAutospacing="0" w:after="120" w:afterLines="50" w:afterAutospacing="0" w:line="360" w:lineRule="auto"/>
        <w:ind w:right="176" w:rightChars="80"/>
        <w:jc w:val="both"/>
        <w:rPr>
          <w:rFonts w:ascii="Arial" w:hAnsi="Arial" w:cs="Arial"/>
          <w:szCs w:val="22"/>
          <w:lang w:val="pt-BR"/>
        </w:rPr>
      </w:pPr>
      <w:r>
        <w:rPr>
          <w:rFonts w:ascii="Arial" w:hAnsi="Arial" w:cs="Arial"/>
          <w:color w:val="000000"/>
          <w:sz w:val="24"/>
          <w:lang w:val="pt-BR" w:bidi="ar"/>
        </w:rPr>
        <w:t xml:space="preserve">A não apresentação da garantia da proposta configura ausência de requisito de participação, com a consequente desclassificação da proposta e exclusão do licitante do certame. </w:t>
      </w:r>
    </w:p>
    <w:p w14:paraId="082771FA">
      <w:pPr>
        <w:pStyle w:val="15"/>
        <w:numPr>
          <w:ilvl w:val="2"/>
          <w:numId w:val="3"/>
        </w:numPr>
        <w:spacing w:before="120" w:beforeLines="50" w:beforeAutospacing="0" w:after="120" w:afterLines="50" w:afterAutospacing="0" w:line="360" w:lineRule="auto"/>
        <w:ind w:right="176" w:rightChars="80"/>
        <w:jc w:val="both"/>
        <w:rPr>
          <w:rFonts w:ascii="Arial" w:hAnsi="Arial" w:cs="Arial"/>
          <w:szCs w:val="22"/>
          <w:lang w:val="pt-BR"/>
        </w:rPr>
      </w:pPr>
      <w:r>
        <w:rPr>
          <w:rFonts w:ascii="Arial" w:hAnsi="Arial" w:cs="Arial"/>
          <w:b/>
          <w:bCs/>
          <w:szCs w:val="22"/>
          <w:lang w:val="pt-BR"/>
        </w:rPr>
        <w:t>JUSTIFICATIVA-SE</w:t>
      </w:r>
      <w:r>
        <w:rPr>
          <w:rFonts w:ascii="Arial" w:hAnsi="Arial" w:cs="Arial"/>
          <w:szCs w:val="22"/>
          <w:lang w:val="pt-BR"/>
        </w:rPr>
        <w:t xml:space="preserve"> </w:t>
      </w:r>
      <w:r>
        <w:rPr>
          <w:rStyle w:val="8"/>
          <w:rFonts w:ascii="Arial" w:hAnsi="Arial" w:cs="Arial"/>
          <w:b w:val="0"/>
          <w:bCs w:val="0"/>
          <w:szCs w:val="22"/>
          <w:lang w:val="pt-BR"/>
        </w:rPr>
        <w:t xml:space="preserve">tecnicamente adequada e necessária </w:t>
      </w:r>
      <w:r>
        <w:rPr>
          <w:rFonts w:ascii="Arial" w:hAnsi="Arial" w:cs="Arial"/>
          <w:szCs w:val="22"/>
          <w:lang w:val="pt-BR"/>
        </w:rPr>
        <w:t>a exigência da garantia da proposta, sendo medida de cautela e proteção ao interesse público, plenamente adequada à natureza do objeto desta licitação, considerando os seguintes aspectos:</w:t>
      </w:r>
    </w:p>
    <w:p w14:paraId="6C4C4BE6">
      <w:pPr>
        <w:pStyle w:val="15"/>
        <w:numPr>
          <w:ilvl w:val="3"/>
          <w:numId w:val="3"/>
        </w:numPr>
        <w:spacing w:before="120" w:beforeLines="50" w:beforeAutospacing="0" w:after="120" w:afterLines="50" w:afterAutospacing="0" w:line="360" w:lineRule="auto"/>
        <w:ind w:right="176" w:rightChars="80"/>
        <w:jc w:val="both"/>
        <w:rPr>
          <w:rFonts w:ascii="Arial" w:hAnsi="Arial" w:cs="Arial"/>
          <w:szCs w:val="22"/>
          <w:lang w:val="pt-BR"/>
        </w:rPr>
      </w:pPr>
      <w:r>
        <w:rPr>
          <w:rFonts w:ascii="Arial" w:hAnsi="Arial" w:cs="Arial"/>
          <w:b/>
          <w:bCs/>
          <w:szCs w:val="22"/>
          <w:lang w:val="pt-BR"/>
        </w:rPr>
        <w:t>Natureza e Complexidade</w:t>
      </w:r>
      <w:r>
        <w:rPr>
          <w:rFonts w:ascii="Arial" w:hAnsi="Arial" w:cs="Arial"/>
          <w:szCs w:val="22"/>
          <w:lang w:val="pt-BR"/>
        </w:rPr>
        <w:t xml:space="preserve"> do Objeto desta licitação, pois a terceirização da merenda escolar envolve uma série de atividades essenciais, tais como:</w:t>
      </w:r>
    </w:p>
    <w:p w14:paraId="4608ACB7">
      <w:pPr>
        <w:pStyle w:val="15"/>
        <w:numPr>
          <w:ilvl w:val="4"/>
          <w:numId w:val="3"/>
        </w:numPr>
        <w:spacing w:before="120" w:beforeLines="50" w:beforeAutospacing="0" w:after="120" w:afterLines="50" w:afterAutospacing="0" w:line="360" w:lineRule="auto"/>
        <w:ind w:left="440" w:leftChars="200" w:right="176" w:rightChars="80"/>
        <w:jc w:val="both"/>
        <w:rPr>
          <w:rFonts w:ascii="Arial" w:hAnsi="Arial" w:cs="Arial"/>
          <w:szCs w:val="22"/>
          <w:lang w:val="pt-BR"/>
        </w:rPr>
      </w:pPr>
      <w:r>
        <w:rPr>
          <w:rFonts w:ascii="Arial" w:hAnsi="Arial" w:cs="Arial"/>
          <w:szCs w:val="22"/>
          <w:lang w:val="pt-BR"/>
        </w:rPr>
        <w:t>Planejamento e preparo de refeições diárias para milhares de alunos;</w:t>
      </w:r>
    </w:p>
    <w:p w14:paraId="55D6D38D">
      <w:pPr>
        <w:pStyle w:val="15"/>
        <w:numPr>
          <w:ilvl w:val="4"/>
          <w:numId w:val="3"/>
        </w:numPr>
        <w:spacing w:before="120" w:beforeLines="50" w:beforeAutospacing="0" w:after="120" w:afterLines="50" w:afterAutospacing="0" w:line="360" w:lineRule="auto"/>
        <w:ind w:left="440" w:leftChars="200" w:right="176" w:rightChars="80"/>
        <w:jc w:val="both"/>
        <w:rPr>
          <w:rFonts w:ascii="Arial" w:hAnsi="Arial" w:cs="Arial"/>
          <w:szCs w:val="22"/>
          <w:lang w:val="pt-BR"/>
        </w:rPr>
      </w:pPr>
      <w:r>
        <w:rPr>
          <w:rFonts w:ascii="Arial" w:hAnsi="Arial" w:cs="Arial"/>
          <w:szCs w:val="22"/>
          <w:lang w:val="pt-BR"/>
        </w:rPr>
        <w:t>Manipulação e conservação adequada de alimentos;</w:t>
      </w:r>
    </w:p>
    <w:p w14:paraId="2D7EB7B8">
      <w:pPr>
        <w:pStyle w:val="15"/>
        <w:numPr>
          <w:ilvl w:val="4"/>
          <w:numId w:val="3"/>
        </w:numPr>
        <w:spacing w:before="120" w:beforeLines="50" w:beforeAutospacing="0" w:after="120" w:afterLines="50" w:afterAutospacing="0" w:line="360" w:lineRule="auto"/>
        <w:ind w:left="440" w:leftChars="200" w:right="176" w:rightChars="80"/>
        <w:jc w:val="both"/>
        <w:rPr>
          <w:rFonts w:ascii="Arial" w:hAnsi="Arial" w:cs="Arial"/>
          <w:szCs w:val="22"/>
          <w:lang w:val="pt-BR"/>
        </w:rPr>
      </w:pPr>
      <w:r>
        <w:rPr>
          <w:rFonts w:ascii="Arial" w:hAnsi="Arial" w:cs="Arial"/>
          <w:szCs w:val="22"/>
          <w:lang w:val="pt-BR"/>
        </w:rPr>
        <w:t>Logística de distribuição nas diversas unidades escolares;</w:t>
      </w:r>
    </w:p>
    <w:p w14:paraId="715ACC1B">
      <w:pPr>
        <w:pStyle w:val="15"/>
        <w:numPr>
          <w:ilvl w:val="4"/>
          <w:numId w:val="3"/>
        </w:numPr>
        <w:spacing w:before="120" w:beforeLines="50" w:beforeAutospacing="0" w:after="120" w:afterLines="50" w:afterAutospacing="0" w:line="360" w:lineRule="auto"/>
        <w:ind w:left="440" w:leftChars="200" w:right="176" w:rightChars="80"/>
        <w:jc w:val="both"/>
        <w:rPr>
          <w:rFonts w:ascii="Arial" w:hAnsi="Arial" w:cs="Arial"/>
          <w:szCs w:val="22"/>
          <w:lang w:val="pt-BR"/>
        </w:rPr>
      </w:pPr>
      <w:r>
        <w:rPr>
          <w:rFonts w:ascii="Arial" w:hAnsi="Arial" w:cs="Arial"/>
          <w:szCs w:val="22"/>
          <w:lang w:val="pt-BR"/>
        </w:rPr>
        <w:t>Cumprimento rigoroso de normas sanitárias e de segurança alimentar.</w:t>
      </w:r>
    </w:p>
    <w:p w14:paraId="435525D7">
      <w:pPr>
        <w:pStyle w:val="15"/>
        <w:numPr>
          <w:ilvl w:val="4"/>
          <w:numId w:val="3"/>
        </w:numPr>
        <w:spacing w:before="120" w:beforeLines="50" w:beforeAutospacing="0" w:after="120" w:afterLines="50" w:afterAutospacing="0" w:line="360" w:lineRule="auto"/>
        <w:ind w:left="440" w:leftChars="200" w:right="176" w:rightChars="80"/>
        <w:jc w:val="both"/>
        <w:rPr>
          <w:rFonts w:ascii="Arial" w:hAnsi="Arial" w:cs="Arial"/>
          <w:szCs w:val="22"/>
          <w:lang w:val="pt-BR"/>
        </w:rPr>
      </w:pPr>
      <w:r>
        <w:rPr>
          <w:rFonts w:ascii="Arial" w:hAnsi="Arial" w:cs="Arial"/>
          <w:szCs w:val="22"/>
          <w:lang w:val="pt-BR"/>
        </w:rPr>
        <w:t xml:space="preserve">Trata-se, portanto, de um objeto </w:t>
      </w:r>
      <w:r>
        <w:rPr>
          <w:rStyle w:val="8"/>
          <w:rFonts w:ascii="Arial" w:hAnsi="Arial" w:cs="Arial"/>
          <w:b w:val="0"/>
          <w:bCs w:val="0"/>
          <w:szCs w:val="22"/>
          <w:lang w:val="pt-BR"/>
        </w:rPr>
        <w:t>complexo, essencial e contínuo</w:t>
      </w:r>
      <w:r>
        <w:rPr>
          <w:rFonts w:ascii="Arial" w:hAnsi="Arial" w:cs="Arial"/>
          <w:szCs w:val="22"/>
          <w:lang w:val="pt-BR"/>
        </w:rPr>
        <w:t>, cujo eventual descumprimento compromete diretamente a saúde e o bem-estar dos estudantes da rede pública municipal de Sinop/MT.</w:t>
      </w:r>
    </w:p>
    <w:p w14:paraId="349970AA">
      <w:pPr>
        <w:pStyle w:val="15"/>
        <w:numPr>
          <w:ilvl w:val="3"/>
          <w:numId w:val="3"/>
        </w:numPr>
        <w:spacing w:before="120" w:beforeLines="50" w:beforeAutospacing="0" w:after="120" w:afterLines="50" w:afterAutospacing="0" w:line="360" w:lineRule="auto"/>
        <w:ind w:right="176" w:rightChars="80"/>
        <w:jc w:val="both"/>
        <w:rPr>
          <w:rFonts w:ascii="Arial" w:hAnsi="Arial" w:cs="Arial"/>
          <w:szCs w:val="22"/>
          <w:lang w:val="pt-BR"/>
        </w:rPr>
      </w:pPr>
      <w:r>
        <w:rPr>
          <w:rFonts w:ascii="Arial" w:hAnsi="Arial" w:cs="Arial"/>
          <w:b/>
          <w:bCs/>
          <w:szCs w:val="22"/>
          <w:lang w:val="pt-BR"/>
        </w:rPr>
        <w:t>Relevância Social do Serviço</w:t>
      </w:r>
      <w:r>
        <w:rPr>
          <w:rFonts w:ascii="Arial" w:hAnsi="Arial" w:cs="Arial"/>
          <w:szCs w:val="22"/>
          <w:lang w:val="pt-BR"/>
        </w:rPr>
        <w:t xml:space="preserve"> - A alimentação escolar é parte fundamental da política pública de educação e segurança alimentar. A ausência ou interrupção desses serviços compromete não apenas a frequência e o desempenho dos alunos, mas também infringe direitos constitucionais fundamentais, como o direito à alimentação e à educação.</w:t>
      </w:r>
    </w:p>
    <w:p w14:paraId="7D83EF23">
      <w:pPr>
        <w:pStyle w:val="15"/>
        <w:numPr>
          <w:ilvl w:val="3"/>
          <w:numId w:val="3"/>
        </w:numPr>
        <w:spacing w:before="120" w:beforeLines="50" w:beforeAutospacing="0" w:after="120" w:afterLines="50" w:afterAutospacing="0" w:line="360" w:lineRule="auto"/>
        <w:ind w:right="176" w:rightChars="80"/>
        <w:jc w:val="both"/>
        <w:rPr>
          <w:rFonts w:ascii="Arial" w:hAnsi="Arial" w:cs="Arial"/>
          <w:szCs w:val="22"/>
          <w:lang w:val="pt-BR"/>
        </w:rPr>
      </w:pPr>
      <w:r>
        <w:rPr>
          <w:rFonts w:ascii="Arial" w:hAnsi="Arial" w:cs="Arial"/>
          <w:b/>
          <w:bCs/>
          <w:szCs w:val="22"/>
          <w:lang w:val="pt-BR"/>
        </w:rPr>
        <w:t xml:space="preserve">Riscos de Desistência Injustificada - </w:t>
      </w:r>
      <w:r>
        <w:rPr>
          <w:rFonts w:ascii="Arial" w:hAnsi="Arial" w:cs="Arial"/>
          <w:szCs w:val="22"/>
          <w:lang w:val="pt-BR"/>
        </w:rPr>
        <w:t xml:space="preserve">Dada a expressiva dimensão do contrato e os custos operacionais envolvidos, é imprescindível assegurar que os licitantes apresentem propostas com responsabilidade e real capacidade de execução. A exigência de garantia da proposta visa </w:t>
      </w:r>
      <w:r>
        <w:rPr>
          <w:rStyle w:val="8"/>
          <w:rFonts w:ascii="Arial" w:hAnsi="Arial" w:cs="Arial"/>
          <w:b w:val="0"/>
          <w:bCs w:val="0"/>
          <w:szCs w:val="22"/>
          <w:lang w:val="pt-BR"/>
        </w:rPr>
        <w:t>desestimular propostas temerárias</w:t>
      </w:r>
      <w:r>
        <w:rPr>
          <w:rFonts w:ascii="Arial" w:hAnsi="Arial" w:cs="Arial"/>
          <w:szCs w:val="22"/>
          <w:lang w:val="pt-BR"/>
        </w:rPr>
        <w:t xml:space="preserve"> ou eventual </w:t>
      </w:r>
      <w:r>
        <w:rPr>
          <w:rStyle w:val="8"/>
          <w:rFonts w:ascii="Arial" w:hAnsi="Arial" w:cs="Arial"/>
          <w:b w:val="0"/>
          <w:bCs w:val="0"/>
          <w:szCs w:val="22"/>
          <w:lang w:val="pt-BR"/>
        </w:rPr>
        <w:t>abandono injustificado após a adjudicação</w:t>
      </w:r>
      <w:r>
        <w:rPr>
          <w:rFonts w:ascii="Arial" w:hAnsi="Arial" w:cs="Arial"/>
          <w:szCs w:val="22"/>
          <w:lang w:val="pt-BR"/>
        </w:rPr>
        <w:t>, protegendo a Administração de retrabalhos e atrasos no cronograma contratual.</w:t>
      </w:r>
    </w:p>
    <w:p w14:paraId="497A198F">
      <w:pPr>
        <w:pStyle w:val="15"/>
        <w:numPr>
          <w:ilvl w:val="3"/>
          <w:numId w:val="3"/>
        </w:numPr>
        <w:spacing w:before="120" w:beforeLines="50" w:beforeAutospacing="0" w:after="120" w:afterLines="50" w:afterAutospacing="0" w:line="360" w:lineRule="auto"/>
        <w:ind w:right="176" w:rightChars="80"/>
        <w:jc w:val="both"/>
        <w:rPr>
          <w:rFonts w:ascii="Arial" w:hAnsi="Arial" w:cs="Arial"/>
          <w:szCs w:val="22"/>
          <w:lang w:val="pt-BR"/>
        </w:rPr>
      </w:pPr>
      <w:r>
        <w:rPr>
          <w:rFonts w:ascii="Arial" w:hAnsi="Arial" w:cs="Arial"/>
          <w:b/>
          <w:bCs/>
          <w:szCs w:val="22"/>
          <w:lang w:val="pt-BR"/>
        </w:rPr>
        <w:t xml:space="preserve">Proporcionalidade da Exigência - </w:t>
      </w:r>
      <w:r>
        <w:rPr>
          <w:rFonts w:ascii="Arial" w:hAnsi="Arial" w:cs="Arial"/>
          <w:szCs w:val="22"/>
          <w:lang w:val="pt-BR"/>
        </w:rPr>
        <w:t xml:space="preserve">A exigência será limitada ao </w:t>
      </w:r>
      <w:r>
        <w:rPr>
          <w:rStyle w:val="8"/>
          <w:rFonts w:ascii="Arial" w:hAnsi="Arial" w:cs="Arial"/>
          <w:b w:val="0"/>
          <w:bCs w:val="0"/>
          <w:szCs w:val="22"/>
          <w:lang w:val="pt-BR"/>
        </w:rPr>
        <w:t>percentual máximo de 1% do valor estimado da contratação</w:t>
      </w:r>
      <w:r>
        <w:rPr>
          <w:rFonts w:ascii="Arial" w:hAnsi="Arial" w:cs="Arial"/>
          <w:szCs w:val="22"/>
          <w:lang w:val="pt-BR"/>
        </w:rPr>
        <w:t>, conforme permite a legislação, sendo considerada proporcional e não excessiva, especialmente diante da magnitude do objeto e do potencial prejuízo em caso de descumprimento.</w:t>
      </w:r>
    </w:p>
    <w:p w14:paraId="6C3368ED">
      <w:pPr>
        <w:pStyle w:val="15"/>
        <w:numPr>
          <w:ilvl w:val="1"/>
          <w:numId w:val="3"/>
        </w:numPr>
        <w:spacing w:before="120" w:beforeLines="50" w:beforeAutospacing="0" w:after="120" w:afterLines="50" w:afterAutospacing="0" w:line="360" w:lineRule="auto"/>
        <w:ind w:right="176" w:rightChars="80"/>
        <w:jc w:val="both"/>
        <w:rPr>
          <w:rFonts w:ascii="Arial" w:hAnsi="Arial" w:cs="Arial"/>
          <w:szCs w:val="22"/>
          <w:lang w:val="pt-BR"/>
        </w:rPr>
      </w:pPr>
      <w:r>
        <w:rPr>
          <w:rFonts w:ascii="Arial" w:hAnsi="Arial" w:cs="Arial"/>
          <w:b/>
          <w:bCs/>
          <w:szCs w:val="22"/>
          <w:lang w:val="pt-BR"/>
        </w:rPr>
        <w:t>DA</w:t>
      </w:r>
      <w:r>
        <w:rPr>
          <w:rFonts w:ascii="Arial" w:hAnsi="Arial" w:cs="Arial"/>
          <w:b/>
          <w:bCs/>
          <w:spacing w:val="-2"/>
          <w:szCs w:val="22"/>
          <w:lang w:val="pt-BR"/>
        </w:rPr>
        <w:t xml:space="preserve"> </w:t>
      </w:r>
      <w:r>
        <w:rPr>
          <w:rFonts w:ascii="Arial" w:hAnsi="Arial" w:cs="Arial"/>
          <w:b/>
          <w:bCs/>
          <w:szCs w:val="22"/>
          <w:lang w:val="pt-BR"/>
        </w:rPr>
        <w:t>VISTORIA</w:t>
      </w:r>
    </w:p>
    <w:p w14:paraId="0B4D2E1B">
      <w:pPr>
        <w:pStyle w:val="26"/>
        <w:numPr>
          <w:ilvl w:val="2"/>
          <w:numId w:val="3"/>
        </w:numPr>
        <w:spacing w:line="360" w:lineRule="auto"/>
        <w:ind w:right="176" w:rightChars="80"/>
        <w:rPr>
          <w:rFonts w:ascii="Arial" w:hAnsi="Arial" w:cs="Arial"/>
        </w:rPr>
      </w:pPr>
      <w:r>
        <w:rPr>
          <w:rFonts w:ascii="Arial" w:hAnsi="Arial" w:cs="Arial"/>
        </w:rPr>
        <w:t xml:space="preserve"> É facultado à licitante interessada em participar deste certame, mediante prévio</w:t>
      </w:r>
      <w:r>
        <w:rPr>
          <w:rFonts w:ascii="Arial" w:hAnsi="Arial" w:cs="Arial"/>
          <w:spacing w:val="1"/>
        </w:rPr>
        <w:t xml:space="preserve"> </w:t>
      </w:r>
      <w:r>
        <w:rPr>
          <w:rFonts w:ascii="Arial" w:hAnsi="Arial" w:cs="Arial"/>
          <w:spacing w:val="-1"/>
        </w:rPr>
        <w:t>agendamento</w:t>
      </w:r>
      <w:r>
        <w:rPr>
          <w:rFonts w:ascii="Arial" w:hAnsi="Arial" w:cs="Arial"/>
          <w:spacing w:val="-12"/>
        </w:rPr>
        <w:t xml:space="preserve"> </w:t>
      </w:r>
      <w:r>
        <w:rPr>
          <w:rFonts w:ascii="Arial" w:hAnsi="Arial" w:cs="Arial"/>
          <w:spacing w:val="-1"/>
        </w:rPr>
        <w:t>junto</w:t>
      </w:r>
      <w:r>
        <w:rPr>
          <w:rFonts w:ascii="Arial" w:hAnsi="Arial" w:cs="Arial"/>
          <w:spacing w:val="-15"/>
        </w:rPr>
        <w:t xml:space="preserve"> </w:t>
      </w:r>
      <w:r>
        <w:rPr>
          <w:rFonts w:ascii="Arial" w:hAnsi="Arial" w:cs="Arial"/>
          <w:spacing w:val="-1"/>
        </w:rPr>
        <w:t>à</w:t>
      </w:r>
      <w:r>
        <w:rPr>
          <w:rFonts w:ascii="Arial" w:hAnsi="Arial" w:cs="Arial"/>
          <w:spacing w:val="-13"/>
        </w:rPr>
        <w:t xml:space="preserve"> </w:t>
      </w:r>
      <w:r>
        <w:rPr>
          <w:rFonts w:ascii="Arial" w:hAnsi="Arial" w:cs="Arial"/>
          <w:spacing w:val="-1"/>
        </w:rPr>
        <w:t>Secretaria</w:t>
      </w:r>
      <w:r>
        <w:rPr>
          <w:rFonts w:ascii="Arial" w:hAnsi="Arial" w:cs="Arial"/>
          <w:spacing w:val="-13"/>
        </w:rPr>
        <w:t xml:space="preserve"> Municipal de Educação</w:t>
      </w:r>
      <w:r>
        <w:rPr>
          <w:rFonts w:ascii="Arial" w:hAnsi="Arial" w:cs="Arial"/>
          <w:spacing w:val="-10"/>
        </w:rPr>
        <w:t xml:space="preserve"> </w:t>
      </w:r>
      <w:r>
        <w:rPr>
          <w:rFonts w:ascii="Arial" w:hAnsi="Arial" w:cs="Arial"/>
        </w:rPr>
        <w:t>–</w:t>
      </w:r>
      <w:r>
        <w:rPr>
          <w:rFonts w:ascii="Arial" w:hAnsi="Arial" w:cs="Arial"/>
          <w:spacing w:val="-10"/>
        </w:rPr>
        <w:t xml:space="preserve"> </w:t>
      </w:r>
      <w:r>
        <w:rPr>
          <w:rFonts w:ascii="Arial" w:hAnsi="Arial" w:cs="Arial"/>
        </w:rPr>
        <w:t>SME,</w:t>
      </w:r>
      <w:r>
        <w:rPr>
          <w:rFonts w:ascii="Arial" w:hAnsi="Arial" w:cs="Arial"/>
          <w:spacing w:val="-15"/>
        </w:rPr>
        <w:t xml:space="preserve"> </w:t>
      </w:r>
      <w:r>
        <w:rPr>
          <w:rFonts w:ascii="Arial" w:hAnsi="Arial" w:cs="Arial"/>
        </w:rPr>
        <w:t>da Prefeitura Municipal de Sinop,</w:t>
      </w:r>
      <w:r>
        <w:rPr>
          <w:rFonts w:ascii="Arial" w:hAnsi="Arial" w:cs="Arial"/>
          <w:spacing w:val="-15"/>
        </w:rPr>
        <w:t xml:space="preserve"> </w:t>
      </w:r>
      <w:r>
        <w:rPr>
          <w:rFonts w:ascii="Arial" w:hAnsi="Arial" w:cs="Arial"/>
        </w:rPr>
        <w:t>realizar</w:t>
      </w:r>
      <w:r>
        <w:rPr>
          <w:rFonts w:ascii="Arial" w:hAnsi="Arial" w:cs="Arial"/>
          <w:spacing w:val="-16"/>
        </w:rPr>
        <w:t xml:space="preserve"> </w:t>
      </w:r>
      <w:r>
        <w:rPr>
          <w:rFonts w:ascii="Arial" w:hAnsi="Arial" w:cs="Arial"/>
        </w:rPr>
        <w:t xml:space="preserve">vistoria </w:t>
      </w:r>
      <w:r>
        <w:rPr>
          <w:rFonts w:ascii="Arial" w:hAnsi="Arial" w:cs="Arial"/>
          <w:spacing w:val="-57"/>
        </w:rPr>
        <w:t xml:space="preserve">  </w:t>
      </w:r>
      <w:r>
        <w:rPr>
          <w:rFonts w:ascii="Arial" w:hAnsi="Arial" w:cs="Arial"/>
        </w:rPr>
        <w:t>técnica nas Unidades Educativas, conforme item 2.4.5</w:t>
      </w:r>
      <w:r>
        <w:rPr>
          <w:rFonts w:ascii="Arial" w:hAnsi="Arial" w:cs="Arial"/>
          <w:b/>
          <w:bCs/>
        </w:rPr>
        <w:t>.</w:t>
      </w:r>
      <w:r>
        <w:rPr>
          <w:rFonts w:ascii="Arial" w:hAnsi="Arial" w:cs="Arial"/>
        </w:rPr>
        <w:t xml:space="preserve"> deste ETP, para</w:t>
      </w:r>
      <w:r>
        <w:rPr>
          <w:rFonts w:ascii="Arial" w:hAnsi="Arial" w:cs="Arial"/>
          <w:spacing w:val="1"/>
        </w:rPr>
        <w:t xml:space="preserve"> </w:t>
      </w:r>
      <w:r>
        <w:rPr>
          <w:rFonts w:ascii="Arial" w:hAnsi="Arial" w:eastAsia="SimSun" w:cs="Arial"/>
          <w:color w:val="000000"/>
        </w:rPr>
        <w:t xml:space="preserve">avaliação prévia de execução do </w:t>
      </w:r>
      <w:r>
        <w:rPr>
          <w:rFonts w:ascii="Arial" w:hAnsi="Arial" w:cs="Arial"/>
        </w:rPr>
        <w:t xml:space="preserve">objeto desta </w:t>
      </w:r>
      <w:r>
        <w:rPr>
          <w:rFonts w:ascii="Arial" w:hAnsi="Arial" w:eastAsia="SimSun" w:cs="Arial"/>
          <w:color w:val="000000"/>
          <w:lang w:eastAsia="zh-CN" w:bidi="ar"/>
        </w:rPr>
        <w:t>Licitação</w:t>
      </w:r>
      <w:r>
        <w:rPr>
          <w:rFonts w:ascii="Arial" w:hAnsi="Arial" w:cs="Arial"/>
        </w:rPr>
        <w:t>.</w:t>
      </w:r>
    </w:p>
    <w:p w14:paraId="2AEE8BC4">
      <w:pPr>
        <w:pStyle w:val="26"/>
        <w:numPr>
          <w:ilvl w:val="3"/>
          <w:numId w:val="3"/>
        </w:numPr>
        <w:spacing w:line="360" w:lineRule="auto"/>
        <w:ind w:left="440" w:leftChars="200" w:right="176" w:rightChars="80"/>
        <w:rPr>
          <w:rFonts w:ascii="Arial" w:hAnsi="Arial" w:cs="Arial"/>
        </w:rPr>
      </w:pPr>
      <w:r>
        <w:rPr>
          <w:rFonts w:ascii="Arial" w:hAnsi="Arial" w:cs="Arial"/>
        </w:rPr>
        <w:t xml:space="preserve"> A</w:t>
      </w:r>
      <w:r>
        <w:rPr>
          <w:rFonts w:ascii="Arial" w:hAnsi="Arial" w:cs="Arial"/>
          <w:spacing w:val="-7"/>
        </w:rPr>
        <w:t xml:space="preserve"> </w:t>
      </w:r>
      <w:r>
        <w:rPr>
          <w:rFonts w:ascii="Arial" w:hAnsi="Arial" w:cs="Arial"/>
        </w:rPr>
        <w:t>solicitação</w:t>
      </w:r>
      <w:r>
        <w:rPr>
          <w:rFonts w:ascii="Arial" w:hAnsi="Arial" w:cs="Arial"/>
          <w:spacing w:val="-7"/>
        </w:rPr>
        <w:t xml:space="preserve"> </w:t>
      </w:r>
      <w:r>
        <w:rPr>
          <w:rFonts w:ascii="Arial" w:hAnsi="Arial" w:cs="Arial"/>
        </w:rPr>
        <w:t>de</w:t>
      </w:r>
      <w:r>
        <w:rPr>
          <w:rFonts w:ascii="Arial" w:hAnsi="Arial" w:cs="Arial"/>
          <w:spacing w:val="-5"/>
        </w:rPr>
        <w:t xml:space="preserve"> </w:t>
      </w:r>
      <w:r>
        <w:rPr>
          <w:rFonts w:ascii="Arial" w:hAnsi="Arial" w:cs="Arial"/>
        </w:rPr>
        <w:t>agendamento</w:t>
      </w:r>
      <w:r>
        <w:rPr>
          <w:rFonts w:ascii="Arial" w:hAnsi="Arial" w:cs="Arial"/>
          <w:spacing w:val="-7"/>
        </w:rPr>
        <w:t xml:space="preserve"> </w:t>
      </w:r>
      <w:r>
        <w:rPr>
          <w:rFonts w:ascii="Arial" w:hAnsi="Arial" w:cs="Arial"/>
        </w:rPr>
        <w:t>de</w:t>
      </w:r>
      <w:r>
        <w:rPr>
          <w:rFonts w:ascii="Arial" w:hAnsi="Arial" w:cs="Arial"/>
          <w:spacing w:val="-5"/>
        </w:rPr>
        <w:t xml:space="preserve"> </w:t>
      </w:r>
      <w:r>
        <w:rPr>
          <w:rFonts w:ascii="Arial" w:hAnsi="Arial" w:cs="Arial"/>
        </w:rPr>
        <w:t>vistoria</w:t>
      </w:r>
      <w:r>
        <w:rPr>
          <w:rFonts w:ascii="Arial" w:hAnsi="Arial" w:cs="Arial"/>
          <w:spacing w:val="-4"/>
        </w:rPr>
        <w:t xml:space="preserve"> </w:t>
      </w:r>
      <w:r>
        <w:rPr>
          <w:rFonts w:ascii="Arial" w:hAnsi="Arial" w:cs="Arial"/>
        </w:rPr>
        <w:t>nas Unidades Educativas,</w:t>
      </w:r>
      <w:r>
        <w:rPr>
          <w:rFonts w:ascii="Arial" w:hAnsi="Arial" w:cs="Arial"/>
          <w:spacing w:val="-6"/>
        </w:rPr>
        <w:t xml:space="preserve"> </w:t>
      </w:r>
      <w:r>
        <w:rPr>
          <w:rFonts w:ascii="Arial" w:hAnsi="Arial"/>
        </w:rPr>
        <w:t>Permitido das 9:30 às 12h e das 15:30 às 17h do horário do MT, de segunda a sexta feira,</w:t>
      </w:r>
      <w:r>
        <w:rPr>
          <w:rFonts w:ascii="Arial" w:hAnsi="Arial" w:cs="Arial"/>
        </w:rPr>
        <w:t xml:space="preserve"> devendo ser agendada no Setor de Alimentação Escolar da Secretaria Municipal de Educação, no endereço Rua das Samambaias, 2439, Setor Industrial Sul, com a </w:t>
      </w:r>
      <w:r>
        <w:rPr>
          <w:rFonts w:ascii="Arial" w:hAnsi="Arial" w:cs="Arial"/>
          <w:color w:val="000000" w:themeColor="text1"/>
          <w14:textFill>
            <w14:solidFill>
              <w14:schemeClr w14:val="tx1"/>
            </w14:solidFill>
          </w14:textFill>
        </w:rPr>
        <w:t xml:space="preserve">Servidora </w:t>
      </w:r>
      <w:r>
        <w:rPr>
          <w:rFonts w:ascii="Arial" w:hAnsi="Arial" w:cs="Arial"/>
          <w:b/>
          <w:bCs/>
        </w:rPr>
        <w:t>Sônia Pereira Alexandre Fernandes</w:t>
      </w:r>
      <w:r>
        <w:rPr>
          <w:rFonts w:ascii="Arial" w:hAnsi="Arial" w:cs="Arial"/>
        </w:rPr>
        <w:t>, ou por meio do fone (66) 9.9615 9762</w:t>
      </w:r>
      <w:r>
        <w:rPr>
          <w:rFonts w:ascii="Arial" w:hAnsi="Arial"/>
        </w:rPr>
        <w:t>.</w:t>
      </w:r>
    </w:p>
    <w:p w14:paraId="1C749C65">
      <w:pPr>
        <w:pStyle w:val="26"/>
        <w:numPr>
          <w:ilvl w:val="3"/>
          <w:numId w:val="3"/>
        </w:numPr>
        <w:spacing w:line="360" w:lineRule="auto"/>
        <w:ind w:left="440" w:leftChars="200" w:right="176" w:rightChars="80"/>
        <w:rPr>
          <w:rFonts w:ascii="Arial" w:hAnsi="Arial" w:cs="Arial"/>
        </w:rPr>
      </w:pPr>
      <w:r>
        <w:rPr>
          <w:rFonts w:ascii="Arial" w:hAnsi="Arial" w:cs="Arial"/>
        </w:rPr>
        <w:t xml:space="preserve"> Não</w:t>
      </w:r>
      <w:r>
        <w:rPr>
          <w:rFonts w:ascii="Arial" w:hAnsi="Arial" w:cs="Arial"/>
          <w:spacing w:val="-11"/>
        </w:rPr>
        <w:t xml:space="preserve"> </w:t>
      </w:r>
      <w:r>
        <w:rPr>
          <w:rFonts w:ascii="Arial" w:hAnsi="Arial" w:cs="Arial"/>
        </w:rPr>
        <w:t>será</w:t>
      </w:r>
      <w:r>
        <w:rPr>
          <w:rFonts w:ascii="Arial" w:hAnsi="Arial" w:cs="Arial"/>
          <w:spacing w:val="-14"/>
        </w:rPr>
        <w:t xml:space="preserve"> </w:t>
      </w:r>
      <w:r>
        <w:rPr>
          <w:rFonts w:ascii="Arial" w:hAnsi="Arial" w:cs="Arial"/>
        </w:rPr>
        <w:t>realizada</w:t>
      </w:r>
      <w:r>
        <w:rPr>
          <w:rFonts w:ascii="Arial" w:hAnsi="Arial" w:cs="Arial"/>
          <w:spacing w:val="-12"/>
        </w:rPr>
        <w:t xml:space="preserve"> </w:t>
      </w:r>
      <w:r>
        <w:rPr>
          <w:rFonts w:ascii="Arial" w:hAnsi="Arial" w:cs="Arial"/>
        </w:rPr>
        <w:t>vistoria</w:t>
      </w:r>
      <w:r>
        <w:rPr>
          <w:rFonts w:ascii="Arial" w:hAnsi="Arial" w:cs="Arial"/>
          <w:spacing w:val="-14"/>
        </w:rPr>
        <w:t xml:space="preserve"> </w:t>
      </w:r>
      <w:r>
        <w:rPr>
          <w:rFonts w:ascii="Arial" w:hAnsi="Arial" w:cs="Arial"/>
        </w:rPr>
        <w:t>sem</w:t>
      </w:r>
      <w:r>
        <w:rPr>
          <w:rFonts w:ascii="Arial" w:hAnsi="Arial" w:cs="Arial"/>
          <w:spacing w:val="-13"/>
        </w:rPr>
        <w:t xml:space="preserve"> </w:t>
      </w:r>
      <w:r>
        <w:rPr>
          <w:rFonts w:ascii="Arial" w:hAnsi="Arial" w:cs="Arial"/>
        </w:rPr>
        <w:t>prévio</w:t>
      </w:r>
      <w:r>
        <w:rPr>
          <w:rFonts w:ascii="Arial" w:hAnsi="Arial" w:cs="Arial"/>
          <w:spacing w:val="-13"/>
        </w:rPr>
        <w:t xml:space="preserve"> </w:t>
      </w:r>
      <w:r>
        <w:rPr>
          <w:rFonts w:ascii="Arial" w:hAnsi="Arial" w:cs="Arial"/>
        </w:rPr>
        <w:t>agendamento</w:t>
      </w:r>
      <w:r>
        <w:rPr>
          <w:rFonts w:ascii="Arial" w:hAnsi="Arial" w:cs="Arial"/>
          <w:spacing w:val="-13"/>
        </w:rPr>
        <w:t xml:space="preserve"> </w:t>
      </w:r>
      <w:r>
        <w:rPr>
          <w:rFonts w:ascii="Arial" w:hAnsi="Arial" w:cs="Arial"/>
        </w:rPr>
        <w:t>ou</w:t>
      </w:r>
      <w:r>
        <w:rPr>
          <w:rFonts w:ascii="Arial" w:hAnsi="Arial" w:cs="Arial"/>
          <w:spacing w:val="-13"/>
        </w:rPr>
        <w:t xml:space="preserve"> </w:t>
      </w:r>
      <w:r>
        <w:rPr>
          <w:rFonts w:ascii="Arial" w:hAnsi="Arial" w:cs="Arial"/>
        </w:rPr>
        <w:t>fora</w:t>
      </w:r>
      <w:r>
        <w:rPr>
          <w:rFonts w:ascii="Arial" w:hAnsi="Arial" w:cs="Arial"/>
          <w:spacing w:val="-13"/>
        </w:rPr>
        <w:t xml:space="preserve"> </w:t>
      </w:r>
      <w:r>
        <w:rPr>
          <w:rFonts w:ascii="Arial" w:hAnsi="Arial" w:cs="Arial"/>
        </w:rPr>
        <w:t>do</w:t>
      </w:r>
      <w:r>
        <w:rPr>
          <w:rFonts w:ascii="Arial" w:hAnsi="Arial" w:cs="Arial"/>
          <w:spacing w:val="-11"/>
        </w:rPr>
        <w:t xml:space="preserve"> </w:t>
      </w:r>
      <w:r>
        <w:rPr>
          <w:rFonts w:ascii="Arial" w:hAnsi="Arial" w:cs="Arial"/>
        </w:rPr>
        <w:t>prazo</w:t>
      </w:r>
      <w:r>
        <w:rPr>
          <w:rFonts w:ascii="Arial" w:hAnsi="Arial" w:cs="Arial"/>
          <w:spacing w:val="-11"/>
        </w:rPr>
        <w:t xml:space="preserve"> </w:t>
      </w:r>
      <w:r>
        <w:rPr>
          <w:rFonts w:ascii="Arial" w:hAnsi="Arial" w:cs="Arial"/>
        </w:rPr>
        <w:t>estabelecido.</w:t>
      </w:r>
    </w:p>
    <w:p w14:paraId="40A09F64">
      <w:pPr>
        <w:pStyle w:val="26"/>
        <w:numPr>
          <w:ilvl w:val="3"/>
          <w:numId w:val="3"/>
        </w:numPr>
        <w:spacing w:line="360" w:lineRule="auto"/>
        <w:ind w:left="440" w:leftChars="200" w:right="176" w:rightChars="80"/>
        <w:rPr>
          <w:rFonts w:ascii="Arial" w:hAnsi="Arial" w:cs="Arial"/>
        </w:rPr>
      </w:pPr>
      <w:r>
        <w:rPr>
          <w:rFonts w:ascii="Arial" w:hAnsi="Arial" w:cs="Arial"/>
        </w:rPr>
        <w:t xml:space="preserve"> A</w:t>
      </w:r>
      <w:r>
        <w:rPr>
          <w:rFonts w:ascii="Arial" w:hAnsi="Arial" w:cs="Arial"/>
          <w:spacing w:val="-7"/>
        </w:rPr>
        <w:t xml:space="preserve"> </w:t>
      </w:r>
      <w:r>
        <w:rPr>
          <w:rFonts w:ascii="Arial" w:hAnsi="Arial" w:cs="Arial"/>
        </w:rPr>
        <w:t>vistoria</w:t>
      </w:r>
      <w:r>
        <w:rPr>
          <w:rFonts w:ascii="Arial" w:hAnsi="Arial" w:cs="Arial"/>
          <w:spacing w:val="-8"/>
        </w:rPr>
        <w:t xml:space="preserve"> </w:t>
      </w:r>
      <w:r>
        <w:rPr>
          <w:rFonts w:ascii="Arial" w:hAnsi="Arial" w:cs="Arial"/>
        </w:rPr>
        <w:t>poderá</w:t>
      </w:r>
      <w:r>
        <w:rPr>
          <w:rFonts w:ascii="Arial" w:hAnsi="Arial" w:cs="Arial"/>
          <w:spacing w:val="-7"/>
        </w:rPr>
        <w:t xml:space="preserve"> </w:t>
      </w:r>
      <w:r>
        <w:rPr>
          <w:rFonts w:ascii="Arial" w:hAnsi="Arial" w:cs="Arial"/>
        </w:rPr>
        <w:t>ser</w:t>
      </w:r>
      <w:r>
        <w:rPr>
          <w:rFonts w:ascii="Arial" w:hAnsi="Arial" w:cs="Arial"/>
          <w:spacing w:val="-8"/>
        </w:rPr>
        <w:t xml:space="preserve"> </w:t>
      </w:r>
      <w:r>
        <w:rPr>
          <w:rFonts w:ascii="Arial" w:hAnsi="Arial" w:cs="Arial"/>
        </w:rPr>
        <w:t>realizada</w:t>
      </w:r>
      <w:r>
        <w:rPr>
          <w:rFonts w:ascii="Arial" w:hAnsi="Arial" w:cs="Arial"/>
          <w:spacing w:val="-7"/>
        </w:rPr>
        <w:t xml:space="preserve"> </w:t>
      </w:r>
      <w:r>
        <w:rPr>
          <w:rFonts w:ascii="Arial" w:hAnsi="Arial" w:cs="Arial"/>
        </w:rPr>
        <w:t>por</w:t>
      </w:r>
      <w:r>
        <w:rPr>
          <w:rFonts w:ascii="Arial" w:hAnsi="Arial" w:cs="Arial"/>
          <w:spacing w:val="-8"/>
        </w:rPr>
        <w:t xml:space="preserve"> </w:t>
      </w:r>
      <w:r>
        <w:rPr>
          <w:rFonts w:ascii="Arial" w:hAnsi="Arial" w:cs="Arial"/>
        </w:rPr>
        <w:t>responsável</w:t>
      </w:r>
      <w:r>
        <w:rPr>
          <w:rFonts w:ascii="Arial" w:hAnsi="Arial" w:cs="Arial"/>
          <w:spacing w:val="-6"/>
        </w:rPr>
        <w:t xml:space="preserve"> </w:t>
      </w:r>
      <w:r>
        <w:rPr>
          <w:rFonts w:ascii="Arial" w:hAnsi="Arial" w:cs="Arial"/>
        </w:rPr>
        <w:t>técnico</w:t>
      </w:r>
      <w:r>
        <w:rPr>
          <w:rFonts w:ascii="Arial" w:hAnsi="Arial" w:cs="Arial"/>
          <w:spacing w:val="-7"/>
        </w:rPr>
        <w:t xml:space="preserve"> </w:t>
      </w:r>
      <w:r>
        <w:rPr>
          <w:rFonts w:ascii="Arial" w:hAnsi="Arial" w:cs="Arial"/>
        </w:rPr>
        <w:t>ou</w:t>
      </w:r>
      <w:r>
        <w:rPr>
          <w:rFonts w:ascii="Arial" w:hAnsi="Arial" w:cs="Arial"/>
          <w:spacing w:val="-6"/>
        </w:rPr>
        <w:t xml:space="preserve"> </w:t>
      </w:r>
      <w:r>
        <w:rPr>
          <w:rFonts w:ascii="Arial" w:hAnsi="Arial" w:cs="Arial"/>
        </w:rPr>
        <w:t>representante</w:t>
      </w:r>
      <w:r>
        <w:rPr>
          <w:rFonts w:ascii="Arial" w:hAnsi="Arial" w:cs="Arial"/>
          <w:spacing w:val="-8"/>
        </w:rPr>
        <w:t xml:space="preserve"> </w:t>
      </w:r>
      <w:r>
        <w:rPr>
          <w:rFonts w:ascii="Arial" w:hAnsi="Arial" w:cs="Arial"/>
        </w:rPr>
        <w:t>da</w:t>
      </w:r>
      <w:r>
        <w:rPr>
          <w:rFonts w:ascii="Arial" w:hAnsi="Arial" w:cs="Arial"/>
          <w:spacing w:val="-7"/>
        </w:rPr>
        <w:t xml:space="preserve"> </w:t>
      </w:r>
      <w:r>
        <w:rPr>
          <w:rFonts w:ascii="Arial" w:hAnsi="Arial" w:cs="Arial"/>
        </w:rPr>
        <w:t>pessoa</w:t>
      </w:r>
      <w:r>
        <w:rPr>
          <w:rFonts w:ascii="Arial" w:hAnsi="Arial" w:cs="Arial"/>
          <w:spacing w:val="-58"/>
        </w:rPr>
        <w:t xml:space="preserve"> </w:t>
      </w:r>
      <w:r>
        <w:rPr>
          <w:rFonts w:ascii="Arial" w:hAnsi="Arial" w:cs="Arial"/>
        </w:rPr>
        <w:t>jurídica interessada em participar da licitação, que deverá comparecer municiado de</w:t>
      </w:r>
      <w:r>
        <w:rPr>
          <w:rFonts w:ascii="Arial" w:hAnsi="Arial" w:cs="Arial"/>
          <w:spacing w:val="1"/>
        </w:rPr>
        <w:t xml:space="preserve"> </w:t>
      </w:r>
      <w:r>
        <w:rPr>
          <w:rFonts w:ascii="Arial" w:hAnsi="Arial" w:cs="Arial"/>
        </w:rPr>
        <w:t>identificação</w:t>
      </w:r>
      <w:r>
        <w:rPr>
          <w:rFonts w:ascii="Arial" w:hAnsi="Arial" w:cs="Arial"/>
          <w:spacing w:val="-1"/>
        </w:rPr>
        <w:t xml:space="preserve"> </w:t>
      </w:r>
      <w:r>
        <w:rPr>
          <w:rFonts w:ascii="Arial" w:hAnsi="Arial" w:cs="Arial"/>
        </w:rPr>
        <w:t>pessoal</w:t>
      </w:r>
      <w:r>
        <w:rPr>
          <w:rFonts w:ascii="Arial" w:hAnsi="Arial" w:cs="Arial"/>
          <w:spacing w:val="-1"/>
        </w:rPr>
        <w:t xml:space="preserve"> </w:t>
      </w:r>
      <w:r>
        <w:rPr>
          <w:rFonts w:ascii="Arial" w:hAnsi="Arial" w:cs="Arial"/>
        </w:rPr>
        <w:t>e</w:t>
      </w:r>
      <w:r>
        <w:rPr>
          <w:rFonts w:ascii="Arial" w:hAnsi="Arial" w:cs="Arial"/>
          <w:spacing w:val="-2"/>
        </w:rPr>
        <w:t xml:space="preserve"> </w:t>
      </w:r>
      <w:r>
        <w:rPr>
          <w:rFonts w:ascii="Arial" w:hAnsi="Arial" w:cs="Arial"/>
        </w:rPr>
        <w:t>do comprovante</w:t>
      </w:r>
      <w:r>
        <w:rPr>
          <w:rFonts w:ascii="Arial" w:hAnsi="Arial" w:cs="Arial"/>
          <w:spacing w:val="-2"/>
        </w:rPr>
        <w:t xml:space="preserve"> </w:t>
      </w:r>
      <w:r>
        <w:rPr>
          <w:rFonts w:ascii="Arial" w:hAnsi="Arial" w:cs="Arial"/>
        </w:rPr>
        <w:t>de</w:t>
      </w:r>
      <w:r>
        <w:rPr>
          <w:rFonts w:ascii="Arial" w:hAnsi="Arial" w:cs="Arial"/>
          <w:spacing w:val="-2"/>
        </w:rPr>
        <w:t xml:space="preserve"> </w:t>
      </w:r>
      <w:r>
        <w:rPr>
          <w:rFonts w:ascii="Arial" w:hAnsi="Arial" w:cs="Arial"/>
        </w:rPr>
        <w:t>vínculo com</w:t>
      </w:r>
      <w:r>
        <w:rPr>
          <w:rFonts w:ascii="Arial" w:hAnsi="Arial" w:cs="Arial"/>
          <w:spacing w:val="-1"/>
        </w:rPr>
        <w:t xml:space="preserve"> </w:t>
      </w:r>
      <w:r>
        <w:rPr>
          <w:rFonts w:ascii="Arial" w:hAnsi="Arial" w:cs="Arial"/>
        </w:rPr>
        <w:t>a</w:t>
      </w:r>
      <w:r>
        <w:rPr>
          <w:rFonts w:ascii="Arial" w:hAnsi="Arial" w:cs="Arial"/>
          <w:spacing w:val="-2"/>
        </w:rPr>
        <w:t xml:space="preserve"> </w:t>
      </w:r>
      <w:r>
        <w:rPr>
          <w:rFonts w:ascii="Arial" w:hAnsi="Arial" w:cs="Arial"/>
        </w:rPr>
        <w:t>empresa</w:t>
      </w:r>
      <w:r>
        <w:rPr>
          <w:rFonts w:ascii="Arial" w:hAnsi="Arial" w:cs="Arial"/>
          <w:spacing w:val="-1"/>
        </w:rPr>
        <w:t xml:space="preserve"> </w:t>
      </w:r>
      <w:r>
        <w:rPr>
          <w:rFonts w:ascii="Arial" w:hAnsi="Arial" w:cs="Arial"/>
        </w:rPr>
        <w:t>ou</w:t>
      </w:r>
      <w:r>
        <w:rPr>
          <w:rFonts w:ascii="Arial" w:hAnsi="Arial" w:cs="Arial"/>
          <w:spacing w:val="-1"/>
        </w:rPr>
        <w:t xml:space="preserve"> </w:t>
      </w:r>
      <w:r>
        <w:rPr>
          <w:rFonts w:ascii="Arial" w:hAnsi="Arial" w:cs="Arial"/>
        </w:rPr>
        <w:t>de</w:t>
      </w:r>
      <w:r>
        <w:rPr>
          <w:rFonts w:ascii="Arial" w:hAnsi="Arial" w:cs="Arial"/>
          <w:spacing w:val="-2"/>
        </w:rPr>
        <w:t xml:space="preserve"> </w:t>
      </w:r>
      <w:r>
        <w:rPr>
          <w:rFonts w:ascii="Arial" w:hAnsi="Arial" w:cs="Arial"/>
        </w:rPr>
        <w:t>procuração.</w:t>
      </w:r>
    </w:p>
    <w:p w14:paraId="6D0F8ADA">
      <w:pPr>
        <w:pStyle w:val="26"/>
        <w:numPr>
          <w:ilvl w:val="3"/>
          <w:numId w:val="3"/>
        </w:numPr>
        <w:spacing w:line="360" w:lineRule="auto"/>
        <w:ind w:left="440" w:leftChars="200" w:right="176" w:rightChars="80"/>
        <w:rPr>
          <w:rFonts w:ascii="Arial" w:hAnsi="Arial" w:cs="Arial"/>
        </w:rPr>
      </w:pPr>
      <w:r>
        <w:rPr>
          <w:rFonts w:ascii="Arial" w:hAnsi="Arial" w:cs="Arial"/>
        </w:rPr>
        <w:t xml:space="preserve"> A comprovação do vínculo poderá ser feita por meio de contrato de</w:t>
      </w:r>
      <w:r>
        <w:rPr>
          <w:rFonts w:ascii="Arial" w:hAnsi="Arial" w:cs="Arial"/>
          <w:spacing w:val="1"/>
        </w:rPr>
        <w:t xml:space="preserve"> </w:t>
      </w:r>
      <w:r>
        <w:rPr>
          <w:rFonts w:ascii="Arial" w:hAnsi="Arial" w:cs="Arial"/>
        </w:rPr>
        <w:t>trabalho, contrato provisório de trabalho, contrato de prestação de serviço ou</w:t>
      </w:r>
      <w:r>
        <w:rPr>
          <w:rFonts w:ascii="Arial" w:hAnsi="Arial" w:cs="Arial"/>
          <w:spacing w:val="1"/>
        </w:rPr>
        <w:t xml:space="preserve"> </w:t>
      </w:r>
      <w:r>
        <w:rPr>
          <w:rFonts w:ascii="Arial" w:hAnsi="Arial" w:cs="Arial"/>
        </w:rPr>
        <w:t>contrato</w:t>
      </w:r>
      <w:r>
        <w:rPr>
          <w:rFonts w:ascii="Arial" w:hAnsi="Arial" w:cs="Arial"/>
          <w:spacing w:val="-1"/>
        </w:rPr>
        <w:t xml:space="preserve"> </w:t>
      </w:r>
      <w:r>
        <w:rPr>
          <w:rFonts w:ascii="Arial" w:hAnsi="Arial" w:cs="Arial"/>
        </w:rPr>
        <w:t>social da empresa</w:t>
      </w:r>
      <w:r>
        <w:rPr>
          <w:rFonts w:ascii="Arial" w:hAnsi="Arial" w:cs="Arial"/>
          <w:spacing w:val="-1"/>
        </w:rPr>
        <w:t xml:space="preserve"> </w:t>
      </w:r>
      <w:r>
        <w:rPr>
          <w:rFonts w:ascii="Arial" w:hAnsi="Arial" w:cs="Arial"/>
        </w:rPr>
        <w:t>(no caso</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sócio ou</w:t>
      </w:r>
      <w:r>
        <w:rPr>
          <w:rFonts w:ascii="Arial" w:hAnsi="Arial" w:cs="Arial"/>
          <w:spacing w:val="1"/>
        </w:rPr>
        <w:t xml:space="preserve"> </w:t>
      </w:r>
      <w:r>
        <w:rPr>
          <w:rFonts w:ascii="Arial" w:hAnsi="Arial" w:cs="Arial"/>
        </w:rPr>
        <w:t>gerente).</w:t>
      </w:r>
    </w:p>
    <w:p w14:paraId="084ED0FF">
      <w:pPr>
        <w:pStyle w:val="26"/>
        <w:numPr>
          <w:ilvl w:val="3"/>
          <w:numId w:val="3"/>
        </w:numPr>
        <w:spacing w:line="360" w:lineRule="auto"/>
        <w:ind w:left="440" w:leftChars="200" w:right="176" w:rightChars="80"/>
        <w:rPr>
          <w:rFonts w:ascii="Arial" w:hAnsi="Arial" w:cs="Arial"/>
        </w:rPr>
      </w:pPr>
      <w:r>
        <w:rPr>
          <w:rFonts w:ascii="Arial" w:hAnsi="Arial" w:cs="Arial"/>
        </w:rPr>
        <w:t xml:space="preserve"> Caso o vistoriador não atenda aos requisitos do item 4.4.1.4. não será</w:t>
      </w:r>
      <w:r>
        <w:rPr>
          <w:rFonts w:ascii="Arial" w:hAnsi="Arial" w:cs="Arial"/>
          <w:spacing w:val="1"/>
        </w:rPr>
        <w:t xml:space="preserve"> </w:t>
      </w:r>
      <w:r>
        <w:rPr>
          <w:rFonts w:ascii="Arial" w:hAnsi="Arial" w:cs="Arial"/>
        </w:rPr>
        <w:t>executada</w:t>
      </w:r>
      <w:r>
        <w:rPr>
          <w:rFonts w:ascii="Arial" w:hAnsi="Arial" w:cs="Arial"/>
          <w:spacing w:val="-2"/>
        </w:rPr>
        <w:t xml:space="preserve"> </w:t>
      </w:r>
      <w:r>
        <w:rPr>
          <w:rFonts w:ascii="Arial" w:hAnsi="Arial" w:cs="Arial"/>
        </w:rPr>
        <w:t>a</w:t>
      </w:r>
      <w:r>
        <w:rPr>
          <w:rFonts w:ascii="Arial" w:hAnsi="Arial" w:cs="Arial"/>
          <w:spacing w:val="-1"/>
        </w:rPr>
        <w:t xml:space="preserve"> </w:t>
      </w:r>
      <w:r>
        <w:rPr>
          <w:rFonts w:ascii="Arial" w:hAnsi="Arial" w:cs="Arial"/>
        </w:rPr>
        <w:t>vistoria.</w:t>
      </w:r>
    </w:p>
    <w:p w14:paraId="52B48D98">
      <w:pPr>
        <w:pStyle w:val="26"/>
        <w:numPr>
          <w:ilvl w:val="3"/>
          <w:numId w:val="3"/>
        </w:numPr>
        <w:spacing w:line="360" w:lineRule="auto"/>
        <w:ind w:left="440" w:leftChars="200" w:right="176" w:rightChars="80"/>
        <w:rPr>
          <w:rFonts w:ascii="Arial" w:hAnsi="Arial" w:cs="Arial"/>
        </w:rPr>
      </w:pPr>
      <w:r>
        <w:rPr>
          <w:rFonts w:ascii="Arial" w:hAnsi="Arial" w:cs="Arial"/>
        </w:rPr>
        <w:t xml:space="preserve"> Realizada a vistoria, a licitante receberá o Termo de Vistoria emitido pela Secretaria Municipal de Educação</w:t>
      </w:r>
      <w:r>
        <w:rPr>
          <w:rFonts w:ascii="Arial" w:hAnsi="Arial" w:cs="Arial"/>
          <w:spacing w:val="-2"/>
        </w:rPr>
        <w:t xml:space="preserve"> </w:t>
      </w:r>
      <w:r>
        <w:rPr>
          <w:rFonts w:ascii="Arial" w:hAnsi="Arial" w:cs="Arial"/>
        </w:rPr>
        <w:t>– SME.</w:t>
      </w:r>
    </w:p>
    <w:p w14:paraId="73A8DA94">
      <w:pPr>
        <w:pStyle w:val="26"/>
        <w:numPr>
          <w:ilvl w:val="3"/>
          <w:numId w:val="3"/>
        </w:numPr>
        <w:spacing w:line="360" w:lineRule="auto"/>
        <w:ind w:left="440" w:leftChars="200" w:right="176" w:rightChars="80"/>
        <w:rPr>
          <w:rFonts w:ascii="Arial" w:hAnsi="Arial" w:cs="Arial"/>
        </w:rPr>
      </w:pPr>
      <w:r>
        <w:rPr>
          <w:rFonts w:ascii="Arial" w:hAnsi="Arial" w:cs="Arial"/>
        </w:rPr>
        <w:t xml:space="preserve"> Caso a interessada opte por não realizar vistoria prévia, firmará Declaração de Dispensa</w:t>
      </w:r>
      <w:r>
        <w:rPr>
          <w:rFonts w:ascii="Arial" w:hAnsi="Arial" w:cs="Arial"/>
          <w:spacing w:val="1"/>
        </w:rPr>
        <w:t xml:space="preserve"> </w:t>
      </w:r>
      <w:r>
        <w:rPr>
          <w:rFonts w:ascii="Arial" w:hAnsi="Arial" w:cs="Arial"/>
        </w:rPr>
        <w:t>de Vistoria, assinada pelo responsável da licitante, na qual atestará o conhecimento</w:t>
      </w:r>
      <w:r>
        <w:rPr>
          <w:rFonts w:ascii="Arial" w:hAnsi="Arial" w:cs="Arial"/>
          <w:spacing w:val="1"/>
        </w:rPr>
        <w:t xml:space="preserve"> </w:t>
      </w:r>
      <w:r>
        <w:rPr>
          <w:rFonts w:ascii="Arial" w:hAnsi="Arial" w:cs="Arial"/>
        </w:rPr>
        <w:t>pleno das</w:t>
      </w:r>
      <w:r>
        <w:rPr>
          <w:rFonts w:ascii="Arial" w:hAnsi="Arial" w:cs="Arial"/>
          <w:spacing w:val="-12"/>
        </w:rPr>
        <w:t xml:space="preserve"> </w:t>
      </w:r>
      <w:r>
        <w:rPr>
          <w:rFonts w:ascii="Arial" w:hAnsi="Arial" w:cs="Arial"/>
        </w:rPr>
        <w:t xml:space="preserve">Unidades Educativas conforme </w:t>
      </w:r>
      <w:r>
        <w:rPr>
          <w:rFonts w:ascii="Arial" w:hAnsi="Arial" w:cs="Arial"/>
          <w:b/>
          <w:bCs/>
        </w:rPr>
        <w:t>item 2.4.13.</w:t>
      </w:r>
      <w:r>
        <w:rPr>
          <w:rFonts w:ascii="Arial" w:hAnsi="Arial" w:cs="Arial"/>
        </w:rPr>
        <w:t xml:space="preserve"> deste ETP e das</w:t>
      </w:r>
      <w:r>
        <w:rPr>
          <w:rFonts w:ascii="Arial" w:hAnsi="Arial" w:cs="Arial"/>
          <w:spacing w:val="-12"/>
        </w:rPr>
        <w:t xml:space="preserve"> </w:t>
      </w:r>
      <w:r>
        <w:rPr>
          <w:rFonts w:ascii="Arial" w:hAnsi="Arial" w:cs="Arial"/>
        </w:rPr>
        <w:t>peculiaridades</w:t>
      </w:r>
      <w:r>
        <w:rPr>
          <w:rFonts w:ascii="Arial" w:hAnsi="Arial" w:cs="Arial"/>
          <w:spacing w:val="-12"/>
        </w:rPr>
        <w:t xml:space="preserve"> </w:t>
      </w:r>
      <w:r>
        <w:rPr>
          <w:rFonts w:ascii="Arial" w:hAnsi="Arial" w:cs="Arial"/>
        </w:rPr>
        <w:t>da</w:t>
      </w:r>
      <w:r>
        <w:rPr>
          <w:rFonts w:ascii="Arial" w:hAnsi="Arial" w:cs="Arial"/>
          <w:spacing w:val="-12"/>
        </w:rPr>
        <w:t xml:space="preserve"> </w:t>
      </w:r>
      <w:r>
        <w:rPr>
          <w:rFonts w:ascii="Arial" w:hAnsi="Arial" w:cs="Arial"/>
        </w:rPr>
        <w:t>contratação,</w:t>
      </w:r>
      <w:r>
        <w:rPr>
          <w:rFonts w:ascii="Arial" w:hAnsi="Arial" w:cs="Arial"/>
          <w:spacing w:val="-12"/>
        </w:rPr>
        <w:t xml:space="preserve"> </w:t>
      </w:r>
      <w:r>
        <w:rPr>
          <w:rFonts w:ascii="Arial" w:hAnsi="Arial" w:cs="Arial"/>
        </w:rPr>
        <w:t>assumindo</w:t>
      </w:r>
      <w:r>
        <w:rPr>
          <w:rFonts w:ascii="Arial" w:hAnsi="Arial" w:cs="Arial"/>
          <w:spacing w:val="-11"/>
        </w:rPr>
        <w:t xml:space="preserve"> </w:t>
      </w:r>
      <w:r>
        <w:rPr>
          <w:rFonts w:ascii="Arial" w:hAnsi="Arial" w:cs="Arial"/>
        </w:rPr>
        <w:t>todo</w:t>
      </w:r>
      <w:r>
        <w:rPr>
          <w:rFonts w:ascii="Arial" w:hAnsi="Arial" w:cs="Arial"/>
          <w:spacing w:val="-12"/>
        </w:rPr>
        <w:t xml:space="preserve"> </w:t>
      </w:r>
      <w:r>
        <w:rPr>
          <w:rFonts w:ascii="Arial" w:hAnsi="Arial" w:cs="Arial"/>
        </w:rPr>
        <w:t>e</w:t>
      </w:r>
      <w:r>
        <w:rPr>
          <w:rFonts w:ascii="Arial" w:hAnsi="Arial" w:cs="Arial"/>
          <w:spacing w:val="-13"/>
        </w:rPr>
        <w:t xml:space="preserve"> </w:t>
      </w:r>
      <w:r>
        <w:rPr>
          <w:rFonts w:ascii="Arial" w:hAnsi="Arial" w:cs="Arial"/>
        </w:rPr>
        <w:t>qualquer</w:t>
      </w:r>
      <w:r>
        <w:rPr>
          <w:rFonts w:ascii="Arial" w:hAnsi="Arial" w:cs="Arial"/>
          <w:spacing w:val="-12"/>
        </w:rPr>
        <w:t xml:space="preserve"> </w:t>
      </w:r>
      <w:r>
        <w:rPr>
          <w:rFonts w:ascii="Arial" w:hAnsi="Arial" w:cs="Arial"/>
        </w:rPr>
        <w:t>risco</w:t>
      </w:r>
      <w:r>
        <w:rPr>
          <w:rFonts w:ascii="Arial" w:hAnsi="Arial" w:cs="Arial"/>
          <w:spacing w:val="-58"/>
        </w:rPr>
        <w:t xml:space="preserve"> </w:t>
      </w:r>
      <w:r>
        <w:rPr>
          <w:rFonts w:ascii="Arial" w:hAnsi="Arial" w:cs="Arial"/>
        </w:rPr>
        <w:t>por</w:t>
      </w:r>
      <w:r>
        <w:rPr>
          <w:rFonts w:ascii="Arial" w:hAnsi="Arial" w:cs="Arial"/>
          <w:spacing w:val="5"/>
        </w:rPr>
        <w:t xml:space="preserve"> </w:t>
      </w:r>
      <w:r>
        <w:rPr>
          <w:rFonts w:ascii="Arial" w:hAnsi="Arial" w:cs="Arial"/>
        </w:rPr>
        <w:t>sua</w:t>
      </w:r>
      <w:r>
        <w:rPr>
          <w:rFonts w:ascii="Arial" w:hAnsi="Arial" w:cs="Arial"/>
          <w:spacing w:val="5"/>
        </w:rPr>
        <w:t xml:space="preserve"> </w:t>
      </w:r>
      <w:r>
        <w:rPr>
          <w:rFonts w:ascii="Arial" w:hAnsi="Arial" w:cs="Arial"/>
        </w:rPr>
        <w:t>decisão</w:t>
      </w:r>
      <w:r>
        <w:rPr>
          <w:rFonts w:ascii="Arial" w:hAnsi="Arial" w:cs="Arial"/>
          <w:spacing w:val="8"/>
        </w:rPr>
        <w:t xml:space="preserve"> </w:t>
      </w:r>
      <w:r>
        <w:rPr>
          <w:rFonts w:ascii="Arial" w:hAnsi="Arial" w:cs="Arial"/>
        </w:rPr>
        <w:t>e</w:t>
      </w:r>
      <w:r>
        <w:rPr>
          <w:rFonts w:ascii="Arial" w:hAnsi="Arial" w:cs="Arial"/>
          <w:spacing w:val="6"/>
        </w:rPr>
        <w:t xml:space="preserve"> </w:t>
      </w:r>
      <w:r>
        <w:rPr>
          <w:rFonts w:ascii="Arial" w:hAnsi="Arial" w:cs="Arial"/>
        </w:rPr>
        <w:t>se</w:t>
      </w:r>
      <w:r>
        <w:rPr>
          <w:rFonts w:ascii="Arial" w:hAnsi="Arial" w:cs="Arial"/>
          <w:spacing w:val="5"/>
        </w:rPr>
        <w:t xml:space="preserve"> </w:t>
      </w:r>
      <w:r>
        <w:rPr>
          <w:rFonts w:ascii="Arial" w:hAnsi="Arial" w:cs="Arial"/>
        </w:rPr>
        <w:t>comprometendo</w:t>
      </w:r>
      <w:r>
        <w:rPr>
          <w:rFonts w:ascii="Arial" w:hAnsi="Arial" w:cs="Arial"/>
          <w:spacing w:val="6"/>
        </w:rPr>
        <w:t xml:space="preserve"> </w:t>
      </w:r>
      <w:r>
        <w:rPr>
          <w:rFonts w:ascii="Arial" w:hAnsi="Arial" w:cs="Arial"/>
        </w:rPr>
        <w:t>a</w:t>
      </w:r>
      <w:r>
        <w:rPr>
          <w:rFonts w:ascii="Arial" w:hAnsi="Arial" w:cs="Arial"/>
          <w:spacing w:val="6"/>
        </w:rPr>
        <w:t xml:space="preserve"> </w:t>
      </w:r>
      <w:r>
        <w:rPr>
          <w:rFonts w:ascii="Arial" w:hAnsi="Arial" w:cs="Arial"/>
        </w:rPr>
        <w:t>prestar</w:t>
      </w:r>
      <w:r>
        <w:rPr>
          <w:rFonts w:ascii="Arial" w:hAnsi="Arial" w:cs="Arial"/>
          <w:spacing w:val="5"/>
        </w:rPr>
        <w:t xml:space="preserve"> </w:t>
      </w:r>
      <w:r>
        <w:rPr>
          <w:rFonts w:ascii="Arial" w:hAnsi="Arial" w:cs="Arial"/>
        </w:rPr>
        <w:t>fielmente</w:t>
      </w:r>
      <w:r>
        <w:rPr>
          <w:rFonts w:ascii="Arial" w:hAnsi="Arial" w:cs="Arial"/>
          <w:spacing w:val="5"/>
        </w:rPr>
        <w:t xml:space="preserve"> </w:t>
      </w:r>
      <w:r>
        <w:rPr>
          <w:rFonts w:ascii="Arial" w:hAnsi="Arial" w:cs="Arial"/>
        </w:rPr>
        <w:t>o</w:t>
      </w:r>
      <w:r>
        <w:rPr>
          <w:rFonts w:ascii="Arial" w:hAnsi="Arial" w:cs="Arial"/>
          <w:spacing w:val="6"/>
        </w:rPr>
        <w:t xml:space="preserve"> </w:t>
      </w:r>
      <w:r>
        <w:rPr>
          <w:rFonts w:ascii="Arial" w:hAnsi="Arial" w:cs="Arial"/>
        </w:rPr>
        <w:t>serviço</w:t>
      </w:r>
      <w:r>
        <w:rPr>
          <w:rFonts w:ascii="Arial" w:hAnsi="Arial" w:cs="Arial"/>
          <w:spacing w:val="7"/>
        </w:rPr>
        <w:t xml:space="preserve"> </w:t>
      </w:r>
      <w:r>
        <w:rPr>
          <w:rFonts w:ascii="Arial" w:hAnsi="Arial" w:cs="Arial"/>
        </w:rPr>
        <w:t>nos</w:t>
      </w:r>
      <w:r>
        <w:rPr>
          <w:rFonts w:ascii="Arial" w:hAnsi="Arial" w:cs="Arial"/>
          <w:spacing w:val="6"/>
        </w:rPr>
        <w:t xml:space="preserve"> </w:t>
      </w:r>
      <w:r>
        <w:rPr>
          <w:rFonts w:ascii="Arial" w:hAnsi="Arial" w:cs="Arial"/>
        </w:rPr>
        <w:t>termos</w:t>
      </w:r>
      <w:r>
        <w:rPr>
          <w:rFonts w:ascii="Arial" w:hAnsi="Arial" w:cs="Arial"/>
          <w:spacing w:val="6"/>
        </w:rPr>
        <w:t xml:space="preserve"> </w:t>
      </w:r>
      <w:r>
        <w:rPr>
          <w:rFonts w:ascii="Arial" w:hAnsi="Arial" w:cs="Arial"/>
        </w:rPr>
        <w:t>de</w:t>
      </w:r>
      <w:r>
        <w:rPr>
          <w:rFonts w:ascii="Arial" w:hAnsi="Arial" w:cs="Arial"/>
          <w:spacing w:val="6"/>
        </w:rPr>
        <w:t xml:space="preserve"> </w:t>
      </w:r>
      <w:r>
        <w:rPr>
          <w:rFonts w:ascii="Arial" w:hAnsi="Arial" w:cs="Arial"/>
        </w:rPr>
        <w:t>sua</w:t>
      </w:r>
      <w:r>
        <w:rPr>
          <w:rFonts w:ascii="Arial" w:hAnsi="Arial" w:cs="Arial"/>
          <w:spacing w:val="5"/>
        </w:rPr>
        <w:t xml:space="preserve"> </w:t>
      </w:r>
      <w:r>
        <w:rPr>
          <w:rFonts w:ascii="Arial" w:hAnsi="Arial" w:cs="Arial"/>
        </w:rPr>
        <w:t>proposta</w:t>
      </w:r>
      <w:r>
        <w:rPr>
          <w:rFonts w:ascii="Arial" w:hAnsi="Arial" w:cs="Arial"/>
          <w:spacing w:val="-58"/>
        </w:rPr>
        <w:t xml:space="preserve"> </w:t>
      </w:r>
      <w:r>
        <w:rPr>
          <w:rFonts w:ascii="Arial" w:hAnsi="Arial" w:cs="Arial"/>
        </w:rPr>
        <w:t>e</w:t>
      </w:r>
      <w:r>
        <w:rPr>
          <w:rFonts w:ascii="Arial" w:hAnsi="Arial" w:cs="Arial"/>
          <w:spacing w:val="-2"/>
        </w:rPr>
        <w:t xml:space="preserve"> </w:t>
      </w:r>
      <w:r>
        <w:rPr>
          <w:rFonts w:ascii="Arial" w:hAnsi="Arial" w:cs="Arial"/>
        </w:rPr>
        <w:t>do presente</w:t>
      </w:r>
      <w:r>
        <w:rPr>
          <w:rFonts w:ascii="Arial" w:hAnsi="Arial" w:cs="Arial"/>
          <w:spacing w:val="-1"/>
        </w:rPr>
        <w:t xml:space="preserve">  no </w:t>
      </w:r>
      <w:r>
        <w:rPr>
          <w:rFonts w:ascii="Arial" w:hAnsi="Arial" w:cs="Arial"/>
        </w:rPr>
        <w:t>edital.</w:t>
      </w:r>
    </w:p>
    <w:p w14:paraId="2FD66238">
      <w:pPr>
        <w:pStyle w:val="26"/>
        <w:numPr>
          <w:ilvl w:val="3"/>
          <w:numId w:val="3"/>
        </w:numPr>
        <w:spacing w:line="360" w:lineRule="auto"/>
        <w:ind w:left="440" w:leftChars="200" w:right="176" w:rightChars="80"/>
        <w:rPr>
          <w:rFonts w:ascii="Arial" w:hAnsi="Arial" w:cs="Arial"/>
        </w:rPr>
      </w:pPr>
      <w:r>
        <w:rPr>
          <w:rFonts w:ascii="Arial" w:hAnsi="Arial" w:cs="Arial"/>
        </w:rPr>
        <w:t>O Termo de Vistoria ou a Declaração de Dispensa de Vistoria deverá ser apresentado(a)</w:t>
      </w:r>
      <w:r>
        <w:rPr>
          <w:rFonts w:ascii="Arial" w:hAnsi="Arial" w:cs="Arial"/>
          <w:spacing w:val="1"/>
        </w:rPr>
        <w:t xml:space="preserve"> </w:t>
      </w:r>
      <w:r>
        <w:rPr>
          <w:rFonts w:ascii="Arial" w:hAnsi="Arial" w:cs="Arial"/>
        </w:rPr>
        <w:t>junto com a documentação de habilitação. A não apresentação dos mencionados documentos</w:t>
      </w:r>
      <w:r>
        <w:rPr>
          <w:rFonts w:ascii="Arial" w:hAnsi="Arial" w:cs="Arial"/>
          <w:spacing w:val="1"/>
        </w:rPr>
        <w:t xml:space="preserve"> </w:t>
      </w:r>
      <w:r>
        <w:rPr>
          <w:rFonts w:ascii="Arial" w:hAnsi="Arial" w:cs="Arial"/>
          <w:spacing w:val="-1"/>
        </w:rPr>
        <w:t>implica</w:t>
      </w:r>
      <w:r>
        <w:rPr>
          <w:rFonts w:ascii="Arial" w:hAnsi="Arial" w:cs="Arial"/>
          <w:spacing w:val="-16"/>
        </w:rPr>
        <w:t xml:space="preserve"> </w:t>
      </w:r>
      <w:r>
        <w:rPr>
          <w:rFonts w:ascii="Arial" w:hAnsi="Arial" w:cs="Arial"/>
          <w:spacing w:val="-1"/>
        </w:rPr>
        <w:t>aceitação</w:t>
      </w:r>
      <w:r>
        <w:rPr>
          <w:rFonts w:ascii="Arial" w:hAnsi="Arial" w:cs="Arial"/>
          <w:spacing w:val="-12"/>
        </w:rPr>
        <w:t xml:space="preserve"> </w:t>
      </w:r>
      <w:r>
        <w:rPr>
          <w:rFonts w:ascii="Arial" w:hAnsi="Arial" w:cs="Arial"/>
          <w:spacing w:val="-1"/>
        </w:rPr>
        <w:t>geral</w:t>
      </w:r>
      <w:r>
        <w:rPr>
          <w:rFonts w:ascii="Arial" w:hAnsi="Arial" w:cs="Arial"/>
          <w:spacing w:val="-13"/>
        </w:rPr>
        <w:t xml:space="preserve"> </w:t>
      </w:r>
      <w:r>
        <w:rPr>
          <w:rFonts w:ascii="Arial" w:hAnsi="Arial" w:cs="Arial"/>
        </w:rPr>
        <w:t>e</w:t>
      </w:r>
      <w:r>
        <w:rPr>
          <w:rFonts w:ascii="Arial" w:hAnsi="Arial" w:cs="Arial"/>
          <w:spacing w:val="-16"/>
        </w:rPr>
        <w:t xml:space="preserve"> </w:t>
      </w:r>
      <w:r>
        <w:rPr>
          <w:rFonts w:ascii="Arial" w:hAnsi="Arial" w:cs="Arial"/>
        </w:rPr>
        <w:t>irrestrita</w:t>
      </w:r>
      <w:r>
        <w:rPr>
          <w:rFonts w:ascii="Arial" w:hAnsi="Arial" w:cs="Arial"/>
          <w:spacing w:val="-16"/>
        </w:rPr>
        <w:t xml:space="preserve"> </w:t>
      </w:r>
      <w:r>
        <w:rPr>
          <w:rFonts w:ascii="Arial" w:hAnsi="Arial" w:cs="Arial"/>
        </w:rPr>
        <w:t>por</w:t>
      </w:r>
      <w:r>
        <w:rPr>
          <w:rFonts w:ascii="Arial" w:hAnsi="Arial" w:cs="Arial"/>
          <w:spacing w:val="-16"/>
        </w:rPr>
        <w:t xml:space="preserve"> </w:t>
      </w:r>
      <w:r>
        <w:rPr>
          <w:rFonts w:ascii="Arial" w:hAnsi="Arial" w:cs="Arial"/>
        </w:rPr>
        <w:t>parte</w:t>
      </w:r>
      <w:r>
        <w:rPr>
          <w:rFonts w:ascii="Arial" w:hAnsi="Arial" w:cs="Arial"/>
          <w:spacing w:val="-15"/>
        </w:rPr>
        <w:t xml:space="preserve"> </w:t>
      </w:r>
      <w:r>
        <w:rPr>
          <w:rFonts w:ascii="Arial" w:hAnsi="Arial" w:cs="Arial"/>
        </w:rPr>
        <w:t>da</w:t>
      </w:r>
      <w:r>
        <w:rPr>
          <w:rFonts w:ascii="Arial" w:hAnsi="Arial" w:cs="Arial"/>
          <w:spacing w:val="-13"/>
        </w:rPr>
        <w:t xml:space="preserve"> </w:t>
      </w:r>
      <w:r>
        <w:rPr>
          <w:rFonts w:ascii="Arial" w:hAnsi="Arial" w:cs="Arial"/>
        </w:rPr>
        <w:t>licitante</w:t>
      </w:r>
      <w:r>
        <w:rPr>
          <w:rFonts w:ascii="Arial" w:hAnsi="Arial" w:cs="Arial"/>
          <w:spacing w:val="-16"/>
        </w:rPr>
        <w:t xml:space="preserve"> </w:t>
      </w:r>
      <w:r>
        <w:rPr>
          <w:rFonts w:ascii="Arial" w:hAnsi="Arial" w:cs="Arial"/>
        </w:rPr>
        <w:t>das</w:t>
      </w:r>
      <w:r>
        <w:rPr>
          <w:rFonts w:ascii="Arial" w:hAnsi="Arial" w:cs="Arial"/>
          <w:spacing w:val="-11"/>
        </w:rPr>
        <w:t xml:space="preserve"> </w:t>
      </w:r>
      <w:r>
        <w:rPr>
          <w:rFonts w:ascii="Arial" w:hAnsi="Arial" w:cs="Arial"/>
        </w:rPr>
        <w:t>especificações</w:t>
      </w:r>
      <w:r>
        <w:rPr>
          <w:rFonts w:ascii="Arial" w:hAnsi="Arial" w:cs="Arial"/>
          <w:spacing w:val="-15"/>
        </w:rPr>
        <w:t xml:space="preserve"> </w:t>
      </w:r>
      <w:r>
        <w:rPr>
          <w:rFonts w:ascii="Arial" w:hAnsi="Arial" w:cs="Arial"/>
        </w:rPr>
        <w:t>e</w:t>
      </w:r>
      <w:r>
        <w:rPr>
          <w:rFonts w:ascii="Arial" w:hAnsi="Arial" w:cs="Arial"/>
          <w:spacing w:val="-13"/>
        </w:rPr>
        <w:t xml:space="preserve"> </w:t>
      </w:r>
      <w:r>
        <w:rPr>
          <w:rFonts w:ascii="Arial" w:hAnsi="Arial" w:cs="Arial"/>
        </w:rPr>
        <w:t>condições</w:t>
      </w:r>
      <w:r>
        <w:rPr>
          <w:rFonts w:ascii="Arial" w:hAnsi="Arial" w:cs="Arial"/>
          <w:spacing w:val="-14"/>
        </w:rPr>
        <w:t xml:space="preserve"> </w:t>
      </w:r>
      <w:r>
        <w:rPr>
          <w:rFonts w:ascii="Arial" w:hAnsi="Arial" w:cs="Arial"/>
        </w:rPr>
        <w:t>do</w:t>
      </w:r>
      <w:r>
        <w:rPr>
          <w:rFonts w:ascii="Arial" w:hAnsi="Arial" w:cs="Arial"/>
          <w:spacing w:val="-15"/>
        </w:rPr>
        <w:t xml:space="preserve"> </w:t>
      </w:r>
      <w:r>
        <w:rPr>
          <w:rFonts w:ascii="Arial" w:hAnsi="Arial" w:cs="Arial"/>
        </w:rPr>
        <w:t>objeto licitado</w:t>
      </w:r>
      <w:r>
        <w:rPr>
          <w:rFonts w:ascii="Arial" w:hAnsi="Arial" w:cs="Arial"/>
          <w:spacing w:val="-1"/>
        </w:rPr>
        <w:t xml:space="preserve"> </w:t>
      </w:r>
      <w:r>
        <w:rPr>
          <w:rFonts w:ascii="Arial" w:hAnsi="Arial" w:cs="Arial"/>
        </w:rPr>
        <w:t>e</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sua</w:t>
      </w:r>
      <w:r>
        <w:rPr>
          <w:rFonts w:ascii="Arial" w:hAnsi="Arial" w:cs="Arial"/>
          <w:spacing w:val="-1"/>
        </w:rPr>
        <w:t xml:space="preserve"> </w:t>
      </w:r>
      <w:r>
        <w:rPr>
          <w:rFonts w:ascii="Arial" w:hAnsi="Arial" w:cs="Arial"/>
        </w:rPr>
        <w:t>plena</w:t>
      </w:r>
      <w:r>
        <w:rPr>
          <w:rFonts w:ascii="Arial" w:hAnsi="Arial" w:cs="Arial"/>
          <w:spacing w:val="-1"/>
        </w:rPr>
        <w:t xml:space="preserve"> </w:t>
      </w:r>
      <w:r>
        <w:rPr>
          <w:rFonts w:ascii="Arial" w:hAnsi="Arial" w:cs="Arial"/>
        </w:rPr>
        <w:t>execução.</w:t>
      </w:r>
    </w:p>
    <w:p w14:paraId="4E82BAF6">
      <w:pPr>
        <w:pStyle w:val="15"/>
        <w:numPr>
          <w:ilvl w:val="1"/>
          <w:numId w:val="3"/>
        </w:numPr>
        <w:spacing w:before="120" w:beforeLines="50" w:beforeAutospacing="0" w:after="120" w:afterLines="50" w:afterAutospacing="0" w:line="360" w:lineRule="auto"/>
        <w:ind w:right="176" w:rightChars="80"/>
        <w:jc w:val="both"/>
        <w:rPr>
          <w:rFonts w:ascii="Arial" w:hAnsi="Arial" w:cs="Arial"/>
          <w:szCs w:val="22"/>
          <w:lang w:val="pt-BR"/>
        </w:rPr>
      </w:pPr>
      <w:r>
        <w:rPr>
          <w:rFonts w:ascii="Arial" w:hAnsi="Arial" w:cs="Arial"/>
          <w:b/>
          <w:bCs/>
          <w:szCs w:val="22"/>
          <w:lang w:val="pt-BR"/>
        </w:rPr>
        <w:t>DA</w:t>
      </w:r>
      <w:r>
        <w:rPr>
          <w:rFonts w:ascii="Arial" w:hAnsi="Arial" w:cs="Arial"/>
          <w:b/>
          <w:bCs/>
          <w:spacing w:val="-3"/>
          <w:szCs w:val="22"/>
          <w:lang w:val="pt-BR"/>
        </w:rPr>
        <w:t xml:space="preserve"> </w:t>
      </w:r>
      <w:r>
        <w:rPr>
          <w:rFonts w:ascii="Arial" w:hAnsi="Arial" w:cs="Arial"/>
          <w:b/>
          <w:bCs/>
          <w:szCs w:val="22"/>
          <w:lang w:val="pt-BR"/>
        </w:rPr>
        <w:t>HABILITAÇÃO</w:t>
      </w:r>
    </w:p>
    <w:p w14:paraId="084B4730">
      <w:pPr>
        <w:pStyle w:val="15"/>
        <w:numPr>
          <w:ilvl w:val="2"/>
          <w:numId w:val="3"/>
        </w:numPr>
        <w:spacing w:before="120" w:beforeLines="50" w:beforeAutospacing="0" w:after="120" w:afterLines="50" w:afterAutospacing="0" w:line="360" w:lineRule="auto"/>
        <w:ind w:right="176" w:rightChars="80"/>
        <w:jc w:val="both"/>
        <w:rPr>
          <w:rFonts w:ascii="Arial" w:hAnsi="Arial" w:cs="Arial"/>
          <w:szCs w:val="22"/>
          <w:lang w:val="pt-BR"/>
        </w:rPr>
      </w:pPr>
      <w:r>
        <w:rPr>
          <w:rFonts w:ascii="Arial" w:hAnsi="Arial" w:cs="Arial"/>
          <w:bCs/>
          <w:spacing w:val="-12"/>
          <w:szCs w:val="22"/>
          <w:lang w:val="pt-BR"/>
        </w:rPr>
        <w:t xml:space="preserve"> D</w:t>
      </w:r>
      <w:r>
        <w:rPr>
          <w:rFonts w:ascii="Arial" w:hAnsi="Arial" w:cs="Arial"/>
          <w:szCs w:val="22"/>
          <w:lang w:val="pt-BR"/>
        </w:rPr>
        <w:t>e acordo com o Art. 63, inciso II da Lei nº 14.133/2021, será exigida a apresentação dos documentos de habilitação apenas do licitante vencedor.</w:t>
      </w:r>
    </w:p>
    <w:p w14:paraId="4AF6AB6B">
      <w:pPr>
        <w:pStyle w:val="15"/>
        <w:numPr>
          <w:ilvl w:val="2"/>
          <w:numId w:val="3"/>
        </w:numPr>
        <w:spacing w:before="120" w:beforeLines="50" w:beforeAutospacing="0" w:after="120" w:afterLines="50" w:afterAutospacing="0" w:line="360" w:lineRule="auto"/>
        <w:ind w:right="176" w:rightChars="80"/>
        <w:jc w:val="both"/>
        <w:rPr>
          <w:rFonts w:ascii="Arial" w:hAnsi="Arial" w:cs="Arial"/>
          <w:szCs w:val="22"/>
          <w:lang w:val="pt-BR"/>
        </w:rPr>
      </w:pPr>
      <w:r>
        <w:rPr>
          <w:rFonts w:ascii="Arial" w:hAnsi="Arial" w:cs="Arial"/>
          <w:szCs w:val="22"/>
          <w:lang w:val="pt-BR"/>
        </w:rPr>
        <w:t xml:space="preserve">Para a habilitação, a empresa vencedora deverá apresentar uma via os documentos abaixo discriminados, inseridos no sistema, quando convocada pelo Agente de Contratação, no campo adequado para tal, disponível no site </w:t>
      </w:r>
      <w:r>
        <w:fldChar w:fldCharType="begin"/>
      </w:r>
      <w:r>
        <w:instrText xml:space="preserve"> HYPERLINK "http://www.portaldecompraspublicas.com.br" </w:instrText>
      </w:r>
      <w:r>
        <w:fldChar w:fldCharType="separate"/>
      </w:r>
      <w:r>
        <w:rPr>
          <w:rStyle w:val="11"/>
          <w:rFonts w:ascii="Arial" w:hAnsi="Arial" w:cs="Arial"/>
          <w:bCs/>
          <w:iCs/>
          <w:snapToGrid w:val="0"/>
          <w:color w:val="auto"/>
          <w:szCs w:val="22"/>
          <w:lang w:val="pt-BR"/>
        </w:rPr>
        <w:t xml:space="preserve">www.portaldecompraspublicas.com.br  </w:t>
      </w:r>
      <w:r>
        <w:rPr>
          <w:rStyle w:val="11"/>
          <w:rFonts w:ascii="Arial" w:hAnsi="Arial" w:cs="Arial"/>
          <w:bCs/>
          <w:iCs/>
          <w:snapToGrid w:val="0"/>
          <w:color w:val="auto"/>
          <w:szCs w:val="22"/>
          <w:lang w:val="pt-BR"/>
        </w:rPr>
        <w:fldChar w:fldCharType="end"/>
      </w:r>
    </w:p>
    <w:p w14:paraId="741AFD70">
      <w:pPr>
        <w:pStyle w:val="26"/>
        <w:numPr>
          <w:ilvl w:val="3"/>
          <w:numId w:val="3"/>
        </w:numPr>
        <w:spacing w:line="360" w:lineRule="auto"/>
        <w:ind w:left="440" w:leftChars="200" w:right="176" w:rightChars="80"/>
        <w:rPr>
          <w:rFonts w:ascii="Arial" w:hAnsi="Arial" w:cs="Arial"/>
        </w:rPr>
      </w:pPr>
      <w:r>
        <w:rPr>
          <w:rFonts w:ascii="Arial" w:hAnsi="Arial" w:cs="Arial"/>
        </w:rPr>
        <w:t>–</w:t>
      </w:r>
      <w:r>
        <w:rPr>
          <w:rFonts w:ascii="Arial" w:hAnsi="Arial" w:cs="Arial"/>
          <w:spacing w:val="1"/>
        </w:rPr>
        <w:t xml:space="preserve"> A</w:t>
      </w:r>
      <w:r>
        <w:rPr>
          <w:rFonts w:ascii="Arial" w:hAnsi="Arial" w:cs="Arial"/>
        </w:rPr>
        <w:t>s</w:t>
      </w:r>
      <w:r>
        <w:rPr>
          <w:rFonts w:ascii="Arial" w:hAnsi="Arial" w:cs="Arial"/>
          <w:spacing w:val="1"/>
        </w:rPr>
        <w:t xml:space="preserve"> </w:t>
      </w:r>
      <w:r>
        <w:rPr>
          <w:rFonts w:ascii="Arial" w:hAnsi="Arial" w:cs="Arial"/>
        </w:rPr>
        <w:t>licitantes</w:t>
      </w:r>
      <w:r>
        <w:rPr>
          <w:rFonts w:ascii="Arial" w:hAnsi="Arial" w:cs="Arial"/>
          <w:spacing w:val="1"/>
        </w:rPr>
        <w:t xml:space="preserve"> </w:t>
      </w:r>
      <w:r>
        <w:rPr>
          <w:rFonts w:ascii="Arial" w:hAnsi="Arial" w:cs="Arial"/>
        </w:rPr>
        <w:t>deverão</w:t>
      </w:r>
      <w:r>
        <w:rPr>
          <w:rFonts w:ascii="Arial" w:hAnsi="Arial" w:cs="Arial"/>
          <w:spacing w:val="1"/>
        </w:rPr>
        <w:t xml:space="preserve"> </w:t>
      </w:r>
      <w:r>
        <w:rPr>
          <w:rFonts w:ascii="Arial" w:hAnsi="Arial" w:cs="Arial"/>
        </w:rPr>
        <w:t>apresentar</w:t>
      </w:r>
      <w:r>
        <w:rPr>
          <w:rFonts w:ascii="Arial" w:hAnsi="Arial" w:cs="Arial"/>
          <w:spacing w:val="1"/>
        </w:rPr>
        <w:t xml:space="preserve"> </w:t>
      </w:r>
      <w:r>
        <w:rPr>
          <w:rFonts w:ascii="Arial" w:hAnsi="Arial" w:cs="Arial"/>
        </w:rPr>
        <w:t>documentação</w:t>
      </w:r>
      <w:r>
        <w:rPr>
          <w:rFonts w:ascii="Arial" w:hAnsi="Arial" w:cs="Arial"/>
          <w:spacing w:val="1"/>
        </w:rPr>
        <w:t xml:space="preserve"> </w:t>
      </w:r>
      <w:r>
        <w:rPr>
          <w:rFonts w:ascii="Arial" w:hAnsi="Arial" w:cs="Arial"/>
        </w:rPr>
        <w:t>a</w:t>
      </w:r>
      <w:r>
        <w:rPr>
          <w:rFonts w:ascii="Arial" w:hAnsi="Arial" w:cs="Arial"/>
          <w:spacing w:val="1"/>
        </w:rPr>
        <w:t xml:space="preserve"> </w:t>
      </w:r>
      <w:r>
        <w:rPr>
          <w:rFonts w:ascii="Arial" w:hAnsi="Arial" w:cs="Arial"/>
        </w:rPr>
        <w:t>fim</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suprir</w:t>
      </w:r>
      <w:r>
        <w:rPr>
          <w:rFonts w:ascii="Arial" w:hAnsi="Arial" w:cs="Arial"/>
          <w:spacing w:val="1"/>
        </w:rPr>
        <w:t xml:space="preserve"> </w:t>
      </w:r>
      <w:r>
        <w:rPr>
          <w:rFonts w:ascii="Arial" w:hAnsi="Arial" w:cs="Arial"/>
        </w:rPr>
        <w:t>as</w:t>
      </w:r>
      <w:r>
        <w:rPr>
          <w:rFonts w:ascii="Arial" w:hAnsi="Arial" w:cs="Arial"/>
          <w:spacing w:val="1"/>
        </w:rPr>
        <w:t xml:space="preserve"> </w:t>
      </w:r>
      <w:r>
        <w:rPr>
          <w:rFonts w:ascii="Arial" w:hAnsi="Arial" w:cs="Arial"/>
        </w:rPr>
        <w:t>exigências impostas pelo Edital,</w:t>
      </w:r>
      <w:r>
        <w:rPr>
          <w:rFonts w:ascii="Arial" w:hAnsi="Arial" w:cs="Arial"/>
          <w:spacing w:val="1"/>
        </w:rPr>
        <w:t xml:space="preserve"> </w:t>
      </w:r>
      <w:r>
        <w:rPr>
          <w:rFonts w:ascii="Arial" w:hAnsi="Arial" w:cs="Arial"/>
        </w:rPr>
        <w:t>observado</w:t>
      </w:r>
      <w:r>
        <w:rPr>
          <w:rFonts w:ascii="Arial" w:hAnsi="Arial" w:cs="Arial"/>
          <w:spacing w:val="1"/>
        </w:rPr>
        <w:t xml:space="preserve"> </w:t>
      </w:r>
      <w:r>
        <w:rPr>
          <w:rFonts w:ascii="Arial" w:hAnsi="Arial" w:cs="Arial"/>
        </w:rPr>
        <w:t>em</w:t>
      </w:r>
      <w:r>
        <w:rPr>
          <w:rFonts w:ascii="Arial" w:hAnsi="Arial" w:cs="Arial"/>
          <w:spacing w:val="1"/>
        </w:rPr>
        <w:t xml:space="preserve"> </w:t>
      </w:r>
      <w:r>
        <w:rPr>
          <w:rFonts w:ascii="Arial" w:hAnsi="Arial" w:cs="Arial"/>
        </w:rPr>
        <w:t>relação</w:t>
      </w:r>
      <w:r>
        <w:rPr>
          <w:rFonts w:ascii="Arial" w:hAnsi="Arial" w:cs="Arial"/>
          <w:spacing w:val="1"/>
        </w:rPr>
        <w:t xml:space="preserve"> </w:t>
      </w:r>
      <w:r>
        <w:rPr>
          <w:rFonts w:ascii="Arial" w:hAnsi="Arial" w:cs="Arial"/>
        </w:rPr>
        <w:t>às</w:t>
      </w:r>
      <w:r>
        <w:rPr>
          <w:rFonts w:ascii="Arial" w:hAnsi="Arial" w:cs="Arial"/>
          <w:spacing w:val="1"/>
        </w:rPr>
        <w:t xml:space="preserve"> </w:t>
      </w:r>
      <w:r>
        <w:rPr>
          <w:rFonts w:ascii="Arial" w:hAnsi="Arial" w:cs="Arial"/>
        </w:rPr>
        <w:t>empresas</w:t>
      </w:r>
      <w:r>
        <w:rPr>
          <w:rFonts w:ascii="Arial" w:hAnsi="Arial" w:cs="Arial"/>
          <w:spacing w:val="-57"/>
        </w:rPr>
        <w:t xml:space="preserve"> </w:t>
      </w:r>
      <w:r>
        <w:rPr>
          <w:rFonts w:ascii="Arial" w:hAnsi="Arial" w:cs="Arial"/>
        </w:rPr>
        <w:t>enquadradas</w:t>
      </w:r>
      <w:r>
        <w:rPr>
          <w:rFonts w:ascii="Arial" w:hAnsi="Arial" w:cs="Arial"/>
          <w:spacing w:val="-12"/>
        </w:rPr>
        <w:t xml:space="preserve"> </w:t>
      </w:r>
      <w:r>
        <w:rPr>
          <w:rFonts w:ascii="Arial" w:hAnsi="Arial" w:cs="Arial"/>
        </w:rPr>
        <w:t>como</w:t>
      </w:r>
      <w:r>
        <w:rPr>
          <w:rFonts w:ascii="Arial" w:hAnsi="Arial" w:cs="Arial"/>
          <w:spacing w:val="-11"/>
        </w:rPr>
        <w:t xml:space="preserve"> </w:t>
      </w:r>
      <w:r>
        <w:rPr>
          <w:rFonts w:ascii="Arial" w:hAnsi="Arial" w:cs="Arial"/>
        </w:rPr>
        <w:t>ME/EPP</w:t>
      </w:r>
      <w:r>
        <w:rPr>
          <w:rFonts w:ascii="Arial" w:hAnsi="Arial" w:cs="Arial"/>
          <w:spacing w:val="-11"/>
        </w:rPr>
        <w:t xml:space="preserve"> </w:t>
      </w:r>
      <w:r>
        <w:rPr>
          <w:rFonts w:ascii="Arial" w:hAnsi="Arial" w:cs="Arial"/>
        </w:rPr>
        <w:t>o</w:t>
      </w:r>
      <w:r>
        <w:rPr>
          <w:rFonts w:ascii="Arial" w:hAnsi="Arial" w:cs="Arial"/>
          <w:spacing w:val="-11"/>
        </w:rPr>
        <w:t xml:space="preserve"> </w:t>
      </w:r>
      <w:r>
        <w:rPr>
          <w:rFonts w:ascii="Arial" w:hAnsi="Arial" w:cs="Arial"/>
        </w:rPr>
        <w:t>disposto</w:t>
      </w:r>
      <w:r>
        <w:rPr>
          <w:rFonts w:ascii="Arial" w:hAnsi="Arial" w:cs="Arial"/>
          <w:spacing w:val="-11"/>
        </w:rPr>
        <w:t xml:space="preserve"> </w:t>
      </w:r>
      <w:r>
        <w:rPr>
          <w:rFonts w:ascii="Arial" w:hAnsi="Arial" w:cs="Arial"/>
        </w:rPr>
        <w:t>no</w:t>
      </w:r>
      <w:r>
        <w:rPr>
          <w:rFonts w:ascii="Arial" w:hAnsi="Arial" w:cs="Arial"/>
          <w:spacing w:val="-12"/>
        </w:rPr>
        <w:t xml:space="preserve"> </w:t>
      </w:r>
      <w:r>
        <w:rPr>
          <w:rFonts w:ascii="Arial" w:hAnsi="Arial" w:cs="Arial"/>
        </w:rPr>
        <w:t>art.</w:t>
      </w:r>
      <w:r>
        <w:rPr>
          <w:rFonts w:ascii="Arial" w:hAnsi="Arial" w:cs="Arial"/>
          <w:spacing w:val="-11"/>
        </w:rPr>
        <w:t xml:space="preserve"> </w:t>
      </w:r>
      <w:r>
        <w:rPr>
          <w:rFonts w:ascii="Arial" w:hAnsi="Arial" w:cs="Arial"/>
        </w:rPr>
        <w:t>43,</w:t>
      </w:r>
      <w:r>
        <w:rPr>
          <w:rFonts w:ascii="Arial" w:hAnsi="Arial" w:cs="Arial"/>
          <w:spacing w:val="-13"/>
        </w:rPr>
        <w:t xml:space="preserve"> </w:t>
      </w:r>
      <w:r>
        <w:rPr>
          <w:rFonts w:ascii="Arial" w:hAnsi="Arial" w:cs="Arial"/>
        </w:rPr>
        <w:t>§1º,</w:t>
      </w:r>
      <w:r>
        <w:rPr>
          <w:rFonts w:ascii="Arial" w:hAnsi="Arial" w:cs="Arial"/>
          <w:spacing w:val="-11"/>
        </w:rPr>
        <w:t xml:space="preserve"> </w:t>
      </w:r>
      <w:r>
        <w:rPr>
          <w:rFonts w:ascii="Arial" w:hAnsi="Arial" w:cs="Arial"/>
        </w:rPr>
        <w:t>da</w:t>
      </w:r>
      <w:r>
        <w:rPr>
          <w:rFonts w:ascii="Arial" w:hAnsi="Arial" w:cs="Arial"/>
          <w:spacing w:val="-11"/>
        </w:rPr>
        <w:t xml:space="preserve"> </w:t>
      </w:r>
      <w:r>
        <w:rPr>
          <w:rFonts w:ascii="Arial" w:hAnsi="Arial" w:cs="Arial"/>
        </w:rPr>
        <w:t>Lei</w:t>
      </w:r>
      <w:r>
        <w:rPr>
          <w:rFonts w:ascii="Arial" w:hAnsi="Arial" w:cs="Arial"/>
          <w:spacing w:val="-11"/>
        </w:rPr>
        <w:t xml:space="preserve"> </w:t>
      </w:r>
      <w:r>
        <w:rPr>
          <w:rFonts w:ascii="Arial" w:hAnsi="Arial" w:cs="Arial"/>
        </w:rPr>
        <w:t>Complementar</w:t>
      </w:r>
      <w:r>
        <w:rPr>
          <w:rFonts w:ascii="Arial" w:hAnsi="Arial" w:cs="Arial"/>
          <w:spacing w:val="-12"/>
        </w:rPr>
        <w:t xml:space="preserve"> </w:t>
      </w:r>
      <w:r>
        <w:rPr>
          <w:rFonts w:ascii="Arial" w:hAnsi="Arial" w:cs="Arial"/>
        </w:rPr>
        <w:t>nº</w:t>
      </w:r>
      <w:r>
        <w:rPr>
          <w:rFonts w:ascii="Arial" w:hAnsi="Arial" w:cs="Arial"/>
          <w:spacing w:val="-12"/>
        </w:rPr>
        <w:t xml:space="preserve"> </w:t>
      </w:r>
      <w:r>
        <w:rPr>
          <w:rFonts w:ascii="Arial" w:hAnsi="Arial" w:cs="Arial"/>
        </w:rPr>
        <w:t>123/2006.</w:t>
      </w:r>
    </w:p>
    <w:p w14:paraId="4A799C29">
      <w:pPr>
        <w:pStyle w:val="26"/>
        <w:numPr>
          <w:ilvl w:val="2"/>
          <w:numId w:val="3"/>
        </w:numPr>
        <w:spacing w:line="360" w:lineRule="auto"/>
        <w:ind w:right="176" w:rightChars="80"/>
        <w:rPr>
          <w:rFonts w:ascii="Arial" w:hAnsi="Arial" w:cs="Arial"/>
        </w:rPr>
      </w:pPr>
      <w:r>
        <w:rPr>
          <w:rFonts w:ascii="Arial" w:hAnsi="Arial" w:cs="Arial"/>
        </w:rPr>
        <w:t xml:space="preserve"> HABILITAÇÃO JURÍDICA:</w:t>
      </w:r>
    </w:p>
    <w:p w14:paraId="3668AF15">
      <w:pPr>
        <w:pStyle w:val="26"/>
        <w:numPr>
          <w:ilvl w:val="3"/>
          <w:numId w:val="44"/>
        </w:numPr>
        <w:tabs>
          <w:tab w:val="clear" w:pos="4157"/>
        </w:tabs>
        <w:spacing w:line="360" w:lineRule="auto"/>
        <w:ind w:left="459" w:right="176" w:rightChars="80" w:hanging="19"/>
        <w:rPr>
          <w:rFonts w:ascii="Arial" w:hAnsi="Arial" w:cs="Arial"/>
        </w:rPr>
      </w:pPr>
      <w:r>
        <w:rPr>
          <w:rFonts w:ascii="Arial" w:hAnsi="Arial" w:cs="Arial"/>
        </w:rPr>
        <w:t>Empresário individual: inscrição no Registro Público de Empresas Mercantis,</w:t>
      </w:r>
      <w:r>
        <w:rPr>
          <w:rFonts w:ascii="Arial" w:hAnsi="Arial" w:cs="Arial"/>
          <w:spacing w:val="-64"/>
        </w:rPr>
        <w:t xml:space="preserve"> </w:t>
      </w:r>
      <w:r>
        <w:rPr>
          <w:rFonts w:ascii="Arial" w:hAnsi="Arial" w:cs="Arial"/>
        </w:rPr>
        <w:t>a</w:t>
      </w:r>
      <w:r>
        <w:rPr>
          <w:rFonts w:ascii="Arial" w:hAnsi="Arial" w:cs="Arial"/>
          <w:spacing w:val="-1"/>
        </w:rPr>
        <w:t xml:space="preserve"> </w:t>
      </w:r>
      <w:r>
        <w:rPr>
          <w:rFonts w:ascii="Arial" w:hAnsi="Arial" w:cs="Arial"/>
        </w:rPr>
        <w:t>cargo</w:t>
      </w:r>
      <w:r>
        <w:rPr>
          <w:rFonts w:ascii="Arial" w:hAnsi="Arial" w:cs="Arial"/>
          <w:spacing w:val="-2"/>
        </w:rPr>
        <w:t xml:space="preserve"> </w:t>
      </w:r>
      <w:r>
        <w:rPr>
          <w:rFonts w:ascii="Arial" w:hAnsi="Arial" w:cs="Arial"/>
        </w:rPr>
        <w:t>da</w:t>
      </w:r>
      <w:r>
        <w:rPr>
          <w:rFonts w:ascii="Arial" w:hAnsi="Arial" w:cs="Arial"/>
          <w:spacing w:val="-2"/>
        </w:rPr>
        <w:t xml:space="preserve"> </w:t>
      </w:r>
      <w:r>
        <w:rPr>
          <w:rFonts w:ascii="Arial" w:hAnsi="Arial" w:cs="Arial"/>
        </w:rPr>
        <w:t>Junta</w:t>
      </w:r>
      <w:r>
        <w:rPr>
          <w:rFonts w:ascii="Arial" w:hAnsi="Arial" w:cs="Arial"/>
          <w:spacing w:val="1"/>
        </w:rPr>
        <w:t xml:space="preserve"> </w:t>
      </w:r>
      <w:r>
        <w:rPr>
          <w:rFonts w:ascii="Arial" w:hAnsi="Arial" w:cs="Arial"/>
        </w:rPr>
        <w:t>Comercial da respectiva</w:t>
      </w:r>
      <w:r>
        <w:rPr>
          <w:rFonts w:ascii="Arial" w:hAnsi="Arial" w:cs="Arial"/>
          <w:spacing w:val="-3"/>
        </w:rPr>
        <w:t xml:space="preserve"> </w:t>
      </w:r>
      <w:r>
        <w:rPr>
          <w:rFonts w:ascii="Arial" w:hAnsi="Arial" w:cs="Arial"/>
        </w:rPr>
        <w:t>sede;</w:t>
      </w:r>
    </w:p>
    <w:p w14:paraId="69117877">
      <w:pPr>
        <w:pStyle w:val="26"/>
        <w:numPr>
          <w:ilvl w:val="3"/>
          <w:numId w:val="44"/>
        </w:numPr>
        <w:tabs>
          <w:tab w:val="clear" w:pos="4157"/>
        </w:tabs>
        <w:spacing w:line="360" w:lineRule="auto"/>
        <w:ind w:left="459" w:right="176" w:rightChars="80" w:hanging="19"/>
        <w:rPr>
          <w:rFonts w:ascii="Arial" w:hAnsi="Arial" w:cs="Arial"/>
        </w:rPr>
      </w:pPr>
      <w:r>
        <w:rPr>
          <w:rFonts w:ascii="Arial" w:hAnsi="Arial" w:cs="Arial"/>
        </w:rPr>
        <w:t>Microempreendedor</w:t>
      </w:r>
      <w:r>
        <w:rPr>
          <w:rFonts w:ascii="Arial" w:hAnsi="Arial" w:cs="Arial"/>
          <w:spacing w:val="1"/>
        </w:rPr>
        <w:t xml:space="preserve"> </w:t>
      </w:r>
      <w:r>
        <w:rPr>
          <w:rFonts w:ascii="Arial" w:hAnsi="Arial" w:cs="Arial"/>
        </w:rPr>
        <w:t>Individual</w:t>
      </w:r>
      <w:r>
        <w:rPr>
          <w:rFonts w:ascii="Arial" w:hAnsi="Arial" w:cs="Arial"/>
          <w:spacing w:val="1"/>
        </w:rPr>
        <w:t xml:space="preserve"> </w:t>
      </w:r>
      <w:r>
        <w:rPr>
          <w:rFonts w:ascii="Arial" w:hAnsi="Arial" w:cs="Arial"/>
        </w:rPr>
        <w:t>-</w:t>
      </w:r>
      <w:r>
        <w:rPr>
          <w:rFonts w:ascii="Arial" w:hAnsi="Arial" w:cs="Arial"/>
          <w:spacing w:val="1"/>
        </w:rPr>
        <w:t xml:space="preserve"> </w:t>
      </w:r>
      <w:r>
        <w:rPr>
          <w:rFonts w:ascii="Arial" w:hAnsi="Arial" w:cs="Arial"/>
        </w:rPr>
        <w:t>MEI:</w:t>
      </w:r>
      <w:r>
        <w:rPr>
          <w:rFonts w:ascii="Arial" w:hAnsi="Arial" w:cs="Arial"/>
          <w:spacing w:val="1"/>
        </w:rPr>
        <w:t xml:space="preserve"> </w:t>
      </w:r>
      <w:r>
        <w:rPr>
          <w:rFonts w:ascii="Arial" w:hAnsi="Arial" w:cs="Arial"/>
        </w:rPr>
        <w:t>Certificado</w:t>
      </w:r>
      <w:r>
        <w:rPr>
          <w:rFonts w:ascii="Arial" w:hAnsi="Arial" w:cs="Arial"/>
          <w:spacing w:val="1"/>
        </w:rPr>
        <w:t xml:space="preserve"> </w:t>
      </w:r>
      <w:r>
        <w:rPr>
          <w:rFonts w:ascii="Arial" w:hAnsi="Arial" w:cs="Arial"/>
        </w:rPr>
        <w:t>da</w:t>
      </w:r>
      <w:r>
        <w:rPr>
          <w:rFonts w:ascii="Arial" w:hAnsi="Arial" w:cs="Arial"/>
          <w:spacing w:val="1"/>
        </w:rPr>
        <w:t xml:space="preserve"> </w:t>
      </w:r>
      <w:r>
        <w:rPr>
          <w:rFonts w:ascii="Arial" w:hAnsi="Arial" w:cs="Arial"/>
        </w:rPr>
        <w:t>Condição</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Microempreendedor Individual - CCMEI, cuja aceitação ficará condicionada à</w:t>
      </w:r>
      <w:r>
        <w:rPr>
          <w:rFonts w:ascii="Arial" w:hAnsi="Arial" w:cs="Arial"/>
          <w:spacing w:val="1"/>
        </w:rPr>
        <w:t xml:space="preserve"> </w:t>
      </w:r>
      <w:r>
        <w:rPr>
          <w:rFonts w:ascii="Arial" w:hAnsi="Arial" w:cs="Arial"/>
          <w:spacing w:val="-1"/>
        </w:rPr>
        <w:t>verificação</w:t>
      </w:r>
      <w:r>
        <w:rPr>
          <w:rFonts w:ascii="Arial" w:hAnsi="Arial" w:cs="Arial"/>
          <w:spacing w:val="-16"/>
        </w:rPr>
        <w:t xml:space="preserve"> </w:t>
      </w:r>
      <w:r>
        <w:rPr>
          <w:rFonts w:ascii="Arial" w:hAnsi="Arial" w:cs="Arial"/>
          <w:spacing w:val="-1"/>
        </w:rPr>
        <w:t>da</w:t>
      </w:r>
      <w:r>
        <w:rPr>
          <w:rFonts w:ascii="Arial" w:hAnsi="Arial" w:cs="Arial"/>
          <w:spacing w:val="-15"/>
        </w:rPr>
        <w:t xml:space="preserve"> </w:t>
      </w:r>
      <w:r>
        <w:rPr>
          <w:rFonts w:ascii="Arial" w:hAnsi="Arial" w:cs="Arial"/>
          <w:spacing w:val="-1"/>
        </w:rPr>
        <w:t>autenticidade</w:t>
      </w:r>
      <w:r>
        <w:rPr>
          <w:rFonts w:ascii="Arial" w:hAnsi="Arial" w:cs="Arial"/>
          <w:spacing w:val="-13"/>
        </w:rPr>
        <w:t xml:space="preserve"> </w:t>
      </w:r>
      <w:r>
        <w:rPr>
          <w:rFonts w:ascii="Arial" w:hAnsi="Arial" w:cs="Arial"/>
        </w:rPr>
        <w:t>no</w:t>
      </w:r>
      <w:r>
        <w:rPr>
          <w:rFonts w:ascii="Arial" w:hAnsi="Arial" w:cs="Arial"/>
          <w:spacing w:val="-14"/>
        </w:rPr>
        <w:t xml:space="preserve"> </w:t>
      </w:r>
      <w:r>
        <w:rPr>
          <w:rFonts w:ascii="Arial" w:hAnsi="Arial" w:cs="Arial"/>
        </w:rPr>
        <w:t>sítio</w:t>
      </w:r>
      <w:r>
        <w:rPr>
          <w:rFonts w:ascii="Arial" w:hAnsi="Arial" w:cs="Arial"/>
          <w:spacing w:val="-13"/>
        </w:rPr>
        <w:t xml:space="preserve"> </w:t>
      </w:r>
      <w:r>
        <w:rPr>
          <w:rFonts w:ascii="Arial" w:hAnsi="Arial" w:cs="Arial"/>
        </w:rPr>
        <w:t>https://</w:t>
      </w:r>
      <w:r>
        <w:fldChar w:fldCharType="begin"/>
      </w:r>
      <w:r>
        <w:instrText xml:space="preserve"> HYPERLINK "http://www.gov.br/empresas-e-negocios/pt-" \h </w:instrText>
      </w:r>
      <w:r>
        <w:fldChar w:fldCharType="separate"/>
      </w:r>
      <w:r>
        <w:rPr>
          <w:rFonts w:ascii="Arial" w:hAnsi="Arial" w:cs="Arial"/>
        </w:rPr>
        <w:t>www.gov.br/empresas-e-negocios/pt-</w:t>
      </w:r>
      <w:r>
        <w:rPr>
          <w:rFonts w:ascii="Arial" w:hAnsi="Arial" w:cs="Arial"/>
        </w:rPr>
        <w:fldChar w:fldCharType="end"/>
      </w:r>
      <w:r>
        <w:rPr>
          <w:rFonts w:ascii="Arial" w:hAnsi="Arial" w:cs="Arial"/>
          <w:spacing w:val="-64"/>
        </w:rPr>
        <w:t xml:space="preserve"> </w:t>
      </w:r>
      <w:r>
        <w:rPr>
          <w:rFonts w:ascii="Arial" w:hAnsi="Arial" w:cs="Arial"/>
        </w:rPr>
        <w:t>br/empreendedor;</w:t>
      </w:r>
    </w:p>
    <w:p w14:paraId="5E476424">
      <w:pPr>
        <w:pStyle w:val="26"/>
        <w:numPr>
          <w:ilvl w:val="3"/>
          <w:numId w:val="44"/>
        </w:numPr>
        <w:tabs>
          <w:tab w:val="clear" w:pos="4157"/>
        </w:tabs>
        <w:spacing w:line="360" w:lineRule="auto"/>
        <w:ind w:left="459" w:right="176" w:rightChars="80" w:hanging="19"/>
        <w:rPr>
          <w:rFonts w:ascii="Arial" w:hAnsi="Arial" w:cs="Arial"/>
        </w:rPr>
      </w:pPr>
      <w:r>
        <w:rPr>
          <w:rFonts w:ascii="Arial" w:hAnsi="Arial" w:cs="Arial"/>
        </w:rPr>
        <w:t>Sociedade empresária, sociedade limitada unipessoal – SLU ou sociedade</w:t>
      </w:r>
      <w:r>
        <w:rPr>
          <w:rFonts w:ascii="Arial" w:hAnsi="Arial" w:cs="Arial"/>
          <w:spacing w:val="1"/>
        </w:rPr>
        <w:t xml:space="preserve"> </w:t>
      </w:r>
      <w:r>
        <w:rPr>
          <w:rFonts w:ascii="Arial" w:hAnsi="Arial" w:cs="Arial"/>
        </w:rPr>
        <w:t>identificada como empresa individual de responsabilidade limitada - EIRELI:</w:t>
      </w:r>
      <w:r>
        <w:rPr>
          <w:rFonts w:ascii="Arial" w:hAnsi="Arial" w:cs="Arial"/>
          <w:spacing w:val="1"/>
        </w:rPr>
        <w:t xml:space="preserve"> </w:t>
      </w:r>
      <w:r>
        <w:rPr>
          <w:rFonts w:ascii="Arial" w:hAnsi="Arial" w:cs="Arial"/>
        </w:rPr>
        <w:t>inscrição do ato constitutivo, estatuto ou contrato social no Registro Público de</w:t>
      </w:r>
      <w:r>
        <w:rPr>
          <w:rFonts w:ascii="Arial" w:hAnsi="Arial" w:cs="Arial"/>
          <w:spacing w:val="1"/>
        </w:rPr>
        <w:t xml:space="preserve"> </w:t>
      </w:r>
      <w:r>
        <w:rPr>
          <w:rFonts w:ascii="Arial" w:hAnsi="Arial" w:cs="Arial"/>
        </w:rPr>
        <w:t>Empresas</w:t>
      </w:r>
      <w:r>
        <w:rPr>
          <w:rFonts w:ascii="Arial" w:hAnsi="Arial" w:cs="Arial"/>
          <w:spacing w:val="1"/>
        </w:rPr>
        <w:t xml:space="preserve"> </w:t>
      </w:r>
      <w:r>
        <w:rPr>
          <w:rFonts w:ascii="Arial" w:hAnsi="Arial" w:cs="Arial"/>
        </w:rPr>
        <w:t>Mercantis,</w:t>
      </w:r>
      <w:r>
        <w:rPr>
          <w:rFonts w:ascii="Arial" w:hAnsi="Arial" w:cs="Arial"/>
          <w:spacing w:val="1"/>
        </w:rPr>
        <w:t xml:space="preserve"> </w:t>
      </w:r>
      <w:r>
        <w:rPr>
          <w:rFonts w:ascii="Arial" w:hAnsi="Arial" w:cs="Arial"/>
        </w:rPr>
        <w:t>a</w:t>
      </w:r>
      <w:r>
        <w:rPr>
          <w:rFonts w:ascii="Arial" w:hAnsi="Arial" w:cs="Arial"/>
          <w:spacing w:val="1"/>
        </w:rPr>
        <w:t xml:space="preserve"> </w:t>
      </w:r>
      <w:r>
        <w:rPr>
          <w:rFonts w:ascii="Arial" w:hAnsi="Arial" w:cs="Arial"/>
        </w:rPr>
        <w:t>cargo</w:t>
      </w:r>
      <w:r>
        <w:rPr>
          <w:rFonts w:ascii="Arial" w:hAnsi="Arial" w:cs="Arial"/>
          <w:spacing w:val="1"/>
        </w:rPr>
        <w:t xml:space="preserve"> </w:t>
      </w:r>
      <w:r>
        <w:rPr>
          <w:rFonts w:ascii="Arial" w:hAnsi="Arial" w:cs="Arial"/>
        </w:rPr>
        <w:t>da</w:t>
      </w:r>
      <w:r>
        <w:rPr>
          <w:rFonts w:ascii="Arial" w:hAnsi="Arial" w:cs="Arial"/>
          <w:spacing w:val="1"/>
        </w:rPr>
        <w:t xml:space="preserve"> </w:t>
      </w:r>
      <w:r>
        <w:rPr>
          <w:rFonts w:ascii="Arial" w:hAnsi="Arial" w:cs="Arial"/>
        </w:rPr>
        <w:t>Junta</w:t>
      </w:r>
      <w:r>
        <w:rPr>
          <w:rFonts w:ascii="Arial" w:hAnsi="Arial" w:cs="Arial"/>
          <w:spacing w:val="1"/>
        </w:rPr>
        <w:t xml:space="preserve"> </w:t>
      </w:r>
      <w:r>
        <w:rPr>
          <w:rFonts w:ascii="Arial" w:hAnsi="Arial" w:cs="Arial"/>
        </w:rPr>
        <w:t>Comercial</w:t>
      </w:r>
      <w:r>
        <w:rPr>
          <w:rFonts w:ascii="Arial" w:hAnsi="Arial" w:cs="Arial"/>
          <w:spacing w:val="1"/>
        </w:rPr>
        <w:t xml:space="preserve"> </w:t>
      </w:r>
      <w:r>
        <w:rPr>
          <w:rFonts w:ascii="Arial" w:hAnsi="Arial" w:cs="Arial"/>
        </w:rPr>
        <w:t>da</w:t>
      </w:r>
      <w:r>
        <w:rPr>
          <w:rFonts w:ascii="Arial" w:hAnsi="Arial" w:cs="Arial"/>
          <w:spacing w:val="1"/>
        </w:rPr>
        <w:t xml:space="preserve"> </w:t>
      </w:r>
      <w:r>
        <w:rPr>
          <w:rFonts w:ascii="Arial" w:hAnsi="Arial" w:cs="Arial"/>
        </w:rPr>
        <w:t>respectiva</w:t>
      </w:r>
      <w:r>
        <w:rPr>
          <w:rFonts w:ascii="Arial" w:hAnsi="Arial" w:cs="Arial"/>
          <w:spacing w:val="1"/>
        </w:rPr>
        <w:t xml:space="preserve"> </w:t>
      </w:r>
      <w:r>
        <w:rPr>
          <w:rFonts w:ascii="Arial" w:hAnsi="Arial" w:cs="Arial"/>
        </w:rPr>
        <w:t>sede,</w:t>
      </w:r>
      <w:r>
        <w:rPr>
          <w:rFonts w:ascii="Arial" w:hAnsi="Arial" w:cs="Arial"/>
          <w:spacing w:val="1"/>
        </w:rPr>
        <w:t xml:space="preserve"> </w:t>
      </w:r>
      <w:r>
        <w:rPr>
          <w:rFonts w:ascii="Arial" w:hAnsi="Arial" w:cs="Arial"/>
        </w:rPr>
        <w:t>acompanhada</w:t>
      </w:r>
      <w:r>
        <w:rPr>
          <w:rFonts w:ascii="Arial" w:hAnsi="Arial" w:cs="Arial"/>
          <w:spacing w:val="-4"/>
        </w:rPr>
        <w:t xml:space="preserve"> </w:t>
      </w:r>
      <w:r>
        <w:rPr>
          <w:rFonts w:ascii="Arial" w:hAnsi="Arial" w:cs="Arial"/>
        </w:rPr>
        <w:t>de</w:t>
      </w:r>
      <w:r>
        <w:rPr>
          <w:rFonts w:ascii="Arial" w:hAnsi="Arial" w:cs="Arial"/>
          <w:spacing w:val="-3"/>
        </w:rPr>
        <w:t xml:space="preserve"> </w:t>
      </w:r>
      <w:r>
        <w:rPr>
          <w:rFonts w:ascii="Arial" w:hAnsi="Arial" w:cs="Arial"/>
        </w:rPr>
        <w:t>documento comprobatório</w:t>
      </w:r>
      <w:r>
        <w:rPr>
          <w:rFonts w:ascii="Arial" w:hAnsi="Arial" w:cs="Arial"/>
          <w:spacing w:val="-3"/>
        </w:rPr>
        <w:t xml:space="preserve"> </w:t>
      </w:r>
      <w:r>
        <w:rPr>
          <w:rFonts w:ascii="Arial" w:hAnsi="Arial" w:cs="Arial"/>
        </w:rPr>
        <w:t>de</w:t>
      </w:r>
      <w:r>
        <w:rPr>
          <w:rFonts w:ascii="Arial" w:hAnsi="Arial" w:cs="Arial"/>
          <w:spacing w:val="-1"/>
        </w:rPr>
        <w:t xml:space="preserve"> </w:t>
      </w:r>
      <w:r>
        <w:rPr>
          <w:rFonts w:ascii="Arial" w:hAnsi="Arial" w:cs="Arial"/>
        </w:rPr>
        <w:t>seus</w:t>
      </w:r>
      <w:r>
        <w:rPr>
          <w:rFonts w:ascii="Arial" w:hAnsi="Arial" w:cs="Arial"/>
          <w:spacing w:val="-1"/>
        </w:rPr>
        <w:t xml:space="preserve"> </w:t>
      </w:r>
      <w:r>
        <w:rPr>
          <w:rFonts w:ascii="Arial" w:hAnsi="Arial" w:cs="Arial"/>
        </w:rPr>
        <w:t>administradores;</w:t>
      </w:r>
    </w:p>
    <w:p w14:paraId="73D99D08">
      <w:pPr>
        <w:pStyle w:val="26"/>
        <w:numPr>
          <w:ilvl w:val="3"/>
          <w:numId w:val="44"/>
        </w:numPr>
        <w:tabs>
          <w:tab w:val="clear" w:pos="4157"/>
        </w:tabs>
        <w:spacing w:line="360" w:lineRule="auto"/>
        <w:ind w:left="459" w:right="176" w:rightChars="80" w:hanging="19"/>
        <w:rPr>
          <w:rFonts w:ascii="Arial" w:hAnsi="Arial" w:cs="Arial"/>
        </w:rPr>
      </w:pPr>
      <w:r>
        <w:rPr>
          <w:rFonts w:ascii="Arial" w:hAnsi="Arial" w:cs="Arial"/>
        </w:rPr>
        <w:t>Sociedade</w:t>
      </w:r>
      <w:r>
        <w:rPr>
          <w:rFonts w:ascii="Arial" w:hAnsi="Arial" w:cs="Arial"/>
          <w:spacing w:val="-6"/>
        </w:rPr>
        <w:t xml:space="preserve"> </w:t>
      </w:r>
      <w:r>
        <w:rPr>
          <w:rFonts w:ascii="Arial" w:hAnsi="Arial" w:cs="Arial"/>
        </w:rPr>
        <w:t>empresária</w:t>
      </w:r>
      <w:r>
        <w:rPr>
          <w:rFonts w:ascii="Arial" w:hAnsi="Arial" w:cs="Arial"/>
          <w:spacing w:val="-4"/>
        </w:rPr>
        <w:t xml:space="preserve"> </w:t>
      </w:r>
      <w:r>
        <w:rPr>
          <w:rFonts w:ascii="Arial" w:hAnsi="Arial" w:cs="Arial"/>
        </w:rPr>
        <w:t>estrangeira:</w:t>
      </w:r>
      <w:r>
        <w:rPr>
          <w:rFonts w:ascii="Arial" w:hAnsi="Arial" w:cs="Arial"/>
          <w:spacing w:val="-6"/>
        </w:rPr>
        <w:t xml:space="preserve"> </w:t>
      </w:r>
      <w:r>
        <w:rPr>
          <w:rFonts w:ascii="Arial" w:hAnsi="Arial" w:cs="Arial"/>
        </w:rPr>
        <w:t>portaria</w:t>
      </w:r>
      <w:r>
        <w:rPr>
          <w:rFonts w:ascii="Arial" w:hAnsi="Arial" w:cs="Arial"/>
          <w:spacing w:val="-4"/>
        </w:rPr>
        <w:t xml:space="preserve"> </w:t>
      </w:r>
      <w:r>
        <w:rPr>
          <w:rFonts w:ascii="Arial" w:hAnsi="Arial" w:cs="Arial"/>
        </w:rPr>
        <w:t>de</w:t>
      </w:r>
      <w:r>
        <w:rPr>
          <w:rFonts w:ascii="Arial" w:hAnsi="Arial" w:cs="Arial"/>
          <w:spacing w:val="-6"/>
        </w:rPr>
        <w:t xml:space="preserve"> </w:t>
      </w:r>
      <w:r>
        <w:rPr>
          <w:rFonts w:ascii="Arial" w:hAnsi="Arial" w:cs="Arial"/>
        </w:rPr>
        <w:t>autorização</w:t>
      </w:r>
      <w:r>
        <w:rPr>
          <w:rFonts w:ascii="Arial" w:hAnsi="Arial" w:cs="Arial"/>
          <w:spacing w:val="-6"/>
        </w:rPr>
        <w:t xml:space="preserve"> </w:t>
      </w:r>
      <w:r>
        <w:rPr>
          <w:rFonts w:ascii="Arial" w:hAnsi="Arial" w:cs="Arial"/>
        </w:rPr>
        <w:t>de</w:t>
      </w:r>
      <w:r>
        <w:rPr>
          <w:rFonts w:ascii="Arial" w:hAnsi="Arial" w:cs="Arial"/>
          <w:spacing w:val="-6"/>
        </w:rPr>
        <w:t xml:space="preserve"> </w:t>
      </w:r>
      <w:r>
        <w:rPr>
          <w:rFonts w:ascii="Arial" w:hAnsi="Arial" w:cs="Arial"/>
        </w:rPr>
        <w:t>funcionamento</w:t>
      </w:r>
      <w:r>
        <w:rPr>
          <w:rFonts w:ascii="Arial" w:hAnsi="Arial" w:cs="Arial"/>
          <w:spacing w:val="-64"/>
        </w:rPr>
        <w:t xml:space="preserve"> </w:t>
      </w:r>
      <w:r>
        <w:rPr>
          <w:rFonts w:ascii="Arial" w:hAnsi="Arial" w:cs="Arial"/>
        </w:rPr>
        <w:t>no Brasil, publicada no Diário Oficial da União e arquivada na Junta Comercial</w:t>
      </w:r>
      <w:r>
        <w:rPr>
          <w:rFonts w:ascii="Arial" w:hAnsi="Arial" w:cs="Arial"/>
          <w:spacing w:val="1"/>
        </w:rPr>
        <w:t xml:space="preserve"> </w:t>
      </w:r>
      <w:r>
        <w:rPr>
          <w:rFonts w:ascii="Arial" w:hAnsi="Arial" w:cs="Arial"/>
        </w:rPr>
        <w:t>da</w:t>
      </w:r>
      <w:r>
        <w:rPr>
          <w:rFonts w:ascii="Arial" w:hAnsi="Arial" w:cs="Arial"/>
          <w:spacing w:val="1"/>
        </w:rPr>
        <w:t xml:space="preserve"> </w:t>
      </w:r>
      <w:r>
        <w:rPr>
          <w:rFonts w:ascii="Arial" w:hAnsi="Arial" w:cs="Arial"/>
        </w:rPr>
        <w:t>unidade</w:t>
      </w:r>
      <w:r>
        <w:rPr>
          <w:rFonts w:ascii="Arial" w:hAnsi="Arial" w:cs="Arial"/>
          <w:spacing w:val="1"/>
        </w:rPr>
        <w:t xml:space="preserve"> </w:t>
      </w:r>
      <w:r>
        <w:rPr>
          <w:rFonts w:ascii="Arial" w:hAnsi="Arial" w:cs="Arial"/>
        </w:rPr>
        <w:t>federativa</w:t>
      </w:r>
      <w:r>
        <w:rPr>
          <w:rFonts w:ascii="Arial" w:hAnsi="Arial" w:cs="Arial"/>
          <w:spacing w:val="1"/>
        </w:rPr>
        <w:t xml:space="preserve"> </w:t>
      </w:r>
      <w:r>
        <w:rPr>
          <w:rFonts w:ascii="Arial" w:hAnsi="Arial" w:cs="Arial"/>
        </w:rPr>
        <w:t>onde</w:t>
      </w:r>
      <w:r>
        <w:rPr>
          <w:rFonts w:ascii="Arial" w:hAnsi="Arial" w:cs="Arial"/>
          <w:spacing w:val="1"/>
        </w:rPr>
        <w:t xml:space="preserve"> </w:t>
      </w:r>
      <w:r>
        <w:rPr>
          <w:rFonts w:ascii="Arial" w:hAnsi="Arial" w:cs="Arial"/>
        </w:rPr>
        <w:t>se</w:t>
      </w:r>
      <w:r>
        <w:rPr>
          <w:rFonts w:ascii="Arial" w:hAnsi="Arial" w:cs="Arial"/>
          <w:spacing w:val="1"/>
        </w:rPr>
        <w:t xml:space="preserve"> </w:t>
      </w:r>
      <w:r>
        <w:rPr>
          <w:rFonts w:ascii="Arial" w:hAnsi="Arial" w:cs="Arial"/>
        </w:rPr>
        <w:t>localizar</w:t>
      </w:r>
      <w:r>
        <w:rPr>
          <w:rFonts w:ascii="Arial" w:hAnsi="Arial" w:cs="Arial"/>
          <w:spacing w:val="1"/>
        </w:rPr>
        <w:t xml:space="preserve"> </w:t>
      </w:r>
      <w:r>
        <w:rPr>
          <w:rFonts w:ascii="Arial" w:hAnsi="Arial" w:cs="Arial"/>
        </w:rPr>
        <w:t>a</w:t>
      </w:r>
      <w:r>
        <w:rPr>
          <w:rFonts w:ascii="Arial" w:hAnsi="Arial" w:cs="Arial"/>
          <w:spacing w:val="1"/>
        </w:rPr>
        <w:t xml:space="preserve"> </w:t>
      </w:r>
      <w:r>
        <w:rPr>
          <w:rFonts w:ascii="Arial" w:hAnsi="Arial" w:cs="Arial"/>
        </w:rPr>
        <w:t>filial,</w:t>
      </w:r>
      <w:r>
        <w:rPr>
          <w:rFonts w:ascii="Arial" w:hAnsi="Arial" w:cs="Arial"/>
          <w:spacing w:val="1"/>
        </w:rPr>
        <w:t xml:space="preserve"> </w:t>
      </w:r>
      <w:r>
        <w:rPr>
          <w:rFonts w:ascii="Arial" w:hAnsi="Arial" w:cs="Arial"/>
        </w:rPr>
        <w:t>agência,</w:t>
      </w:r>
      <w:r>
        <w:rPr>
          <w:rFonts w:ascii="Arial" w:hAnsi="Arial" w:cs="Arial"/>
          <w:spacing w:val="1"/>
        </w:rPr>
        <w:t xml:space="preserve"> </w:t>
      </w:r>
      <w:r>
        <w:rPr>
          <w:rFonts w:ascii="Arial" w:hAnsi="Arial" w:cs="Arial"/>
        </w:rPr>
        <w:t>sucursal</w:t>
      </w:r>
      <w:r>
        <w:rPr>
          <w:rFonts w:ascii="Arial" w:hAnsi="Arial" w:cs="Arial"/>
          <w:spacing w:val="1"/>
        </w:rPr>
        <w:t xml:space="preserve"> </w:t>
      </w:r>
      <w:r>
        <w:rPr>
          <w:rFonts w:ascii="Arial" w:hAnsi="Arial" w:cs="Arial"/>
        </w:rPr>
        <w:t>ou</w:t>
      </w:r>
      <w:r>
        <w:rPr>
          <w:rFonts w:ascii="Arial" w:hAnsi="Arial" w:cs="Arial"/>
          <w:spacing w:val="1"/>
        </w:rPr>
        <w:t xml:space="preserve"> </w:t>
      </w:r>
      <w:r>
        <w:rPr>
          <w:rFonts w:ascii="Arial" w:hAnsi="Arial" w:cs="Arial"/>
        </w:rPr>
        <w:t>estabelecimento, a qual será considerada como sua sede, conforme Instrução</w:t>
      </w:r>
      <w:r>
        <w:rPr>
          <w:rFonts w:ascii="Arial" w:hAnsi="Arial" w:cs="Arial"/>
          <w:spacing w:val="1"/>
        </w:rPr>
        <w:t xml:space="preserve"> </w:t>
      </w:r>
      <w:r>
        <w:rPr>
          <w:rFonts w:ascii="Arial" w:hAnsi="Arial" w:cs="Arial"/>
        </w:rPr>
        <w:t>Normativa</w:t>
      </w:r>
      <w:r>
        <w:rPr>
          <w:rFonts w:ascii="Arial" w:hAnsi="Arial" w:cs="Arial"/>
          <w:spacing w:val="-3"/>
        </w:rPr>
        <w:t xml:space="preserve"> </w:t>
      </w:r>
      <w:r>
        <w:rPr>
          <w:rFonts w:ascii="Arial" w:hAnsi="Arial" w:cs="Arial"/>
        </w:rPr>
        <w:t>DREI/ME nº</w:t>
      </w:r>
      <w:r>
        <w:rPr>
          <w:rFonts w:ascii="Arial" w:hAnsi="Arial" w:cs="Arial"/>
          <w:spacing w:val="-2"/>
        </w:rPr>
        <w:t xml:space="preserve"> </w:t>
      </w:r>
      <w:r>
        <w:rPr>
          <w:rFonts w:ascii="Arial" w:hAnsi="Arial" w:cs="Arial"/>
        </w:rPr>
        <w:t>77,</w:t>
      </w:r>
      <w:r>
        <w:rPr>
          <w:rFonts w:ascii="Arial" w:hAnsi="Arial" w:cs="Arial"/>
          <w:spacing w:val="-2"/>
        </w:rPr>
        <w:t xml:space="preserve"> </w:t>
      </w:r>
      <w:r>
        <w:rPr>
          <w:rFonts w:ascii="Arial" w:hAnsi="Arial" w:cs="Arial"/>
        </w:rPr>
        <w:t>de</w:t>
      </w:r>
      <w:r>
        <w:rPr>
          <w:rFonts w:ascii="Arial" w:hAnsi="Arial" w:cs="Arial"/>
          <w:spacing w:val="-2"/>
        </w:rPr>
        <w:t xml:space="preserve"> </w:t>
      </w:r>
      <w:r>
        <w:rPr>
          <w:rFonts w:ascii="Arial" w:hAnsi="Arial" w:cs="Arial"/>
        </w:rPr>
        <w:t>18</w:t>
      </w:r>
      <w:r>
        <w:rPr>
          <w:rFonts w:ascii="Arial" w:hAnsi="Arial" w:cs="Arial"/>
          <w:spacing w:val="-2"/>
        </w:rPr>
        <w:t xml:space="preserve"> </w:t>
      </w:r>
      <w:r>
        <w:rPr>
          <w:rFonts w:ascii="Arial" w:hAnsi="Arial" w:cs="Arial"/>
        </w:rPr>
        <w:t>de</w:t>
      </w:r>
      <w:r>
        <w:rPr>
          <w:rFonts w:ascii="Arial" w:hAnsi="Arial" w:cs="Arial"/>
          <w:spacing w:val="-2"/>
        </w:rPr>
        <w:t xml:space="preserve"> </w:t>
      </w:r>
      <w:r>
        <w:rPr>
          <w:rFonts w:ascii="Arial" w:hAnsi="Arial" w:cs="Arial"/>
        </w:rPr>
        <w:t>março</w:t>
      </w:r>
      <w:r>
        <w:rPr>
          <w:rFonts w:ascii="Arial" w:hAnsi="Arial" w:cs="Arial"/>
          <w:spacing w:val="-3"/>
        </w:rPr>
        <w:t xml:space="preserve"> </w:t>
      </w:r>
      <w:r>
        <w:rPr>
          <w:rFonts w:ascii="Arial" w:hAnsi="Arial" w:cs="Arial"/>
        </w:rPr>
        <w:t>de 2020;</w:t>
      </w:r>
    </w:p>
    <w:p w14:paraId="7E6A2195">
      <w:pPr>
        <w:pStyle w:val="26"/>
        <w:numPr>
          <w:ilvl w:val="3"/>
          <w:numId w:val="44"/>
        </w:numPr>
        <w:tabs>
          <w:tab w:val="clear" w:pos="4157"/>
        </w:tabs>
        <w:spacing w:line="360" w:lineRule="auto"/>
        <w:ind w:left="459" w:right="176" w:rightChars="80" w:hanging="19"/>
        <w:rPr>
          <w:rFonts w:ascii="Arial" w:hAnsi="Arial" w:cs="Arial"/>
        </w:rPr>
      </w:pPr>
      <w:r>
        <w:rPr>
          <w:rFonts w:ascii="Arial" w:hAnsi="Arial" w:cs="Arial"/>
        </w:rPr>
        <w:t>Sociedade</w:t>
      </w:r>
      <w:r>
        <w:rPr>
          <w:rFonts w:ascii="Arial" w:hAnsi="Arial" w:cs="Arial"/>
          <w:spacing w:val="-2"/>
        </w:rPr>
        <w:t xml:space="preserve"> </w:t>
      </w:r>
      <w:r>
        <w:rPr>
          <w:rFonts w:ascii="Arial" w:hAnsi="Arial" w:cs="Arial"/>
        </w:rPr>
        <w:t>simples:</w:t>
      </w:r>
      <w:r>
        <w:rPr>
          <w:rFonts w:ascii="Arial" w:hAnsi="Arial" w:cs="Arial"/>
          <w:spacing w:val="-4"/>
        </w:rPr>
        <w:t xml:space="preserve"> </w:t>
      </w:r>
      <w:r>
        <w:rPr>
          <w:rFonts w:ascii="Arial" w:hAnsi="Arial" w:cs="Arial"/>
        </w:rPr>
        <w:t>inscrição</w:t>
      </w:r>
      <w:r>
        <w:rPr>
          <w:rFonts w:ascii="Arial" w:hAnsi="Arial" w:cs="Arial"/>
          <w:spacing w:val="-2"/>
        </w:rPr>
        <w:t xml:space="preserve"> </w:t>
      </w:r>
      <w:r>
        <w:rPr>
          <w:rFonts w:ascii="Arial" w:hAnsi="Arial" w:cs="Arial"/>
        </w:rPr>
        <w:t>do</w:t>
      </w:r>
      <w:r>
        <w:rPr>
          <w:rFonts w:ascii="Arial" w:hAnsi="Arial" w:cs="Arial"/>
          <w:spacing w:val="-2"/>
        </w:rPr>
        <w:t xml:space="preserve"> </w:t>
      </w:r>
      <w:r>
        <w:rPr>
          <w:rFonts w:ascii="Arial" w:hAnsi="Arial" w:cs="Arial"/>
        </w:rPr>
        <w:t>ato</w:t>
      </w:r>
      <w:r>
        <w:rPr>
          <w:rFonts w:ascii="Arial" w:hAnsi="Arial" w:cs="Arial"/>
          <w:spacing w:val="-3"/>
        </w:rPr>
        <w:t xml:space="preserve"> </w:t>
      </w:r>
      <w:r>
        <w:rPr>
          <w:rFonts w:ascii="Arial" w:hAnsi="Arial" w:cs="Arial"/>
        </w:rPr>
        <w:t>constitutivo</w:t>
      </w:r>
      <w:r>
        <w:rPr>
          <w:rFonts w:ascii="Arial" w:hAnsi="Arial" w:cs="Arial"/>
          <w:spacing w:val="-4"/>
        </w:rPr>
        <w:t xml:space="preserve"> </w:t>
      </w:r>
      <w:r>
        <w:rPr>
          <w:rFonts w:ascii="Arial" w:hAnsi="Arial" w:cs="Arial"/>
        </w:rPr>
        <w:t>no</w:t>
      </w:r>
      <w:r>
        <w:rPr>
          <w:rFonts w:ascii="Arial" w:hAnsi="Arial" w:cs="Arial"/>
          <w:spacing w:val="-2"/>
        </w:rPr>
        <w:t xml:space="preserve"> </w:t>
      </w:r>
      <w:r>
        <w:rPr>
          <w:rFonts w:ascii="Arial" w:hAnsi="Arial" w:cs="Arial"/>
        </w:rPr>
        <w:t>Registro</w:t>
      </w:r>
      <w:r>
        <w:rPr>
          <w:rFonts w:ascii="Arial" w:hAnsi="Arial" w:cs="Arial"/>
          <w:spacing w:val="-4"/>
        </w:rPr>
        <w:t xml:space="preserve"> </w:t>
      </w:r>
      <w:r>
        <w:rPr>
          <w:rFonts w:ascii="Arial" w:hAnsi="Arial" w:cs="Arial"/>
        </w:rPr>
        <w:t>Civil</w:t>
      </w:r>
      <w:r>
        <w:rPr>
          <w:rFonts w:ascii="Arial" w:hAnsi="Arial" w:cs="Arial"/>
          <w:spacing w:val="-2"/>
        </w:rPr>
        <w:t xml:space="preserve"> </w:t>
      </w:r>
      <w:r>
        <w:rPr>
          <w:rFonts w:ascii="Arial" w:hAnsi="Arial" w:cs="Arial"/>
        </w:rPr>
        <w:t>de</w:t>
      </w:r>
      <w:r>
        <w:rPr>
          <w:rFonts w:ascii="Arial" w:hAnsi="Arial" w:cs="Arial"/>
          <w:spacing w:val="-4"/>
        </w:rPr>
        <w:t xml:space="preserve"> </w:t>
      </w:r>
      <w:r>
        <w:rPr>
          <w:rFonts w:ascii="Arial" w:hAnsi="Arial" w:cs="Arial"/>
        </w:rPr>
        <w:t>Pessoas</w:t>
      </w:r>
      <w:r>
        <w:rPr>
          <w:rFonts w:ascii="Arial" w:hAnsi="Arial" w:cs="Arial"/>
          <w:spacing w:val="-64"/>
        </w:rPr>
        <w:t xml:space="preserve"> </w:t>
      </w:r>
      <w:r>
        <w:rPr>
          <w:rFonts w:ascii="Arial" w:hAnsi="Arial" w:cs="Arial"/>
        </w:rPr>
        <w:t>Jurídicas do local de sua sede, acompanhada de documento comprobatório de</w:t>
      </w:r>
      <w:r>
        <w:rPr>
          <w:rFonts w:ascii="Arial" w:hAnsi="Arial" w:cs="Arial"/>
          <w:spacing w:val="1"/>
        </w:rPr>
        <w:t xml:space="preserve"> </w:t>
      </w:r>
      <w:r>
        <w:rPr>
          <w:rFonts w:ascii="Arial" w:hAnsi="Arial" w:cs="Arial"/>
        </w:rPr>
        <w:t>seus</w:t>
      </w:r>
      <w:r>
        <w:rPr>
          <w:rFonts w:ascii="Arial" w:hAnsi="Arial" w:cs="Arial"/>
          <w:spacing w:val="-1"/>
        </w:rPr>
        <w:t xml:space="preserve"> </w:t>
      </w:r>
      <w:r>
        <w:rPr>
          <w:rFonts w:ascii="Arial" w:hAnsi="Arial" w:cs="Arial"/>
        </w:rPr>
        <w:t>administradores;</w:t>
      </w:r>
    </w:p>
    <w:p w14:paraId="48973DB3">
      <w:pPr>
        <w:pStyle w:val="26"/>
        <w:numPr>
          <w:ilvl w:val="3"/>
          <w:numId w:val="44"/>
        </w:numPr>
        <w:tabs>
          <w:tab w:val="clear" w:pos="4157"/>
        </w:tabs>
        <w:spacing w:line="360" w:lineRule="auto"/>
        <w:ind w:left="459" w:right="176" w:rightChars="80" w:hanging="19"/>
        <w:rPr>
          <w:rFonts w:ascii="Arial" w:hAnsi="Arial" w:cs="Arial"/>
        </w:rPr>
      </w:pPr>
      <w:r>
        <w:rPr>
          <w:rFonts w:ascii="Arial" w:hAnsi="Arial" w:cs="Arial"/>
          <w:bCs/>
        </w:rPr>
        <w:t>Filial, sucursal ou agência de sociedade simples ou empresária: inscrição do ato constitutivo da</w:t>
      </w:r>
      <w:r>
        <w:rPr>
          <w:rFonts w:ascii="Arial" w:hAnsi="Arial" w:cs="Arial"/>
        </w:rPr>
        <w:t xml:space="preserve"> filial, sucursal ou agência da sociedade simples ou empresária, respectivamente, no Registro Civil das Pessoas Jurídicas ou no Registro Público de Empresas Mercantis onde opera, com averbação no Registro onde tem sede a matriz;</w:t>
      </w:r>
    </w:p>
    <w:p w14:paraId="6D26DD82">
      <w:pPr>
        <w:pStyle w:val="26"/>
        <w:numPr>
          <w:ilvl w:val="3"/>
          <w:numId w:val="44"/>
        </w:numPr>
        <w:tabs>
          <w:tab w:val="clear" w:pos="4157"/>
        </w:tabs>
        <w:spacing w:line="360" w:lineRule="auto"/>
        <w:ind w:left="459" w:right="176" w:rightChars="80" w:hanging="19"/>
        <w:rPr>
          <w:rFonts w:ascii="Arial" w:hAnsi="Arial" w:cs="Arial"/>
        </w:rPr>
      </w:pPr>
      <w:r>
        <w:rPr>
          <w:rFonts w:ascii="Arial" w:hAnsi="Arial" w:cs="Arial"/>
        </w:rPr>
        <w:t>Sociedade cooperativa: ata de fundação e estatuto social, com a ata da</w:t>
      </w:r>
      <w:r>
        <w:rPr>
          <w:rFonts w:ascii="Arial" w:hAnsi="Arial" w:cs="Arial"/>
          <w:spacing w:val="1"/>
        </w:rPr>
        <w:t xml:space="preserve"> </w:t>
      </w:r>
      <w:r>
        <w:rPr>
          <w:rFonts w:ascii="Arial" w:hAnsi="Arial" w:cs="Arial"/>
        </w:rPr>
        <w:t>assembleia</w:t>
      </w:r>
      <w:r>
        <w:rPr>
          <w:rFonts w:ascii="Arial" w:hAnsi="Arial" w:cs="Arial"/>
          <w:spacing w:val="1"/>
        </w:rPr>
        <w:t xml:space="preserve"> </w:t>
      </w:r>
      <w:r>
        <w:rPr>
          <w:rFonts w:ascii="Arial" w:hAnsi="Arial" w:cs="Arial"/>
        </w:rPr>
        <w:t>que</w:t>
      </w:r>
      <w:r>
        <w:rPr>
          <w:rFonts w:ascii="Arial" w:hAnsi="Arial" w:cs="Arial"/>
          <w:spacing w:val="1"/>
        </w:rPr>
        <w:t xml:space="preserve"> </w:t>
      </w:r>
      <w:r>
        <w:rPr>
          <w:rFonts w:ascii="Arial" w:hAnsi="Arial" w:cs="Arial"/>
        </w:rPr>
        <w:t>o</w:t>
      </w:r>
      <w:r>
        <w:rPr>
          <w:rFonts w:ascii="Arial" w:hAnsi="Arial" w:cs="Arial"/>
          <w:spacing w:val="1"/>
        </w:rPr>
        <w:t xml:space="preserve"> </w:t>
      </w:r>
      <w:r>
        <w:rPr>
          <w:rFonts w:ascii="Arial" w:hAnsi="Arial" w:cs="Arial"/>
        </w:rPr>
        <w:t>aprovou,</w:t>
      </w:r>
      <w:r>
        <w:rPr>
          <w:rFonts w:ascii="Arial" w:hAnsi="Arial" w:cs="Arial"/>
          <w:spacing w:val="1"/>
        </w:rPr>
        <w:t xml:space="preserve"> </w:t>
      </w:r>
      <w:r>
        <w:rPr>
          <w:rFonts w:ascii="Arial" w:hAnsi="Arial" w:cs="Arial"/>
        </w:rPr>
        <w:t>devidamente</w:t>
      </w:r>
      <w:r>
        <w:rPr>
          <w:rFonts w:ascii="Arial" w:hAnsi="Arial" w:cs="Arial"/>
          <w:spacing w:val="1"/>
        </w:rPr>
        <w:t xml:space="preserve"> </w:t>
      </w:r>
      <w:r>
        <w:rPr>
          <w:rFonts w:ascii="Arial" w:hAnsi="Arial" w:cs="Arial"/>
        </w:rPr>
        <w:t>arquivado na</w:t>
      </w:r>
      <w:r>
        <w:rPr>
          <w:rFonts w:ascii="Arial" w:hAnsi="Arial" w:cs="Arial"/>
          <w:spacing w:val="1"/>
        </w:rPr>
        <w:t xml:space="preserve"> </w:t>
      </w:r>
      <w:r>
        <w:rPr>
          <w:rFonts w:ascii="Arial" w:hAnsi="Arial" w:cs="Arial"/>
        </w:rPr>
        <w:t>Junta</w:t>
      </w:r>
      <w:r>
        <w:rPr>
          <w:rFonts w:ascii="Arial" w:hAnsi="Arial" w:cs="Arial"/>
          <w:spacing w:val="1"/>
        </w:rPr>
        <w:t xml:space="preserve"> </w:t>
      </w:r>
      <w:r>
        <w:rPr>
          <w:rFonts w:ascii="Arial" w:hAnsi="Arial" w:cs="Arial"/>
        </w:rPr>
        <w:t>Comercial ou</w:t>
      </w:r>
      <w:r>
        <w:rPr>
          <w:rFonts w:ascii="Arial" w:hAnsi="Arial" w:cs="Arial"/>
          <w:spacing w:val="1"/>
        </w:rPr>
        <w:t xml:space="preserve"> </w:t>
      </w:r>
      <w:r>
        <w:rPr>
          <w:rFonts w:ascii="Arial" w:hAnsi="Arial" w:cs="Arial"/>
        </w:rPr>
        <w:t>inscrito no Registro Civil das Pessoas Jurídicas da respectiva sede, além do</w:t>
      </w:r>
      <w:r>
        <w:rPr>
          <w:rFonts w:ascii="Arial" w:hAnsi="Arial" w:cs="Arial"/>
          <w:spacing w:val="1"/>
        </w:rPr>
        <w:t xml:space="preserve"> </w:t>
      </w:r>
      <w:r>
        <w:rPr>
          <w:rFonts w:ascii="Arial" w:hAnsi="Arial" w:cs="Arial"/>
        </w:rPr>
        <w:t>registro</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que</w:t>
      </w:r>
      <w:r>
        <w:rPr>
          <w:rFonts w:ascii="Arial" w:hAnsi="Arial" w:cs="Arial"/>
          <w:spacing w:val="-1"/>
        </w:rPr>
        <w:t xml:space="preserve"> </w:t>
      </w:r>
      <w:r>
        <w:rPr>
          <w:rFonts w:ascii="Arial" w:hAnsi="Arial" w:cs="Arial"/>
        </w:rPr>
        <w:t>trata</w:t>
      </w:r>
      <w:r>
        <w:rPr>
          <w:rFonts w:ascii="Arial" w:hAnsi="Arial" w:cs="Arial"/>
          <w:spacing w:val="-2"/>
        </w:rPr>
        <w:t xml:space="preserve"> </w:t>
      </w:r>
      <w:r>
        <w:rPr>
          <w:rFonts w:ascii="Arial" w:hAnsi="Arial" w:cs="Arial"/>
        </w:rPr>
        <w:t>o</w:t>
      </w:r>
      <w:r>
        <w:rPr>
          <w:rFonts w:ascii="Arial" w:hAnsi="Arial" w:cs="Arial"/>
          <w:spacing w:val="-3"/>
        </w:rPr>
        <w:t xml:space="preserve"> </w:t>
      </w:r>
      <w:r>
        <w:rPr>
          <w:rFonts w:ascii="Arial" w:hAnsi="Arial" w:cs="Arial"/>
        </w:rPr>
        <w:t>art.</w:t>
      </w:r>
      <w:r>
        <w:rPr>
          <w:rFonts w:ascii="Arial" w:hAnsi="Arial" w:cs="Arial"/>
          <w:spacing w:val="-1"/>
        </w:rPr>
        <w:t xml:space="preserve"> </w:t>
      </w:r>
      <w:r>
        <w:rPr>
          <w:rFonts w:ascii="Arial" w:hAnsi="Arial" w:cs="Arial"/>
        </w:rPr>
        <w:t>107</w:t>
      </w:r>
      <w:r>
        <w:rPr>
          <w:rFonts w:ascii="Arial" w:hAnsi="Arial" w:cs="Arial"/>
          <w:spacing w:val="-1"/>
        </w:rPr>
        <w:t xml:space="preserve"> </w:t>
      </w:r>
      <w:r>
        <w:rPr>
          <w:rFonts w:ascii="Arial" w:hAnsi="Arial" w:cs="Arial"/>
        </w:rPr>
        <w:t>da</w:t>
      </w:r>
      <w:r>
        <w:rPr>
          <w:rFonts w:ascii="Arial" w:hAnsi="Arial" w:cs="Arial"/>
          <w:spacing w:val="3"/>
        </w:rPr>
        <w:t xml:space="preserve"> </w:t>
      </w:r>
      <w:r>
        <w:rPr>
          <w:rFonts w:ascii="Arial" w:hAnsi="Arial" w:cs="Arial"/>
        </w:rPr>
        <w:t>Lei</w:t>
      </w:r>
      <w:r>
        <w:rPr>
          <w:rFonts w:ascii="Arial" w:hAnsi="Arial" w:cs="Arial"/>
          <w:spacing w:val="-1"/>
        </w:rPr>
        <w:t xml:space="preserve"> </w:t>
      </w:r>
      <w:r>
        <w:rPr>
          <w:rFonts w:ascii="Arial" w:hAnsi="Arial" w:cs="Arial"/>
        </w:rPr>
        <w:t>nº 5.764,</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16</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dezembro</w:t>
      </w:r>
      <w:r>
        <w:rPr>
          <w:rFonts w:ascii="Arial" w:hAnsi="Arial" w:cs="Arial"/>
          <w:spacing w:val="-3"/>
        </w:rPr>
        <w:t xml:space="preserve"> </w:t>
      </w:r>
      <w:r>
        <w:rPr>
          <w:rFonts w:ascii="Arial" w:hAnsi="Arial" w:cs="Arial"/>
        </w:rPr>
        <w:t>1971.</w:t>
      </w:r>
    </w:p>
    <w:p w14:paraId="070CAA22">
      <w:pPr>
        <w:pStyle w:val="26"/>
        <w:numPr>
          <w:ilvl w:val="3"/>
          <w:numId w:val="44"/>
        </w:numPr>
        <w:tabs>
          <w:tab w:val="clear" w:pos="4157"/>
        </w:tabs>
        <w:spacing w:line="360" w:lineRule="auto"/>
        <w:ind w:left="459" w:right="176" w:rightChars="80" w:hanging="19"/>
        <w:rPr>
          <w:rFonts w:ascii="Arial" w:hAnsi="Arial" w:cs="Arial"/>
        </w:rPr>
      </w:pPr>
      <w:r>
        <w:rPr>
          <w:rFonts w:ascii="Arial" w:hAnsi="Arial" w:cs="Arial"/>
        </w:rPr>
        <w:t>No caso da alínea “a” acima, caso a empresa for identificada como EIRELI em seus atos constitutivos, ela deverá ser considerada como convertida em SLU, automaticamente pelo agente de contratação, devendo os seus atos constitutivos serem considerados regulares como EIRELI, mas a empresa deverá se comportar na contratação como uma SLU.</w:t>
      </w:r>
    </w:p>
    <w:p w14:paraId="0BE78F08">
      <w:pPr>
        <w:pStyle w:val="26"/>
        <w:numPr>
          <w:ilvl w:val="3"/>
          <w:numId w:val="44"/>
        </w:numPr>
        <w:tabs>
          <w:tab w:val="clear" w:pos="4157"/>
        </w:tabs>
        <w:spacing w:line="360" w:lineRule="auto"/>
        <w:ind w:left="459" w:right="176" w:rightChars="80" w:hanging="19"/>
        <w:rPr>
          <w:rFonts w:ascii="Arial" w:hAnsi="Arial" w:cs="Arial"/>
        </w:rPr>
      </w:pPr>
      <w:r>
        <w:rPr>
          <w:rFonts w:ascii="Arial" w:hAnsi="Arial" w:cs="Arial"/>
        </w:rPr>
        <w:t>Tratando-se de procurador, apresentar procuração por instrumento público ou particular, que comprove os poderes do mandante para a outorga, com firma reconhecida, da qual constem poderes específicos para formular lances, negociar preço, interpor recursos, desistir de sua interposição e praticar todos os demais atos pertinentes ao certame.</w:t>
      </w:r>
    </w:p>
    <w:p w14:paraId="4D66CD9E">
      <w:pPr>
        <w:pStyle w:val="26"/>
        <w:numPr>
          <w:ilvl w:val="2"/>
          <w:numId w:val="3"/>
        </w:numPr>
        <w:spacing w:line="360" w:lineRule="auto"/>
        <w:ind w:right="176" w:rightChars="80"/>
        <w:rPr>
          <w:rFonts w:ascii="Arial" w:hAnsi="Arial" w:cs="Arial"/>
        </w:rPr>
      </w:pPr>
      <w:r>
        <w:rPr>
          <w:rFonts w:ascii="Arial" w:hAnsi="Arial" w:cs="Arial"/>
        </w:rPr>
        <w:t>HABILITAÇÃO</w:t>
      </w:r>
      <w:r>
        <w:rPr>
          <w:rFonts w:ascii="Arial" w:hAnsi="Arial" w:cs="Arial"/>
          <w:spacing w:val="-3"/>
        </w:rPr>
        <w:t xml:space="preserve"> </w:t>
      </w:r>
      <w:r>
        <w:rPr>
          <w:rFonts w:ascii="Arial" w:hAnsi="Arial" w:cs="Arial"/>
        </w:rPr>
        <w:t>FISCAL,</w:t>
      </w:r>
      <w:r>
        <w:rPr>
          <w:rFonts w:ascii="Arial" w:hAnsi="Arial" w:cs="Arial"/>
          <w:spacing w:val="-3"/>
        </w:rPr>
        <w:t xml:space="preserve"> </w:t>
      </w:r>
      <w:r>
        <w:rPr>
          <w:rFonts w:ascii="Arial" w:hAnsi="Arial" w:cs="Arial"/>
        </w:rPr>
        <w:t>SOCIAL</w:t>
      </w:r>
      <w:r>
        <w:rPr>
          <w:rFonts w:ascii="Arial" w:hAnsi="Arial" w:cs="Arial"/>
          <w:spacing w:val="-3"/>
        </w:rPr>
        <w:t xml:space="preserve"> </w:t>
      </w:r>
      <w:r>
        <w:rPr>
          <w:rFonts w:ascii="Arial" w:hAnsi="Arial" w:cs="Arial"/>
        </w:rPr>
        <w:t>E</w:t>
      </w:r>
      <w:r>
        <w:rPr>
          <w:rFonts w:ascii="Arial" w:hAnsi="Arial" w:cs="Arial"/>
          <w:spacing w:val="-3"/>
        </w:rPr>
        <w:t xml:space="preserve"> </w:t>
      </w:r>
      <w:r>
        <w:rPr>
          <w:rFonts w:ascii="Arial" w:hAnsi="Arial" w:cs="Arial"/>
        </w:rPr>
        <w:t>TRABALHISTA</w:t>
      </w:r>
    </w:p>
    <w:p w14:paraId="7BEB0A93">
      <w:pPr>
        <w:pStyle w:val="26"/>
        <w:numPr>
          <w:ilvl w:val="0"/>
          <w:numId w:val="45"/>
        </w:numPr>
        <w:tabs>
          <w:tab w:val="clear" w:pos="4157"/>
        </w:tabs>
        <w:spacing w:line="360" w:lineRule="auto"/>
        <w:ind w:left="440" w:leftChars="200" w:right="176" w:rightChars="80" w:firstLine="13" w:firstLineChars="6"/>
        <w:rPr>
          <w:rFonts w:ascii="Arial" w:hAnsi="Arial" w:cs="Arial"/>
        </w:rPr>
      </w:pPr>
      <w:r>
        <w:rPr>
          <w:rFonts w:ascii="Arial" w:hAnsi="Arial" w:cs="Arial"/>
        </w:rPr>
        <w:t xml:space="preserve">Inscrição no Cadastro Nacional de Pessoas Jurídicas </w:t>
      </w:r>
      <w:r>
        <w:rPr>
          <w:rFonts w:ascii="Arial" w:hAnsi="Arial" w:cs="Arial"/>
          <w:bCs/>
        </w:rPr>
        <w:t>(CNPJ);</w:t>
      </w:r>
    </w:p>
    <w:p w14:paraId="0301A3FD">
      <w:pPr>
        <w:pStyle w:val="26"/>
        <w:numPr>
          <w:ilvl w:val="0"/>
          <w:numId w:val="45"/>
        </w:numPr>
        <w:tabs>
          <w:tab w:val="clear" w:pos="4157"/>
        </w:tabs>
        <w:spacing w:line="360" w:lineRule="auto"/>
        <w:ind w:left="440" w:leftChars="200" w:right="176" w:rightChars="80" w:firstLine="13" w:firstLineChars="6"/>
        <w:rPr>
          <w:rFonts w:ascii="Arial" w:hAnsi="Arial" w:cs="Arial"/>
        </w:rPr>
      </w:pPr>
      <w:r>
        <w:rPr>
          <w:rFonts w:ascii="Arial" w:hAnsi="Arial" w:cs="Arial"/>
        </w:rPr>
        <w:t>Inscrição no cadastro de contribuintes estadual e/ou municipal, se houver, relativo ao domicílio ou sede do licitante, pertinente ao seu ramo de atividade e compatível com o objeto contratual;</w:t>
      </w:r>
    </w:p>
    <w:p w14:paraId="70FCDAAD">
      <w:pPr>
        <w:pStyle w:val="26"/>
        <w:numPr>
          <w:ilvl w:val="0"/>
          <w:numId w:val="45"/>
        </w:numPr>
        <w:tabs>
          <w:tab w:val="clear" w:pos="4157"/>
        </w:tabs>
        <w:spacing w:line="360" w:lineRule="auto"/>
        <w:ind w:left="440" w:leftChars="200" w:right="176" w:rightChars="80" w:firstLine="13" w:firstLineChars="6"/>
        <w:rPr>
          <w:rFonts w:ascii="Arial" w:hAnsi="Arial" w:cs="Arial"/>
        </w:rPr>
      </w:pPr>
      <w:r>
        <w:rPr>
          <w:rFonts w:ascii="Arial" w:hAnsi="Arial" w:cs="Arial"/>
        </w:rPr>
        <w:t>Regularidade</w:t>
      </w:r>
      <w:r>
        <w:rPr>
          <w:rFonts w:ascii="Arial" w:hAnsi="Arial" w:cs="Arial"/>
          <w:spacing w:val="1"/>
        </w:rPr>
        <w:t xml:space="preserve"> </w:t>
      </w:r>
      <w:r>
        <w:rPr>
          <w:rFonts w:ascii="Arial" w:hAnsi="Arial" w:cs="Arial"/>
        </w:rPr>
        <w:t>fiscal</w:t>
      </w:r>
      <w:r>
        <w:rPr>
          <w:rFonts w:ascii="Arial" w:hAnsi="Arial" w:cs="Arial"/>
          <w:spacing w:val="1"/>
        </w:rPr>
        <w:t xml:space="preserve"> </w:t>
      </w:r>
      <w:r>
        <w:rPr>
          <w:rFonts w:ascii="Arial" w:hAnsi="Arial" w:cs="Arial"/>
        </w:rPr>
        <w:t>perante</w:t>
      </w:r>
      <w:r>
        <w:rPr>
          <w:rFonts w:ascii="Arial" w:hAnsi="Arial" w:cs="Arial"/>
          <w:spacing w:val="1"/>
        </w:rPr>
        <w:t xml:space="preserve"> </w:t>
      </w:r>
      <w:r>
        <w:rPr>
          <w:rFonts w:ascii="Arial" w:hAnsi="Arial" w:cs="Arial"/>
        </w:rPr>
        <w:t>a</w:t>
      </w:r>
      <w:r>
        <w:rPr>
          <w:rFonts w:ascii="Arial" w:hAnsi="Arial" w:cs="Arial"/>
          <w:spacing w:val="1"/>
        </w:rPr>
        <w:t xml:space="preserve"> </w:t>
      </w:r>
      <w:r>
        <w:rPr>
          <w:rFonts w:ascii="Arial" w:hAnsi="Arial" w:cs="Arial"/>
        </w:rPr>
        <w:t>Fazenda</w:t>
      </w:r>
      <w:r>
        <w:rPr>
          <w:rFonts w:ascii="Arial" w:hAnsi="Arial" w:cs="Arial"/>
          <w:spacing w:val="1"/>
        </w:rPr>
        <w:t xml:space="preserve"> </w:t>
      </w:r>
      <w:r>
        <w:rPr>
          <w:rFonts w:ascii="Arial" w:hAnsi="Arial" w:cs="Arial"/>
        </w:rPr>
        <w:t>Nacional,</w:t>
      </w:r>
      <w:r>
        <w:rPr>
          <w:rFonts w:ascii="Arial" w:hAnsi="Arial" w:cs="Arial"/>
          <w:spacing w:val="1"/>
        </w:rPr>
        <w:t xml:space="preserve"> </w:t>
      </w:r>
      <w:r>
        <w:rPr>
          <w:rFonts w:ascii="Arial" w:hAnsi="Arial" w:cs="Arial"/>
        </w:rPr>
        <w:t>mediante</w:t>
      </w:r>
      <w:r>
        <w:rPr>
          <w:rFonts w:ascii="Arial" w:hAnsi="Arial" w:cs="Arial"/>
          <w:spacing w:val="1"/>
        </w:rPr>
        <w:t xml:space="preserve"> </w:t>
      </w:r>
      <w:r>
        <w:rPr>
          <w:rFonts w:ascii="Arial" w:hAnsi="Arial" w:cs="Arial"/>
        </w:rPr>
        <w:t>apresentação de certidão expedida conjuntamente pela Secretaria da Receita</w:t>
      </w:r>
      <w:r>
        <w:rPr>
          <w:rFonts w:ascii="Arial" w:hAnsi="Arial" w:cs="Arial"/>
          <w:spacing w:val="1"/>
        </w:rPr>
        <w:t xml:space="preserve"> </w:t>
      </w:r>
      <w:r>
        <w:rPr>
          <w:rFonts w:ascii="Arial" w:hAnsi="Arial" w:cs="Arial"/>
          <w:spacing w:val="-1"/>
        </w:rPr>
        <w:t>Federal</w:t>
      </w:r>
      <w:r>
        <w:rPr>
          <w:rFonts w:ascii="Arial" w:hAnsi="Arial" w:cs="Arial"/>
          <w:spacing w:val="-16"/>
        </w:rPr>
        <w:t xml:space="preserve"> </w:t>
      </w:r>
      <w:r>
        <w:rPr>
          <w:rFonts w:ascii="Arial" w:hAnsi="Arial" w:cs="Arial"/>
          <w:spacing w:val="-1"/>
        </w:rPr>
        <w:t>do</w:t>
      </w:r>
      <w:r>
        <w:rPr>
          <w:rFonts w:ascii="Arial" w:hAnsi="Arial" w:cs="Arial"/>
          <w:spacing w:val="-14"/>
        </w:rPr>
        <w:t xml:space="preserve"> </w:t>
      </w:r>
      <w:r>
        <w:rPr>
          <w:rFonts w:ascii="Arial" w:hAnsi="Arial" w:cs="Arial"/>
          <w:spacing w:val="-1"/>
        </w:rPr>
        <w:t>Brasil</w:t>
      </w:r>
      <w:r>
        <w:rPr>
          <w:rFonts w:ascii="Arial" w:hAnsi="Arial" w:cs="Arial"/>
          <w:spacing w:val="-16"/>
        </w:rPr>
        <w:t xml:space="preserve"> </w:t>
      </w:r>
      <w:r>
        <w:rPr>
          <w:rFonts w:ascii="Arial" w:hAnsi="Arial" w:cs="Arial"/>
        </w:rPr>
        <w:t>(RFB)</w:t>
      </w:r>
      <w:r>
        <w:rPr>
          <w:rFonts w:ascii="Arial" w:hAnsi="Arial" w:cs="Arial"/>
          <w:spacing w:val="-15"/>
        </w:rPr>
        <w:t xml:space="preserve"> </w:t>
      </w:r>
      <w:r>
        <w:rPr>
          <w:rFonts w:ascii="Arial" w:hAnsi="Arial" w:cs="Arial"/>
        </w:rPr>
        <w:t>e</w:t>
      </w:r>
      <w:r>
        <w:rPr>
          <w:rFonts w:ascii="Arial" w:hAnsi="Arial" w:cs="Arial"/>
          <w:spacing w:val="-15"/>
        </w:rPr>
        <w:t xml:space="preserve"> </w:t>
      </w:r>
      <w:r>
        <w:rPr>
          <w:rFonts w:ascii="Arial" w:hAnsi="Arial" w:cs="Arial"/>
        </w:rPr>
        <w:t>pela</w:t>
      </w:r>
      <w:r>
        <w:rPr>
          <w:rFonts w:ascii="Arial" w:hAnsi="Arial" w:cs="Arial"/>
          <w:spacing w:val="-14"/>
        </w:rPr>
        <w:t xml:space="preserve"> </w:t>
      </w:r>
      <w:r>
        <w:rPr>
          <w:rFonts w:ascii="Arial" w:hAnsi="Arial" w:cs="Arial"/>
        </w:rPr>
        <w:t>Procuradoria-Geral</w:t>
      </w:r>
      <w:r>
        <w:rPr>
          <w:rFonts w:ascii="Arial" w:hAnsi="Arial" w:cs="Arial"/>
          <w:spacing w:val="-16"/>
        </w:rPr>
        <w:t xml:space="preserve"> </w:t>
      </w:r>
      <w:r>
        <w:rPr>
          <w:rFonts w:ascii="Arial" w:hAnsi="Arial" w:cs="Arial"/>
        </w:rPr>
        <w:t>da</w:t>
      </w:r>
      <w:r>
        <w:rPr>
          <w:rFonts w:ascii="Arial" w:hAnsi="Arial" w:cs="Arial"/>
          <w:spacing w:val="-14"/>
        </w:rPr>
        <w:t xml:space="preserve"> </w:t>
      </w:r>
      <w:r>
        <w:rPr>
          <w:rFonts w:ascii="Arial" w:hAnsi="Arial" w:cs="Arial"/>
        </w:rPr>
        <w:t>Fazenda</w:t>
      </w:r>
      <w:r>
        <w:rPr>
          <w:rFonts w:ascii="Arial" w:hAnsi="Arial" w:cs="Arial"/>
          <w:spacing w:val="-15"/>
        </w:rPr>
        <w:t xml:space="preserve"> </w:t>
      </w:r>
      <w:r>
        <w:rPr>
          <w:rFonts w:ascii="Arial" w:hAnsi="Arial" w:cs="Arial"/>
        </w:rPr>
        <w:t>Nacional</w:t>
      </w:r>
      <w:r>
        <w:rPr>
          <w:rFonts w:ascii="Arial" w:hAnsi="Arial" w:cs="Arial"/>
          <w:spacing w:val="-15"/>
        </w:rPr>
        <w:t xml:space="preserve"> </w:t>
      </w:r>
      <w:r>
        <w:rPr>
          <w:rFonts w:ascii="Arial" w:hAnsi="Arial" w:cs="Arial"/>
        </w:rPr>
        <w:t>(PGFN),</w:t>
      </w:r>
      <w:r>
        <w:rPr>
          <w:rFonts w:ascii="Arial" w:hAnsi="Arial" w:cs="Arial"/>
          <w:spacing w:val="-65"/>
        </w:rPr>
        <w:t xml:space="preserve"> </w:t>
      </w:r>
      <w:r>
        <w:rPr>
          <w:rFonts w:ascii="Arial" w:hAnsi="Arial" w:cs="Arial"/>
        </w:rPr>
        <w:t>referente</w:t>
      </w:r>
      <w:r>
        <w:rPr>
          <w:rFonts w:ascii="Arial" w:hAnsi="Arial" w:cs="Arial"/>
          <w:spacing w:val="-8"/>
        </w:rPr>
        <w:t xml:space="preserve"> </w:t>
      </w:r>
      <w:r>
        <w:rPr>
          <w:rFonts w:ascii="Arial" w:hAnsi="Arial" w:cs="Arial"/>
        </w:rPr>
        <w:t>a</w:t>
      </w:r>
      <w:r>
        <w:rPr>
          <w:rFonts w:ascii="Arial" w:hAnsi="Arial" w:cs="Arial"/>
          <w:spacing w:val="-7"/>
        </w:rPr>
        <w:t xml:space="preserve"> </w:t>
      </w:r>
      <w:r>
        <w:rPr>
          <w:rFonts w:ascii="Arial" w:hAnsi="Arial" w:cs="Arial"/>
        </w:rPr>
        <w:t>todos</w:t>
      </w:r>
      <w:r>
        <w:rPr>
          <w:rFonts w:ascii="Arial" w:hAnsi="Arial" w:cs="Arial"/>
          <w:spacing w:val="-12"/>
        </w:rPr>
        <w:t xml:space="preserve"> </w:t>
      </w:r>
      <w:r>
        <w:rPr>
          <w:rFonts w:ascii="Arial" w:hAnsi="Arial" w:cs="Arial"/>
        </w:rPr>
        <w:t>os</w:t>
      </w:r>
      <w:r>
        <w:rPr>
          <w:rFonts w:ascii="Arial" w:hAnsi="Arial" w:cs="Arial"/>
          <w:spacing w:val="-8"/>
        </w:rPr>
        <w:t xml:space="preserve"> </w:t>
      </w:r>
      <w:r>
        <w:rPr>
          <w:rFonts w:ascii="Arial" w:hAnsi="Arial" w:cs="Arial"/>
        </w:rPr>
        <w:t>créditos</w:t>
      </w:r>
      <w:r>
        <w:rPr>
          <w:rFonts w:ascii="Arial" w:hAnsi="Arial" w:cs="Arial"/>
          <w:spacing w:val="-9"/>
        </w:rPr>
        <w:t xml:space="preserve"> </w:t>
      </w:r>
      <w:r>
        <w:rPr>
          <w:rFonts w:ascii="Arial" w:hAnsi="Arial" w:cs="Arial"/>
        </w:rPr>
        <w:t>tributários</w:t>
      </w:r>
      <w:r>
        <w:rPr>
          <w:rFonts w:ascii="Arial" w:hAnsi="Arial" w:cs="Arial"/>
          <w:spacing w:val="-8"/>
        </w:rPr>
        <w:t xml:space="preserve"> </w:t>
      </w:r>
      <w:r>
        <w:rPr>
          <w:rFonts w:ascii="Arial" w:hAnsi="Arial" w:cs="Arial"/>
        </w:rPr>
        <w:t>federais</w:t>
      </w:r>
      <w:r>
        <w:rPr>
          <w:rFonts w:ascii="Arial" w:hAnsi="Arial" w:cs="Arial"/>
          <w:spacing w:val="-9"/>
        </w:rPr>
        <w:t xml:space="preserve"> </w:t>
      </w:r>
      <w:r>
        <w:rPr>
          <w:rFonts w:ascii="Arial" w:hAnsi="Arial" w:cs="Arial"/>
        </w:rPr>
        <w:t>e</w:t>
      </w:r>
      <w:r>
        <w:rPr>
          <w:rFonts w:ascii="Arial" w:hAnsi="Arial" w:cs="Arial"/>
          <w:spacing w:val="-8"/>
        </w:rPr>
        <w:t xml:space="preserve"> </w:t>
      </w:r>
      <w:r>
        <w:rPr>
          <w:rFonts w:ascii="Arial" w:hAnsi="Arial" w:cs="Arial"/>
        </w:rPr>
        <w:t>à</w:t>
      </w:r>
      <w:r>
        <w:rPr>
          <w:rFonts w:ascii="Arial" w:hAnsi="Arial" w:cs="Arial"/>
          <w:spacing w:val="-7"/>
        </w:rPr>
        <w:t xml:space="preserve"> </w:t>
      </w:r>
      <w:r>
        <w:rPr>
          <w:rFonts w:ascii="Arial" w:hAnsi="Arial" w:cs="Arial"/>
        </w:rPr>
        <w:t>Dívida</w:t>
      </w:r>
      <w:r>
        <w:rPr>
          <w:rFonts w:ascii="Arial" w:hAnsi="Arial" w:cs="Arial"/>
          <w:spacing w:val="-10"/>
        </w:rPr>
        <w:t xml:space="preserve"> </w:t>
      </w:r>
      <w:r>
        <w:rPr>
          <w:rFonts w:ascii="Arial" w:hAnsi="Arial" w:cs="Arial"/>
        </w:rPr>
        <w:t>Ativa</w:t>
      </w:r>
      <w:r>
        <w:rPr>
          <w:rFonts w:ascii="Arial" w:hAnsi="Arial" w:cs="Arial"/>
          <w:spacing w:val="-7"/>
        </w:rPr>
        <w:t xml:space="preserve"> </w:t>
      </w:r>
      <w:r>
        <w:rPr>
          <w:rFonts w:ascii="Arial" w:hAnsi="Arial" w:cs="Arial"/>
        </w:rPr>
        <w:t>da</w:t>
      </w:r>
      <w:r>
        <w:rPr>
          <w:rFonts w:ascii="Arial" w:hAnsi="Arial" w:cs="Arial"/>
          <w:spacing w:val="-11"/>
        </w:rPr>
        <w:t xml:space="preserve"> </w:t>
      </w:r>
      <w:r>
        <w:rPr>
          <w:rFonts w:ascii="Arial" w:hAnsi="Arial" w:cs="Arial"/>
        </w:rPr>
        <w:t>União</w:t>
      </w:r>
      <w:r>
        <w:rPr>
          <w:rFonts w:ascii="Arial" w:hAnsi="Arial" w:cs="Arial"/>
          <w:spacing w:val="-7"/>
        </w:rPr>
        <w:t xml:space="preserve"> </w:t>
      </w:r>
      <w:r>
        <w:rPr>
          <w:rFonts w:ascii="Arial" w:hAnsi="Arial" w:cs="Arial"/>
        </w:rPr>
        <w:t>(DAU)</w:t>
      </w:r>
      <w:r>
        <w:rPr>
          <w:rFonts w:ascii="Arial" w:hAnsi="Arial" w:cs="Arial"/>
          <w:spacing w:val="-64"/>
        </w:rPr>
        <w:t xml:space="preserve"> </w:t>
      </w:r>
      <w:r>
        <w:rPr>
          <w:rFonts w:ascii="Arial" w:hAnsi="Arial" w:cs="Arial"/>
        </w:rPr>
        <w:t>por elas administrados, inclusive aqueles relativos à Seguridade Social, nos</w:t>
      </w:r>
      <w:r>
        <w:rPr>
          <w:rFonts w:ascii="Arial" w:hAnsi="Arial" w:cs="Arial"/>
          <w:spacing w:val="1"/>
        </w:rPr>
        <w:t xml:space="preserve"> </w:t>
      </w:r>
      <w:r>
        <w:rPr>
          <w:rFonts w:ascii="Arial" w:hAnsi="Arial" w:cs="Arial"/>
        </w:rPr>
        <w:t>termos da Portaria Conjunta nº 1.751, de 02 de outubro de 2014, do Secretário</w:t>
      </w:r>
      <w:r>
        <w:rPr>
          <w:rFonts w:ascii="Arial" w:hAnsi="Arial" w:cs="Arial"/>
          <w:spacing w:val="1"/>
        </w:rPr>
        <w:t xml:space="preserve"> </w:t>
      </w:r>
      <w:r>
        <w:rPr>
          <w:rFonts w:ascii="Arial" w:hAnsi="Arial" w:cs="Arial"/>
        </w:rPr>
        <w:t>da</w:t>
      </w:r>
      <w:r>
        <w:rPr>
          <w:rFonts w:ascii="Arial" w:hAnsi="Arial" w:cs="Arial"/>
          <w:spacing w:val="-2"/>
        </w:rPr>
        <w:t xml:space="preserve"> </w:t>
      </w:r>
      <w:r>
        <w:rPr>
          <w:rFonts w:ascii="Arial" w:hAnsi="Arial" w:cs="Arial"/>
        </w:rPr>
        <w:t>Receita</w:t>
      </w:r>
      <w:r>
        <w:rPr>
          <w:rFonts w:ascii="Arial" w:hAnsi="Arial" w:cs="Arial"/>
          <w:spacing w:val="-1"/>
        </w:rPr>
        <w:t xml:space="preserve"> </w:t>
      </w:r>
      <w:r>
        <w:rPr>
          <w:rFonts w:ascii="Arial" w:hAnsi="Arial" w:cs="Arial"/>
        </w:rPr>
        <w:t>Federal</w:t>
      </w:r>
      <w:r>
        <w:rPr>
          <w:rFonts w:ascii="Arial" w:hAnsi="Arial" w:cs="Arial"/>
          <w:spacing w:val="-4"/>
        </w:rPr>
        <w:t xml:space="preserve"> </w:t>
      </w:r>
      <w:r>
        <w:rPr>
          <w:rFonts w:ascii="Arial" w:hAnsi="Arial" w:cs="Arial"/>
        </w:rPr>
        <w:t>do</w:t>
      </w:r>
      <w:r>
        <w:rPr>
          <w:rFonts w:ascii="Arial" w:hAnsi="Arial" w:cs="Arial"/>
          <w:spacing w:val="-3"/>
        </w:rPr>
        <w:t xml:space="preserve"> </w:t>
      </w:r>
      <w:r>
        <w:rPr>
          <w:rFonts w:ascii="Arial" w:hAnsi="Arial" w:cs="Arial"/>
        </w:rPr>
        <w:t>Brasil</w:t>
      </w:r>
      <w:r>
        <w:rPr>
          <w:rFonts w:ascii="Arial" w:hAnsi="Arial" w:cs="Arial"/>
          <w:spacing w:val="-1"/>
        </w:rPr>
        <w:t xml:space="preserve"> </w:t>
      </w:r>
      <w:r>
        <w:rPr>
          <w:rFonts w:ascii="Arial" w:hAnsi="Arial" w:cs="Arial"/>
        </w:rPr>
        <w:t>e</w:t>
      </w:r>
      <w:r>
        <w:rPr>
          <w:rFonts w:ascii="Arial" w:hAnsi="Arial" w:cs="Arial"/>
          <w:spacing w:val="-1"/>
        </w:rPr>
        <w:t xml:space="preserve"> </w:t>
      </w:r>
      <w:r>
        <w:rPr>
          <w:rFonts w:ascii="Arial" w:hAnsi="Arial" w:cs="Arial"/>
        </w:rPr>
        <w:t>da</w:t>
      </w:r>
      <w:r>
        <w:rPr>
          <w:rFonts w:ascii="Arial" w:hAnsi="Arial" w:cs="Arial"/>
          <w:spacing w:val="-1"/>
        </w:rPr>
        <w:t xml:space="preserve"> </w:t>
      </w:r>
      <w:r>
        <w:rPr>
          <w:rFonts w:ascii="Arial" w:hAnsi="Arial" w:cs="Arial"/>
        </w:rPr>
        <w:t>Procuradora-Geral</w:t>
      </w:r>
      <w:r>
        <w:rPr>
          <w:rFonts w:ascii="Arial" w:hAnsi="Arial" w:cs="Arial"/>
          <w:spacing w:val="-1"/>
        </w:rPr>
        <w:t xml:space="preserve"> </w:t>
      </w:r>
      <w:r>
        <w:rPr>
          <w:rFonts w:ascii="Arial" w:hAnsi="Arial" w:cs="Arial"/>
        </w:rPr>
        <w:t>da</w:t>
      </w:r>
      <w:r>
        <w:rPr>
          <w:rFonts w:ascii="Arial" w:hAnsi="Arial" w:cs="Arial"/>
          <w:spacing w:val="-1"/>
        </w:rPr>
        <w:t xml:space="preserve"> </w:t>
      </w:r>
      <w:r>
        <w:rPr>
          <w:rFonts w:ascii="Arial" w:hAnsi="Arial" w:cs="Arial"/>
        </w:rPr>
        <w:t>Fazenda</w:t>
      </w:r>
      <w:r>
        <w:rPr>
          <w:rFonts w:ascii="Arial" w:hAnsi="Arial" w:cs="Arial"/>
          <w:spacing w:val="-1"/>
        </w:rPr>
        <w:t xml:space="preserve"> </w:t>
      </w:r>
      <w:r>
        <w:rPr>
          <w:rFonts w:ascii="Arial" w:hAnsi="Arial" w:cs="Arial"/>
        </w:rPr>
        <w:t>Nacional.</w:t>
      </w:r>
    </w:p>
    <w:p w14:paraId="2F5E20C7">
      <w:pPr>
        <w:pStyle w:val="26"/>
        <w:numPr>
          <w:ilvl w:val="0"/>
          <w:numId w:val="45"/>
        </w:numPr>
        <w:tabs>
          <w:tab w:val="clear" w:pos="4157"/>
        </w:tabs>
        <w:spacing w:line="360" w:lineRule="auto"/>
        <w:ind w:left="440" w:leftChars="200" w:right="176" w:rightChars="80" w:firstLine="13" w:firstLineChars="6"/>
        <w:rPr>
          <w:rFonts w:ascii="Arial" w:hAnsi="Arial" w:cs="Arial"/>
        </w:rPr>
      </w:pPr>
      <w:r>
        <w:rPr>
          <w:rFonts w:ascii="Arial" w:hAnsi="Arial" w:cs="Arial"/>
          <w:spacing w:val="-1"/>
        </w:rPr>
        <w:t>Regularidade</w:t>
      </w:r>
      <w:r>
        <w:rPr>
          <w:rFonts w:ascii="Arial" w:hAnsi="Arial" w:cs="Arial"/>
          <w:spacing w:val="-13"/>
        </w:rPr>
        <w:t xml:space="preserve"> </w:t>
      </w:r>
      <w:r>
        <w:rPr>
          <w:rFonts w:ascii="Arial" w:hAnsi="Arial" w:cs="Arial"/>
          <w:spacing w:val="-1"/>
        </w:rPr>
        <w:t>junto</w:t>
      </w:r>
      <w:r>
        <w:rPr>
          <w:rFonts w:ascii="Arial" w:hAnsi="Arial" w:cs="Arial"/>
          <w:spacing w:val="-15"/>
        </w:rPr>
        <w:t xml:space="preserve"> </w:t>
      </w:r>
      <w:r>
        <w:rPr>
          <w:rFonts w:ascii="Arial" w:hAnsi="Arial" w:cs="Arial"/>
          <w:spacing w:val="-1"/>
        </w:rPr>
        <w:t>à</w:t>
      </w:r>
      <w:r>
        <w:rPr>
          <w:rFonts w:ascii="Arial" w:hAnsi="Arial" w:cs="Arial"/>
          <w:spacing w:val="-16"/>
        </w:rPr>
        <w:t xml:space="preserve"> </w:t>
      </w:r>
      <w:r>
        <w:rPr>
          <w:rFonts w:ascii="Arial" w:hAnsi="Arial" w:cs="Arial"/>
          <w:spacing w:val="-1"/>
        </w:rPr>
        <w:t>Fazenda</w:t>
      </w:r>
      <w:r>
        <w:rPr>
          <w:rFonts w:ascii="Arial" w:hAnsi="Arial" w:cs="Arial"/>
          <w:spacing w:val="-15"/>
        </w:rPr>
        <w:t xml:space="preserve"> </w:t>
      </w:r>
      <w:r>
        <w:rPr>
          <w:rFonts w:ascii="Arial" w:hAnsi="Arial" w:cs="Arial"/>
        </w:rPr>
        <w:t>Estadual,</w:t>
      </w:r>
      <w:r>
        <w:rPr>
          <w:rFonts w:ascii="Arial" w:hAnsi="Arial" w:cs="Arial"/>
          <w:spacing w:val="-14"/>
        </w:rPr>
        <w:t xml:space="preserve"> </w:t>
      </w:r>
      <w:r>
        <w:rPr>
          <w:rFonts w:ascii="Arial" w:hAnsi="Arial" w:cs="Arial"/>
        </w:rPr>
        <w:t>emitida pela Secretaria da</w:t>
      </w:r>
      <w:r>
        <w:rPr>
          <w:rFonts w:ascii="Arial" w:hAnsi="Arial" w:cs="Arial"/>
          <w:spacing w:val="1"/>
        </w:rPr>
        <w:t xml:space="preserve"> </w:t>
      </w:r>
      <w:r>
        <w:rPr>
          <w:rFonts w:ascii="Arial" w:hAnsi="Arial" w:cs="Arial"/>
        </w:rPr>
        <w:t>Fazenda</w:t>
      </w:r>
      <w:r>
        <w:rPr>
          <w:rFonts w:ascii="Arial" w:hAnsi="Arial" w:cs="Arial"/>
          <w:spacing w:val="1"/>
        </w:rPr>
        <w:t xml:space="preserve"> </w:t>
      </w:r>
      <w:r>
        <w:rPr>
          <w:rFonts w:ascii="Arial" w:hAnsi="Arial" w:cs="Arial"/>
        </w:rPr>
        <w:t>Estadual</w:t>
      </w:r>
      <w:r>
        <w:rPr>
          <w:rFonts w:ascii="Arial" w:hAnsi="Arial" w:cs="Arial"/>
          <w:spacing w:val="-1"/>
        </w:rPr>
        <w:t xml:space="preserve"> </w:t>
      </w:r>
      <w:r>
        <w:rPr>
          <w:rFonts w:ascii="Arial" w:hAnsi="Arial" w:cs="Arial"/>
        </w:rPr>
        <w:t>onde a</w:t>
      </w:r>
      <w:r>
        <w:rPr>
          <w:rFonts w:ascii="Arial" w:hAnsi="Arial" w:cs="Arial"/>
          <w:spacing w:val="-1"/>
        </w:rPr>
        <w:t xml:space="preserve"> </w:t>
      </w:r>
      <w:r>
        <w:rPr>
          <w:rFonts w:ascii="Arial" w:hAnsi="Arial" w:cs="Arial"/>
        </w:rPr>
        <w:t>empresa for</w:t>
      </w:r>
      <w:r>
        <w:rPr>
          <w:rFonts w:ascii="Arial" w:hAnsi="Arial" w:cs="Arial"/>
          <w:spacing w:val="-1"/>
        </w:rPr>
        <w:t xml:space="preserve"> </w:t>
      </w:r>
      <w:r>
        <w:rPr>
          <w:rFonts w:ascii="Arial" w:hAnsi="Arial" w:cs="Arial"/>
        </w:rPr>
        <w:t>sediada, ou outra equivalente, na forma da lei;</w:t>
      </w:r>
    </w:p>
    <w:p w14:paraId="491C3B7F">
      <w:pPr>
        <w:pStyle w:val="26"/>
        <w:numPr>
          <w:ilvl w:val="0"/>
          <w:numId w:val="45"/>
        </w:numPr>
        <w:tabs>
          <w:tab w:val="clear" w:pos="4157"/>
        </w:tabs>
        <w:spacing w:line="360" w:lineRule="auto"/>
        <w:ind w:left="440" w:leftChars="200" w:right="176" w:rightChars="80" w:firstLine="13" w:firstLineChars="6"/>
        <w:rPr>
          <w:rFonts w:ascii="Arial" w:hAnsi="Arial" w:cs="Arial"/>
        </w:rPr>
      </w:pPr>
      <w:r>
        <w:rPr>
          <w:rFonts w:ascii="Arial" w:hAnsi="Arial" w:cs="Arial"/>
          <w:spacing w:val="-1"/>
        </w:rPr>
        <w:t>Regularidade</w:t>
      </w:r>
      <w:r>
        <w:rPr>
          <w:rFonts w:ascii="Arial" w:hAnsi="Arial" w:cs="Arial"/>
          <w:spacing w:val="-15"/>
        </w:rPr>
        <w:t xml:space="preserve"> </w:t>
      </w:r>
      <w:r>
        <w:rPr>
          <w:rFonts w:ascii="Arial" w:hAnsi="Arial" w:cs="Arial"/>
          <w:spacing w:val="-1"/>
        </w:rPr>
        <w:t>junto</w:t>
      </w:r>
      <w:r>
        <w:rPr>
          <w:rFonts w:ascii="Arial" w:hAnsi="Arial" w:cs="Arial"/>
          <w:spacing w:val="-16"/>
        </w:rPr>
        <w:t xml:space="preserve"> </w:t>
      </w:r>
      <w:r>
        <w:rPr>
          <w:rFonts w:ascii="Arial" w:hAnsi="Arial" w:cs="Arial"/>
          <w:spacing w:val="-1"/>
        </w:rPr>
        <w:t>à</w:t>
      </w:r>
      <w:r>
        <w:rPr>
          <w:rFonts w:ascii="Arial" w:hAnsi="Arial" w:cs="Arial"/>
          <w:spacing w:val="-16"/>
        </w:rPr>
        <w:t xml:space="preserve"> </w:t>
      </w:r>
      <w:r>
        <w:rPr>
          <w:rFonts w:ascii="Arial" w:hAnsi="Arial" w:cs="Arial"/>
          <w:spacing w:val="-1"/>
        </w:rPr>
        <w:t>Fazenda</w:t>
      </w:r>
      <w:r>
        <w:rPr>
          <w:rFonts w:ascii="Arial" w:hAnsi="Arial" w:cs="Arial"/>
          <w:spacing w:val="-15"/>
        </w:rPr>
        <w:t xml:space="preserve"> </w:t>
      </w:r>
      <w:r>
        <w:rPr>
          <w:rFonts w:ascii="Arial" w:hAnsi="Arial" w:cs="Arial"/>
        </w:rPr>
        <w:t>Municipal,</w:t>
      </w:r>
      <w:r>
        <w:rPr>
          <w:rFonts w:ascii="Arial" w:hAnsi="Arial" w:cs="Arial"/>
          <w:spacing w:val="-17"/>
        </w:rPr>
        <w:t xml:space="preserve"> </w:t>
      </w:r>
      <w:r>
        <w:rPr>
          <w:rFonts w:ascii="Arial" w:hAnsi="Arial" w:cs="Arial"/>
        </w:rPr>
        <w:t>emitida pela Secretaria da Fazenda Municipal</w:t>
      </w:r>
      <w:r>
        <w:rPr>
          <w:rFonts w:ascii="Arial" w:hAnsi="Arial" w:cs="Arial"/>
          <w:spacing w:val="1"/>
        </w:rPr>
        <w:t xml:space="preserve"> </w:t>
      </w:r>
      <w:r>
        <w:rPr>
          <w:rFonts w:ascii="Arial" w:hAnsi="Arial" w:cs="Arial"/>
        </w:rPr>
        <w:t>onde</w:t>
      </w:r>
      <w:r>
        <w:rPr>
          <w:rFonts w:ascii="Arial" w:hAnsi="Arial" w:cs="Arial"/>
          <w:spacing w:val="-1"/>
        </w:rPr>
        <w:t xml:space="preserve"> </w:t>
      </w:r>
      <w:r>
        <w:rPr>
          <w:rFonts w:ascii="Arial" w:hAnsi="Arial" w:cs="Arial"/>
        </w:rPr>
        <w:t>a</w:t>
      </w:r>
      <w:r>
        <w:rPr>
          <w:rFonts w:ascii="Arial" w:hAnsi="Arial" w:cs="Arial"/>
          <w:spacing w:val="-1"/>
        </w:rPr>
        <w:t xml:space="preserve"> </w:t>
      </w:r>
      <w:r>
        <w:rPr>
          <w:rFonts w:ascii="Arial" w:hAnsi="Arial" w:cs="Arial"/>
        </w:rPr>
        <w:t>empresa</w:t>
      </w:r>
      <w:r>
        <w:rPr>
          <w:rFonts w:ascii="Arial" w:hAnsi="Arial" w:cs="Arial"/>
          <w:spacing w:val="-1"/>
        </w:rPr>
        <w:t xml:space="preserve"> </w:t>
      </w:r>
      <w:r>
        <w:rPr>
          <w:rFonts w:ascii="Arial" w:hAnsi="Arial" w:cs="Arial"/>
        </w:rPr>
        <w:t>for sediada, ou outra equivalente, na forma da lei;</w:t>
      </w:r>
    </w:p>
    <w:p w14:paraId="5B2362BB">
      <w:pPr>
        <w:pStyle w:val="26"/>
        <w:numPr>
          <w:ilvl w:val="0"/>
          <w:numId w:val="45"/>
        </w:numPr>
        <w:tabs>
          <w:tab w:val="clear" w:pos="4157"/>
        </w:tabs>
        <w:spacing w:line="360" w:lineRule="auto"/>
        <w:ind w:left="440" w:leftChars="200" w:right="176" w:rightChars="80" w:firstLine="13" w:firstLineChars="6"/>
        <w:rPr>
          <w:rFonts w:ascii="Arial" w:hAnsi="Arial" w:cs="Arial"/>
        </w:rPr>
      </w:pPr>
      <w:r>
        <w:rPr>
          <w:rFonts w:ascii="Arial" w:hAnsi="Arial" w:cs="Arial"/>
        </w:rPr>
        <w:t xml:space="preserve">Regularidade relativa ao Fundo de Garantia por Tempo de Serviço </w:t>
      </w:r>
      <w:r>
        <w:rPr>
          <w:rFonts w:ascii="Arial" w:hAnsi="Arial" w:cs="Arial"/>
          <w:bCs/>
        </w:rPr>
        <w:t xml:space="preserve">(FGTS), </w:t>
      </w:r>
      <w:r>
        <w:rPr>
          <w:rFonts w:ascii="Arial" w:hAnsi="Arial" w:cs="Arial"/>
        </w:rPr>
        <w:t>que demonstre cumprimento dos encargos sociais instituídos por lei;</w:t>
      </w:r>
    </w:p>
    <w:p w14:paraId="778F99D7">
      <w:pPr>
        <w:pStyle w:val="26"/>
        <w:numPr>
          <w:ilvl w:val="0"/>
          <w:numId w:val="45"/>
        </w:numPr>
        <w:tabs>
          <w:tab w:val="clear" w:pos="4157"/>
        </w:tabs>
        <w:spacing w:line="360" w:lineRule="auto"/>
        <w:ind w:left="440" w:leftChars="200" w:right="176" w:rightChars="80" w:firstLine="13" w:firstLineChars="6"/>
        <w:rPr>
          <w:rFonts w:ascii="Arial" w:hAnsi="Arial" w:cs="Arial"/>
        </w:rPr>
      </w:pPr>
      <w:r>
        <w:rPr>
          <w:rFonts w:ascii="Arial" w:hAnsi="Arial" w:cs="Arial"/>
        </w:rPr>
        <w:t>Regularidade perante a Justiça do Trabalho,</w:t>
      </w:r>
      <w:r>
        <w:rPr>
          <w:rFonts w:ascii="Arial" w:hAnsi="Arial" w:cs="Arial"/>
          <w:spacing w:val="-64"/>
        </w:rPr>
        <w:t xml:space="preserve"> </w:t>
      </w:r>
      <w:r>
        <w:rPr>
          <w:rFonts w:ascii="Arial" w:hAnsi="Arial" w:cs="Arial"/>
        </w:rPr>
        <w:t>mediante</w:t>
      </w:r>
      <w:r>
        <w:rPr>
          <w:rFonts w:ascii="Arial" w:hAnsi="Arial" w:cs="Arial"/>
          <w:spacing w:val="1"/>
        </w:rPr>
        <w:t xml:space="preserve"> </w:t>
      </w:r>
      <w:r>
        <w:rPr>
          <w:rFonts w:ascii="Arial" w:hAnsi="Arial" w:cs="Arial"/>
        </w:rPr>
        <w:t>a</w:t>
      </w:r>
      <w:r>
        <w:rPr>
          <w:rFonts w:ascii="Arial" w:hAnsi="Arial" w:cs="Arial"/>
          <w:spacing w:val="1"/>
        </w:rPr>
        <w:t xml:space="preserve"> </w:t>
      </w:r>
      <w:r>
        <w:rPr>
          <w:rFonts w:ascii="Arial" w:hAnsi="Arial" w:cs="Arial"/>
        </w:rPr>
        <w:t>apresentação</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certidão</w:t>
      </w:r>
      <w:r>
        <w:rPr>
          <w:rFonts w:ascii="Arial" w:hAnsi="Arial" w:cs="Arial"/>
          <w:spacing w:val="1"/>
        </w:rPr>
        <w:t xml:space="preserve"> </w:t>
      </w:r>
      <w:r>
        <w:rPr>
          <w:rFonts w:ascii="Arial" w:hAnsi="Arial" w:cs="Arial"/>
        </w:rPr>
        <w:t>negativa</w:t>
      </w:r>
      <w:r>
        <w:rPr>
          <w:rFonts w:ascii="Arial" w:hAnsi="Arial" w:cs="Arial"/>
          <w:spacing w:val="1"/>
        </w:rPr>
        <w:t xml:space="preserve"> </w:t>
      </w:r>
      <w:r>
        <w:rPr>
          <w:rFonts w:ascii="Arial" w:hAnsi="Arial" w:cs="Arial"/>
        </w:rPr>
        <w:t>ou</w:t>
      </w:r>
      <w:r>
        <w:rPr>
          <w:rFonts w:ascii="Arial" w:hAnsi="Arial" w:cs="Arial"/>
          <w:spacing w:val="1"/>
        </w:rPr>
        <w:t xml:space="preserve"> </w:t>
      </w:r>
      <w:r>
        <w:rPr>
          <w:rFonts w:ascii="Arial" w:hAnsi="Arial" w:cs="Arial"/>
        </w:rPr>
        <w:t>positiva</w:t>
      </w:r>
      <w:r>
        <w:rPr>
          <w:rFonts w:ascii="Arial" w:hAnsi="Arial" w:cs="Arial"/>
          <w:spacing w:val="1"/>
        </w:rPr>
        <w:t xml:space="preserve"> </w:t>
      </w:r>
      <w:r>
        <w:rPr>
          <w:rFonts w:ascii="Arial" w:hAnsi="Arial" w:cs="Arial"/>
        </w:rPr>
        <w:t>com</w:t>
      </w:r>
      <w:r>
        <w:rPr>
          <w:rFonts w:ascii="Arial" w:hAnsi="Arial" w:cs="Arial"/>
          <w:spacing w:val="1"/>
        </w:rPr>
        <w:t xml:space="preserve"> </w:t>
      </w:r>
      <w:r>
        <w:rPr>
          <w:rFonts w:ascii="Arial" w:hAnsi="Arial" w:cs="Arial"/>
        </w:rPr>
        <w:t>efeito</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negativa, nos termos do Título VII-A da Consolidação das Leis do Trabalho,</w:t>
      </w:r>
      <w:r>
        <w:rPr>
          <w:rFonts w:ascii="Arial" w:hAnsi="Arial" w:cs="Arial"/>
          <w:spacing w:val="1"/>
        </w:rPr>
        <w:t xml:space="preserve"> </w:t>
      </w:r>
      <w:r>
        <w:rPr>
          <w:rFonts w:ascii="Arial" w:hAnsi="Arial" w:cs="Arial"/>
        </w:rPr>
        <w:t>aprovada</w:t>
      </w:r>
      <w:r>
        <w:rPr>
          <w:rFonts w:ascii="Arial" w:hAnsi="Arial" w:cs="Arial"/>
          <w:spacing w:val="-3"/>
        </w:rPr>
        <w:t xml:space="preserve"> </w:t>
      </w:r>
      <w:r>
        <w:rPr>
          <w:rFonts w:ascii="Arial" w:hAnsi="Arial" w:cs="Arial"/>
        </w:rPr>
        <w:t>pelo</w:t>
      </w:r>
      <w:r>
        <w:rPr>
          <w:rFonts w:ascii="Arial" w:hAnsi="Arial" w:cs="Arial"/>
          <w:spacing w:val="2"/>
        </w:rPr>
        <w:t xml:space="preserve"> </w:t>
      </w:r>
      <w:r>
        <w:fldChar w:fldCharType="begin"/>
      </w:r>
      <w:r>
        <w:instrText xml:space="preserve"> HYPERLINK "https://www.planalto.gov.br/ccivil_03/decreto-lei/del5452.htm" \h </w:instrText>
      </w:r>
      <w:r>
        <w:fldChar w:fldCharType="separate"/>
      </w:r>
      <w:r>
        <w:rPr>
          <w:rFonts w:ascii="Arial" w:hAnsi="Arial" w:cs="Arial"/>
        </w:rPr>
        <w:t>Decreto-Lei nº</w:t>
      </w:r>
      <w:r>
        <w:rPr>
          <w:rFonts w:ascii="Arial" w:hAnsi="Arial" w:cs="Arial"/>
          <w:spacing w:val="-2"/>
        </w:rPr>
        <w:t xml:space="preserve"> </w:t>
      </w:r>
      <w:r>
        <w:rPr>
          <w:rFonts w:ascii="Arial" w:hAnsi="Arial" w:cs="Arial"/>
        </w:rPr>
        <w:t>5.452,</w:t>
      </w:r>
      <w:r>
        <w:rPr>
          <w:rFonts w:ascii="Arial" w:hAnsi="Arial" w:cs="Arial"/>
          <w:spacing w:val="-2"/>
        </w:rPr>
        <w:t xml:space="preserve"> </w:t>
      </w:r>
      <w:r>
        <w:rPr>
          <w:rFonts w:ascii="Arial" w:hAnsi="Arial" w:cs="Arial"/>
        </w:rPr>
        <w:t>de</w:t>
      </w:r>
      <w:r>
        <w:rPr>
          <w:rFonts w:ascii="Arial" w:hAnsi="Arial" w:cs="Arial"/>
          <w:spacing w:val="-2"/>
        </w:rPr>
        <w:t xml:space="preserve"> </w:t>
      </w:r>
      <w:r>
        <w:rPr>
          <w:rFonts w:ascii="Arial" w:hAnsi="Arial" w:cs="Arial"/>
        </w:rPr>
        <w:t>1º</w:t>
      </w:r>
      <w:r>
        <w:rPr>
          <w:rFonts w:ascii="Arial" w:hAnsi="Arial" w:cs="Arial"/>
          <w:spacing w:val="1"/>
        </w:rPr>
        <w:t xml:space="preserve"> </w:t>
      </w:r>
      <w:r>
        <w:rPr>
          <w:rFonts w:ascii="Arial" w:hAnsi="Arial" w:cs="Arial"/>
        </w:rPr>
        <w:t>de</w:t>
      </w:r>
      <w:r>
        <w:rPr>
          <w:rFonts w:ascii="Arial" w:hAnsi="Arial" w:cs="Arial"/>
          <w:spacing w:val="-4"/>
        </w:rPr>
        <w:t xml:space="preserve"> </w:t>
      </w:r>
      <w:r>
        <w:rPr>
          <w:rFonts w:ascii="Arial" w:hAnsi="Arial" w:cs="Arial"/>
        </w:rPr>
        <w:t>maio</w:t>
      </w:r>
      <w:r>
        <w:rPr>
          <w:rFonts w:ascii="Arial" w:hAnsi="Arial" w:cs="Arial"/>
          <w:spacing w:val="-2"/>
        </w:rPr>
        <w:t xml:space="preserve"> </w:t>
      </w:r>
      <w:r>
        <w:rPr>
          <w:rFonts w:ascii="Arial" w:hAnsi="Arial" w:cs="Arial"/>
        </w:rPr>
        <w:t>de</w:t>
      </w:r>
      <w:r>
        <w:rPr>
          <w:rFonts w:ascii="Arial" w:hAnsi="Arial" w:cs="Arial"/>
          <w:spacing w:val="-2"/>
        </w:rPr>
        <w:t xml:space="preserve"> </w:t>
      </w:r>
      <w:r>
        <w:rPr>
          <w:rFonts w:ascii="Arial" w:hAnsi="Arial" w:cs="Arial"/>
        </w:rPr>
        <w:t>1943</w:t>
      </w:r>
      <w:r>
        <w:rPr>
          <w:rFonts w:ascii="Arial" w:hAnsi="Arial" w:cs="Arial"/>
        </w:rPr>
        <w:fldChar w:fldCharType="end"/>
      </w:r>
      <w:r>
        <w:rPr>
          <w:rFonts w:ascii="Arial" w:hAnsi="Arial" w:cs="Arial"/>
        </w:rPr>
        <w:t>;</w:t>
      </w:r>
    </w:p>
    <w:p w14:paraId="5B0DBB40">
      <w:pPr>
        <w:pStyle w:val="26"/>
        <w:numPr>
          <w:ilvl w:val="0"/>
          <w:numId w:val="45"/>
        </w:numPr>
        <w:tabs>
          <w:tab w:val="clear" w:pos="4157"/>
        </w:tabs>
        <w:spacing w:line="360" w:lineRule="auto"/>
        <w:ind w:left="440" w:leftChars="200" w:right="176" w:rightChars="80" w:firstLine="13" w:firstLineChars="6"/>
        <w:rPr>
          <w:rFonts w:ascii="Arial" w:hAnsi="Arial" w:cs="Arial"/>
        </w:rPr>
      </w:pPr>
      <w:r>
        <w:rPr>
          <w:rFonts w:ascii="Arial" w:hAnsi="Arial" w:cs="Arial"/>
        </w:rPr>
        <w:t>Cumprimento do disposto no art. 7º, XXXIII, da Constituição Federal, declarando que não emprega menor de 18 (dezoito) anos em trabalho noturno, perigoso ou insalubre e não emprega menor de 16 (dezesseis) anos em qualquer trabalho, salvo na condição de aprendiz, a partir dos 14 (quatorze) anos, conforme Modelo de Declaração do Anexo VI do Edital.</w:t>
      </w:r>
    </w:p>
    <w:p w14:paraId="38D560B0">
      <w:pPr>
        <w:pStyle w:val="26"/>
        <w:numPr>
          <w:ilvl w:val="2"/>
          <w:numId w:val="3"/>
        </w:numPr>
        <w:spacing w:line="360" w:lineRule="auto"/>
        <w:ind w:right="176" w:rightChars="80"/>
        <w:rPr>
          <w:rFonts w:ascii="Arial" w:hAnsi="Arial" w:cs="Arial"/>
        </w:rPr>
      </w:pPr>
      <w:r>
        <w:rPr>
          <w:rFonts w:ascii="Arial" w:hAnsi="Arial" w:cs="Arial"/>
        </w:rPr>
        <w:t xml:space="preserve"> QUALIFICAÇÃO ECONÔMICO-FINANCEIRA:</w:t>
      </w:r>
    </w:p>
    <w:p w14:paraId="6CEB22FE">
      <w:pPr>
        <w:pStyle w:val="26"/>
        <w:numPr>
          <w:ilvl w:val="3"/>
          <w:numId w:val="3"/>
        </w:numPr>
        <w:tabs>
          <w:tab w:val="clear" w:pos="4157"/>
        </w:tabs>
        <w:spacing w:line="360" w:lineRule="auto"/>
        <w:ind w:right="176" w:rightChars="80"/>
        <w:rPr>
          <w:rFonts w:ascii="Arial" w:hAnsi="Arial" w:cs="Arial"/>
        </w:rPr>
      </w:pPr>
      <w:r>
        <w:rPr>
          <w:rFonts w:ascii="Arial" w:hAnsi="Arial" w:cs="Arial"/>
        </w:rPr>
        <w:t>Balanço patrimonial, demonstração de resultado de exercício e demais demonstrações contábeis dos 2 (dois) últimos exercícios sociais, exigidos na forma da lei;</w:t>
      </w:r>
    </w:p>
    <w:p w14:paraId="13AA4910">
      <w:pPr>
        <w:pStyle w:val="26"/>
        <w:numPr>
          <w:ilvl w:val="3"/>
          <w:numId w:val="3"/>
        </w:numPr>
        <w:tabs>
          <w:tab w:val="clear" w:pos="4157"/>
        </w:tabs>
        <w:spacing w:line="360" w:lineRule="auto"/>
        <w:ind w:right="176" w:rightChars="80"/>
        <w:rPr>
          <w:rFonts w:ascii="Arial" w:hAnsi="Arial" w:cs="Arial"/>
        </w:rPr>
      </w:pPr>
      <w:r>
        <w:rPr>
          <w:rFonts w:ascii="Arial" w:hAnsi="Arial" w:cs="Arial"/>
        </w:rPr>
        <w:t>O atendimento dos índices econômicos deverá ser atestado mediante declaração assinada por profissional habilitado da área contábil, apresentada pelo fornecedor, comprovando: Índices de Liquidez Geral (LG), Solvência Geral (SG) e Liquidez Corrente (LC), maiores ou iguais a um (≥1,0), resultantes da aplicação das seguintes fórmulas:</w:t>
      </w:r>
    </w:p>
    <w:p w14:paraId="06C195C0">
      <w:pPr>
        <w:pStyle w:val="26"/>
        <w:spacing w:line="360" w:lineRule="auto"/>
        <w:ind w:right="176" w:rightChars="80"/>
        <w:rPr>
          <w:rFonts w:ascii="Arial" w:hAnsi="Arial" w:cs="Arial"/>
        </w:rPr>
      </w:pPr>
    </w:p>
    <w:p w14:paraId="4B9A9D4C">
      <w:pPr>
        <w:spacing w:before="120" w:line="360" w:lineRule="auto"/>
        <w:ind w:right="176" w:rightChars="80"/>
        <w:rPr>
          <w:rFonts w:ascii="Arial" w:hAnsi="Arial" w:eastAsia="Cambria Math" w:cs="Arial"/>
          <w:sz w:val="17"/>
        </w:rPr>
      </w:pPr>
      <w:r>
        <w:rPr>
          <w:rFonts w:ascii="Arial" w:hAnsi="Arial" w:cs="Arial"/>
        </w:rPr>
        <mc:AlternateContent>
          <mc:Choice Requires="wps">
            <w:drawing>
              <wp:anchor distT="0" distB="0" distL="114300" distR="114300" simplePos="0" relativeHeight="251661312" behindDoc="1" locked="0" layoutInCell="1" allowOverlap="1">
                <wp:simplePos x="0" y="0"/>
                <wp:positionH relativeFrom="page">
                  <wp:posOffset>2585085</wp:posOffset>
                </wp:positionH>
                <wp:positionV relativeFrom="paragraph">
                  <wp:posOffset>198755</wp:posOffset>
                </wp:positionV>
                <wp:extent cx="2348230" cy="10160"/>
                <wp:effectExtent l="0" t="0" r="0" b="0"/>
                <wp:wrapNone/>
                <wp:docPr id="1" name="Retângulo 1"/>
                <wp:cNvGraphicFramePr/>
                <a:graphic xmlns:a="http://schemas.openxmlformats.org/drawingml/2006/main">
                  <a:graphicData uri="http://schemas.microsoft.com/office/word/2010/wordprocessingShape">
                    <wps:wsp>
                      <wps:cNvSpPr/>
                      <wps:spPr>
                        <a:xfrm>
                          <a:off x="0" y="0"/>
                          <a:ext cx="2348230" cy="10160"/>
                        </a:xfrm>
                        <a:prstGeom prst="rect">
                          <a:avLst/>
                        </a:prstGeom>
                        <a:solidFill>
                          <a:srgbClr val="000000"/>
                        </a:solidFill>
                        <a:ln>
                          <a:noFill/>
                        </a:ln>
                      </wps:spPr>
                      <wps:txbx>
                        <w:txbxContent>
                          <w:p w14:paraId="584CE62D"/>
                        </w:txbxContent>
                      </wps:txbx>
                      <wps:bodyPr upright="1"/>
                    </wps:wsp>
                  </a:graphicData>
                </a:graphic>
              </wp:anchor>
            </w:drawing>
          </mc:Choice>
          <mc:Fallback>
            <w:pict>
              <v:rect id="_x0000_s1026" o:spid="_x0000_s1026" o:spt="1" style="position:absolute;left:0pt;margin-left:203.55pt;margin-top:15.65pt;height:0.8pt;width:184.9pt;mso-position-horizontal-relative:page;z-index:-251655168;mso-width-relative:page;mso-height-relative:page;" fillcolor="#000000" filled="t" stroked="f" coordsize="21600,21600" o:gfxdata="UEsDBAoAAAAAAIdO4kAAAAAAAAAAAAAAAAAEAAAAZHJzL1BLAwQUAAAACACHTuJA4TNDpdkAAAAJ&#10;AQAADwAAAGRycy9kb3ducmV2LnhtbE2PTU/DMAyG70j8h8hI3FjSbqxraTppSByR2ODAbmlj2mqN&#10;U5rsA3495gRH249eP2+5vrhBnHAKvScNyUyBQGq87anV8Pb6dLcCEaIhawZPqOELA6yr66vSFNaf&#10;aYunXWwFh1AojIYuxrGQMjQdOhNmfkTi24efnIk8Tq20kzlzuBtkqtRSOtMTf+jMiI8dNofd0WnY&#10;5KvN58uCnr+39R737/XhPp2U1rc3iXoAEfES/2D41Wd1qNip9keyQQwaFipLGNUwT+YgGMiyZQ6i&#10;5kWag6xK+b9B9QNQSwMEFAAAAAgAh07iQKfnPoCxAQAAbQMAAA4AAABkcnMvZTJvRG9jLnhtbK1T&#10;wW7bMAy9D9g/CLovstOhKIw4PSzoLsNWrNsHKLJsC5BEgVJi53f2K/uxUbKXbt2lh/kgkyL1yPco&#10;7e5nZ9lZYzTgW15vKs60V9AZP7T8+7eHd3ecxSR9Jy143fKLjvx+//bNbgqN3sIIttPICMTHZgot&#10;H1MKjRBRjdrJuIGgPQV7QCcTuTiIDuVE6M6KbVXdigmwCwhKx0i7hyXIV0R8DSD0vVH6AOrktE8L&#10;KmorE1GKowmR70u3fa9V+tL3USdmW05MU1mpCNnHvIr9TjYDyjAatbYgX9PCC05OGk9Fr1AHmSQ7&#10;ofkHyhmFEKFPGwVOLESKIsSirl5o8zTKoAsXkjqGq+jx/8Gqz+dHZKajm8CZl44G/lWnnz/8cLLA&#10;6qzPFGJDaU/hEVcvkpnJzj26/CcabC6aXq6a6jkxRZvbm/d32xuSW1Gsrurborl4Phwwpo8aHMtG&#10;y5FGVpSU508xUUFK/Z2Sa0Wwpnsw1hYHh+MHi+ws83jLlzumI3+lWZ+TPeRjSzjviExsoZKtNB/n&#10;ld8RugupcgpohpF6KjKUdJpCgV9vTB7zn34BfX4l+19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Dh&#10;M0Ol2QAAAAkBAAAPAAAAAAAAAAEAIAAAACIAAABkcnMvZG93bnJldi54bWxQSwECFAAUAAAACACH&#10;TuJAp+c+gLEBAABtAwAADgAAAAAAAAABACAAAAAoAQAAZHJzL2Uyb0RvYy54bWxQSwUGAAAAAAYA&#10;BgBZAQAASwUAAAAA&#10;">
                <v:fill on="t" focussize="0,0"/>
                <v:stroke on="f"/>
                <v:imagedata o:title=""/>
                <o:lock v:ext="edit" aspectratio="f"/>
                <v:textbox>
                  <w:txbxContent>
                    <w:p w14:paraId="584CE62D"/>
                  </w:txbxContent>
                </v:textbox>
              </v:rect>
            </w:pict>
          </mc:Fallback>
        </mc:AlternateContent>
      </w:r>
      <w:r>
        <w:rPr>
          <w:rFonts w:ascii="Arial" w:hAnsi="Arial" w:cs="Arial"/>
          <w:w w:val="105"/>
          <w:position w:val="-13"/>
          <w:sz w:val="24"/>
        </w:rPr>
        <w:t>Liquidez</w:t>
      </w:r>
      <w:r>
        <w:rPr>
          <w:rFonts w:ascii="Arial" w:hAnsi="Arial" w:cs="Arial"/>
          <w:spacing w:val="-8"/>
          <w:w w:val="105"/>
          <w:position w:val="-13"/>
          <w:sz w:val="24"/>
        </w:rPr>
        <w:t xml:space="preserve"> </w:t>
      </w:r>
      <w:r>
        <w:rPr>
          <w:rFonts w:ascii="Arial" w:hAnsi="Arial" w:cs="Arial"/>
          <w:w w:val="105"/>
          <w:position w:val="-13"/>
          <w:sz w:val="24"/>
        </w:rPr>
        <w:t>Geral</w:t>
      </w:r>
      <w:r>
        <w:rPr>
          <w:rFonts w:ascii="Arial" w:hAnsi="Arial" w:cs="Arial"/>
          <w:spacing w:val="-5"/>
          <w:w w:val="105"/>
          <w:position w:val="-13"/>
          <w:sz w:val="24"/>
        </w:rPr>
        <w:t xml:space="preserve"> </w:t>
      </w:r>
      <w:r>
        <w:rPr>
          <w:rFonts w:ascii="Arial" w:hAnsi="Arial" w:cs="Arial"/>
          <w:w w:val="105"/>
          <w:position w:val="-13"/>
          <w:sz w:val="24"/>
        </w:rPr>
        <w:t>(LG)</w:t>
      </w:r>
      <w:r>
        <w:rPr>
          <w:rFonts w:ascii="Arial" w:hAnsi="Arial" w:cs="Arial"/>
          <w:spacing w:val="-5"/>
          <w:w w:val="105"/>
          <w:position w:val="-13"/>
          <w:sz w:val="24"/>
        </w:rPr>
        <w:t xml:space="preserve"> </w:t>
      </w:r>
      <w:r>
        <w:rPr>
          <w:rFonts w:ascii="Arial" w:hAnsi="Arial" w:cs="Arial"/>
          <w:w w:val="105"/>
          <w:position w:val="-13"/>
          <w:sz w:val="24"/>
        </w:rPr>
        <w:t>=</w:t>
      </w:r>
      <w:r>
        <w:rPr>
          <w:rFonts w:ascii="Arial" w:hAnsi="Arial" w:cs="Arial"/>
          <w:spacing w:val="6"/>
          <w:w w:val="105"/>
          <w:position w:val="-13"/>
          <w:sz w:val="24"/>
        </w:rPr>
        <w:t xml:space="preserve">       </w:t>
      </w:r>
      <w:r>
        <w:rPr>
          <w:rFonts w:ascii="Cambria Math" w:hAnsi="Cambria Math" w:eastAsia="Cambria Math" w:cs="Cambria Math"/>
          <w:w w:val="105"/>
          <w:sz w:val="17"/>
        </w:rPr>
        <w:t>𝐴𝑡𝑖𝑣𝑜</w:t>
      </w:r>
      <w:r>
        <w:rPr>
          <w:rFonts w:ascii="Arial" w:hAnsi="Arial" w:eastAsia="Cambria Math" w:cs="Arial"/>
          <w:w w:val="105"/>
          <w:sz w:val="17"/>
        </w:rPr>
        <w:t xml:space="preserve"> </w:t>
      </w:r>
      <w:r>
        <w:rPr>
          <w:rFonts w:ascii="Cambria Math" w:hAnsi="Cambria Math" w:eastAsia="Cambria Math" w:cs="Cambria Math"/>
          <w:w w:val="105"/>
          <w:sz w:val="17"/>
        </w:rPr>
        <w:t>𝐶𝑖𝑟𝑐𝑢𝑙𝑎𝑛𝑡𝑒</w:t>
      </w:r>
      <w:r>
        <w:rPr>
          <w:rFonts w:ascii="Arial" w:hAnsi="Arial" w:eastAsia="Cambria Math" w:cs="Arial"/>
          <w:spacing w:val="2"/>
          <w:w w:val="105"/>
          <w:sz w:val="17"/>
        </w:rPr>
        <w:t xml:space="preserve"> </w:t>
      </w:r>
      <w:r>
        <w:rPr>
          <w:rFonts w:ascii="Arial" w:hAnsi="Arial" w:eastAsia="Cambria Math" w:cs="Arial"/>
          <w:w w:val="105"/>
          <w:sz w:val="17"/>
        </w:rPr>
        <w:t>+</w:t>
      </w:r>
      <w:r>
        <w:rPr>
          <w:rFonts w:ascii="Arial" w:hAnsi="Arial" w:eastAsia="Cambria Math" w:cs="Arial"/>
          <w:spacing w:val="-1"/>
          <w:w w:val="105"/>
          <w:sz w:val="17"/>
        </w:rPr>
        <w:t xml:space="preserve"> </w:t>
      </w:r>
      <w:r>
        <w:rPr>
          <w:rFonts w:ascii="Cambria Math" w:hAnsi="Cambria Math" w:eastAsia="Cambria Math" w:cs="Cambria Math"/>
          <w:w w:val="105"/>
          <w:sz w:val="17"/>
        </w:rPr>
        <w:t>𝑅𝑒𝑎𝑙𝑖𝑧</w:t>
      </w:r>
      <w:r>
        <w:rPr>
          <w:rFonts w:ascii="Arial" w:hAnsi="Arial" w:eastAsia="Cambria Math" w:cs="Arial"/>
          <w:w w:val="105"/>
          <w:sz w:val="17"/>
        </w:rPr>
        <w:t>á</w:t>
      </w:r>
      <w:r>
        <w:rPr>
          <w:rFonts w:ascii="Cambria Math" w:hAnsi="Cambria Math" w:eastAsia="Cambria Math" w:cs="Cambria Math"/>
          <w:w w:val="105"/>
          <w:sz w:val="17"/>
        </w:rPr>
        <w:t>𝑣𝑒𝑙</w:t>
      </w:r>
      <w:r>
        <w:rPr>
          <w:rFonts w:ascii="Arial" w:hAnsi="Arial" w:eastAsia="Cambria Math" w:cs="Arial"/>
          <w:w w:val="105"/>
          <w:sz w:val="17"/>
        </w:rPr>
        <w:t xml:space="preserve"> </w:t>
      </w:r>
      <w:r>
        <w:rPr>
          <w:rFonts w:ascii="Cambria Math" w:hAnsi="Cambria Math" w:eastAsia="Cambria Math" w:cs="Cambria Math"/>
          <w:w w:val="105"/>
          <w:sz w:val="17"/>
        </w:rPr>
        <w:t>𝑎</w:t>
      </w:r>
      <w:r>
        <w:rPr>
          <w:rFonts w:ascii="Arial" w:hAnsi="Arial" w:eastAsia="Cambria Math" w:cs="Arial"/>
          <w:spacing w:val="1"/>
          <w:w w:val="105"/>
          <w:sz w:val="17"/>
        </w:rPr>
        <w:t xml:space="preserve"> </w:t>
      </w:r>
      <w:r>
        <w:rPr>
          <w:rFonts w:ascii="Cambria Math" w:hAnsi="Cambria Math" w:eastAsia="Cambria Math" w:cs="Cambria Math"/>
          <w:w w:val="105"/>
          <w:sz w:val="17"/>
        </w:rPr>
        <w:t>𝐿𝑜𝑛𝑔𝑜</w:t>
      </w:r>
      <w:r>
        <w:rPr>
          <w:rFonts w:ascii="Arial" w:hAnsi="Arial" w:eastAsia="Cambria Math" w:cs="Arial"/>
          <w:w w:val="105"/>
          <w:sz w:val="17"/>
        </w:rPr>
        <w:t xml:space="preserve"> </w:t>
      </w:r>
      <w:r>
        <w:rPr>
          <w:rFonts w:ascii="Cambria Math" w:hAnsi="Cambria Math" w:eastAsia="Cambria Math" w:cs="Cambria Math"/>
          <w:w w:val="105"/>
          <w:sz w:val="17"/>
        </w:rPr>
        <w:t>𝑃𝑟𝑎𝑧𝑜</w:t>
      </w:r>
    </w:p>
    <w:p w14:paraId="05914F72">
      <w:pPr>
        <w:spacing w:line="360" w:lineRule="auto"/>
        <w:ind w:right="176" w:rightChars="80" w:firstLine="2867" w:firstLineChars="1550"/>
        <w:rPr>
          <w:rFonts w:ascii="Arial" w:hAnsi="Arial" w:eastAsia="Cambria Math" w:cs="Arial"/>
          <w:sz w:val="17"/>
        </w:rPr>
      </w:pPr>
      <w:r>
        <w:rPr>
          <w:rFonts w:ascii="Cambria Math" w:hAnsi="Cambria Math" w:eastAsia="Cambria Math" w:cs="Cambria Math"/>
          <w:spacing w:val="-1"/>
          <w:w w:val="110"/>
          <w:sz w:val="17"/>
        </w:rPr>
        <w:t>𝑃𝑎𝑠𝑠𝑖𝑣𝑜</w:t>
      </w:r>
      <w:r>
        <w:rPr>
          <w:rFonts w:ascii="Arial" w:hAnsi="Arial" w:eastAsia="Cambria Math" w:cs="Arial"/>
          <w:spacing w:val="-8"/>
          <w:w w:val="110"/>
          <w:sz w:val="17"/>
        </w:rPr>
        <w:t xml:space="preserve"> </w:t>
      </w:r>
      <w:r>
        <w:rPr>
          <w:rFonts w:ascii="Cambria Math" w:hAnsi="Cambria Math" w:eastAsia="Cambria Math" w:cs="Cambria Math"/>
          <w:spacing w:val="-1"/>
          <w:w w:val="110"/>
          <w:sz w:val="17"/>
        </w:rPr>
        <w:t>𝐶𝑖𝑟𝑐𝑢𝑙𝑎𝑛𝑡𝑒</w:t>
      </w:r>
      <w:r>
        <w:rPr>
          <w:rFonts w:ascii="Arial" w:hAnsi="Arial" w:eastAsia="Cambria Math" w:cs="Arial"/>
          <w:spacing w:val="-7"/>
          <w:w w:val="110"/>
          <w:sz w:val="17"/>
        </w:rPr>
        <w:t xml:space="preserve"> </w:t>
      </w:r>
      <w:r>
        <w:rPr>
          <w:rFonts w:ascii="Arial" w:hAnsi="Arial" w:eastAsia="Cambria Math" w:cs="Arial"/>
          <w:spacing w:val="-1"/>
          <w:w w:val="110"/>
          <w:sz w:val="17"/>
        </w:rPr>
        <w:t>+</w:t>
      </w:r>
      <w:r>
        <w:rPr>
          <w:rFonts w:ascii="Arial" w:hAnsi="Arial" w:eastAsia="Cambria Math" w:cs="Arial"/>
          <w:spacing w:val="-9"/>
          <w:w w:val="110"/>
          <w:sz w:val="17"/>
        </w:rPr>
        <w:t xml:space="preserve"> </w:t>
      </w:r>
      <w:r>
        <w:rPr>
          <w:rFonts w:ascii="Cambria Math" w:hAnsi="Cambria Math" w:eastAsia="Cambria Math" w:cs="Cambria Math"/>
          <w:spacing w:val="-1"/>
          <w:w w:val="110"/>
          <w:sz w:val="17"/>
        </w:rPr>
        <w:t>𝐸𝑥𝑖𝑔</w:t>
      </w:r>
      <w:r>
        <w:rPr>
          <w:rFonts w:ascii="Arial" w:hAnsi="Arial" w:eastAsia="Cambria Math" w:cs="Arial"/>
          <w:spacing w:val="-1"/>
          <w:w w:val="110"/>
          <w:sz w:val="17"/>
        </w:rPr>
        <w:t>í</w:t>
      </w:r>
      <w:r>
        <w:rPr>
          <w:rFonts w:ascii="Cambria Math" w:hAnsi="Cambria Math" w:eastAsia="Cambria Math" w:cs="Cambria Math"/>
          <w:spacing w:val="-1"/>
          <w:w w:val="110"/>
          <w:sz w:val="17"/>
        </w:rPr>
        <w:t>𝑣𝑒𝑙</w:t>
      </w:r>
      <w:r>
        <w:rPr>
          <w:rFonts w:ascii="Arial" w:hAnsi="Arial" w:eastAsia="Cambria Math" w:cs="Arial"/>
          <w:spacing w:val="-7"/>
          <w:w w:val="110"/>
          <w:sz w:val="17"/>
        </w:rPr>
        <w:t xml:space="preserve"> </w:t>
      </w:r>
      <w:r>
        <w:rPr>
          <w:rFonts w:ascii="Cambria Math" w:hAnsi="Cambria Math" w:eastAsia="Cambria Math" w:cs="Cambria Math"/>
          <w:w w:val="110"/>
          <w:sz w:val="17"/>
        </w:rPr>
        <w:t>𝑎</w:t>
      </w:r>
      <w:r>
        <w:rPr>
          <w:rFonts w:ascii="Arial" w:hAnsi="Arial" w:eastAsia="Cambria Math" w:cs="Arial"/>
          <w:spacing w:val="-9"/>
          <w:w w:val="110"/>
          <w:sz w:val="17"/>
        </w:rPr>
        <w:t xml:space="preserve"> </w:t>
      </w:r>
      <w:r>
        <w:rPr>
          <w:rFonts w:ascii="Cambria Math" w:hAnsi="Cambria Math" w:eastAsia="Cambria Math" w:cs="Cambria Math"/>
          <w:w w:val="110"/>
          <w:sz w:val="17"/>
        </w:rPr>
        <w:t>𝐿𝑜𝑛𝑔𝑜</w:t>
      </w:r>
      <w:r>
        <w:rPr>
          <w:rFonts w:ascii="Arial" w:hAnsi="Arial" w:eastAsia="Cambria Math" w:cs="Arial"/>
          <w:spacing w:val="-6"/>
          <w:w w:val="110"/>
          <w:sz w:val="17"/>
        </w:rPr>
        <w:t xml:space="preserve"> </w:t>
      </w:r>
      <w:r>
        <w:rPr>
          <w:rFonts w:ascii="Cambria Math" w:hAnsi="Cambria Math" w:eastAsia="Cambria Math" w:cs="Cambria Math"/>
          <w:w w:val="110"/>
          <w:sz w:val="17"/>
        </w:rPr>
        <w:t>𝑃𝑟𝑎𝑧𝑜</w:t>
      </w:r>
    </w:p>
    <w:p w14:paraId="32A16BEE">
      <w:pPr>
        <w:pStyle w:val="13"/>
        <w:tabs>
          <w:tab w:val="left" w:pos="4024"/>
        </w:tabs>
        <w:spacing w:line="360" w:lineRule="auto"/>
        <w:ind w:right="176" w:rightChars="80"/>
        <w:rPr>
          <w:rFonts w:ascii="Arial" w:hAnsi="Arial" w:cs="Arial"/>
          <w:lang w:val="pt-BR"/>
        </w:rPr>
      </w:pPr>
    </w:p>
    <w:p w14:paraId="75B6670B">
      <w:pPr>
        <w:pStyle w:val="13"/>
        <w:tabs>
          <w:tab w:val="left" w:pos="4024"/>
        </w:tabs>
        <w:spacing w:line="360" w:lineRule="auto"/>
        <w:ind w:right="176" w:rightChars="80"/>
        <w:rPr>
          <w:rFonts w:ascii="Arial" w:hAnsi="Arial" w:eastAsia="Cambria Math" w:cs="Arial"/>
          <w:lang w:val="pt-BR"/>
        </w:rPr>
      </w:pPr>
      <w:r>
        <w:rPr>
          <w:rFonts w:ascii="Arial" w:hAnsi="Arial" w:cs="Arial"/>
          <w:lang w:val="pt-BR"/>
        </w:rPr>
        <mc:AlternateContent>
          <mc:Choice Requires="wps">
            <w:drawing>
              <wp:anchor distT="0" distB="0" distL="114300" distR="114300" simplePos="0" relativeHeight="251660288" behindDoc="1" locked="0" layoutInCell="1" allowOverlap="1">
                <wp:simplePos x="0" y="0"/>
                <wp:positionH relativeFrom="page">
                  <wp:posOffset>2694940</wp:posOffset>
                </wp:positionH>
                <wp:positionV relativeFrom="paragraph">
                  <wp:posOffset>147955</wp:posOffset>
                </wp:positionV>
                <wp:extent cx="2348230" cy="10160"/>
                <wp:effectExtent l="0" t="0" r="0" b="0"/>
                <wp:wrapNone/>
                <wp:docPr id="2" name="Retângulo 2"/>
                <wp:cNvGraphicFramePr/>
                <a:graphic xmlns:a="http://schemas.openxmlformats.org/drawingml/2006/main">
                  <a:graphicData uri="http://schemas.microsoft.com/office/word/2010/wordprocessingShape">
                    <wps:wsp>
                      <wps:cNvSpPr/>
                      <wps:spPr>
                        <a:xfrm>
                          <a:off x="0" y="0"/>
                          <a:ext cx="2348230" cy="10160"/>
                        </a:xfrm>
                        <a:prstGeom prst="rect">
                          <a:avLst/>
                        </a:prstGeom>
                        <a:solidFill>
                          <a:srgbClr val="000000"/>
                        </a:solidFill>
                        <a:ln>
                          <a:noFill/>
                        </a:ln>
                      </wps:spPr>
                      <wps:txbx>
                        <w:txbxContent>
                          <w:p w14:paraId="0D21DA6D"/>
                        </w:txbxContent>
                      </wps:txbx>
                      <wps:bodyPr upright="1"/>
                    </wps:wsp>
                  </a:graphicData>
                </a:graphic>
              </wp:anchor>
            </w:drawing>
          </mc:Choice>
          <mc:Fallback>
            <w:pict>
              <v:rect id="_x0000_s1026" o:spid="_x0000_s1026" o:spt="1" style="position:absolute;left:0pt;margin-left:212.2pt;margin-top:11.65pt;height:0.8pt;width:184.9pt;mso-position-horizontal-relative:page;z-index:-251656192;mso-width-relative:page;mso-height-relative:page;" fillcolor="#000000" filled="t" stroked="f" coordsize="21600,21600" o:gfxdata="UEsDBAoAAAAAAIdO4kAAAAAAAAAAAAAAAAAEAAAAZHJzL1BLAwQUAAAACACHTuJAJnyz5tgAAAAJ&#10;AQAADwAAAGRycy9kb3ducmV2LnhtbE2Py07DMBBF90j8gzVI7Khd10AT4lQqEkskWljQnRMPSdR4&#10;HGz3AV+PWcFyZo7unFutzm5kRwxx8KRhPhPAkFpvB+o0vL0+3SyBxWTImtETavjCCKv68qIypfUn&#10;2uBxmzqWQyiWRkOf0lRyHtsenYkzPyHl24cPzqQ8ho7bYE453I1cCnHHnRkof+jNhI89tvvtwWlY&#10;F8v154ui5+9Ns8Pde7O/lUFofX01Fw/AEp7THwy/+lkd6uzU+APZyEYNSiqVUQ1ysQCWgftCSWBN&#10;XqgCeF3x/w3qH1BLAwQUAAAACACHTuJAeyvtT7IBAABtAwAADgAAAGRycy9lMm9Eb2MueG1srVNL&#10;btwwDN0XyB0E7TP+pAgCYzxZdJBugjRo2gNoZNkWIIkCpRl7rtOr9GKlZHfSppss6oVMiuQj36O9&#10;vZ+tYSeFQYNrebUpOVNOQqfd0PLv3x6u7zgLUbhOGHCq5WcV+P3u6sN28o2qYQTTKWQE4kIz+ZaP&#10;MfqmKIIclRVhA145CvaAVkRycSg6FBOhW1PUZXlbTICdR5AqBLrdL0G+IuJ7AKHvtVR7kEerXFxQ&#10;URkRiVIYtQ98l6fteyXjl74PKjLTcmIa80lNyD6ks9htRTOg8KOW6wjiPSO84WSFdtT0ArUXUbAj&#10;6n+grJYIAfq4kWCLhUhWhFhU5RttXkbhVeZCUgd/ET38P1j5dHpGpruW15w5YWnhX1X8+cMNRwOs&#10;TvpMPjSU9uKfcfUCmYns3KNNb6LB5qzp+aKpmiOTdFnffLyrb0huSbGqrG6z5sVrsccQPyuwLBkt&#10;R1pZVlKcHkOkhpT6OyX1CmB096CNyQ4Oh08G2Umk9eYnTUwlf6UZl5IdpLIlnG6KRGyhkqw4H+aV&#10;3wG6M6ly9KiHkWaqMmhKoi1k+PWLSWv+08+gr3/J7hd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AjBAAAW0NvbnRlbnRfVHlwZXNdLnhtbFBLAQIU&#10;AAoAAAAAAIdO4kAAAAAAAAAAAAAAAAAGAAAAAAAAAAAAEAAAAAUDAABfcmVscy9QSwECFAAUAAAA&#10;CACHTuJAihRmPNEAAACUAQAACwAAAAAAAAABACAAAAApAwAAX3JlbHMvLnJlbHNQSwECFAAKAAAA&#10;AACHTuJAAAAAAAAAAAAAAAAABAAAAAAAAAAAABAAAAAAAAAAZHJzL1BLAQIUABQAAAAIAIdO4kAm&#10;fLPm2AAAAAkBAAAPAAAAAAAAAAEAIAAAACIAAABkcnMvZG93bnJldi54bWxQSwECFAAUAAAACACH&#10;TuJAeyvtT7IBAABtAwAADgAAAAAAAAABACAAAAAnAQAAZHJzL2Uyb0RvYy54bWxQSwUGAAAAAAYA&#10;BgBZAQAASwUAAAAA&#10;">
                <v:fill on="t" focussize="0,0"/>
                <v:stroke on="f"/>
                <v:imagedata o:title=""/>
                <o:lock v:ext="edit" aspectratio="f"/>
                <v:textbox>
                  <w:txbxContent>
                    <w:p w14:paraId="0D21DA6D"/>
                  </w:txbxContent>
                </v:textbox>
              </v:rect>
            </w:pict>
          </mc:Fallback>
        </mc:AlternateContent>
      </w:r>
      <w:r>
        <w:rPr>
          <w:rFonts w:ascii="Arial" w:hAnsi="Arial" w:cs="Arial"/>
          <w:lang w:val="pt-BR"/>
        </w:rPr>
        <w:t>Solvência</w:t>
      </w:r>
      <w:r>
        <w:rPr>
          <w:rFonts w:ascii="Arial" w:hAnsi="Arial" w:cs="Arial"/>
          <w:spacing w:val="-2"/>
          <w:lang w:val="pt-BR"/>
        </w:rPr>
        <w:t xml:space="preserve"> </w:t>
      </w:r>
      <w:r>
        <w:rPr>
          <w:rFonts w:ascii="Arial" w:hAnsi="Arial" w:cs="Arial"/>
          <w:lang w:val="pt-BR"/>
        </w:rPr>
        <w:t>Geral (SG)</w:t>
      </w:r>
      <w:r>
        <w:rPr>
          <w:rFonts w:ascii="Arial" w:hAnsi="Arial" w:cs="Arial"/>
          <w:spacing w:val="-2"/>
          <w:lang w:val="pt-BR"/>
        </w:rPr>
        <w:t xml:space="preserve"> </w:t>
      </w:r>
      <w:r>
        <w:rPr>
          <w:rFonts w:ascii="Arial" w:hAnsi="Arial" w:cs="Arial"/>
          <w:lang w:val="pt-BR"/>
        </w:rPr>
        <w:t>=</w:t>
      </w:r>
      <w:r>
        <w:rPr>
          <w:rFonts w:ascii="Arial" w:hAnsi="Arial" w:cs="Arial"/>
          <w:lang w:val="pt-BR"/>
        </w:rPr>
        <w:tab/>
      </w:r>
      <w:r>
        <w:rPr>
          <w:rFonts w:ascii="Cambria Math" w:hAnsi="Cambria Math" w:eastAsia="Cambria Math" w:cs="Cambria Math"/>
          <w:w w:val="105"/>
          <w:vertAlign w:val="superscript"/>
          <w:lang w:val="pt-BR"/>
        </w:rPr>
        <w:t>𝐴𝑡𝑖𝑣𝑜</w:t>
      </w:r>
      <w:r>
        <w:rPr>
          <w:rFonts w:ascii="Arial" w:hAnsi="Arial" w:eastAsia="Cambria Math" w:cs="Arial"/>
          <w:spacing w:val="13"/>
          <w:w w:val="105"/>
          <w:lang w:val="pt-BR"/>
        </w:rPr>
        <w:t xml:space="preserve"> </w:t>
      </w:r>
      <w:r>
        <w:rPr>
          <w:rFonts w:ascii="Cambria Math" w:hAnsi="Cambria Math" w:eastAsia="Cambria Math" w:cs="Cambria Math"/>
          <w:w w:val="105"/>
          <w:vertAlign w:val="superscript"/>
          <w:lang w:val="pt-BR"/>
        </w:rPr>
        <w:t>𝑇𝑜𝑡𝑎𝑙</w:t>
      </w:r>
    </w:p>
    <w:p w14:paraId="719C0C2D">
      <w:pPr>
        <w:spacing w:line="360" w:lineRule="auto"/>
        <w:ind w:left="2282" w:right="176" w:rightChars="80" w:firstLine="740" w:firstLineChars="400"/>
        <w:jc w:val="both"/>
        <w:rPr>
          <w:rFonts w:ascii="Arial" w:hAnsi="Arial" w:eastAsia="Cambria Math" w:cs="Arial"/>
          <w:sz w:val="17"/>
        </w:rPr>
      </w:pPr>
      <w:r>
        <w:rPr>
          <w:rFonts w:ascii="Cambria Math" w:hAnsi="Cambria Math" w:eastAsia="Cambria Math" w:cs="Cambria Math"/>
          <w:spacing w:val="-1"/>
          <w:w w:val="110"/>
          <w:sz w:val="17"/>
        </w:rPr>
        <w:t>𝑃𝑎𝑠𝑠𝑖𝑣𝑜</w:t>
      </w:r>
      <w:r>
        <w:rPr>
          <w:rFonts w:ascii="Arial" w:hAnsi="Arial" w:eastAsia="Cambria Math" w:cs="Arial"/>
          <w:spacing w:val="-8"/>
          <w:w w:val="110"/>
          <w:sz w:val="17"/>
        </w:rPr>
        <w:t xml:space="preserve"> </w:t>
      </w:r>
      <w:r>
        <w:rPr>
          <w:rFonts w:ascii="Cambria Math" w:hAnsi="Cambria Math" w:eastAsia="Cambria Math" w:cs="Cambria Math"/>
          <w:spacing w:val="-1"/>
          <w:w w:val="110"/>
          <w:sz w:val="17"/>
        </w:rPr>
        <w:t>𝐶𝑖𝑟𝑐𝑢𝑙𝑎𝑛𝑡𝑒</w:t>
      </w:r>
      <w:r>
        <w:rPr>
          <w:rFonts w:ascii="Arial" w:hAnsi="Arial" w:eastAsia="Cambria Math" w:cs="Arial"/>
          <w:spacing w:val="-6"/>
          <w:w w:val="110"/>
          <w:sz w:val="17"/>
        </w:rPr>
        <w:t xml:space="preserve"> </w:t>
      </w:r>
      <w:r>
        <w:rPr>
          <w:rFonts w:ascii="Arial" w:hAnsi="Arial" w:eastAsia="Cambria Math" w:cs="Arial"/>
          <w:w w:val="110"/>
          <w:sz w:val="17"/>
        </w:rPr>
        <w:t>+</w:t>
      </w:r>
      <w:r>
        <w:rPr>
          <w:rFonts w:ascii="Arial" w:hAnsi="Arial" w:eastAsia="Cambria Math" w:cs="Arial"/>
          <w:spacing w:val="-10"/>
          <w:w w:val="110"/>
          <w:sz w:val="17"/>
        </w:rPr>
        <w:t xml:space="preserve"> </w:t>
      </w:r>
      <w:r>
        <w:rPr>
          <w:rFonts w:ascii="Cambria Math" w:hAnsi="Cambria Math" w:eastAsia="Cambria Math" w:cs="Cambria Math"/>
          <w:w w:val="110"/>
          <w:sz w:val="17"/>
        </w:rPr>
        <w:t>𝐸𝑥𝑖𝑔</w:t>
      </w:r>
      <w:r>
        <w:rPr>
          <w:rFonts w:ascii="Arial" w:hAnsi="Arial" w:eastAsia="Cambria Math" w:cs="Arial"/>
          <w:w w:val="110"/>
          <w:sz w:val="17"/>
        </w:rPr>
        <w:t>í</w:t>
      </w:r>
      <w:r>
        <w:rPr>
          <w:rFonts w:ascii="Cambria Math" w:hAnsi="Cambria Math" w:eastAsia="Cambria Math" w:cs="Cambria Math"/>
          <w:w w:val="110"/>
          <w:sz w:val="17"/>
        </w:rPr>
        <w:t>𝑣𝑒𝑙</w:t>
      </w:r>
      <w:r>
        <w:rPr>
          <w:rFonts w:ascii="Arial" w:hAnsi="Arial" w:eastAsia="Cambria Math" w:cs="Arial"/>
          <w:spacing w:val="-7"/>
          <w:w w:val="110"/>
          <w:sz w:val="17"/>
        </w:rPr>
        <w:t xml:space="preserve"> </w:t>
      </w:r>
      <w:r>
        <w:rPr>
          <w:rFonts w:ascii="Cambria Math" w:hAnsi="Cambria Math" w:eastAsia="Cambria Math" w:cs="Cambria Math"/>
          <w:w w:val="110"/>
          <w:sz w:val="17"/>
        </w:rPr>
        <w:t>𝑎</w:t>
      </w:r>
      <w:r>
        <w:rPr>
          <w:rFonts w:ascii="Arial" w:hAnsi="Arial" w:eastAsia="Cambria Math" w:cs="Arial"/>
          <w:spacing w:val="-6"/>
          <w:w w:val="110"/>
          <w:sz w:val="17"/>
        </w:rPr>
        <w:t xml:space="preserve"> </w:t>
      </w:r>
      <w:r>
        <w:rPr>
          <w:rFonts w:ascii="Cambria Math" w:hAnsi="Cambria Math" w:eastAsia="Cambria Math" w:cs="Cambria Math"/>
          <w:w w:val="110"/>
          <w:sz w:val="17"/>
        </w:rPr>
        <w:t>𝐿𝑜𝑛𝑔𝑜</w:t>
      </w:r>
      <w:r>
        <w:rPr>
          <w:rFonts w:ascii="Arial" w:hAnsi="Arial" w:eastAsia="Cambria Math" w:cs="Arial"/>
          <w:spacing w:val="-8"/>
          <w:w w:val="110"/>
          <w:sz w:val="17"/>
        </w:rPr>
        <w:t xml:space="preserve"> </w:t>
      </w:r>
      <w:r>
        <w:rPr>
          <w:rFonts w:ascii="Cambria Math" w:hAnsi="Cambria Math" w:eastAsia="Cambria Math" w:cs="Cambria Math"/>
          <w:w w:val="110"/>
          <w:sz w:val="17"/>
        </w:rPr>
        <w:t>𝑃𝑟𝑎𝑧𝑜</w:t>
      </w:r>
    </w:p>
    <w:p w14:paraId="0A8C0BDE">
      <w:pPr>
        <w:pStyle w:val="26"/>
        <w:spacing w:line="360" w:lineRule="auto"/>
        <w:ind w:right="176" w:rightChars="80"/>
        <w:rPr>
          <w:rFonts w:ascii="Arial" w:hAnsi="Arial" w:cs="Arial"/>
        </w:rPr>
      </w:pPr>
    </w:p>
    <w:p w14:paraId="39AFFE51">
      <w:pPr>
        <w:pStyle w:val="13"/>
        <w:tabs>
          <w:tab w:val="left" w:pos="4024"/>
        </w:tabs>
        <w:spacing w:line="360" w:lineRule="auto"/>
        <w:ind w:right="176" w:rightChars="80"/>
        <w:rPr>
          <w:rFonts w:ascii="Arial" w:hAnsi="Arial" w:eastAsia="Cambria Math" w:cs="Arial"/>
          <w:lang w:val="pt-BR"/>
        </w:rPr>
      </w:pPr>
      <w:r>
        <w:rPr>
          <w:rFonts w:ascii="Arial" w:hAnsi="Arial" w:cs="Arial"/>
          <w:lang w:val="pt-BR"/>
        </w:rPr>
        <mc:AlternateContent>
          <mc:Choice Requires="wps">
            <w:drawing>
              <wp:anchor distT="0" distB="0" distL="114300" distR="114300" simplePos="0" relativeHeight="251662336" behindDoc="1" locked="0" layoutInCell="1" allowOverlap="1">
                <wp:simplePos x="0" y="0"/>
                <wp:positionH relativeFrom="page">
                  <wp:posOffset>2703830</wp:posOffset>
                </wp:positionH>
                <wp:positionV relativeFrom="paragraph">
                  <wp:posOffset>147955</wp:posOffset>
                </wp:positionV>
                <wp:extent cx="2348230" cy="10160"/>
                <wp:effectExtent l="0" t="0" r="0" b="0"/>
                <wp:wrapNone/>
                <wp:docPr id="5" name="Retângulo 5"/>
                <wp:cNvGraphicFramePr/>
                <a:graphic xmlns:a="http://schemas.openxmlformats.org/drawingml/2006/main">
                  <a:graphicData uri="http://schemas.microsoft.com/office/word/2010/wordprocessingShape">
                    <wps:wsp>
                      <wps:cNvSpPr/>
                      <wps:spPr>
                        <a:xfrm>
                          <a:off x="0" y="0"/>
                          <a:ext cx="2348230" cy="10160"/>
                        </a:xfrm>
                        <a:prstGeom prst="rect">
                          <a:avLst/>
                        </a:prstGeom>
                        <a:solidFill>
                          <a:srgbClr val="000000"/>
                        </a:solidFill>
                        <a:ln>
                          <a:noFill/>
                        </a:ln>
                      </wps:spPr>
                      <wps:txbx>
                        <w:txbxContent>
                          <w:p w14:paraId="35DFEBF0"/>
                        </w:txbxContent>
                      </wps:txbx>
                      <wps:bodyPr upright="1"/>
                    </wps:wsp>
                  </a:graphicData>
                </a:graphic>
              </wp:anchor>
            </w:drawing>
          </mc:Choice>
          <mc:Fallback>
            <w:pict>
              <v:rect id="_x0000_s1026" o:spid="_x0000_s1026" o:spt="1" style="position:absolute;left:0pt;margin-left:212.9pt;margin-top:11.65pt;height:0.8pt;width:184.9pt;mso-position-horizontal-relative:page;z-index:-251654144;mso-width-relative:page;mso-height-relative:page;" fillcolor="#000000" filled="t" stroked="f" coordsize="21600,21600" o:gfxdata="UEsDBAoAAAAAAIdO4kAAAAAAAAAAAAAAAAAEAAAAZHJzL1BLAwQUAAAACACHTuJA6+ZBB9kAAAAJ&#10;AQAADwAAAGRycy9kb3ducmV2LnhtbE2PzU7DMBCE70i8g7VI3KjdNClNiFOpSByRaOFAb068JFHj&#10;dYjdH3h6lhMcd3Y08025vrhBnHAKvScN85kCgdR421Or4e316W4FIkRD1gyeUMMXBlhX11elKaw/&#10;0xZPu9gKDqFQGA1djGMhZWg6dCbM/IjEvw8/ORP5nFppJ3PmcDfIRKmldKYnbujMiI8dNofd0WnY&#10;5KvN50tKz9/beo/79/qQJZPS+vZmrh5ARLzEPzP84jM6VMxU+yPZIAYNaZIxetSQLBYg2HCfZ0sQ&#10;NQtpDrIq5f8F1Q9QSwMEFAAAAAgAh07iQDYPdU6zAQAAbQMAAA4AAABkcnMvZTJvRG9jLnhtbK1T&#10;wW7bMAy9D+g/CLo3ttO1KIw4PSxoL8VarNsHKLJsC5BEgVJi53f6K/uxUbKXbt2lh/kgkyL5yPdo&#10;b+4ma9hRYdDgGl6tSs6Uk9Bq1zf8x/f7y1vOQhSuFQacavhJBX63vfi0GX2t1jCAaRUyAnGhHn3D&#10;hxh9XRRBDsqKsAKvHAU7QCsiudgXLYqR0K0p1mV5U4yArUeQKgS63c1BviDiRwCh67RUO5AHq1yc&#10;UVEZEYlSGLQPfJun7Tol41PXBRWZaTgxjfmkJmTv01lsN6LuUfhBy2UE8ZER3nGyQjtqeobaiSjY&#10;AfU/UFZLhABdXEmwxUwkK0IsqvKdNi+D8CpzIamDP4se/h+s/Hp8Rqbbhl9z5oSlhX9T8eer6w8G&#10;2HXSZ/ShprQX/4yLF8hMZKcObXoTDTZlTU9nTdUUmaTL9dXn2/UVyS0pVpXVTda8eCv2GOKDAsuS&#10;0XCklWUlxfExRGpIqb9TUq8ARrf32pjsYL//YpAdRVpvftLEVPJXmnEp2UEqm8PppkjEZirJitN+&#10;WvjtoT2RKgePuh9opiqDpiTaQoZfvpi05j/9DPr2l2x/AV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CUEAABbQ29udGVudF9UeXBlc10ueG1sUEsB&#10;AhQACgAAAAAAh07iQAAAAAAAAAAAAAAAAAYAAAAAAAAAAAAQAAAABwMAAF9yZWxzL1BLAQIUABQA&#10;AAAIAIdO4kCKFGY80QAAAJQBAAALAAAAAAAAAAEAIAAAACsDAABfcmVscy8ucmVsc1BLAQIUAAoA&#10;AAAAAIdO4kAAAAAAAAAAAAAAAAAEAAAAAAAAAAAAEAAAAAAAAABkcnMvUEsBAhQAFAAAAAgAh07i&#10;QOvmQQfZAAAACQEAAA8AAAAAAAAAAQAgAAAAIgAAAGRycy9kb3ducmV2LnhtbFBLAQIUABQAAAAI&#10;AIdO4kA2D3VOswEAAG0DAAAOAAAAAAAAAAEAIAAAACgBAABkcnMvZTJvRG9jLnhtbFBLBQYAAAAA&#10;BgAGAFkBAABNBQAAAAA=&#10;">
                <v:fill on="t" focussize="0,0"/>
                <v:stroke on="f"/>
                <v:imagedata o:title=""/>
                <o:lock v:ext="edit" aspectratio="f"/>
                <v:textbox>
                  <w:txbxContent>
                    <w:p w14:paraId="35DFEBF0"/>
                  </w:txbxContent>
                </v:textbox>
              </v:rect>
            </w:pict>
          </mc:Fallback>
        </mc:AlternateContent>
      </w:r>
      <w:r>
        <w:rPr>
          <w:rFonts w:ascii="Arial" w:hAnsi="Arial" w:cs="Arial"/>
          <w:lang w:val="pt-BR"/>
        </w:rPr>
        <w:t>Solvência</w:t>
      </w:r>
      <w:r>
        <w:rPr>
          <w:rFonts w:ascii="Arial" w:hAnsi="Arial" w:cs="Arial"/>
          <w:spacing w:val="-2"/>
          <w:lang w:val="pt-BR"/>
        </w:rPr>
        <w:t xml:space="preserve"> </w:t>
      </w:r>
      <w:r>
        <w:rPr>
          <w:rFonts w:ascii="Arial" w:hAnsi="Arial" w:cs="Arial"/>
          <w:lang w:val="pt-BR"/>
        </w:rPr>
        <w:t>Geral (SG)</w:t>
      </w:r>
      <w:r>
        <w:rPr>
          <w:rFonts w:ascii="Arial" w:hAnsi="Arial" w:cs="Arial"/>
          <w:spacing w:val="-2"/>
          <w:lang w:val="pt-BR"/>
        </w:rPr>
        <w:t xml:space="preserve"> </w:t>
      </w:r>
      <w:r>
        <w:rPr>
          <w:rFonts w:ascii="Arial" w:hAnsi="Arial" w:cs="Arial"/>
          <w:lang w:val="pt-BR"/>
        </w:rPr>
        <w:t>=</w:t>
      </w:r>
      <w:r>
        <w:rPr>
          <w:rFonts w:ascii="Arial" w:hAnsi="Arial" w:cs="Arial"/>
          <w:lang w:val="pt-BR"/>
        </w:rPr>
        <w:tab/>
      </w:r>
      <w:r>
        <w:rPr>
          <w:rFonts w:ascii="Cambria Math" w:hAnsi="Cambria Math" w:eastAsia="Cambria Math" w:cs="Cambria Math"/>
          <w:w w:val="105"/>
          <w:vertAlign w:val="superscript"/>
          <w:lang w:val="pt-BR"/>
        </w:rPr>
        <w:t>𝐴𝑡𝑖𝑣𝑜</w:t>
      </w:r>
      <w:r>
        <w:rPr>
          <w:rFonts w:ascii="Arial" w:hAnsi="Arial" w:eastAsia="Cambria Math" w:cs="Arial"/>
          <w:spacing w:val="13"/>
          <w:w w:val="105"/>
          <w:lang w:val="pt-BR"/>
        </w:rPr>
        <w:t xml:space="preserve"> </w:t>
      </w:r>
      <w:r>
        <w:rPr>
          <w:rFonts w:ascii="Arial" w:hAnsi="Arial" w:eastAsia="Cambria Math" w:cs="Arial"/>
          <w:i/>
          <w:iCs/>
          <w:w w:val="105"/>
          <w:vertAlign w:val="superscript"/>
          <w:lang w:val="pt-BR"/>
        </w:rPr>
        <w:t>Circulante</w:t>
      </w:r>
    </w:p>
    <w:p w14:paraId="2FBC4BE2">
      <w:pPr>
        <w:spacing w:line="360" w:lineRule="auto"/>
        <w:ind w:left="2282" w:right="176" w:rightChars="80" w:firstLine="1572" w:firstLineChars="850"/>
        <w:jc w:val="both"/>
        <w:rPr>
          <w:rFonts w:ascii="Arial" w:hAnsi="Arial" w:eastAsia="Cambria Math" w:cs="Arial"/>
          <w:sz w:val="17"/>
        </w:rPr>
      </w:pPr>
      <w:r>
        <w:rPr>
          <w:rFonts w:ascii="Cambria Math" w:hAnsi="Cambria Math" w:eastAsia="Cambria Math" w:cs="Cambria Math"/>
          <w:spacing w:val="-1"/>
          <w:w w:val="110"/>
          <w:sz w:val="17"/>
        </w:rPr>
        <w:t>𝑃𝑎𝑠𝑠𝑖𝑣𝑜</w:t>
      </w:r>
      <w:r>
        <w:rPr>
          <w:rFonts w:ascii="Arial" w:hAnsi="Arial" w:eastAsia="Cambria Math" w:cs="Arial"/>
          <w:spacing w:val="-8"/>
          <w:w w:val="110"/>
          <w:sz w:val="17"/>
        </w:rPr>
        <w:t xml:space="preserve"> </w:t>
      </w:r>
      <w:r>
        <w:rPr>
          <w:rFonts w:ascii="Cambria Math" w:hAnsi="Cambria Math" w:eastAsia="Cambria Math" w:cs="Cambria Math"/>
          <w:spacing w:val="-1"/>
          <w:w w:val="110"/>
          <w:sz w:val="17"/>
        </w:rPr>
        <w:t>𝐶𝑖𝑟𝑐𝑢𝑙𝑎𝑛𝑡𝑒</w:t>
      </w:r>
    </w:p>
    <w:p w14:paraId="65B7EA80">
      <w:pPr>
        <w:pStyle w:val="26"/>
        <w:numPr>
          <w:ilvl w:val="3"/>
          <w:numId w:val="3"/>
        </w:numPr>
        <w:tabs>
          <w:tab w:val="left" w:pos="440"/>
          <w:tab w:val="left" w:pos="660"/>
          <w:tab w:val="clear" w:pos="4157"/>
        </w:tabs>
        <w:spacing w:line="360" w:lineRule="auto"/>
        <w:ind w:right="176" w:rightChars="80"/>
        <w:rPr>
          <w:rFonts w:ascii="Arial" w:hAnsi="Arial" w:cs="Arial"/>
        </w:rPr>
      </w:pPr>
      <w:r>
        <w:rPr>
          <w:rFonts w:ascii="Arial" w:hAnsi="Arial" w:cs="Arial"/>
        </w:rPr>
        <w:t>Comprovação de capital mínimo ou de patrimônio líquido mínimo equivalente a 10% (dez por cento) do valor estimado da contratação. (Lei</w:t>
      </w:r>
      <w:r>
        <w:rPr>
          <w:rFonts w:ascii="Arial" w:hAnsi="Arial" w:cs="Arial"/>
          <w:spacing w:val="-1"/>
        </w:rPr>
        <w:t xml:space="preserve"> </w:t>
      </w:r>
      <w:r>
        <w:rPr>
          <w:rFonts w:ascii="Arial" w:hAnsi="Arial" w:cs="Arial"/>
        </w:rPr>
        <w:t>nº</w:t>
      </w:r>
      <w:r>
        <w:rPr>
          <w:rFonts w:ascii="Arial" w:hAnsi="Arial" w:cs="Arial"/>
          <w:spacing w:val="-2"/>
        </w:rPr>
        <w:t xml:space="preserve"> </w:t>
      </w:r>
      <w:r>
        <w:rPr>
          <w:rFonts w:ascii="Arial" w:hAnsi="Arial" w:cs="Arial"/>
        </w:rPr>
        <w:t>14.133,</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2021,</w:t>
      </w:r>
      <w:r>
        <w:rPr>
          <w:rFonts w:ascii="Arial" w:hAnsi="Arial" w:cs="Arial"/>
          <w:spacing w:val="-2"/>
        </w:rPr>
        <w:t xml:space="preserve"> </w:t>
      </w:r>
      <w:r>
        <w:rPr>
          <w:rFonts w:ascii="Arial" w:hAnsi="Arial" w:cs="Arial"/>
        </w:rPr>
        <w:t>art.</w:t>
      </w:r>
      <w:r>
        <w:rPr>
          <w:rFonts w:ascii="Arial" w:hAnsi="Arial" w:cs="Arial"/>
          <w:spacing w:val="-3"/>
        </w:rPr>
        <w:t xml:space="preserve"> </w:t>
      </w:r>
      <w:r>
        <w:rPr>
          <w:rFonts w:ascii="Arial" w:hAnsi="Arial" w:cs="Arial"/>
        </w:rPr>
        <w:t>69,</w:t>
      </w:r>
      <w:r>
        <w:rPr>
          <w:rFonts w:ascii="Arial" w:hAnsi="Arial" w:cs="Arial"/>
          <w:spacing w:val="-4"/>
        </w:rPr>
        <w:t xml:space="preserve"> </w:t>
      </w:r>
      <w:r>
        <w:rPr>
          <w:rFonts w:ascii="Arial" w:hAnsi="Arial" w:cs="Arial"/>
        </w:rPr>
        <w:t>§4º)</w:t>
      </w:r>
    </w:p>
    <w:p w14:paraId="5BAC22B0">
      <w:pPr>
        <w:pStyle w:val="26"/>
        <w:numPr>
          <w:ilvl w:val="3"/>
          <w:numId w:val="3"/>
        </w:numPr>
        <w:tabs>
          <w:tab w:val="left" w:pos="440"/>
          <w:tab w:val="left" w:pos="660"/>
          <w:tab w:val="clear" w:pos="4157"/>
        </w:tabs>
        <w:spacing w:line="360" w:lineRule="auto"/>
        <w:ind w:right="176" w:rightChars="80"/>
        <w:rPr>
          <w:rFonts w:ascii="Arial" w:hAnsi="Arial" w:cs="Arial"/>
        </w:rPr>
      </w:pPr>
      <w:r>
        <w:rPr>
          <w:rFonts w:ascii="Arial" w:hAnsi="Arial" w:cs="Arial"/>
        </w:rPr>
        <w:t>As empresas criadas no exercício financeiro da licitação deverão atender a</w:t>
      </w:r>
      <w:r>
        <w:rPr>
          <w:rFonts w:ascii="Arial" w:hAnsi="Arial" w:cs="Arial"/>
          <w:spacing w:val="1"/>
        </w:rPr>
        <w:t xml:space="preserve"> </w:t>
      </w:r>
      <w:r>
        <w:rPr>
          <w:rFonts w:ascii="Arial" w:hAnsi="Arial" w:cs="Arial"/>
        </w:rPr>
        <w:t>todas</w:t>
      </w:r>
      <w:r>
        <w:rPr>
          <w:rFonts w:ascii="Arial" w:hAnsi="Arial" w:cs="Arial"/>
          <w:spacing w:val="1"/>
        </w:rPr>
        <w:t xml:space="preserve"> </w:t>
      </w:r>
      <w:r>
        <w:rPr>
          <w:rFonts w:ascii="Arial" w:hAnsi="Arial" w:cs="Arial"/>
        </w:rPr>
        <w:t>as</w:t>
      </w:r>
      <w:r>
        <w:rPr>
          <w:rFonts w:ascii="Arial" w:hAnsi="Arial" w:cs="Arial"/>
          <w:spacing w:val="1"/>
        </w:rPr>
        <w:t xml:space="preserve"> </w:t>
      </w:r>
      <w:r>
        <w:rPr>
          <w:rFonts w:ascii="Arial" w:hAnsi="Arial" w:cs="Arial"/>
        </w:rPr>
        <w:t>exigências</w:t>
      </w:r>
      <w:r>
        <w:rPr>
          <w:rFonts w:ascii="Arial" w:hAnsi="Arial" w:cs="Arial"/>
          <w:spacing w:val="1"/>
        </w:rPr>
        <w:t xml:space="preserve"> </w:t>
      </w:r>
      <w:r>
        <w:rPr>
          <w:rFonts w:ascii="Arial" w:hAnsi="Arial" w:cs="Arial"/>
        </w:rPr>
        <w:t>da</w:t>
      </w:r>
      <w:r>
        <w:rPr>
          <w:rFonts w:ascii="Arial" w:hAnsi="Arial" w:cs="Arial"/>
          <w:spacing w:val="1"/>
        </w:rPr>
        <w:t xml:space="preserve"> </w:t>
      </w:r>
      <w:r>
        <w:rPr>
          <w:rFonts w:ascii="Arial" w:hAnsi="Arial" w:cs="Arial"/>
        </w:rPr>
        <w:t>habilitação</w:t>
      </w:r>
      <w:r>
        <w:rPr>
          <w:rFonts w:ascii="Arial" w:hAnsi="Arial" w:cs="Arial"/>
          <w:spacing w:val="1"/>
        </w:rPr>
        <w:t xml:space="preserve"> </w:t>
      </w:r>
      <w:r>
        <w:rPr>
          <w:rFonts w:ascii="Arial" w:hAnsi="Arial" w:cs="Arial"/>
        </w:rPr>
        <w:t>e</w:t>
      </w:r>
      <w:r>
        <w:rPr>
          <w:rFonts w:ascii="Arial" w:hAnsi="Arial" w:cs="Arial"/>
          <w:spacing w:val="1"/>
        </w:rPr>
        <w:t xml:space="preserve"> </w:t>
      </w:r>
      <w:r>
        <w:rPr>
          <w:rFonts w:ascii="Arial" w:hAnsi="Arial" w:cs="Arial"/>
        </w:rPr>
        <w:t>poderão</w:t>
      </w:r>
      <w:r>
        <w:rPr>
          <w:rFonts w:ascii="Arial" w:hAnsi="Arial" w:cs="Arial"/>
          <w:spacing w:val="1"/>
        </w:rPr>
        <w:t xml:space="preserve"> </w:t>
      </w:r>
      <w:r>
        <w:rPr>
          <w:rFonts w:ascii="Arial" w:hAnsi="Arial" w:cs="Arial"/>
        </w:rPr>
        <w:t>substituir</w:t>
      </w:r>
      <w:r>
        <w:rPr>
          <w:rFonts w:ascii="Arial" w:hAnsi="Arial" w:cs="Arial"/>
          <w:spacing w:val="1"/>
        </w:rPr>
        <w:t xml:space="preserve"> </w:t>
      </w:r>
      <w:r>
        <w:rPr>
          <w:rFonts w:ascii="Arial" w:hAnsi="Arial" w:cs="Arial"/>
        </w:rPr>
        <w:t>os</w:t>
      </w:r>
      <w:r>
        <w:rPr>
          <w:rFonts w:ascii="Arial" w:hAnsi="Arial" w:cs="Arial"/>
          <w:spacing w:val="1"/>
        </w:rPr>
        <w:t xml:space="preserve"> </w:t>
      </w:r>
      <w:r>
        <w:rPr>
          <w:rFonts w:ascii="Arial" w:hAnsi="Arial" w:cs="Arial"/>
        </w:rPr>
        <w:t>demonstrativos</w:t>
      </w:r>
      <w:r>
        <w:rPr>
          <w:rFonts w:ascii="Arial" w:hAnsi="Arial" w:cs="Arial"/>
          <w:spacing w:val="-64"/>
        </w:rPr>
        <w:t xml:space="preserve"> </w:t>
      </w:r>
      <w:r>
        <w:rPr>
          <w:rFonts w:ascii="Arial" w:hAnsi="Arial" w:cs="Arial"/>
        </w:rPr>
        <w:t>contábeis</w:t>
      </w:r>
      <w:r>
        <w:rPr>
          <w:rFonts w:ascii="Arial" w:hAnsi="Arial" w:cs="Arial"/>
          <w:spacing w:val="-1"/>
        </w:rPr>
        <w:t xml:space="preserve"> </w:t>
      </w:r>
      <w:r>
        <w:rPr>
          <w:rFonts w:ascii="Arial" w:hAnsi="Arial" w:cs="Arial"/>
        </w:rPr>
        <w:t>pelo</w:t>
      </w:r>
      <w:r>
        <w:rPr>
          <w:rFonts w:ascii="Arial" w:hAnsi="Arial" w:cs="Arial"/>
          <w:spacing w:val="-3"/>
        </w:rPr>
        <w:t xml:space="preserve"> </w:t>
      </w:r>
      <w:r>
        <w:rPr>
          <w:rFonts w:ascii="Arial" w:hAnsi="Arial" w:cs="Arial"/>
        </w:rPr>
        <w:t>balanço</w:t>
      </w:r>
      <w:r>
        <w:rPr>
          <w:rFonts w:ascii="Arial" w:hAnsi="Arial" w:cs="Arial"/>
          <w:spacing w:val="-2"/>
        </w:rPr>
        <w:t xml:space="preserve"> </w:t>
      </w:r>
      <w:r>
        <w:rPr>
          <w:rFonts w:ascii="Arial" w:hAnsi="Arial" w:cs="Arial"/>
        </w:rPr>
        <w:t>de</w:t>
      </w:r>
      <w:r>
        <w:rPr>
          <w:rFonts w:ascii="Arial" w:hAnsi="Arial" w:cs="Arial"/>
          <w:spacing w:val="-3"/>
        </w:rPr>
        <w:t xml:space="preserve"> </w:t>
      </w:r>
      <w:r>
        <w:rPr>
          <w:rFonts w:ascii="Arial" w:hAnsi="Arial" w:cs="Arial"/>
        </w:rPr>
        <w:t>abertura. (Lei</w:t>
      </w:r>
      <w:r>
        <w:rPr>
          <w:rFonts w:ascii="Arial" w:hAnsi="Arial" w:cs="Arial"/>
          <w:spacing w:val="-1"/>
        </w:rPr>
        <w:t xml:space="preserve"> </w:t>
      </w:r>
      <w:r>
        <w:rPr>
          <w:rFonts w:ascii="Arial" w:hAnsi="Arial" w:cs="Arial"/>
        </w:rPr>
        <w:t>nº</w:t>
      </w:r>
      <w:r>
        <w:rPr>
          <w:rFonts w:ascii="Arial" w:hAnsi="Arial" w:cs="Arial"/>
          <w:spacing w:val="-2"/>
        </w:rPr>
        <w:t xml:space="preserve"> </w:t>
      </w:r>
      <w:r>
        <w:rPr>
          <w:rFonts w:ascii="Arial" w:hAnsi="Arial" w:cs="Arial"/>
        </w:rPr>
        <w:t>14.133,</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2021,</w:t>
      </w:r>
      <w:r>
        <w:rPr>
          <w:rFonts w:ascii="Arial" w:hAnsi="Arial" w:cs="Arial"/>
          <w:spacing w:val="-2"/>
        </w:rPr>
        <w:t xml:space="preserve"> </w:t>
      </w:r>
      <w:r>
        <w:rPr>
          <w:rFonts w:ascii="Arial" w:hAnsi="Arial" w:cs="Arial"/>
        </w:rPr>
        <w:t>art.</w:t>
      </w:r>
      <w:r>
        <w:rPr>
          <w:rFonts w:ascii="Arial" w:hAnsi="Arial" w:cs="Arial"/>
          <w:spacing w:val="-3"/>
        </w:rPr>
        <w:t xml:space="preserve"> </w:t>
      </w:r>
      <w:r>
        <w:rPr>
          <w:rFonts w:ascii="Arial" w:hAnsi="Arial" w:cs="Arial"/>
        </w:rPr>
        <w:t>69,</w:t>
      </w:r>
      <w:r>
        <w:rPr>
          <w:rFonts w:ascii="Arial" w:hAnsi="Arial" w:cs="Arial"/>
          <w:spacing w:val="-4"/>
        </w:rPr>
        <w:t xml:space="preserve"> </w:t>
      </w:r>
      <w:r>
        <w:rPr>
          <w:rFonts w:ascii="Arial" w:hAnsi="Arial" w:cs="Arial"/>
        </w:rPr>
        <w:t>§1º).</w:t>
      </w:r>
    </w:p>
    <w:p w14:paraId="75BBB33E">
      <w:pPr>
        <w:pStyle w:val="26"/>
        <w:numPr>
          <w:ilvl w:val="3"/>
          <w:numId w:val="3"/>
        </w:numPr>
        <w:tabs>
          <w:tab w:val="left" w:pos="440"/>
          <w:tab w:val="left" w:pos="660"/>
          <w:tab w:val="clear" w:pos="4157"/>
        </w:tabs>
        <w:spacing w:line="360" w:lineRule="auto"/>
        <w:ind w:right="176" w:rightChars="80"/>
        <w:rPr>
          <w:rFonts w:ascii="Arial" w:hAnsi="Arial" w:cs="Arial"/>
        </w:rPr>
      </w:pPr>
      <w:r>
        <w:rPr>
          <w:rFonts w:ascii="Arial" w:hAnsi="Arial" w:cs="Arial"/>
        </w:rPr>
        <w:t>Os</w:t>
      </w:r>
      <w:r>
        <w:rPr>
          <w:rFonts w:ascii="Arial" w:hAnsi="Arial" w:cs="Arial"/>
          <w:spacing w:val="-7"/>
        </w:rPr>
        <w:t xml:space="preserve"> </w:t>
      </w:r>
      <w:r>
        <w:rPr>
          <w:rFonts w:ascii="Arial" w:hAnsi="Arial" w:cs="Arial"/>
        </w:rPr>
        <w:t>documentos</w:t>
      </w:r>
      <w:r>
        <w:rPr>
          <w:rFonts w:ascii="Arial" w:hAnsi="Arial" w:cs="Arial"/>
          <w:spacing w:val="-7"/>
        </w:rPr>
        <w:t xml:space="preserve"> </w:t>
      </w:r>
      <w:r>
        <w:rPr>
          <w:rFonts w:ascii="Arial" w:hAnsi="Arial" w:cs="Arial"/>
        </w:rPr>
        <w:t>referidos</w:t>
      </w:r>
      <w:r>
        <w:rPr>
          <w:rFonts w:ascii="Arial" w:hAnsi="Arial" w:cs="Arial"/>
          <w:spacing w:val="-7"/>
        </w:rPr>
        <w:t xml:space="preserve"> </w:t>
      </w:r>
      <w:r>
        <w:rPr>
          <w:rFonts w:ascii="Arial" w:hAnsi="Arial" w:cs="Arial"/>
        </w:rPr>
        <w:t>acima</w:t>
      </w:r>
      <w:r>
        <w:rPr>
          <w:rFonts w:ascii="Arial" w:hAnsi="Arial" w:cs="Arial"/>
          <w:spacing w:val="-6"/>
        </w:rPr>
        <w:t xml:space="preserve"> </w:t>
      </w:r>
      <w:r>
        <w:rPr>
          <w:rFonts w:ascii="Arial" w:hAnsi="Arial" w:cs="Arial"/>
        </w:rPr>
        <w:t>limitar-se-ão</w:t>
      </w:r>
      <w:r>
        <w:rPr>
          <w:rFonts w:ascii="Arial" w:hAnsi="Arial" w:cs="Arial"/>
          <w:spacing w:val="-7"/>
        </w:rPr>
        <w:t xml:space="preserve"> </w:t>
      </w:r>
      <w:r>
        <w:rPr>
          <w:rFonts w:ascii="Arial" w:hAnsi="Arial" w:cs="Arial"/>
        </w:rPr>
        <w:t>ao</w:t>
      </w:r>
      <w:r>
        <w:rPr>
          <w:rFonts w:ascii="Arial" w:hAnsi="Arial" w:cs="Arial"/>
          <w:spacing w:val="-6"/>
        </w:rPr>
        <w:t xml:space="preserve"> </w:t>
      </w:r>
      <w:r>
        <w:rPr>
          <w:rFonts w:ascii="Arial" w:hAnsi="Arial" w:cs="Arial"/>
        </w:rPr>
        <w:t>último</w:t>
      </w:r>
      <w:r>
        <w:rPr>
          <w:rFonts w:ascii="Arial" w:hAnsi="Arial" w:cs="Arial"/>
          <w:spacing w:val="-8"/>
        </w:rPr>
        <w:t xml:space="preserve"> </w:t>
      </w:r>
      <w:r>
        <w:rPr>
          <w:rFonts w:ascii="Arial" w:hAnsi="Arial" w:cs="Arial"/>
        </w:rPr>
        <w:t>exercício</w:t>
      </w:r>
      <w:r>
        <w:rPr>
          <w:rFonts w:ascii="Arial" w:hAnsi="Arial" w:cs="Arial"/>
          <w:spacing w:val="-11"/>
        </w:rPr>
        <w:t xml:space="preserve"> </w:t>
      </w:r>
      <w:r>
        <w:rPr>
          <w:rFonts w:ascii="Arial" w:hAnsi="Arial" w:cs="Arial"/>
        </w:rPr>
        <w:t>no</w:t>
      </w:r>
      <w:r>
        <w:rPr>
          <w:rFonts w:ascii="Arial" w:hAnsi="Arial" w:cs="Arial"/>
          <w:spacing w:val="-6"/>
        </w:rPr>
        <w:t xml:space="preserve"> </w:t>
      </w:r>
      <w:r>
        <w:rPr>
          <w:rFonts w:ascii="Arial" w:hAnsi="Arial" w:cs="Arial"/>
        </w:rPr>
        <w:t>caso</w:t>
      </w:r>
      <w:r>
        <w:rPr>
          <w:rFonts w:ascii="Arial" w:hAnsi="Arial" w:cs="Arial"/>
          <w:spacing w:val="-6"/>
        </w:rPr>
        <w:t xml:space="preserve"> </w:t>
      </w:r>
      <w:r>
        <w:rPr>
          <w:rFonts w:ascii="Arial" w:hAnsi="Arial" w:cs="Arial"/>
        </w:rPr>
        <w:t>de</w:t>
      </w:r>
      <w:r>
        <w:rPr>
          <w:rFonts w:ascii="Arial" w:hAnsi="Arial" w:cs="Arial"/>
          <w:spacing w:val="-9"/>
        </w:rPr>
        <w:t xml:space="preserve"> </w:t>
      </w:r>
      <w:r>
        <w:rPr>
          <w:rFonts w:ascii="Arial" w:hAnsi="Arial" w:cs="Arial"/>
        </w:rPr>
        <w:t>a</w:t>
      </w:r>
      <w:r>
        <w:rPr>
          <w:rFonts w:ascii="Arial" w:hAnsi="Arial" w:cs="Arial"/>
          <w:spacing w:val="-64"/>
        </w:rPr>
        <w:t xml:space="preserve"> </w:t>
      </w:r>
      <w:r>
        <w:rPr>
          <w:rFonts w:ascii="Arial" w:hAnsi="Arial" w:cs="Arial"/>
        </w:rPr>
        <w:t>pessoa</w:t>
      </w:r>
      <w:r>
        <w:rPr>
          <w:rFonts w:ascii="Arial" w:hAnsi="Arial" w:cs="Arial"/>
          <w:spacing w:val="-1"/>
        </w:rPr>
        <w:t xml:space="preserve"> </w:t>
      </w:r>
      <w:r>
        <w:rPr>
          <w:rFonts w:ascii="Arial" w:hAnsi="Arial" w:cs="Arial"/>
        </w:rPr>
        <w:t>jurídica</w:t>
      </w:r>
      <w:r>
        <w:rPr>
          <w:rFonts w:ascii="Arial" w:hAnsi="Arial" w:cs="Arial"/>
          <w:spacing w:val="-2"/>
        </w:rPr>
        <w:t xml:space="preserve"> </w:t>
      </w:r>
      <w:r>
        <w:rPr>
          <w:rFonts w:ascii="Arial" w:hAnsi="Arial" w:cs="Arial"/>
        </w:rPr>
        <w:t>ter sido</w:t>
      </w:r>
      <w:r>
        <w:rPr>
          <w:rFonts w:ascii="Arial" w:hAnsi="Arial" w:cs="Arial"/>
          <w:spacing w:val="-1"/>
        </w:rPr>
        <w:t xml:space="preserve"> </w:t>
      </w:r>
      <w:r>
        <w:rPr>
          <w:rFonts w:ascii="Arial" w:hAnsi="Arial" w:cs="Arial"/>
        </w:rPr>
        <w:t>constituída</w:t>
      </w:r>
      <w:r>
        <w:rPr>
          <w:rFonts w:ascii="Arial" w:hAnsi="Arial" w:cs="Arial"/>
          <w:spacing w:val="-2"/>
        </w:rPr>
        <w:t xml:space="preserve"> </w:t>
      </w:r>
      <w:r>
        <w:rPr>
          <w:rFonts w:ascii="Arial" w:hAnsi="Arial" w:cs="Arial"/>
        </w:rPr>
        <w:t>há</w:t>
      </w:r>
      <w:r>
        <w:rPr>
          <w:rFonts w:ascii="Arial" w:hAnsi="Arial" w:cs="Arial"/>
          <w:spacing w:val="-2"/>
        </w:rPr>
        <w:t xml:space="preserve"> </w:t>
      </w:r>
      <w:r>
        <w:rPr>
          <w:rFonts w:ascii="Arial" w:hAnsi="Arial" w:cs="Arial"/>
        </w:rPr>
        <w:t>menos</w:t>
      </w:r>
      <w:r>
        <w:rPr>
          <w:rFonts w:ascii="Arial" w:hAnsi="Arial" w:cs="Arial"/>
          <w:spacing w:val="-1"/>
        </w:rPr>
        <w:t xml:space="preserve"> </w:t>
      </w:r>
      <w:r>
        <w:rPr>
          <w:rFonts w:ascii="Arial" w:hAnsi="Arial" w:cs="Arial"/>
        </w:rPr>
        <w:t>de</w:t>
      </w:r>
      <w:r>
        <w:rPr>
          <w:rFonts w:ascii="Arial" w:hAnsi="Arial" w:cs="Arial"/>
          <w:spacing w:val="-2"/>
        </w:rPr>
        <w:t xml:space="preserve"> </w:t>
      </w:r>
      <w:r>
        <w:rPr>
          <w:rFonts w:ascii="Arial" w:hAnsi="Arial" w:cs="Arial"/>
        </w:rPr>
        <w:t>2 (dois)</w:t>
      </w:r>
      <w:r>
        <w:rPr>
          <w:rFonts w:ascii="Arial" w:hAnsi="Arial" w:cs="Arial"/>
          <w:spacing w:val="-3"/>
        </w:rPr>
        <w:t xml:space="preserve"> </w:t>
      </w:r>
      <w:r>
        <w:rPr>
          <w:rFonts w:ascii="Arial" w:hAnsi="Arial" w:cs="Arial"/>
        </w:rPr>
        <w:t>anos.</w:t>
      </w:r>
    </w:p>
    <w:p w14:paraId="3CD854A6">
      <w:pPr>
        <w:pStyle w:val="26"/>
        <w:numPr>
          <w:ilvl w:val="3"/>
          <w:numId w:val="3"/>
        </w:numPr>
        <w:tabs>
          <w:tab w:val="left" w:pos="440"/>
          <w:tab w:val="left" w:pos="660"/>
          <w:tab w:val="clear" w:pos="4157"/>
        </w:tabs>
        <w:spacing w:line="360" w:lineRule="auto"/>
        <w:ind w:right="176" w:rightChars="80"/>
        <w:rPr>
          <w:rFonts w:ascii="Arial" w:hAnsi="Arial" w:cs="Arial"/>
        </w:rPr>
      </w:pPr>
      <w:r>
        <w:rPr>
          <w:rFonts w:ascii="Arial" w:hAnsi="Arial" w:cs="Arial"/>
        </w:rPr>
        <w:t>Os documentos referidos acima deverão ser exigidos com base no limite definido pela Receita Federal do Brasil para transmissão da Escrituração Contábil Digital - ECD ao Sped.</w:t>
      </w:r>
    </w:p>
    <w:p w14:paraId="52343959">
      <w:pPr>
        <w:pStyle w:val="26"/>
        <w:numPr>
          <w:ilvl w:val="3"/>
          <w:numId w:val="3"/>
        </w:numPr>
        <w:tabs>
          <w:tab w:val="left" w:pos="440"/>
          <w:tab w:val="left" w:pos="660"/>
          <w:tab w:val="clear" w:pos="4157"/>
        </w:tabs>
        <w:spacing w:line="360" w:lineRule="auto"/>
        <w:ind w:right="176" w:rightChars="80"/>
        <w:rPr>
          <w:rFonts w:ascii="Arial" w:hAnsi="Arial" w:cs="Arial"/>
        </w:rPr>
      </w:pPr>
      <w:r>
        <w:rPr>
          <w:rFonts w:ascii="Arial" w:hAnsi="Arial" w:cs="Arial"/>
        </w:rPr>
        <w:t>certidão negativa de feitos sobre falência expedida pelo distribuidor da sede do licitante (Lei</w:t>
      </w:r>
      <w:r>
        <w:rPr>
          <w:rFonts w:ascii="Arial" w:hAnsi="Arial" w:cs="Arial"/>
          <w:spacing w:val="-1"/>
        </w:rPr>
        <w:t xml:space="preserve"> </w:t>
      </w:r>
      <w:r>
        <w:rPr>
          <w:rFonts w:ascii="Arial" w:hAnsi="Arial" w:cs="Arial"/>
        </w:rPr>
        <w:t>nº 14.133,</w:t>
      </w:r>
      <w:r>
        <w:rPr>
          <w:rFonts w:ascii="Arial" w:hAnsi="Arial" w:cs="Arial"/>
          <w:spacing w:val="-3"/>
        </w:rPr>
        <w:t xml:space="preserve"> </w:t>
      </w:r>
      <w:r>
        <w:rPr>
          <w:rFonts w:ascii="Arial" w:hAnsi="Arial" w:cs="Arial"/>
        </w:rPr>
        <w:t>de</w:t>
      </w:r>
      <w:r>
        <w:rPr>
          <w:rFonts w:ascii="Arial" w:hAnsi="Arial" w:cs="Arial"/>
          <w:spacing w:val="-3"/>
        </w:rPr>
        <w:t xml:space="preserve"> </w:t>
      </w:r>
      <w:r>
        <w:rPr>
          <w:rFonts w:ascii="Arial" w:hAnsi="Arial" w:cs="Arial"/>
        </w:rPr>
        <w:t>2021,</w:t>
      </w:r>
      <w:r>
        <w:rPr>
          <w:rFonts w:ascii="Arial" w:hAnsi="Arial" w:cs="Arial"/>
          <w:spacing w:val="-1"/>
        </w:rPr>
        <w:t xml:space="preserve"> </w:t>
      </w:r>
      <w:r>
        <w:rPr>
          <w:rFonts w:ascii="Arial" w:hAnsi="Arial" w:cs="Arial"/>
        </w:rPr>
        <w:t>art.</w:t>
      </w:r>
      <w:r>
        <w:rPr>
          <w:rFonts w:ascii="Arial" w:hAnsi="Arial" w:cs="Arial"/>
          <w:spacing w:val="-4"/>
        </w:rPr>
        <w:t xml:space="preserve"> </w:t>
      </w:r>
      <w:r>
        <w:rPr>
          <w:rFonts w:ascii="Arial" w:hAnsi="Arial" w:cs="Arial"/>
        </w:rPr>
        <w:t>69,</w:t>
      </w:r>
      <w:r>
        <w:rPr>
          <w:rFonts w:ascii="Arial" w:hAnsi="Arial" w:cs="Arial"/>
          <w:spacing w:val="-1"/>
        </w:rPr>
        <w:t xml:space="preserve"> </w:t>
      </w:r>
      <w:r>
        <w:rPr>
          <w:rFonts w:ascii="Arial" w:hAnsi="Arial" w:cs="Arial"/>
        </w:rPr>
        <w:t>inciso</w:t>
      </w:r>
      <w:r>
        <w:rPr>
          <w:rFonts w:ascii="Arial" w:hAnsi="Arial" w:cs="Arial"/>
          <w:spacing w:val="-3"/>
        </w:rPr>
        <w:t xml:space="preserve"> </w:t>
      </w:r>
      <w:r>
        <w:rPr>
          <w:rFonts w:ascii="Arial" w:hAnsi="Arial" w:cs="Arial"/>
        </w:rPr>
        <w:t>II).</w:t>
      </w:r>
    </w:p>
    <w:p w14:paraId="3888EB64">
      <w:pPr>
        <w:pStyle w:val="26"/>
        <w:numPr>
          <w:ilvl w:val="2"/>
          <w:numId w:val="3"/>
        </w:numPr>
        <w:spacing w:line="360" w:lineRule="auto"/>
        <w:ind w:right="176" w:rightChars="80"/>
        <w:rPr>
          <w:rFonts w:ascii="Arial" w:hAnsi="Arial" w:cs="Arial"/>
        </w:rPr>
      </w:pPr>
      <w:r>
        <w:rPr>
          <w:rFonts w:ascii="Arial" w:hAnsi="Arial" w:cs="Arial"/>
        </w:rPr>
        <w:t xml:space="preserve"> </w:t>
      </w:r>
      <w:r>
        <w:rPr>
          <w:rFonts w:ascii="Arial" w:hAnsi="Arial"/>
          <w:b/>
          <w:bCs/>
        </w:rPr>
        <w:t>QUALIFICAÇÃO TÉCNICA:</w:t>
      </w:r>
    </w:p>
    <w:p w14:paraId="77BB2FEB">
      <w:pPr>
        <w:numPr>
          <w:ilvl w:val="3"/>
          <w:numId w:val="3"/>
        </w:numPr>
        <w:spacing w:before="120" w:after="120" w:line="360" w:lineRule="auto"/>
        <w:ind w:left="440" w:leftChars="200" w:right="176"/>
        <w:jc w:val="both"/>
        <w:rPr>
          <w:rFonts w:ascii="Arial" w:hAnsi="Arial"/>
          <w:color w:val="000000"/>
        </w:rPr>
      </w:pPr>
      <w:r>
        <w:rPr>
          <w:rFonts w:ascii="Arial" w:hAnsi="Arial"/>
          <w:color w:val="000000"/>
        </w:rPr>
        <w:t xml:space="preserve">.Apresentar no mínimo um Atestado de Capacidade Técnica </w:t>
      </w:r>
      <w:r>
        <w:rPr>
          <w:rFonts w:ascii="Arial" w:hAnsi="Arial" w:cs="Arial"/>
          <w:color w:val="000000"/>
        </w:rPr>
        <w:t xml:space="preserve">em nome da proponente, fornecido por pessoa jurídica de direito público ou privado, comprovando que a licitante forneceu ou fornece Refeições (merenda escolar) compatíveis com o objeto desta </w:t>
      </w:r>
      <w:r>
        <w:rPr>
          <w:rFonts w:ascii="Arial" w:hAnsi="Arial" w:eastAsia="SimSun" w:cs="Arial"/>
          <w:color w:val="000000"/>
          <w:lang w:eastAsia="zh-CN" w:bidi="ar"/>
        </w:rPr>
        <w:t>Licitação</w:t>
      </w:r>
      <w:r>
        <w:rPr>
          <w:rFonts w:ascii="Arial" w:hAnsi="Arial"/>
          <w:color w:val="000000"/>
        </w:rPr>
        <w:t>, observadas as previsões do art. 67 da Lei Federal nº 14.133/2021.</w:t>
      </w:r>
    </w:p>
    <w:p w14:paraId="632A4D58">
      <w:pPr>
        <w:numPr>
          <w:ilvl w:val="3"/>
          <w:numId w:val="3"/>
        </w:numPr>
        <w:spacing w:before="120" w:after="120" w:line="360" w:lineRule="auto"/>
        <w:ind w:left="440" w:leftChars="200" w:right="176"/>
        <w:jc w:val="both"/>
        <w:rPr>
          <w:rFonts w:ascii="Arial" w:hAnsi="Arial" w:cs="Arial"/>
        </w:rPr>
      </w:pPr>
      <w:r>
        <w:rPr>
          <w:rFonts w:ascii="Arial" w:hAnsi="Arial"/>
          <w:color w:val="000000"/>
        </w:rPr>
        <w:t>Experiência mínima de 03 (três) anos, demonstrando que a licitante administra ou administrou serviços terceirizados relacionados ao obejto desta licitação;</w:t>
      </w:r>
    </w:p>
    <w:p w14:paraId="68E61649">
      <w:pPr>
        <w:numPr>
          <w:ilvl w:val="3"/>
          <w:numId w:val="3"/>
        </w:numPr>
        <w:spacing w:before="120" w:after="120" w:line="360" w:lineRule="auto"/>
        <w:ind w:left="440" w:leftChars="200" w:right="176"/>
        <w:jc w:val="both"/>
        <w:rPr>
          <w:rFonts w:ascii="Arial" w:hAnsi="Arial" w:cs="Arial"/>
        </w:rPr>
      </w:pPr>
      <w:r>
        <w:rPr>
          <w:rFonts w:ascii="Arial" w:hAnsi="Arial"/>
          <w:color w:val="000000"/>
        </w:rPr>
        <w:t xml:space="preserve">Execução do objeto desta licitação que envolvam, no mínimo, 50% (cinquenta por cento) do número  exigidos para os itens de maior relevancia do Grupo Único desta licitação, conforme os </w:t>
      </w:r>
      <w:r>
        <w:rPr>
          <w:rFonts w:ascii="Arial" w:hAnsi="Arial" w:cs="Arial"/>
        </w:rPr>
        <w:t xml:space="preserve"> §§ 1º e 2º do art. 67 da Lei federal n.º 14.1333/2021, abaixo reproduzidos, asseveram que a exigência de atestados será restrita às parcelas de maior relevância ou valor significativo com valor igua ou superior a 4% do valor total da contratação:</w:t>
      </w:r>
    </w:p>
    <w:p w14:paraId="5DF1EF3F">
      <w:pPr>
        <w:pStyle w:val="15"/>
        <w:spacing w:before="120" w:beforeLines="50" w:beforeAutospacing="0" w:after="120" w:afterLines="50" w:afterAutospacing="0" w:line="360" w:lineRule="auto"/>
        <w:ind w:left="3520" w:leftChars="1600" w:right="176" w:rightChars="80"/>
        <w:contextualSpacing/>
        <w:jc w:val="both"/>
        <w:rPr>
          <w:rFonts w:ascii="Arial" w:hAnsi="Arial" w:cs="Arial"/>
          <w:color w:val="000000"/>
          <w:sz w:val="20"/>
          <w:szCs w:val="20"/>
          <w:lang w:val="pt-BR"/>
        </w:rPr>
      </w:pPr>
      <w:bookmarkStart w:id="9" w:name="art67§1"/>
      <w:r>
        <w:rPr>
          <w:rFonts w:ascii="Arial" w:hAnsi="Arial" w:cs="Arial"/>
          <w:color w:val="000000"/>
          <w:sz w:val="20"/>
          <w:szCs w:val="20"/>
          <w:lang w:val="pt-BR"/>
        </w:rPr>
        <w:t>§ 1º A exigência de atestados será restrita às parcelas de maior relevância ou valor significativo do objeto da licitação, assim consideradas as que tenham valor individual igual ou superior a 4% (quatro por cento) do valor total estimado da contratação.</w:t>
      </w:r>
      <w:bookmarkStart w:id="10" w:name="art67§2"/>
    </w:p>
    <w:p w14:paraId="25741FFA">
      <w:pPr>
        <w:pStyle w:val="15"/>
        <w:spacing w:before="120" w:beforeLines="50" w:beforeAutospacing="0" w:after="120" w:afterLines="50" w:afterAutospacing="0" w:line="360" w:lineRule="auto"/>
        <w:ind w:left="3520" w:leftChars="1600" w:right="176" w:rightChars="80"/>
        <w:contextualSpacing/>
        <w:jc w:val="both"/>
        <w:rPr>
          <w:sz w:val="20"/>
          <w:szCs w:val="20"/>
          <w:lang w:val="pt-BR"/>
        </w:rPr>
      </w:pPr>
      <w:r>
        <w:rPr>
          <w:rFonts w:ascii="Arial" w:hAnsi="Arial" w:cs="Arial"/>
          <w:color w:val="000000"/>
          <w:sz w:val="20"/>
          <w:szCs w:val="20"/>
          <w:lang w:val="pt-BR"/>
        </w:rPr>
        <w:t xml:space="preserve">§ 2º Observado o disposto no </w:t>
      </w:r>
      <w:r>
        <w:rPr>
          <w:rFonts w:ascii="Arial" w:hAnsi="Arial" w:cs="Arial"/>
          <w:b/>
          <w:bCs/>
          <w:color w:val="000000"/>
          <w:sz w:val="20"/>
          <w:szCs w:val="20"/>
          <w:lang w:val="pt-BR"/>
        </w:rPr>
        <w:t>caput</w:t>
      </w:r>
      <w:r>
        <w:rPr>
          <w:rFonts w:ascii="Arial" w:hAnsi="Arial" w:cs="Arial"/>
          <w:color w:val="000000"/>
          <w:sz w:val="20"/>
          <w:szCs w:val="20"/>
          <w:lang w:val="pt-BR"/>
        </w:rPr>
        <w:t xml:space="preserve"> e no § 1º deste artigo, será admitida a exigência de atestados com quantidades mínimas de até 50% (cinquenta por cento) das parcelas de que trata o referido parágrafo, vedadas limitações de tempo e de locais específicos relativas aos atestados.</w:t>
      </w:r>
      <w:bookmarkEnd w:id="10"/>
    </w:p>
    <w:bookmarkEnd w:id="9"/>
    <w:p w14:paraId="72FB765C">
      <w:pPr>
        <w:numPr>
          <w:ilvl w:val="3"/>
          <w:numId w:val="3"/>
        </w:numPr>
        <w:spacing w:before="120" w:after="120" w:line="360" w:lineRule="auto"/>
        <w:ind w:left="440" w:leftChars="200" w:right="176"/>
        <w:jc w:val="both"/>
        <w:rPr>
          <w:rFonts w:ascii="Arial" w:hAnsi="Arial"/>
          <w:color w:val="000000"/>
        </w:rPr>
      </w:pPr>
      <w:r>
        <w:rPr>
          <w:rFonts w:ascii="Arial" w:hAnsi="Arial" w:cs="Arial"/>
        </w:rPr>
        <w:t>Conforme acima reproduzidos, asseveram que a exigência de atestados será restrita aos itens abaixo relacionados, representando às parcelas de maior valor significativo:</w:t>
      </w:r>
    </w:p>
    <w:tbl>
      <w:tblPr>
        <w:tblStyle w:val="20"/>
        <w:tblW w:w="0" w:type="auto"/>
        <w:tblInd w:w="48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08"/>
        <w:gridCol w:w="4672"/>
        <w:gridCol w:w="1948"/>
        <w:gridCol w:w="1942"/>
      </w:tblGrid>
      <w:tr w14:paraId="45ADE4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tcPr>
          <w:p w14:paraId="33F89EA2">
            <w:pPr>
              <w:tabs>
                <w:tab w:val="left" w:pos="660"/>
                <w:tab w:val="left" w:pos="880"/>
              </w:tabs>
              <w:spacing w:after="120" w:line="240" w:lineRule="auto"/>
              <w:ind w:right="176"/>
              <w:jc w:val="center"/>
              <w:rPr>
                <w:rFonts w:ascii="Arial" w:hAnsi="Arial"/>
                <w:color w:val="000000"/>
              </w:rPr>
            </w:pPr>
            <w:r>
              <w:rPr>
                <w:rFonts w:ascii="Arial" w:hAnsi="Arial"/>
                <w:color w:val="000000"/>
              </w:rPr>
              <w:t>item</w:t>
            </w:r>
          </w:p>
        </w:tc>
        <w:tc>
          <w:tcPr>
            <w:tcW w:w="4782" w:type="dxa"/>
          </w:tcPr>
          <w:p w14:paraId="63EA8664">
            <w:pPr>
              <w:spacing w:after="120" w:line="240" w:lineRule="auto"/>
              <w:ind w:right="176"/>
              <w:jc w:val="center"/>
              <w:rPr>
                <w:rFonts w:ascii="Arial" w:hAnsi="Arial"/>
                <w:color w:val="000000"/>
              </w:rPr>
            </w:pPr>
            <w:r>
              <w:rPr>
                <w:rFonts w:ascii="Arial" w:hAnsi="Arial"/>
                <w:color w:val="000000"/>
              </w:rPr>
              <w:t xml:space="preserve">Itens Com Maior </w:t>
            </w:r>
            <w:r>
              <w:rPr>
                <w:rFonts w:ascii="Arial" w:hAnsi="Arial" w:cs="Arial"/>
              </w:rPr>
              <w:t>Valor Significativo</w:t>
            </w:r>
          </w:p>
        </w:tc>
        <w:tc>
          <w:tcPr>
            <w:tcW w:w="1968" w:type="dxa"/>
          </w:tcPr>
          <w:p w14:paraId="3732867E">
            <w:pPr>
              <w:spacing w:after="120" w:line="240" w:lineRule="auto"/>
              <w:ind w:right="176"/>
              <w:jc w:val="center"/>
              <w:rPr>
                <w:rFonts w:ascii="Arial" w:hAnsi="Arial"/>
                <w:color w:val="000000"/>
              </w:rPr>
            </w:pPr>
            <w:r>
              <w:rPr>
                <w:rFonts w:ascii="Arial" w:hAnsi="Arial"/>
                <w:color w:val="000000"/>
              </w:rPr>
              <w:t>Quantidade Total</w:t>
            </w:r>
          </w:p>
        </w:tc>
        <w:tc>
          <w:tcPr>
            <w:tcW w:w="1968" w:type="dxa"/>
          </w:tcPr>
          <w:p w14:paraId="285E5349">
            <w:pPr>
              <w:spacing w:after="120" w:line="240" w:lineRule="auto"/>
              <w:ind w:right="176"/>
              <w:jc w:val="center"/>
              <w:rPr>
                <w:rFonts w:ascii="Arial" w:hAnsi="Arial"/>
                <w:color w:val="000000"/>
              </w:rPr>
            </w:pPr>
            <w:r>
              <w:rPr>
                <w:rFonts w:ascii="Arial" w:hAnsi="Arial"/>
                <w:color w:val="000000"/>
              </w:rPr>
              <w:t>50 % da Quat. Total</w:t>
            </w:r>
          </w:p>
        </w:tc>
      </w:tr>
      <w:tr w14:paraId="07471A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tcPr>
          <w:p w14:paraId="3B1A1EBA">
            <w:pPr>
              <w:tabs>
                <w:tab w:val="left" w:pos="880"/>
              </w:tabs>
              <w:spacing w:after="120" w:line="240" w:lineRule="auto"/>
              <w:ind w:right="176"/>
              <w:jc w:val="center"/>
              <w:rPr>
                <w:rFonts w:ascii="Arial" w:hAnsi="Arial"/>
                <w:color w:val="000000"/>
              </w:rPr>
            </w:pPr>
            <w:r>
              <w:rPr>
                <w:rFonts w:ascii="Arial" w:hAnsi="Arial"/>
                <w:color w:val="000000"/>
              </w:rPr>
              <w:t>03</w:t>
            </w:r>
          </w:p>
        </w:tc>
        <w:tc>
          <w:tcPr>
            <w:tcW w:w="4782" w:type="dxa"/>
          </w:tcPr>
          <w:p w14:paraId="7419973D">
            <w:pPr>
              <w:spacing w:after="120" w:line="260" w:lineRule="auto"/>
              <w:jc w:val="both"/>
              <w:textAlignment w:val="top"/>
              <w:rPr>
                <w:rFonts w:ascii="Arial" w:hAnsi="Arial"/>
                <w:color w:val="000000"/>
              </w:rPr>
            </w:pPr>
            <w:r>
              <w:rPr>
                <w:rFonts w:ascii="Arial" w:hAnsi="Arial" w:eastAsia="SimSun" w:cs="Arial"/>
                <w:color w:val="000000"/>
                <w:lang w:eastAsia="zh-CN" w:bidi="ar"/>
              </w:rPr>
              <w:t>FORNECIMENTO DE REFEIÇÃO DO CARDÁPIO CRECHE II A CRECHE IV - DESJEJUM/LANCHE</w:t>
            </w:r>
          </w:p>
        </w:tc>
        <w:tc>
          <w:tcPr>
            <w:tcW w:w="1968" w:type="dxa"/>
          </w:tcPr>
          <w:p w14:paraId="14CBFEEA">
            <w:pPr>
              <w:jc w:val="center"/>
              <w:textAlignment w:val="top"/>
              <w:rPr>
                <w:rFonts w:ascii="Arial" w:hAnsi="Arial" w:cs="Arial"/>
              </w:rPr>
            </w:pPr>
            <w:r>
              <w:rPr>
                <w:rFonts w:ascii="Arial" w:hAnsi="Arial" w:eastAsia="SimSun" w:cs="Arial"/>
                <w:color w:val="000000"/>
                <w:lang w:eastAsia="zh-CN" w:bidi="ar"/>
              </w:rPr>
              <w:t>697000</w:t>
            </w:r>
          </w:p>
        </w:tc>
        <w:tc>
          <w:tcPr>
            <w:tcW w:w="1968" w:type="dxa"/>
          </w:tcPr>
          <w:p w14:paraId="70FF254E">
            <w:pPr>
              <w:spacing w:after="120" w:line="240" w:lineRule="auto"/>
              <w:ind w:right="176"/>
              <w:jc w:val="center"/>
              <w:rPr>
                <w:rFonts w:ascii="Arial" w:hAnsi="Arial"/>
                <w:color w:val="000000"/>
              </w:rPr>
            </w:pPr>
            <w:r>
              <w:rPr>
                <w:rFonts w:ascii="Arial" w:hAnsi="Arial"/>
                <w:color w:val="000000"/>
              </w:rPr>
              <w:t>348.500</w:t>
            </w:r>
          </w:p>
        </w:tc>
      </w:tr>
      <w:tr w14:paraId="4EB085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tcPr>
          <w:p w14:paraId="4DCD6917">
            <w:pPr>
              <w:tabs>
                <w:tab w:val="left" w:pos="880"/>
              </w:tabs>
              <w:spacing w:after="120" w:line="240" w:lineRule="auto"/>
              <w:ind w:right="176"/>
              <w:jc w:val="center"/>
              <w:rPr>
                <w:rFonts w:ascii="Arial" w:hAnsi="Arial"/>
                <w:color w:val="000000"/>
              </w:rPr>
            </w:pPr>
            <w:r>
              <w:rPr>
                <w:rFonts w:ascii="Arial" w:hAnsi="Arial"/>
                <w:color w:val="000000"/>
              </w:rPr>
              <w:t>04</w:t>
            </w:r>
          </w:p>
        </w:tc>
        <w:tc>
          <w:tcPr>
            <w:tcW w:w="4782" w:type="dxa"/>
          </w:tcPr>
          <w:p w14:paraId="5C45789C">
            <w:pPr>
              <w:spacing w:after="120" w:line="260" w:lineRule="auto"/>
              <w:jc w:val="both"/>
              <w:textAlignment w:val="top"/>
              <w:rPr>
                <w:rFonts w:ascii="Arial" w:hAnsi="Arial"/>
                <w:color w:val="000000"/>
              </w:rPr>
            </w:pPr>
            <w:r>
              <w:rPr>
                <w:rFonts w:ascii="Arial" w:hAnsi="Arial" w:eastAsia="SimSun" w:cs="Arial"/>
                <w:color w:val="000000"/>
                <w:lang w:eastAsia="zh-CN" w:bidi="ar"/>
              </w:rPr>
              <w:t>FORNECIMENTO DE REFEIÇÃO CARDÁPIO CRECHE II A CRECHE IV - MERENDA</w:t>
            </w:r>
          </w:p>
        </w:tc>
        <w:tc>
          <w:tcPr>
            <w:tcW w:w="1968" w:type="dxa"/>
          </w:tcPr>
          <w:p w14:paraId="7030F008">
            <w:pPr>
              <w:jc w:val="center"/>
              <w:textAlignment w:val="top"/>
              <w:rPr>
                <w:rFonts w:ascii="Arial" w:hAnsi="Arial" w:cs="Arial"/>
              </w:rPr>
            </w:pPr>
            <w:r>
              <w:rPr>
                <w:rFonts w:ascii="Arial" w:hAnsi="Arial" w:eastAsia="SimSun" w:cs="Arial"/>
                <w:color w:val="000000"/>
                <w:lang w:eastAsia="zh-CN" w:bidi="ar"/>
              </w:rPr>
              <w:t>697000</w:t>
            </w:r>
          </w:p>
        </w:tc>
        <w:tc>
          <w:tcPr>
            <w:tcW w:w="1968" w:type="dxa"/>
          </w:tcPr>
          <w:p w14:paraId="20754A4F">
            <w:pPr>
              <w:spacing w:after="120" w:line="240" w:lineRule="auto"/>
              <w:ind w:right="176"/>
              <w:jc w:val="center"/>
              <w:rPr>
                <w:rFonts w:ascii="Arial" w:hAnsi="Arial"/>
                <w:color w:val="000000"/>
              </w:rPr>
            </w:pPr>
            <w:r>
              <w:rPr>
                <w:rFonts w:ascii="Arial" w:hAnsi="Arial"/>
                <w:color w:val="000000"/>
              </w:rPr>
              <w:t>348.500</w:t>
            </w:r>
          </w:p>
        </w:tc>
      </w:tr>
      <w:tr w14:paraId="61880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tcPr>
          <w:p w14:paraId="6504200C">
            <w:pPr>
              <w:tabs>
                <w:tab w:val="left" w:pos="880"/>
              </w:tabs>
              <w:spacing w:after="120" w:line="240" w:lineRule="auto"/>
              <w:ind w:right="176"/>
              <w:jc w:val="center"/>
              <w:rPr>
                <w:rFonts w:ascii="Arial" w:hAnsi="Arial"/>
                <w:color w:val="000000"/>
              </w:rPr>
            </w:pPr>
            <w:r>
              <w:rPr>
                <w:rFonts w:ascii="Arial" w:hAnsi="Arial"/>
                <w:color w:val="000000"/>
              </w:rPr>
              <w:t>05</w:t>
            </w:r>
          </w:p>
        </w:tc>
        <w:tc>
          <w:tcPr>
            <w:tcW w:w="4782" w:type="dxa"/>
          </w:tcPr>
          <w:p w14:paraId="6A4E5807">
            <w:pPr>
              <w:spacing w:after="120" w:line="260" w:lineRule="auto"/>
              <w:jc w:val="both"/>
              <w:textAlignment w:val="top"/>
              <w:rPr>
                <w:rFonts w:ascii="Arial" w:hAnsi="Arial"/>
                <w:color w:val="000000"/>
              </w:rPr>
            </w:pPr>
            <w:r>
              <w:rPr>
                <w:rFonts w:ascii="Arial" w:hAnsi="Arial" w:eastAsia="SimSun" w:cs="Arial"/>
                <w:color w:val="000000"/>
                <w:lang w:eastAsia="zh-CN" w:bidi="ar"/>
              </w:rPr>
              <w:t>FORNECIMENTO DE REFEIÇÃO DO CARDÁPIO PRÉ FASE I E PRÉ FASE II - DESJEJUM/LANCHE</w:t>
            </w:r>
          </w:p>
        </w:tc>
        <w:tc>
          <w:tcPr>
            <w:tcW w:w="1968" w:type="dxa"/>
          </w:tcPr>
          <w:p w14:paraId="5A94056B">
            <w:pPr>
              <w:jc w:val="center"/>
              <w:textAlignment w:val="top"/>
              <w:rPr>
                <w:rFonts w:ascii="Arial" w:hAnsi="Arial" w:cs="Arial"/>
              </w:rPr>
            </w:pPr>
            <w:r>
              <w:rPr>
                <w:rFonts w:ascii="Arial" w:hAnsi="Arial" w:eastAsia="SimSun" w:cs="Arial"/>
                <w:color w:val="000000"/>
                <w:lang w:eastAsia="zh-CN" w:bidi="ar"/>
              </w:rPr>
              <w:t>1112400</w:t>
            </w:r>
          </w:p>
        </w:tc>
        <w:tc>
          <w:tcPr>
            <w:tcW w:w="1968" w:type="dxa"/>
          </w:tcPr>
          <w:p w14:paraId="7BA0C3E4">
            <w:pPr>
              <w:spacing w:after="120" w:line="240" w:lineRule="auto"/>
              <w:ind w:right="176"/>
              <w:jc w:val="center"/>
              <w:rPr>
                <w:rFonts w:ascii="Arial" w:hAnsi="Arial"/>
                <w:color w:val="000000"/>
              </w:rPr>
            </w:pPr>
            <w:r>
              <w:rPr>
                <w:rFonts w:ascii="Arial" w:hAnsi="Arial"/>
                <w:color w:val="000000"/>
              </w:rPr>
              <w:t>556,200</w:t>
            </w:r>
          </w:p>
        </w:tc>
      </w:tr>
      <w:tr w14:paraId="1CDA45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tcPr>
          <w:p w14:paraId="39E25D4E">
            <w:pPr>
              <w:tabs>
                <w:tab w:val="left" w:pos="880"/>
              </w:tabs>
              <w:spacing w:after="120" w:line="240" w:lineRule="auto"/>
              <w:ind w:right="176"/>
              <w:jc w:val="center"/>
              <w:rPr>
                <w:rFonts w:ascii="Arial" w:hAnsi="Arial"/>
                <w:color w:val="000000"/>
              </w:rPr>
            </w:pPr>
            <w:r>
              <w:rPr>
                <w:rFonts w:ascii="Arial" w:hAnsi="Arial"/>
                <w:color w:val="000000"/>
              </w:rPr>
              <w:t>07</w:t>
            </w:r>
          </w:p>
        </w:tc>
        <w:tc>
          <w:tcPr>
            <w:tcW w:w="4782" w:type="dxa"/>
          </w:tcPr>
          <w:p w14:paraId="3C2259B2">
            <w:pPr>
              <w:spacing w:after="120" w:line="260" w:lineRule="auto"/>
              <w:jc w:val="both"/>
              <w:textAlignment w:val="top"/>
              <w:rPr>
                <w:rFonts w:ascii="Arial" w:hAnsi="Arial"/>
                <w:color w:val="000000"/>
              </w:rPr>
            </w:pPr>
            <w:r>
              <w:rPr>
                <w:rFonts w:ascii="Arial" w:hAnsi="Arial" w:eastAsia="SimSun" w:cs="Arial"/>
                <w:color w:val="000000"/>
                <w:lang w:eastAsia="zh-CN" w:bidi="ar"/>
              </w:rPr>
              <w:t>FORNECIMENTO DE REFEIÇÃO DO CARDÁPIO PRÉ FASE I E PRÉ FASE II - MERENDA</w:t>
            </w:r>
          </w:p>
        </w:tc>
        <w:tc>
          <w:tcPr>
            <w:tcW w:w="1968" w:type="dxa"/>
          </w:tcPr>
          <w:p w14:paraId="0CD7CBC6">
            <w:pPr>
              <w:jc w:val="center"/>
              <w:textAlignment w:val="top"/>
              <w:rPr>
                <w:rFonts w:ascii="Arial" w:hAnsi="Arial" w:cs="Arial"/>
              </w:rPr>
            </w:pPr>
            <w:r>
              <w:rPr>
                <w:rFonts w:ascii="Arial" w:hAnsi="Arial" w:eastAsia="SimSun" w:cs="Arial"/>
                <w:color w:val="000000"/>
                <w:lang w:eastAsia="zh-CN" w:bidi="ar"/>
              </w:rPr>
              <w:t>1112400</w:t>
            </w:r>
          </w:p>
        </w:tc>
        <w:tc>
          <w:tcPr>
            <w:tcW w:w="1968" w:type="dxa"/>
          </w:tcPr>
          <w:p w14:paraId="4DB110B1">
            <w:pPr>
              <w:spacing w:after="120" w:line="240" w:lineRule="auto"/>
              <w:ind w:right="176"/>
              <w:jc w:val="center"/>
              <w:rPr>
                <w:rFonts w:ascii="Arial" w:hAnsi="Arial"/>
                <w:color w:val="000000"/>
              </w:rPr>
            </w:pPr>
            <w:r>
              <w:rPr>
                <w:rFonts w:ascii="Arial" w:hAnsi="Arial"/>
                <w:color w:val="000000"/>
              </w:rPr>
              <w:t>556,200</w:t>
            </w:r>
          </w:p>
        </w:tc>
      </w:tr>
      <w:tr w14:paraId="494C8E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tcPr>
          <w:p w14:paraId="7C9A8289">
            <w:pPr>
              <w:tabs>
                <w:tab w:val="left" w:pos="880"/>
              </w:tabs>
              <w:spacing w:after="120" w:line="240" w:lineRule="auto"/>
              <w:ind w:right="176"/>
              <w:jc w:val="center"/>
              <w:rPr>
                <w:rFonts w:ascii="Arial" w:hAnsi="Arial"/>
                <w:color w:val="000000"/>
              </w:rPr>
            </w:pPr>
            <w:r>
              <w:rPr>
                <w:rFonts w:ascii="Arial" w:hAnsi="Arial"/>
                <w:color w:val="000000"/>
              </w:rPr>
              <w:t>07</w:t>
            </w:r>
          </w:p>
        </w:tc>
        <w:tc>
          <w:tcPr>
            <w:tcW w:w="4782" w:type="dxa"/>
          </w:tcPr>
          <w:p w14:paraId="4E8EBE86">
            <w:pPr>
              <w:spacing w:after="120" w:line="260" w:lineRule="auto"/>
              <w:jc w:val="both"/>
              <w:textAlignment w:val="top"/>
              <w:rPr>
                <w:rFonts w:ascii="Arial" w:hAnsi="Arial"/>
                <w:color w:val="000000"/>
              </w:rPr>
            </w:pPr>
            <w:r>
              <w:rPr>
                <w:rFonts w:ascii="Arial" w:hAnsi="Arial" w:eastAsia="SimSun" w:cs="Arial"/>
                <w:color w:val="000000"/>
                <w:lang w:eastAsia="zh-CN" w:bidi="ar"/>
              </w:rPr>
              <w:t>FORNECIMENTO DE REFEIÇÃO DO CARDÁPIO DO ENSINO FUNDAMENTAL REGULAR - DESJEJUM/LANCHE</w:t>
            </w:r>
          </w:p>
        </w:tc>
        <w:tc>
          <w:tcPr>
            <w:tcW w:w="1968" w:type="dxa"/>
          </w:tcPr>
          <w:p w14:paraId="55300527">
            <w:pPr>
              <w:jc w:val="center"/>
              <w:textAlignment w:val="top"/>
              <w:rPr>
                <w:rFonts w:ascii="Arial" w:hAnsi="Arial" w:cs="Arial"/>
              </w:rPr>
            </w:pPr>
            <w:r>
              <w:rPr>
                <w:rFonts w:ascii="Arial" w:hAnsi="Arial" w:eastAsia="SimSun" w:cs="Arial"/>
                <w:color w:val="000000"/>
                <w:lang w:eastAsia="zh-CN" w:bidi="ar"/>
              </w:rPr>
              <w:t>3188800</w:t>
            </w:r>
          </w:p>
        </w:tc>
        <w:tc>
          <w:tcPr>
            <w:tcW w:w="1968" w:type="dxa"/>
          </w:tcPr>
          <w:p w14:paraId="2E428748">
            <w:pPr>
              <w:spacing w:after="120" w:line="240" w:lineRule="auto"/>
              <w:ind w:right="176"/>
              <w:jc w:val="center"/>
              <w:rPr>
                <w:rFonts w:ascii="Arial" w:hAnsi="Arial"/>
                <w:color w:val="000000"/>
              </w:rPr>
            </w:pPr>
            <w:r>
              <w:rPr>
                <w:rFonts w:ascii="Arial" w:hAnsi="Arial"/>
                <w:color w:val="000000"/>
              </w:rPr>
              <w:t>1.594.400</w:t>
            </w:r>
          </w:p>
        </w:tc>
      </w:tr>
      <w:tr w14:paraId="4A6C5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50" w:type="dxa"/>
          </w:tcPr>
          <w:p w14:paraId="18F17737">
            <w:pPr>
              <w:tabs>
                <w:tab w:val="left" w:pos="880"/>
              </w:tabs>
              <w:spacing w:after="120" w:line="240" w:lineRule="auto"/>
              <w:ind w:right="176"/>
              <w:jc w:val="center"/>
              <w:rPr>
                <w:rFonts w:ascii="Arial" w:hAnsi="Arial"/>
                <w:color w:val="000000"/>
              </w:rPr>
            </w:pPr>
            <w:r>
              <w:rPr>
                <w:rFonts w:ascii="Arial" w:hAnsi="Arial"/>
                <w:color w:val="000000"/>
              </w:rPr>
              <w:t>08</w:t>
            </w:r>
          </w:p>
        </w:tc>
        <w:tc>
          <w:tcPr>
            <w:tcW w:w="4782" w:type="dxa"/>
          </w:tcPr>
          <w:p w14:paraId="02773633">
            <w:pPr>
              <w:spacing w:after="120" w:line="260" w:lineRule="auto"/>
              <w:jc w:val="both"/>
              <w:textAlignment w:val="top"/>
              <w:rPr>
                <w:rFonts w:ascii="Arial" w:hAnsi="Arial"/>
                <w:color w:val="000000"/>
              </w:rPr>
            </w:pPr>
            <w:r>
              <w:rPr>
                <w:rFonts w:ascii="Arial" w:hAnsi="Arial" w:eastAsia="SimSun" w:cs="Arial"/>
                <w:color w:val="000000"/>
                <w:lang w:eastAsia="zh-CN" w:bidi="ar"/>
              </w:rPr>
              <w:t>FORNECIMENTO DE REFEIÇÃO DO CARDÁPIO DO ENSINO FUNDAMENTAL  REGULAR - MERENDA</w:t>
            </w:r>
          </w:p>
        </w:tc>
        <w:tc>
          <w:tcPr>
            <w:tcW w:w="1968" w:type="dxa"/>
          </w:tcPr>
          <w:p w14:paraId="3267055D">
            <w:pPr>
              <w:jc w:val="center"/>
              <w:textAlignment w:val="top"/>
              <w:rPr>
                <w:rFonts w:ascii="Arial" w:hAnsi="Arial" w:cs="Arial"/>
              </w:rPr>
            </w:pPr>
            <w:r>
              <w:rPr>
                <w:rFonts w:ascii="Arial" w:hAnsi="Arial" w:eastAsia="SimSun" w:cs="Arial"/>
                <w:color w:val="000000"/>
                <w:lang w:eastAsia="zh-CN" w:bidi="ar"/>
              </w:rPr>
              <w:t>3188800</w:t>
            </w:r>
          </w:p>
        </w:tc>
        <w:tc>
          <w:tcPr>
            <w:tcW w:w="1968" w:type="dxa"/>
          </w:tcPr>
          <w:p w14:paraId="35459B87">
            <w:pPr>
              <w:spacing w:after="120" w:line="240" w:lineRule="auto"/>
              <w:ind w:right="176"/>
              <w:jc w:val="center"/>
              <w:rPr>
                <w:rFonts w:ascii="Arial" w:hAnsi="Arial"/>
                <w:color w:val="000000"/>
              </w:rPr>
            </w:pPr>
            <w:r>
              <w:rPr>
                <w:rFonts w:ascii="Arial" w:hAnsi="Arial"/>
                <w:color w:val="000000"/>
              </w:rPr>
              <w:t>1.594.400</w:t>
            </w:r>
          </w:p>
        </w:tc>
      </w:tr>
    </w:tbl>
    <w:p w14:paraId="38C2837C">
      <w:pPr>
        <w:numPr>
          <w:ilvl w:val="3"/>
          <w:numId w:val="3"/>
        </w:numPr>
        <w:spacing w:before="120" w:after="120" w:line="360" w:lineRule="auto"/>
        <w:ind w:left="440" w:leftChars="200" w:right="176"/>
        <w:jc w:val="both"/>
        <w:rPr>
          <w:rFonts w:ascii="Arial" w:hAnsi="Arial" w:cs="Arial"/>
          <w:color w:val="000000"/>
          <w:sz w:val="24"/>
          <w:szCs w:val="24"/>
        </w:rPr>
      </w:pPr>
      <w:r>
        <w:rPr>
          <w:rFonts w:ascii="Arial" w:hAnsi="Arial" w:cs="Arial"/>
          <w:color w:val="000000"/>
          <w:sz w:val="24"/>
          <w:szCs w:val="24"/>
        </w:rPr>
        <w:t>Serão aceitos somatórios de atestados de períodos concomitantes para comprovação de quantitativos mínimos exigidos;</w:t>
      </w:r>
    </w:p>
    <w:p w14:paraId="193AFF98">
      <w:pPr>
        <w:numPr>
          <w:ilvl w:val="3"/>
          <w:numId w:val="3"/>
        </w:numPr>
        <w:spacing w:before="120" w:after="120" w:line="360" w:lineRule="auto"/>
        <w:ind w:left="440" w:leftChars="200" w:right="176"/>
        <w:jc w:val="both"/>
        <w:rPr>
          <w:rFonts w:ascii="Arial" w:hAnsi="Arial" w:cs="Arial"/>
          <w:color w:val="000000"/>
          <w:sz w:val="24"/>
          <w:szCs w:val="24"/>
        </w:rPr>
      </w:pPr>
      <w:r>
        <w:rPr>
          <w:rFonts w:ascii="Arial" w:hAnsi="Arial" w:cs="Arial"/>
          <w:color w:val="000000"/>
          <w:sz w:val="24"/>
          <w:szCs w:val="24"/>
        </w:rPr>
        <w:t>Serão aceitos somatórios de atestados de períodos concomitantes para comprovação de quantitativos mínimos exigidos;</w:t>
      </w:r>
    </w:p>
    <w:p w14:paraId="076C3201">
      <w:pPr>
        <w:numPr>
          <w:ilvl w:val="3"/>
          <w:numId w:val="3"/>
        </w:numPr>
        <w:spacing w:before="120" w:after="120" w:line="360" w:lineRule="auto"/>
        <w:ind w:left="440" w:leftChars="200" w:right="176"/>
        <w:jc w:val="both"/>
        <w:rPr>
          <w:rFonts w:ascii="Arial" w:hAnsi="Arial" w:cs="Arial"/>
          <w:color w:val="000000"/>
          <w:sz w:val="24"/>
          <w:szCs w:val="24"/>
        </w:rPr>
      </w:pPr>
      <w:r>
        <w:rPr>
          <w:rFonts w:ascii="Arial" w:hAnsi="Arial" w:cs="Arial"/>
          <w:color w:val="000000"/>
          <w:sz w:val="24"/>
          <w:szCs w:val="24"/>
        </w:rPr>
        <w:t>Somente serão aceitos atestados de capacidade técnica expedidos após a conclusão do respectivo contrato ou decorrido, no mínimo, 1 (um) ano do início de sua execução, exceto se houver sido firmado para ser executado em prazo inferior.</w:t>
      </w:r>
    </w:p>
    <w:p w14:paraId="5CC7044A">
      <w:pPr>
        <w:numPr>
          <w:ilvl w:val="3"/>
          <w:numId w:val="3"/>
        </w:numPr>
        <w:spacing w:before="120" w:after="120" w:line="360" w:lineRule="auto"/>
        <w:ind w:left="440" w:leftChars="200" w:right="176"/>
        <w:jc w:val="both"/>
        <w:rPr>
          <w:rFonts w:ascii="Arial" w:hAnsi="Arial" w:cs="Arial"/>
          <w:color w:val="000000"/>
          <w:sz w:val="24"/>
          <w:szCs w:val="24"/>
        </w:rPr>
      </w:pPr>
      <w:r>
        <w:rPr>
          <w:rFonts w:ascii="Arial" w:hAnsi="Arial" w:cs="Arial"/>
          <w:color w:val="000000"/>
          <w:sz w:val="24"/>
          <w:szCs w:val="24"/>
        </w:rPr>
        <w:t>Na descrição deverão conter informações que permitam o entendimento dos trabalhos realizados, bem como aferir a semelhança ou afinidade com o objeto licitado, devendo o(s) atestado(s) conter:</w:t>
      </w:r>
    </w:p>
    <w:p w14:paraId="59FC6000">
      <w:pPr>
        <w:numPr>
          <w:ilvl w:val="0"/>
          <w:numId w:val="46"/>
        </w:numPr>
        <w:tabs>
          <w:tab w:val="left" w:pos="1320"/>
          <w:tab w:val="clear" w:pos="425"/>
        </w:tabs>
        <w:spacing w:line="360" w:lineRule="auto"/>
        <w:ind w:left="880" w:leftChars="400" w:right="176" w:rightChars="80" w:firstLine="12" w:firstLineChars="5"/>
        <w:contextualSpacing/>
        <w:jc w:val="both"/>
        <w:rPr>
          <w:rFonts w:ascii="Arial" w:hAnsi="Arial" w:cs="Arial"/>
          <w:color w:val="000000"/>
          <w:sz w:val="24"/>
          <w:szCs w:val="24"/>
        </w:rPr>
      </w:pPr>
      <w:r>
        <w:rPr>
          <w:rFonts w:ascii="Arial" w:hAnsi="Arial" w:cs="Arial"/>
          <w:color w:val="000000"/>
          <w:sz w:val="24"/>
          <w:szCs w:val="24"/>
        </w:rPr>
        <w:t>CNPJ da licitante e endereço atualizado da empresa;</w:t>
      </w:r>
    </w:p>
    <w:p w14:paraId="41FBC707">
      <w:pPr>
        <w:numPr>
          <w:ilvl w:val="0"/>
          <w:numId w:val="46"/>
        </w:numPr>
        <w:tabs>
          <w:tab w:val="left" w:pos="1320"/>
        </w:tabs>
        <w:spacing w:line="360" w:lineRule="auto"/>
        <w:ind w:left="880" w:leftChars="400" w:right="176" w:rightChars="80" w:firstLine="12" w:firstLineChars="5"/>
        <w:contextualSpacing/>
        <w:jc w:val="both"/>
        <w:rPr>
          <w:rFonts w:ascii="Arial" w:hAnsi="Arial" w:cs="Arial"/>
          <w:color w:val="000000"/>
          <w:sz w:val="24"/>
          <w:szCs w:val="24"/>
        </w:rPr>
      </w:pPr>
      <w:r>
        <w:rPr>
          <w:rFonts w:ascii="Arial" w:hAnsi="Arial" w:cs="Arial"/>
          <w:color w:val="000000"/>
          <w:sz w:val="24"/>
          <w:szCs w:val="24"/>
        </w:rPr>
        <w:t>Relatório dos bens fornecidos e/ou serviços realizados;</w:t>
      </w:r>
    </w:p>
    <w:p w14:paraId="730F2803">
      <w:pPr>
        <w:numPr>
          <w:ilvl w:val="0"/>
          <w:numId w:val="46"/>
        </w:numPr>
        <w:tabs>
          <w:tab w:val="left" w:pos="1320"/>
        </w:tabs>
        <w:spacing w:line="360" w:lineRule="auto"/>
        <w:ind w:left="880" w:leftChars="400" w:right="176" w:rightChars="80" w:firstLine="12" w:firstLineChars="5"/>
        <w:contextualSpacing/>
        <w:jc w:val="both"/>
        <w:rPr>
          <w:rFonts w:ascii="Arial" w:hAnsi="Arial" w:cs="Arial"/>
          <w:color w:val="000000"/>
          <w:sz w:val="24"/>
          <w:szCs w:val="24"/>
        </w:rPr>
      </w:pPr>
      <w:r>
        <w:rPr>
          <w:rFonts w:ascii="Arial" w:hAnsi="Arial" w:cs="Arial"/>
          <w:color w:val="000000"/>
          <w:sz w:val="24"/>
          <w:szCs w:val="24"/>
        </w:rPr>
        <w:t>Nome completo, telefone e assinatura do responsável pela sua emissão.</w:t>
      </w:r>
    </w:p>
    <w:p w14:paraId="277EFE71">
      <w:pPr>
        <w:numPr>
          <w:ilvl w:val="0"/>
          <w:numId w:val="46"/>
        </w:numPr>
        <w:tabs>
          <w:tab w:val="left" w:pos="1320"/>
          <w:tab w:val="clear" w:pos="425"/>
        </w:tabs>
        <w:spacing w:line="360" w:lineRule="auto"/>
        <w:ind w:left="880" w:leftChars="400" w:right="176" w:rightChars="80" w:firstLine="12" w:firstLineChars="5"/>
        <w:contextualSpacing/>
        <w:jc w:val="both"/>
        <w:rPr>
          <w:rFonts w:ascii="Arial" w:hAnsi="Arial" w:cs="Arial"/>
          <w:color w:val="000000"/>
          <w:sz w:val="24"/>
          <w:szCs w:val="24"/>
        </w:rPr>
      </w:pPr>
      <w:r>
        <w:rPr>
          <w:rFonts w:ascii="Arial" w:hAnsi="Arial" w:cs="Arial"/>
          <w:color w:val="000000"/>
          <w:sz w:val="24"/>
          <w:szCs w:val="24"/>
        </w:rPr>
        <w:t>Em se tratando de atestado fornecido por pessoa jurídica de direito privado, a assinatura do responsável deverá ser feita com reconhecimento de firma.</w:t>
      </w:r>
    </w:p>
    <w:p w14:paraId="4DF3F890">
      <w:pPr>
        <w:numPr>
          <w:ilvl w:val="3"/>
          <w:numId w:val="3"/>
        </w:numPr>
        <w:spacing w:line="360" w:lineRule="auto"/>
        <w:ind w:left="440" w:leftChars="200" w:right="176" w:rightChars="80"/>
        <w:contextualSpacing/>
        <w:jc w:val="both"/>
        <w:rPr>
          <w:rFonts w:ascii="Arial" w:hAnsi="Arial" w:cs="Arial"/>
          <w:sz w:val="24"/>
          <w:szCs w:val="24"/>
        </w:rPr>
      </w:pPr>
      <w:r>
        <w:rPr>
          <w:rFonts w:ascii="Arial" w:hAnsi="Arial" w:cs="Arial"/>
          <w:color w:val="000000"/>
          <w:sz w:val="24"/>
          <w:szCs w:val="24"/>
        </w:rPr>
        <w:t>A Administração poderá diligenciar junto à pessoa jurídica emitente do Atestado de Capacidade Técnica, visando a obter informações sobre o serviço prestado, podendo solicitar cópias dos respectivos contratos e aditivos e/ou outros documentos comprobatórios da execução/fornecimento do serviço.</w:t>
      </w:r>
    </w:p>
    <w:p w14:paraId="2393790B">
      <w:pPr>
        <w:numPr>
          <w:ilvl w:val="3"/>
          <w:numId w:val="3"/>
        </w:numPr>
        <w:spacing w:line="360" w:lineRule="auto"/>
        <w:ind w:left="440" w:leftChars="200" w:right="176" w:rightChars="80"/>
        <w:contextualSpacing/>
        <w:jc w:val="both"/>
        <w:rPr>
          <w:rFonts w:ascii="Arial" w:hAnsi="Arial" w:cs="Arial"/>
          <w:sz w:val="24"/>
          <w:szCs w:val="24"/>
        </w:rPr>
      </w:pPr>
      <w:r>
        <w:rPr>
          <w:rFonts w:ascii="Arial" w:hAnsi="Arial" w:cs="Arial"/>
          <w:color w:val="000000"/>
          <w:sz w:val="24"/>
          <w:szCs w:val="24"/>
        </w:rPr>
        <w:t>Em hipótese alguma será aceito pela Administração Pública atestado emitido pela própria licitante, sob pena de infringir ao princípio da moralidade, pois a licitante não possui a impessoalidade necessária para atestar sua própria capacitação técnica.</w:t>
      </w:r>
    </w:p>
    <w:p w14:paraId="6B974E78">
      <w:pPr>
        <w:numPr>
          <w:ilvl w:val="1"/>
          <w:numId w:val="3"/>
        </w:numPr>
        <w:tabs>
          <w:tab w:val="left" w:pos="567"/>
          <w:tab w:val="left" w:pos="9240"/>
          <w:tab w:val="left" w:pos="9680"/>
        </w:tabs>
        <w:spacing w:before="120" w:beforeLines="50" w:after="120" w:afterLines="50" w:line="360" w:lineRule="auto"/>
        <w:ind w:right="176" w:rightChars="80"/>
        <w:jc w:val="both"/>
        <w:rPr>
          <w:rFonts w:ascii="Arial" w:hAnsi="Arial" w:cs="Arial"/>
        </w:rPr>
      </w:pPr>
      <w:r>
        <w:rPr>
          <w:rFonts w:ascii="Arial" w:hAnsi="Arial" w:cs="Arial"/>
          <w:b/>
          <w:bCs/>
          <w:iCs/>
        </w:rPr>
        <w:t>SUSTENTABILIDADE:</w:t>
      </w:r>
      <w:r>
        <w:rPr>
          <w:rFonts w:ascii="Arial" w:hAnsi="Arial" w:cs="Arial"/>
        </w:rPr>
        <w:t xml:space="preserve"> </w:t>
      </w:r>
    </w:p>
    <w:p w14:paraId="26AA49A1">
      <w:pPr>
        <w:numPr>
          <w:ilvl w:val="2"/>
          <w:numId w:val="3"/>
        </w:numPr>
        <w:tabs>
          <w:tab w:val="left" w:pos="567"/>
          <w:tab w:val="left" w:pos="9240"/>
          <w:tab w:val="left" w:pos="9680"/>
        </w:tabs>
        <w:spacing w:before="120" w:beforeLines="50" w:after="120" w:afterLines="50" w:line="360" w:lineRule="auto"/>
        <w:ind w:right="176" w:rightChars="80"/>
        <w:jc w:val="both"/>
        <w:rPr>
          <w:rFonts w:ascii="Arial" w:hAnsi="Arial" w:cs="Arial"/>
        </w:rPr>
      </w:pPr>
      <w:r>
        <w:rPr>
          <w:rFonts w:ascii="Arial" w:hAnsi="Arial" w:eastAsia="SimSun" w:cs="Arial"/>
          <w:color w:val="000000"/>
          <w:lang w:eastAsia="zh-CN" w:bidi="ar"/>
        </w:rPr>
        <w:t xml:space="preserve">Além dos critérios de sustentabilidade eventualmente inseridos na descrição do objeto, devem ser atendidos os seguintes requisitos: </w:t>
      </w:r>
    </w:p>
    <w:p w14:paraId="6DD77F06">
      <w:pPr>
        <w:numPr>
          <w:ilvl w:val="3"/>
          <w:numId w:val="3"/>
        </w:numPr>
        <w:tabs>
          <w:tab w:val="left" w:pos="567"/>
          <w:tab w:val="left" w:pos="9240"/>
          <w:tab w:val="left" w:pos="9680"/>
        </w:tabs>
        <w:spacing w:before="120" w:beforeLines="50" w:after="120" w:afterLines="50" w:line="360" w:lineRule="auto"/>
        <w:ind w:left="440" w:leftChars="200" w:right="176" w:rightChars="80"/>
        <w:jc w:val="both"/>
        <w:rPr>
          <w:rFonts w:ascii="Arial" w:hAnsi="Arial" w:eastAsia="SimSun" w:cs="Arial"/>
          <w:color w:val="000000"/>
          <w:lang w:eastAsia="zh-CN" w:bidi="ar"/>
        </w:rPr>
      </w:pPr>
      <w:r>
        <w:rPr>
          <w:rFonts w:ascii="Arial" w:hAnsi="Arial" w:eastAsia="SimSun" w:cs="Arial"/>
          <w:color w:val="000000"/>
          <w:lang w:eastAsia="zh-CN" w:bidi="ar"/>
        </w:rPr>
        <w:t xml:space="preserve">A Administração Pública deve conciliar a busca por contratos vantajosos (princípio da eficiência e da eficácia) com o desenvolvimento nacional e sustentável. Sob essa perspectiva, as licitações e os contratos administrativos transitam também em torno de pautas relacionadas à justiça social, fomento de natureza econômica e questões ambientais, apanhadas pelo abrangente amálgama da sustentabilidade”. </w:t>
      </w:r>
    </w:p>
    <w:p w14:paraId="7F310BB4">
      <w:pPr>
        <w:numPr>
          <w:ilvl w:val="3"/>
          <w:numId w:val="3"/>
        </w:numPr>
        <w:tabs>
          <w:tab w:val="left" w:pos="567"/>
          <w:tab w:val="left" w:pos="9240"/>
          <w:tab w:val="left" w:pos="9680"/>
        </w:tabs>
        <w:spacing w:before="120" w:beforeLines="50" w:after="120" w:afterLines="50" w:line="360" w:lineRule="auto"/>
        <w:ind w:left="440" w:leftChars="200" w:right="176" w:rightChars="80"/>
        <w:jc w:val="both"/>
        <w:rPr>
          <w:rFonts w:ascii="Arial" w:hAnsi="Arial" w:cs="Arial"/>
        </w:rPr>
      </w:pPr>
      <w:r>
        <w:rPr>
          <w:rFonts w:ascii="Arial" w:hAnsi="Arial" w:eastAsia="SimSun" w:cs="Arial"/>
          <w:color w:val="000000"/>
          <w:lang w:eastAsia="zh-CN" w:bidi="ar"/>
        </w:rPr>
        <w:t xml:space="preserve">Cumpre ressaltar que este Município ainda não possui normatização para instituir como se dará a promoção do desenvolvimento sustentável. Sendo assim, os critérios utilizados nesta contratação foram embasados na Cartilha de como inserir critérios de Sustentabilidade nas contratações Públicas, elaborada pela Câmara Nacional de Sustentabilidade, da Consultoria Geral da União (disponível através do link, </w:t>
      </w:r>
      <w:r>
        <w:fldChar w:fldCharType="begin"/>
      </w:r>
      <w:r>
        <w:instrText xml:space="preserve"> HYPERLINK "https://www.gov.br/agu/pt-br/composicao/cgu/cgu/modelos/licitacoesecontratos/cartilha-como-inerir-criterios-de-sustentabilidade-nas-contratacoes-publicas.pdf" </w:instrText>
      </w:r>
      <w:r>
        <w:fldChar w:fldCharType="separate"/>
      </w:r>
      <w:r>
        <w:rPr>
          <w:rStyle w:val="11"/>
          <w:rFonts w:ascii="Arial" w:hAnsi="Arial" w:eastAsia="SimSun"/>
          <w:lang w:eastAsia="zh-CN"/>
        </w:rPr>
        <w:t>https://www.gov.br/agu/pt-br/composicao/cgu/cgu/modelos/licitacoesecontratos/cartilha-como-inerir-criterios-de-sustentabilidade-nas-contratacoes-publicas.pdf</w:t>
      </w:r>
      <w:r>
        <w:rPr>
          <w:rStyle w:val="11"/>
          <w:rFonts w:ascii="Arial" w:hAnsi="Arial" w:eastAsia="SimSun"/>
          <w:lang w:eastAsia="zh-CN"/>
        </w:rPr>
        <w:fldChar w:fldCharType="end"/>
      </w:r>
      <w:r>
        <w:rPr>
          <w:rFonts w:ascii="Arial" w:hAnsi="Arial" w:eastAsia="SimSun"/>
          <w:color w:val="000000"/>
          <w:lang w:eastAsia="zh-CN"/>
        </w:rPr>
        <w:t xml:space="preserve"> </w:t>
      </w:r>
      <w:r>
        <w:rPr>
          <w:rFonts w:ascii="Arial" w:hAnsi="Arial" w:eastAsia="SimSun" w:cs="Arial"/>
          <w:color w:val="000000"/>
          <w:lang w:eastAsia="zh-CN" w:bidi="ar"/>
        </w:rPr>
        <w:t xml:space="preserve">e no Guia Nacional de Contratações Sustentáveis, elaborado pela Câmara Nacional de Sustentabilidade, da Consultoria Geral da União (disponível através do link, </w:t>
      </w:r>
      <w:r>
        <w:fldChar w:fldCharType="begin"/>
      </w:r>
      <w:r>
        <w:instrText xml:space="preserve"> HYPERLINK "https://www.gov.br/agu/pt-br/composicao/cgu/cgu/guias/guia-de-contratacoes-sustentaveis-set-2023.pdf" </w:instrText>
      </w:r>
      <w:r>
        <w:fldChar w:fldCharType="separate"/>
      </w:r>
      <w:r>
        <w:rPr>
          <w:rStyle w:val="11"/>
          <w:rFonts w:ascii="Arial" w:hAnsi="Arial" w:eastAsia="SimSun"/>
          <w:lang w:eastAsia="zh-CN"/>
        </w:rPr>
        <w:t>https://www.gov.br/agu/pt-br/composicao/cgu/cgu/guias/guia-de-contratacoes-sustentaveis-set-2023.pdf</w:t>
      </w:r>
      <w:r>
        <w:rPr>
          <w:rStyle w:val="11"/>
          <w:rFonts w:ascii="Arial" w:hAnsi="Arial" w:eastAsia="SimSun"/>
          <w:lang w:eastAsia="zh-CN"/>
        </w:rPr>
        <w:fldChar w:fldCharType="end"/>
      </w:r>
      <w:r>
        <w:rPr>
          <w:rFonts w:ascii="Arial" w:hAnsi="Arial" w:eastAsia="SimSun"/>
          <w:color w:val="000000"/>
          <w:lang w:eastAsia="zh-CN"/>
        </w:rPr>
        <w:t xml:space="preserve"> </w:t>
      </w:r>
      <w:r>
        <w:rPr>
          <w:rFonts w:ascii="Arial" w:hAnsi="Arial" w:eastAsia="SimSun" w:cs="Arial"/>
          <w:color w:val="000000"/>
          <w:lang w:eastAsia="zh-CN" w:bidi="ar"/>
        </w:rPr>
        <w:t xml:space="preserve">: </w:t>
      </w:r>
    </w:p>
    <w:p w14:paraId="179AE26B">
      <w:pPr>
        <w:numPr>
          <w:ilvl w:val="3"/>
          <w:numId w:val="3"/>
        </w:numPr>
        <w:tabs>
          <w:tab w:val="left" w:pos="567"/>
          <w:tab w:val="left" w:pos="9240"/>
          <w:tab w:val="left" w:pos="9680"/>
        </w:tabs>
        <w:spacing w:before="120" w:beforeLines="50" w:after="120" w:afterLines="50" w:line="360" w:lineRule="auto"/>
        <w:ind w:left="440" w:leftChars="200" w:right="176" w:rightChars="80"/>
        <w:jc w:val="both"/>
        <w:rPr>
          <w:rFonts w:ascii="Arial" w:hAnsi="Arial" w:cs="Arial"/>
        </w:rPr>
      </w:pPr>
      <w:r>
        <w:rPr>
          <w:rFonts w:ascii="Arial" w:hAnsi="Arial" w:eastAsia="SimSun" w:cs="Arial"/>
          <w:color w:val="000000"/>
          <w:lang w:eastAsia="zh-CN" w:bidi="ar"/>
        </w:rPr>
        <w:t xml:space="preserve">Contratada observará a Resolução RDC ANVISA 216, de 2004, alterada pela RDC 52/2014, bem como legislação e/ou normas de órgãos de vigilância sanitária estaduais, distrital e municipais e demais instrumentos normativos aplicáveis”. </w:t>
      </w:r>
    </w:p>
    <w:p w14:paraId="2BECD73F">
      <w:pPr>
        <w:numPr>
          <w:ilvl w:val="3"/>
          <w:numId w:val="3"/>
        </w:numPr>
        <w:tabs>
          <w:tab w:val="left" w:pos="567"/>
          <w:tab w:val="left" w:pos="9240"/>
          <w:tab w:val="left" w:pos="9680"/>
        </w:tabs>
        <w:spacing w:before="120" w:beforeLines="50" w:after="120" w:afterLines="50" w:line="360" w:lineRule="auto"/>
        <w:ind w:left="440" w:leftChars="200" w:right="176" w:rightChars="80"/>
        <w:jc w:val="both"/>
        <w:rPr>
          <w:rFonts w:ascii="Arial" w:hAnsi="Arial" w:cs="Arial"/>
        </w:rPr>
      </w:pPr>
      <w:r>
        <w:rPr>
          <w:rFonts w:ascii="Arial" w:hAnsi="Arial" w:eastAsia="SimSun" w:cs="Arial"/>
          <w:color w:val="000000"/>
          <w:lang w:eastAsia="zh-CN" w:bidi="ar"/>
        </w:rPr>
        <w:t>Utilizar produtos de limpeza e conservação de superfícies e objetos inanimados que obedeçam às classificações e especificações determinadas pela ANVISA;</w:t>
      </w:r>
    </w:p>
    <w:p w14:paraId="380A6474">
      <w:pPr>
        <w:numPr>
          <w:ilvl w:val="3"/>
          <w:numId w:val="3"/>
        </w:numPr>
        <w:tabs>
          <w:tab w:val="left" w:pos="567"/>
          <w:tab w:val="left" w:pos="9240"/>
          <w:tab w:val="left" w:pos="9680"/>
        </w:tabs>
        <w:spacing w:before="120" w:beforeLines="50" w:after="120" w:afterLines="50" w:line="360" w:lineRule="auto"/>
        <w:ind w:left="440" w:leftChars="200" w:right="176" w:rightChars="80"/>
        <w:jc w:val="both"/>
        <w:rPr>
          <w:rFonts w:ascii="Arial" w:hAnsi="Arial" w:cs="Arial"/>
        </w:rPr>
      </w:pPr>
      <w:r>
        <w:rPr>
          <w:rFonts w:ascii="Arial" w:hAnsi="Arial" w:eastAsia="SimSun" w:cs="Arial"/>
          <w:color w:val="000000"/>
          <w:lang w:eastAsia="zh-CN" w:bidi="ar"/>
        </w:rPr>
        <w:t xml:space="preserve">Adotar medidas para evitar o desperdício de água tratada; </w:t>
      </w:r>
    </w:p>
    <w:p w14:paraId="01BC8472">
      <w:pPr>
        <w:numPr>
          <w:ilvl w:val="3"/>
          <w:numId w:val="3"/>
        </w:numPr>
        <w:tabs>
          <w:tab w:val="left" w:pos="567"/>
          <w:tab w:val="left" w:pos="9240"/>
          <w:tab w:val="left" w:pos="9680"/>
        </w:tabs>
        <w:spacing w:before="120" w:beforeLines="50" w:after="120" w:afterLines="50" w:line="360" w:lineRule="auto"/>
        <w:ind w:left="440" w:leftChars="200" w:right="176" w:rightChars="80"/>
        <w:jc w:val="both"/>
        <w:rPr>
          <w:rFonts w:ascii="Arial" w:hAnsi="Arial" w:cs="Arial"/>
        </w:rPr>
      </w:pPr>
      <w:r>
        <w:rPr>
          <w:rFonts w:ascii="Arial" w:hAnsi="Arial" w:eastAsia="SimSun" w:cs="Arial"/>
          <w:color w:val="000000"/>
          <w:lang w:eastAsia="zh-CN" w:bidi="ar"/>
        </w:rPr>
        <w:t xml:space="preserve">Fornecer aos empregados os equipamentos de segurança que se fizerem necessários, para a execução do objeto desta licitação; </w:t>
      </w:r>
    </w:p>
    <w:p w14:paraId="3831B5C6">
      <w:pPr>
        <w:numPr>
          <w:ilvl w:val="3"/>
          <w:numId w:val="3"/>
        </w:numPr>
        <w:tabs>
          <w:tab w:val="left" w:pos="567"/>
          <w:tab w:val="left" w:pos="9240"/>
          <w:tab w:val="left" w:pos="9680"/>
        </w:tabs>
        <w:spacing w:before="120" w:beforeLines="50" w:after="120" w:afterLines="50" w:line="360" w:lineRule="auto"/>
        <w:ind w:left="440" w:leftChars="200" w:right="176" w:rightChars="80"/>
        <w:jc w:val="both"/>
        <w:rPr>
          <w:rFonts w:ascii="Arial" w:hAnsi="Arial" w:cs="Arial"/>
          <w:sz w:val="24"/>
          <w:szCs w:val="24"/>
        </w:rPr>
      </w:pPr>
      <w:r>
        <w:rPr>
          <w:rFonts w:ascii="Arial" w:hAnsi="Arial" w:eastAsia="SimSun" w:cs="Arial"/>
          <w:color w:val="000000"/>
          <w:lang w:eastAsia="zh-CN" w:bidi="ar"/>
        </w:rPr>
        <w:t>Realizar a separação dos resíduos recicláveis descartados na fonte geradora, e a sua destinação às associações e cooperativas dos catadores de materiais recicláveis, que será procedida pela coleta seletiva para reciclagem, quando couber.</w:t>
      </w:r>
    </w:p>
    <w:p w14:paraId="661734C9">
      <w:pPr>
        <w:numPr>
          <w:ilvl w:val="1"/>
          <w:numId w:val="3"/>
        </w:numPr>
        <w:tabs>
          <w:tab w:val="left" w:pos="567"/>
          <w:tab w:val="left" w:pos="9240"/>
          <w:tab w:val="left" w:pos="9680"/>
        </w:tabs>
        <w:spacing w:before="120" w:beforeLines="50" w:after="120" w:afterLines="50" w:line="360" w:lineRule="auto"/>
        <w:ind w:right="176" w:rightChars="80"/>
        <w:jc w:val="both"/>
        <w:rPr>
          <w:rFonts w:ascii="Arial" w:hAnsi="Arial" w:cs="Arial"/>
          <w:color w:val="FF0000"/>
        </w:rPr>
      </w:pPr>
      <w:r>
        <w:rPr>
          <w:rFonts w:ascii="Arial" w:hAnsi="Arial" w:cs="Arial"/>
          <w:b/>
          <w:bCs/>
        </w:rPr>
        <w:t>NATUREZA DO OBJETO:</w:t>
      </w:r>
    </w:p>
    <w:p w14:paraId="2350FB48">
      <w:pPr>
        <w:pStyle w:val="26"/>
        <w:numPr>
          <w:ilvl w:val="2"/>
          <w:numId w:val="3"/>
        </w:numPr>
        <w:tabs>
          <w:tab w:val="left" w:pos="567"/>
          <w:tab w:val="clear" w:pos="4157"/>
        </w:tabs>
        <w:spacing w:line="360" w:lineRule="auto"/>
        <w:ind w:right="176" w:rightChars="80"/>
        <w:rPr>
          <w:rFonts w:ascii="Arial" w:hAnsi="Arial"/>
        </w:rPr>
      </w:pPr>
      <w:r>
        <w:rPr>
          <w:rFonts w:ascii="Arial" w:hAnsi="Arial" w:cs="Arial"/>
        </w:rPr>
        <w:t xml:space="preserve">Trata-se de serviços comuns </w:t>
      </w:r>
      <w:r>
        <w:rPr>
          <w:rFonts w:ascii="Arial" w:hAnsi="Arial" w:eastAsia="SimSun" w:cs="Arial"/>
        </w:rPr>
        <w:t>continuados</w:t>
      </w:r>
      <w:r>
        <w:rPr>
          <w:rFonts w:ascii="Arial" w:hAnsi="Arial" w:cs="Arial"/>
        </w:rPr>
        <w:t xml:space="preserve"> (fornecimento de refeições) </w:t>
      </w:r>
      <w:r>
        <w:rPr>
          <w:rFonts w:ascii="Arial" w:hAnsi="Arial" w:eastAsia="SimSun" w:cs="Arial"/>
        </w:rPr>
        <w:t>ao longo do ano letivo,</w:t>
      </w:r>
      <w:r>
        <w:rPr>
          <w:rFonts w:ascii="Arial" w:hAnsi="Arial" w:cs="Arial"/>
        </w:rPr>
        <w:t xml:space="preserve"> definidos neste ETP, por meio de especificações objetivas estabelecendo o padrão de qualidade desejado pela Administração Pública,  eventualmente existentes de acordo com características usuais no mercado e ofertados por diversos fornecedores, conforme preconiza a </w:t>
      </w:r>
      <w:r>
        <w:rPr>
          <w:rFonts w:ascii="Arial" w:hAnsi="Arial"/>
        </w:rPr>
        <w:t xml:space="preserve">Lei Federal N° 14.133/2021. </w:t>
      </w:r>
    </w:p>
    <w:p w14:paraId="74C4C116">
      <w:pPr>
        <w:pStyle w:val="26"/>
        <w:tabs>
          <w:tab w:val="left" w:pos="567"/>
          <w:tab w:val="clear" w:pos="4157"/>
        </w:tabs>
        <w:spacing w:line="360" w:lineRule="auto"/>
        <w:ind w:left="3520" w:leftChars="1600" w:right="176" w:rightChars="80"/>
        <w:rPr>
          <w:rFonts w:ascii="Arial" w:hAnsi="Arial"/>
          <w:sz w:val="20"/>
          <w:szCs w:val="20"/>
        </w:rPr>
      </w:pPr>
      <w:r>
        <w:rPr>
          <w:rFonts w:ascii="Arial" w:hAnsi="Arial"/>
          <w:sz w:val="20"/>
          <w:szCs w:val="20"/>
        </w:rPr>
        <w:t>Art. 6º Para os fins desta Lei, consideram-se:</w:t>
      </w:r>
    </w:p>
    <w:p w14:paraId="3B305138">
      <w:pPr>
        <w:pStyle w:val="26"/>
        <w:tabs>
          <w:tab w:val="left" w:pos="567"/>
          <w:tab w:val="clear" w:pos="4157"/>
        </w:tabs>
        <w:spacing w:line="360" w:lineRule="auto"/>
        <w:ind w:left="3520" w:leftChars="1600" w:right="176" w:rightChars="80"/>
        <w:rPr>
          <w:rFonts w:ascii="Arial" w:hAnsi="Arial"/>
          <w:sz w:val="20"/>
          <w:szCs w:val="20"/>
        </w:rPr>
      </w:pPr>
      <w:r>
        <w:rPr>
          <w:rFonts w:ascii="Arial" w:hAnsi="Arial"/>
          <w:sz w:val="20"/>
          <w:szCs w:val="20"/>
        </w:rPr>
        <w:t>(...)</w:t>
      </w:r>
    </w:p>
    <w:p w14:paraId="47A89E4C">
      <w:pPr>
        <w:spacing w:line="360" w:lineRule="auto"/>
        <w:ind w:left="3520" w:leftChars="1600" w:right="172" w:rightChars="78"/>
        <w:jc w:val="both"/>
        <w:rPr>
          <w:rFonts w:ascii="Arial" w:hAnsi="Arial" w:eastAsia="Rawline-Medium" w:cs="Arial"/>
          <w:sz w:val="20"/>
          <w:szCs w:val="20"/>
          <w:lang w:eastAsia="zh-CN" w:bidi="ar"/>
        </w:rPr>
      </w:pPr>
      <w:r>
        <w:rPr>
          <w:rFonts w:ascii="Arial" w:hAnsi="Arial"/>
          <w:sz w:val="20"/>
          <w:szCs w:val="20"/>
        </w:rPr>
        <w:t>XIII - bens e serviços comuns: aqueles cujos padrões de desempenho e qualidade podem ser objetivamente definidos pelo edital, por meio de especificações usuais de mercado</w:t>
      </w:r>
      <w:r>
        <w:rPr>
          <w:rFonts w:ascii="Arial" w:hAnsi="Arial" w:eastAsia="Rawline-Medium" w:cs="Arial"/>
          <w:sz w:val="20"/>
          <w:szCs w:val="20"/>
          <w:lang w:eastAsia="zh-CN" w:bidi="ar"/>
        </w:rPr>
        <w:t>;”</w:t>
      </w:r>
    </w:p>
    <w:p w14:paraId="2ACD91FE">
      <w:pPr>
        <w:numPr>
          <w:ilvl w:val="1"/>
          <w:numId w:val="3"/>
        </w:numPr>
        <w:tabs>
          <w:tab w:val="left" w:pos="567"/>
          <w:tab w:val="left" w:pos="9240"/>
          <w:tab w:val="left" w:pos="9680"/>
        </w:tabs>
        <w:spacing w:before="120" w:beforeLines="50" w:after="120" w:afterLines="50" w:line="360" w:lineRule="auto"/>
        <w:ind w:right="176" w:rightChars="80"/>
        <w:jc w:val="both"/>
        <w:rPr>
          <w:rFonts w:ascii="Arial" w:hAnsi="Arial" w:cs="Arial"/>
          <w:color w:val="FF0000"/>
        </w:rPr>
      </w:pPr>
      <w:r>
        <w:rPr>
          <w:rFonts w:ascii="Arial" w:hAnsi="Arial" w:cs="Arial"/>
          <w:b/>
          <w:bCs/>
        </w:rPr>
        <w:t xml:space="preserve">GARANTIA CONTRATUAL: </w:t>
      </w:r>
    </w:p>
    <w:p w14:paraId="2B668295">
      <w:pPr>
        <w:numPr>
          <w:ilvl w:val="2"/>
          <w:numId w:val="3"/>
        </w:numPr>
        <w:tabs>
          <w:tab w:val="left" w:pos="567"/>
          <w:tab w:val="left" w:pos="9240"/>
          <w:tab w:val="left" w:pos="9680"/>
        </w:tabs>
        <w:spacing w:before="120" w:beforeLines="50" w:after="120" w:afterLines="50" w:line="360" w:lineRule="auto"/>
        <w:ind w:right="176" w:rightChars="80"/>
        <w:jc w:val="both"/>
        <w:rPr>
          <w:rFonts w:ascii="Arial" w:hAnsi="Arial" w:eastAsia="SimSun" w:cs="Arial"/>
        </w:rPr>
      </w:pPr>
      <w:r>
        <w:rPr>
          <w:rFonts w:ascii="Arial" w:hAnsi="Arial" w:cs="Arial"/>
        </w:rPr>
        <w:t xml:space="preserve"> </w:t>
      </w:r>
      <w:r>
        <w:rPr>
          <w:rFonts w:ascii="Arial" w:hAnsi="Arial" w:eastAsia="SimSun" w:cs="Arial"/>
        </w:rPr>
        <w:t>A CONTRATADA prestará garantia destinada a assegurar a plena execução do contrato, correspondente a 5% (cinco por cento) do valor deste contrato, a qual poderá ser apresentada em uma das seguintes modalidades:</w:t>
      </w:r>
    </w:p>
    <w:p w14:paraId="16AC68A5">
      <w:pPr>
        <w:tabs>
          <w:tab w:val="left" w:pos="567"/>
          <w:tab w:val="left" w:pos="9240"/>
          <w:tab w:val="left" w:pos="9680"/>
        </w:tabs>
        <w:spacing w:before="120" w:beforeLines="50" w:after="120" w:afterLines="50" w:line="360" w:lineRule="auto"/>
        <w:ind w:left="880" w:leftChars="400" w:right="176" w:rightChars="80"/>
        <w:jc w:val="both"/>
        <w:rPr>
          <w:rFonts w:ascii="Arial" w:hAnsi="Arial" w:eastAsia="SimSun" w:cs="Arial"/>
        </w:rPr>
      </w:pPr>
      <w:r>
        <w:rPr>
          <w:rFonts w:ascii="Arial" w:hAnsi="Arial" w:eastAsia="SimSun" w:cs="Arial"/>
        </w:rPr>
        <w:t>I – caução em dinheiro ou títulos da dívida pública, devendo estes ter sido emitidos sob a forma escritural, mediante registro em sistema centralizado de liquidação e de custódia autorizado pelo Banco Central do Brasil e avaliados pelos seus valores econômicos, conforme definido pelo Ministério da Economia;</w:t>
      </w:r>
    </w:p>
    <w:p w14:paraId="6F374599">
      <w:pPr>
        <w:tabs>
          <w:tab w:val="left" w:pos="567"/>
          <w:tab w:val="left" w:pos="9240"/>
          <w:tab w:val="left" w:pos="9680"/>
        </w:tabs>
        <w:spacing w:before="120" w:beforeLines="50" w:after="120" w:afterLines="50" w:line="360" w:lineRule="auto"/>
        <w:ind w:left="880" w:leftChars="400" w:right="176" w:rightChars="80"/>
        <w:jc w:val="both"/>
        <w:rPr>
          <w:rFonts w:ascii="Arial" w:hAnsi="Arial" w:eastAsia="SimSun" w:cs="Arial"/>
        </w:rPr>
      </w:pPr>
      <w:r>
        <w:rPr>
          <w:rFonts w:ascii="Arial" w:hAnsi="Arial" w:eastAsia="SimSun" w:cs="Arial"/>
        </w:rPr>
        <w:t>II – seguro-garantia; ou</w:t>
      </w:r>
    </w:p>
    <w:p w14:paraId="3675FF9C">
      <w:pPr>
        <w:tabs>
          <w:tab w:val="left" w:pos="567"/>
          <w:tab w:val="left" w:pos="9240"/>
          <w:tab w:val="left" w:pos="9680"/>
        </w:tabs>
        <w:spacing w:before="120" w:beforeLines="50" w:after="120" w:afterLines="50" w:line="360" w:lineRule="auto"/>
        <w:ind w:left="880" w:leftChars="400" w:right="176" w:rightChars="80"/>
        <w:jc w:val="both"/>
        <w:rPr>
          <w:rFonts w:ascii="Arial" w:hAnsi="Arial" w:eastAsia="SimSun" w:cs="Arial"/>
        </w:rPr>
      </w:pPr>
      <w:r>
        <w:rPr>
          <w:rFonts w:ascii="Arial" w:hAnsi="Arial" w:eastAsia="SimSun" w:cs="Arial"/>
        </w:rPr>
        <w:t>III – fiança bancária emitida por banco ou instituição financeira devidamente autorizada a operar no País pelo Banco Central do Brasil.</w:t>
      </w:r>
    </w:p>
    <w:p w14:paraId="67DBD56B">
      <w:pPr>
        <w:numPr>
          <w:ilvl w:val="2"/>
          <w:numId w:val="3"/>
        </w:numPr>
        <w:tabs>
          <w:tab w:val="left" w:pos="567"/>
          <w:tab w:val="left" w:pos="9240"/>
          <w:tab w:val="left" w:pos="9680"/>
        </w:tabs>
        <w:spacing w:before="120" w:beforeLines="50" w:after="120" w:afterLines="50" w:line="360" w:lineRule="auto"/>
        <w:ind w:right="176" w:rightChars="80"/>
        <w:jc w:val="both"/>
        <w:rPr>
          <w:rFonts w:ascii="Arial" w:hAnsi="Arial" w:eastAsia="SimSun" w:cs="Arial"/>
        </w:rPr>
      </w:pPr>
      <w:r>
        <w:rPr>
          <w:rFonts w:ascii="Arial" w:hAnsi="Arial" w:eastAsia="SimSun" w:cs="Arial"/>
        </w:rPr>
        <w:t xml:space="preserve"> A CONTRATADA deverá efetivar a prestação da garantia e formalizar a entrega do comprovante respectivo, exclusivamente por meio de registro no Serviço de Protocolo Administrativo da Prefeitura Municipal de Sinop endereçado ao Gestor do contrato, no prazo máximo de 10 (dez) dias úteis contados do início da vigência contratual, podendo esse prazo ser prorrogado por igual período, mediante justificativa a ser apreciada pela Administração.</w:t>
      </w:r>
    </w:p>
    <w:p w14:paraId="77974A3A">
      <w:pPr>
        <w:tabs>
          <w:tab w:val="left" w:pos="567"/>
          <w:tab w:val="left" w:pos="9240"/>
          <w:tab w:val="left" w:pos="9680"/>
        </w:tabs>
        <w:spacing w:before="120" w:beforeLines="50" w:after="120" w:afterLines="50" w:line="360" w:lineRule="auto"/>
        <w:ind w:left="880" w:leftChars="400" w:right="176" w:rightChars="80"/>
        <w:jc w:val="both"/>
        <w:rPr>
          <w:rFonts w:ascii="Arial" w:hAnsi="Arial" w:eastAsia="SimSun" w:cs="Arial"/>
        </w:rPr>
      </w:pPr>
      <w:r>
        <w:rPr>
          <w:rFonts w:ascii="Arial" w:hAnsi="Arial" w:eastAsia="SimSun" w:cs="Arial"/>
        </w:rPr>
        <w:t>I – Quando a CONTRATADA optar pela modalidade prevista no inciso II do caput, o prazo para apresentação da garantia será de 1 (um) mês, contado da data da homologação da licitação.</w:t>
      </w:r>
    </w:p>
    <w:p w14:paraId="0207838B">
      <w:pPr>
        <w:tabs>
          <w:tab w:val="left" w:pos="567"/>
          <w:tab w:val="left" w:pos="9240"/>
          <w:tab w:val="left" w:pos="9680"/>
        </w:tabs>
        <w:spacing w:before="120" w:beforeLines="50" w:after="120" w:afterLines="50" w:line="360" w:lineRule="auto"/>
        <w:ind w:left="880" w:leftChars="400" w:right="176" w:rightChars="80"/>
        <w:jc w:val="both"/>
        <w:rPr>
          <w:rFonts w:ascii="Arial" w:hAnsi="Arial" w:eastAsia="SimSun" w:cs="Arial"/>
        </w:rPr>
      </w:pPr>
      <w:r>
        <w:rPr>
          <w:rFonts w:ascii="Arial" w:hAnsi="Arial" w:eastAsia="SimSun" w:cs="Arial"/>
        </w:rPr>
        <w:t>II – O seguro-garantia e suas condições gerais deverão atender a CIRCULAR SUSEP n.661, de 11 de abril de 2022 e seus anexos;</w:t>
      </w:r>
    </w:p>
    <w:p w14:paraId="754E1155">
      <w:pPr>
        <w:tabs>
          <w:tab w:val="left" w:pos="567"/>
          <w:tab w:val="left" w:pos="9240"/>
          <w:tab w:val="left" w:pos="9680"/>
        </w:tabs>
        <w:spacing w:before="120" w:beforeLines="50" w:after="120" w:afterLines="50" w:line="360" w:lineRule="auto"/>
        <w:ind w:left="880" w:leftChars="400" w:right="176" w:rightChars="80"/>
        <w:jc w:val="both"/>
        <w:rPr>
          <w:rFonts w:ascii="Arial" w:hAnsi="Arial" w:eastAsia="SimSun" w:cs="Arial"/>
        </w:rPr>
      </w:pPr>
      <w:r>
        <w:rPr>
          <w:rFonts w:ascii="Arial" w:hAnsi="Arial" w:eastAsia="SimSun" w:cs="Arial"/>
        </w:rPr>
        <w:t xml:space="preserve">III – A apólice terá sua validade confirmada pelo segurado por meio da consulta ao site </w:t>
      </w:r>
      <w:r>
        <w:fldChar w:fldCharType="begin"/>
      </w:r>
      <w:r>
        <w:instrText xml:space="preserve"> HYPERLINK "https://www2.susep.gov.br/safe/menumercado/regapolices/pesquisa.asp" </w:instrText>
      </w:r>
      <w:r>
        <w:fldChar w:fldCharType="separate"/>
      </w:r>
      <w:r>
        <w:rPr>
          <w:rStyle w:val="11"/>
          <w:rFonts w:ascii="Arial" w:hAnsi="Arial" w:eastAsia="SimSun" w:cs="Arial"/>
        </w:rPr>
        <w:t>https://www2.susep.gov.br/safe/menumercado/regapolices/pesquisa.asp</w:t>
      </w:r>
      <w:r>
        <w:rPr>
          <w:rStyle w:val="11"/>
          <w:rFonts w:ascii="Arial" w:hAnsi="Arial" w:eastAsia="SimSun" w:cs="Arial"/>
        </w:rPr>
        <w:fldChar w:fldCharType="end"/>
      </w:r>
      <w:r>
        <w:rPr>
          <w:rFonts w:ascii="Arial" w:hAnsi="Arial" w:eastAsia="SimSun" w:cs="Arial"/>
        </w:rPr>
        <w:t>.</w:t>
      </w:r>
    </w:p>
    <w:p w14:paraId="4EFBDFAB">
      <w:pPr>
        <w:tabs>
          <w:tab w:val="left" w:pos="567"/>
          <w:tab w:val="left" w:pos="9240"/>
          <w:tab w:val="left" w:pos="9680"/>
        </w:tabs>
        <w:spacing w:before="120" w:beforeLines="50" w:after="120" w:afterLines="50" w:line="360" w:lineRule="auto"/>
        <w:ind w:left="880" w:leftChars="400" w:right="176" w:rightChars="80"/>
        <w:jc w:val="both"/>
        <w:rPr>
          <w:rFonts w:ascii="Arial" w:hAnsi="Arial" w:eastAsia="SimSun" w:cs="Arial"/>
        </w:rPr>
      </w:pPr>
      <w:r>
        <w:rPr>
          <w:rFonts w:ascii="Arial" w:hAnsi="Arial" w:eastAsia="SimSun" w:cs="Arial"/>
        </w:rPr>
        <w:t>IV - O seguro-garantia continuará em vigor mesmo se o contratado não tiver pago o prêmio nas datas convencionadas;</w:t>
      </w:r>
    </w:p>
    <w:p w14:paraId="2FC0825B">
      <w:pPr>
        <w:tabs>
          <w:tab w:val="left" w:pos="567"/>
          <w:tab w:val="left" w:pos="9240"/>
          <w:tab w:val="left" w:pos="9680"/>
        </w:tabs>
        <w:spacing w:before="120" w:beforeLines="50" w:after="120" w:afterLines="50" w:line="360" w:lineRule="auto"/>
        <w:ind w:left="880" w:leftChars="400" w:right="176" w:rightChars="80"/>
        <w:jc w:val="both"/>
        <w:rPr>
          <w:rFonts w:ascii="Arial" w:hAnsi="Arial" w:eastAsia="SimSun" w:cs="Arial"/>
        </w:rPr>
      </w:pPr>
      <w:r>
        <w:rPr>
          <w:rFonts w:ascii="Arial" w:hAnsi="Arial" w:eastAsia="SimSun" w:cs="Arial"/>
        </w:rPr>
        <w:t>V - A garantia em dinheiro (caução) será efetuada, mediante depósito em conta específica da CONTRATANTE, com correção monetária a crédito da CONTRATADA;</w:t>
      </w:r>
    </w:p>
    <w:p w14:paraId="0755B1BB">
      <w:pPr>
        <w:tabs>
          <w:tab w:val="left" w:pos="567"/>
          <w:tab w:val="left" w:pos="9240"/>
          <w:tab w:val="left" w:pos="9680"/>
        </w:tabs>
        <w:spacing w:before="120" w:beforeLines="50" w:after="120" w:afterLines="50" w:line="360" w:lineRule="auto"/>
        <w:ind w:left="880" w:leftChars="400" w:right="176" w:rightChars="80"/>
        <w:jc w:val="both"/>
        <w:rPr>
          <w:rFonts w:ascii="Arial" w:hAnsi="Arial" w:eastAsia="SimSun" w:cs="Arial"/>
        </w:rPr>
      </w:pPr>
      <w:r>
        <w:rPr>
          <w:rFonts w:ascii="Arial" w:hAnsi="Arial" w:eastAsia="SimSun" w:cs="Arial"/>
          <w:color w:val="000000"/>
        </w:rPr>
        <w:t xml:space="preserve">VI - </w:t>
      </w:r>
      <w:r>
        <w:rPr>
          <w:rFonts w:ascii="Arial" w:hAnsi="Arial" w:eastAsia="SimSun" w:cs="Arial"/>
        </w:rPr>
        <w:t>A inobservância do prazo fixado para apresentação da garantia acarretará a aplicação de multa de 0,5% (cinco décimos por cento) do valor do contrato por dia de atraso, observado o máximo de 2% (dois por cento);</w:t>
      </w:r>
    </w:p>
    <w:p w14:paraId="7D901026">
      <w:pPr>
        <w:tabs>
          <w:tab w:val="left" w:pos="567"/>
          <w:tab w:val="left" w:pos="9240"/>
          <w:tab w:val="left" w:pos="9680"/>
        </w:tabs>
        <w:spacing w:before="120" w:beforeLines="50" w:after="120" w:afterLines="50" w:line="360" w:lineRule="auto"/>
        <w:ind w:left="880" w:leftChars="400" w:right="176" w:rightChars="80"/>
        <w:jc w:val="both"/>
        <w:rPr>
          <w:rFonts w:ascii="Arial" w:hAnsi="Arial" w:eastAsia="SimSun" w:cs="Arial"/>
        </w:rPr>
      </w:pPr>
      <w:r>
        <w:rPr>
          <w:rFonts w:ascii="Arial" w:hAnsi="Arial" w:eastAsia="SimSun" w:cs="Arial"/>
        </w:rPr>
        <w:t>VII - O atraso superior a 20 (vinte) dias autoriza a CONTRATANTE a promover a extinção do contrato por descumprimento ou cumprimento irregular de suas cláusulas, conforme dispõe o inciso I do art.137 da Lei n.14.133/2021;</w:t>
      </w:r>
    </w:p>
    <w:p w14:paraId="1AC86B02">
      <w:pPr>
        <w:tabs>
          <w:tab w:val="left" w:pos="567"/>
          <w:tab w:val="left" w:pos="9240"/>
          <w:tab w:val="left" w:pos="9680"/>
        </w:tabs>
        <w:spacing w:before="120" w:beforeLines="50" w:after="120" w:afterLines="50" w:line="360" w:lineRule="auto"/>
        <w:ind w:left="880" w:leftChars="400" w:right="176" w:rightChars="80"/>
        <w:jc w:val="both"/>
        <w:rPr>
          <w:rFonts w:ascii="Arial" w:hAnsi="Arial" w:eastAsia="SimSun" w:cs="Arial"/>
        </w:rPr>
      </w:pPr>
      <w:r>
        <w:rPr>
          <w:rFonts w:ascii="Arial" w:hAnsi="Arial" w:eastAsia="SimSun" w:cs="Arial"/>
        </w:rPr>
        <w:t>VIII - Caso a opção seja por utilizar título da dívida pública como garantia, este deverá conter valor de mercado correspondente ao valor garantido e ser reconhecido pela Prefeitura Municipal, constando entre aqueles previstos em legislação especifica. Além disso, deverá estar devidamente escriturado em sistema centralizado de liquidação e custódia, nos termos do art.61 da Lei complementar n.101 de 04 de maio de 2000, podendo a CONTRATANTE recusar o título ofertado, caso verifique a ausência desses requisitos;</w:t>
      </w:r>
    </w:p>
    <w:p w14:paraId="15BDE01B">
      <w:pPr>
        <w:tabs>
          <w:tab w:val="left" w:pos="567"/>
          <w:tab w:val="left" w:pos="9240"/>
          <w:tab w:val="left" w:pos="9680"/>
        </w:tabs>
        <w:spacing w:before="120" w:beforeLines="50" w:after="120" w:afterLines="50" w:line="360" w:lineRule="auto"/>
        <w:ind w:left="880" w:leftChars="400" w:right="176" w:rightChars="80"/>
        <w:jc w:val="both"/>
        <w:rPr>
          <w:rFonts w:ascii="Arial" w:hAnsi="Arial" w:eastAsia="SimSun" w:cs="Arial"/>
        </w:rPr>
      </w:pPr>
      <w:r>
        <w:rPr>
          <w:rFonts w:ascii="Arial" w:hAnsi="Arial" w:eastAsia="SimSun" w:cs="Arial"/>
        </w:rPr>
        <w:t>IX - No caso de garantia na modalidade de carta fiança, deverá constar da mesma expressa renúncia pelo fiador, aos benefícios do art.827 do Código Civil de 2002;</w:t>
      </w:r>
    </w:p>
    <w:p w14:paraId="304B1E03">
      <w:pPr>
        <w:tabs>
          <w:tab w:val="left" w:pos="567"/>
          <w:tab w:val="left" w:pos="9240"/>
          <w:tab w:val="left" w:pos="9680"/>
        </w:tabs>
        <w:spacing w:before="120" w:beforeLines="50" w:after="120" w:afterLines="50" w:line="360" w:lineRule="auto"/>
        <w:ind w:left="880" w:leftChars="400" w:right="176" w:rightChars="80"/>
        <w:jc w:val="both"/>
        <w:rPr>
          <w:rFonts w:ascii="Arial" w:hAnsi="Arial" w:eastAsia="SimSun" w:cs="Arial"/>
        </w:rPr>
      </w:pPr>
      <w:r>
        <w:rPr>
          <w:rFonts w:ascii="Arial" w:hAnsi="Arial" w:eastAsia="SimSun" w:cs="Arial"/>
        </w:rPr>
        <w:t>X - Se o valor da garantia for utilizado total ou parcialmente em pagamento de qualquer obrigação, a CONTRATADA obriga-se a fazer a respectiva reposição no prazo máximo de 10 (dez) dias úteis, contados da data em que for notificada;</w:t>
      </w:r>
    </w:p>
    <w:p w14:paraId="4CCB2764">
      <w:pPr>
        <w:tabs>
          <w:tab w:val="left" w:pos="567"/>
          <w:tab w:val="left" w:pos="9240"/>
          <w:tab w:val="left" w:pos="9680"/>
        </w:tabs>
        <w:spacing w:before="120" w:beforeLines="50" w:after="120" w:afterLines="50" w:line="360" w:lineRule="auto"/>
        <w:ind w:left="880" w:leftChars="400" w:right="176" w:rightChars="80"/>
        <w:jc w:val="both"/>
        <w:rPr>
          <w:rFonts w:ascii="Arial" w:hAnsi="Arial" w:eastAsia="SimSun" w:cs="Arial"/>
        </w:rPr>
      </w:pPr>
      <w:r>
        <w:rPr>
          <w:rFonts w:ascii="Arial" w:hAnsi="Arial" w:eastAsia="SimSun" w:cs="Arial"/>
        </w:rPr>
        <w:t>XI - A garantia prestada pelo contratado será liberada ou restituída após a fiel execução do contrato ou após a sua extinção por culpa exclusiva da Administração e, quando em dinheiro, atualizada monetariamente;</w:t>
      </w:r>
    </w:p>
    <w:p w14:paraId="28B2FA0D">
      <w:pPr>
        <w:tabs>
          <w:tab w:val="left" w:pos="567"/>
          <w:tab w:val="left" w:pos="9240"/>
          <w:tab w:val="left" w:pos="9680"/>
        </w:tabs>
        <w:spacing w:before="120" w:beforeLines="50" w:after="120" w:afterLines="50" w:line="360" w:lineRule="auto"/>
        <w:ind w:left="880" w:leftChars="400" w:right="176" w:rightChars="80"/>
        <w:jc w:val="both"/>
        <w:rPr>
          <w:rFonts w:ascii="Arial" w:hAnsi="Arial" w:eastAsia="SimSun" w:cs="Arial"/>
        </w:rPr>
      </w:pPr>
      <w:r>
        <w:rPr>
          <w:rFonts w:ascii="Arial" w:hAnsi="Arial" w:eastAsia="SimSun" w:cs="Arial"/>
        </w:rPr>
        <w:t>XII - A garantia será recalculada, nas mesmas condições e proporções, sempre que ocorrer modificação no valor deste contrato.</w:t>
      </w:r>
    </w:p>
    <w:p w14:paraId="752F8C93">
      <w:pPr>
        <w:numPr>
          <w:ilvl w:val="2"/>
          <w:numId w:val="3"/>
        </w:numPr>
        <w:tabs>
          <w:tab w:val="left" w:pos="567"/>
          <w:tab w:val="left" w:pos="9240"/>
          <w:tab w:val="left" w:pos="9680"/>
        </w:tabs>
        <w:spacing w:before="120" w:beforeLines="50" w:after="120" w:afterLines="50" w:line="360" w:lineRule="auto"/>
        <w:ind w:right="176" w:rightChars="80"/>
        <w:jc w:val="both"/>
        <w:rPr>
          <w:rFonts w:ascii="Arial" w:hAnsi="Arial" w:eastAsia="SimSun" w:cs="Arial"/>
        </w:rPr>
      </w:pPr>
      <w:r>
        <w:rPr>
          <w:rFonts w:ascii="Arial" w:hAnsi="Arial" w:eastAsia="SimSun" w:cs="Arial"/>
        </w:rPr>
        <w:t xml:space="preserve"> A garantia será liberada após a execução plena do contrato no prazo de até 5 (cinco) dias úteis, de acordo com a legislação em vigor.</w:t>
      </w:r>
    </w:p>
    <w:p w14:paraId="3C30EB06">
      <w:pPr>
        <w:numPr>
          <w:ilvl w:val="2"/>
          <w:numId w:val="3"/>
        </w:numPr>
        <w:tabs>
          <w:tab w:val="left" w:pos="567"/>
          <w:tab w:val="left" w:pos="9240"/>
          <w:tab w:val="left" w:pos="9680"/>
        </w:tabs>
        <w:spacing w:before="120" w:beforeLines="50" w:after="120" w:afterLines="50" w:line="360" w:lineRule="auto"/>
        <w:ind w:right="176" w:rightChars="80"/>
        <w:jc w:val="both"/>
        <w:rPr>
          <w:rFonts w:ascii="Arial" w:hAnsi="Arial" w:eastAsia="SimSun" w:cs="Arial"/>
        </w:rPr>
      </w:pPr>
      <w:r>
        <w:rPr>
          <w:rFonts w:ascii="Arial" w:hAnsi="Arial" w:eastAsia="SimSun" w:cs="Arial"/>
        </w:rPr>
        <w:t xml:space="preserve"> A garantia a que se refere terá vigência durante todo o prazo de execução do contrato.</w:t>
      </w:r>
    </w:p>
    <w:p w14:paraId="3BB51654">
      <w:pPr>
        <w:numPr>
          <w:ilvl w:val="2"/>
          <w:numId w:val="3"/>
        </w:numPr>
        <w:tabs>
          <w:tab w:val="left" w:pos="567"/>
          <w:tab w:val="left" w:pos="9240"/>
          <w:tab w:val="left" w:pos="9680"/>
        </w:tabs>
        <w:spacing w:before="120" w:beforeLines="50" w:after="120" w:afterLines="50" w:line="360" w:lineRule="auto"/>
        <w:ind w:right="176" w:rightChars="80"/>
        <w:jc w:val="both"/>
        <w:rPr>
          <w:rFonts w:ascii="Arial" w:hAnsi="Arial" w:eastAsia="SimSun" w:cs="Arial"/>
        </w:rPr>
      </w:pPr>
      <w:r>
        <w:rPr>
          <w:rFonts w:ascii="Arial" w:hAnsi="Arial" w:eastAsia="SimSun" w:cs="Arial"/>
        </w:rPr>
        <w:t xml:space="preserve"> O valor da garantia não poderá ser decrescente em função da execução gradual do contrato, nem poderá a garantia estar condicionada a elementos externos à relação entre a CONTRATANTE e a CONTRATADA.</w:t>
      </w:r>
    </w:p>
    <w:p w14:paraId="2D26637E">
      <w:pPr>
        <w:numPr>
          <w:ilvl w:val="2"/>
          <w:numId w:val="3"/>
        </w:numPr>
        <w:tabs>
          <w:tab w:val="left" w:pos="567"/>
          <w:tab w:val="left" w:pos="9240"/>
          <w:tab w:val="left" w:pos="9680"/>
        </w:tabs>
        <w:spacing w:before="120" w:beforeLines="50" w:after="120" w:afterLines="50" w:line="360" w:lineRule="auto"/>
        <w:ind w:right="176" w:rightChars="80"/>
        <w:jc w:val="both"/>
        <w:rPr>
          <w:rFonts w:ascii="Arial" w:hAnsi="Arial" w:eastAsia="SimSun" w:cs="Arial"/>
        </w:rPr>
      </w:pPr>
      <w:r>
        <w:rPr>
          <w:rFonts w:ascii="Arial" w:hAnsi="Arial" w:eastAsia="SimSun" w:cs="Arial"/>
        </w:rPr>
        <w:t xml:space="preserve"> A garantia, inclusive na modalidade seguro-garantia, deverá assegurar ressarcimento, indenização e pagamento de, no mínimo:</w:t>
      </w:r>
    </w:p>
    <w:p w14:paraId="34C39D7C">
      <w:pPr>
        <w:tabs>
          <w:tab w:val="left" w:pos="567"/>
          <w:tab w:val="left" w:pos="9240"/>
          <w:tab w:val="left" w:pos="9680"/>
        </w:tabs>
        <w:spacing w:before="120" w:beforeLines="50" w:after="120" w:afterLines="50" w:line="360" w:lineRule="auto"/>
        <w:ind w:left="880" w:leftChars="400" w:right="176" w:rightChars="80"/>
        <w:jc w:val="both"/>
        <w:rPr>
          <w:rFonts w:ascii="Arial" w:hAnsi="Arial" w:eastAsia="SimSun" w:cs="Arial"/>
        </w:rPr>
      </w:pPr>
      <w:r>
        <w:rPr>
          <w:rFonts w:ascii="Arial" w:hAnsi="Arial" w:eastAsia="SimSun" w:cs="Arial"/>
        </w:rPr>
        <w:t>I – prejuízos advindos do não cumprimento do contrato;</w:t>
      </w:r>
    </w:p>
    <w:p w14:paraId="4F7D672D">
      <w:pPr>
        <w:tabs>
          <w:tab w:val="left" w:pos="567"/>
          <w:tab w:val="left" w:pos="9240"/>
          <w:tab w:val="left" w:pos="9680"/>
        </w:tabs>
        <w:spacing w:before="120" w:beforeLines="50" w:after="120" w:afterLines="50" w:line="360" w:lineRule="auto"/>
        <w:ind w:left="880" w:leftChars="400" w:right="176" w:rightChars="80"/>
        <w:jc w:val="both"/>
        <w:rPr>
          <w:rFonts w:ascii="Arial" w:hAnsi="Arial" w:eastAsia="SimSun" w:cs="Arial"/>
        </w:rPr>
      </w:pPr>
      <w:r>
        <w:rPr>
          <w:rFonts w:ascii="Arial" w:hAnsi="Arial" w:eastAsia="SimSun" w:cs="Arial"/>
        </w:rPr>
        <w:t>II – multas aplicadas pela CONTRATANTE à CONTRATADA;</w:t>
      </w:r>
    </w:p>
    <w:p w14:paraId="18EC0DFB">
      <w:pPr>
        <w:tabs>
          <w:tab w:val="left" w:pos="567"/>
          <w:tab w:val="left" w:pos="9240"/>
          <w:tab w:val="left" w:pos="9680"/>
        </w:tabs>
        <w:spacing w:before="120" w:beforeLines="50" w:after="120" w:afterLines="50" w:line="360" w:lineRule="auto"/>
        <w:ind w:left="880" w:leftChars="400" w:right="176" w:rightChars="80"/>
        <w:jc w:val="both"/>
        <w:rPr>
          <w:rFonts w:ascii="Arial" w:hAnsi="Arial" w:eastAsia="SimSun" w:cs="Arial"/>
        </w:rPr>
      </w:pPr>
      <w:r>
        <w:rPr>
          <w:rFonts w:ascii="Arial" w:hAnsi="Arial" w:eastAsia="SimSun" w:cs="Arial"/>
        </w:rPr>
        <w:t>III – prejuízos diretos causados a CONTRATANTE decorrentes de culpa ou dolo da CONTRATADA durante a execução do contrato.</w:t>
      </w:r>
    </w:p>
    <w:p w14:paraId="32E1077D">
      <w:pPr>
        <w:tabs>
          <w:tab w:val="left" w:pos="567"/>
          <w:tab w:val="left" w:pos="9240"/>
          <w:tab w:val="left" w:pos="9680"/>
        </w:tabs>
        <w:spacing w:before="120" w:beforeLines="50" w:after="120" w:afterLines="50" w:line="360" w:lineRule="auto"/>
        <w:ind w:left="880" w:leftChars="400" w:right="176" w:rightChars="80"/>
        <w:jc w:val="both"/>
        <w:rPr>
          <w:rFonts w:ascii="Arial" w:hAnsi="Arial" w:eastAsia="SimSun" w:cs="Arial"/>
        </w:rPr>
      </w:pPr>
      <w:r>
        <w:rPr>
          <w:rFonts w:ascii="Arial" w:hAnsi="Arial" w:eastAsia="SimSun" w:cs="Arial"/>
        </w:rPr>
        <w:t>IV - multas contratuais contemplando Cobertura Adicional de Ações Trabalhistas e Previdenciárias do CONTRATADO (TOMADOR) em relação à obra</w:t>
      </w:r>
    </w:p>
    <w:p w14:paraId="7DE90DD0">
      <w:pPr>
        <w:numPr>
          <w:ilvl w:val="2"/>
          <w:numId w:val="3"/>
        </w:numPr>
        <w:tabs>
          <w:tab w:val="left" w:pos="567"/>
          <w:tab w:val="left" w:pos="9240"/>
          <w:tab w:val="left" w:pos="9680"/>
        </w:tabs>
        <w:spacing w:before="120" w:beforeLines="50" w:after="120" w:afterLines="50" w:line="360" w:lineRule="auto"/>
        <w:ind w:right="176" w:rightChars="80"/>
        <w:jc w:val="both"/>
        <w:rPr>
          <w:rFonts w:ascii="Arial" w:hAnsi="Arial" w:eastAsia="SimSun" w:cs="Arial"/>
        </w:rPr>
      </w:pPr>
      <w:r>
        <w:rPr>
          <w:rFonts w:ascii="Arial" w:hAnsi="Arial" w:eastAsia="SimSun" w:cs="Arial"/>
        </w:rPr>
        <w:t>Havendo alteração contratual, a CONTRATADA deverá comunicar o fato e encaminhar à seguradora o respectivo documento que formalize a alteração para fins de emissão do respectivo endosso, devendo a CONTRATADA apresentar a CONTRATANTE, no prazo máximo do 10 (dez) dias úteis a contar da formalização da alteração contratual, a comprovação da referida comunicação e a anuência da seguradora, sob pena de multa diária de 0,1% (um décimo por cento) sobre o valor total remanescente deste contrato até o limite de 20 (vinte) dias, após o qual será aplicada, cumulativamente, multa de 1% (um por cento) sobre o valor total da contratação.</w:t>
      </w:r>
    </w:p>
    <w:p w14:paraId="70C3E8BC">
      <w:pPr>
        <w:pStyle w:val="3"/>
        <w:numPr>
          <w:ilvl w:val="2"/>
          <w:numId w:val="3"/>
        </w:numPr>
        <w:spacing w:before="120" w:after="120" w:line="360" w:lineRule="auto"/>
        <w:ind w:right="176" w:rightChars="80"/>
        <w:jc w:val="both"/>
        <w:rPr>
          <w:rFonts w:ascii="Arial" w:hAnsi="Arial" w:cs="Arial"/>
          <w:color w:val="FF0000"/>
          <w:sz w:val="22"/>
          <w:szCs w:val="22"/>
        </w:rPr>
      </w:pPr>
      <w:r>
        <w:rPr>
          <w:rFonts w:ascii="Arial" w:hAnsi="Arial" w:eastAsia="SimSun" w:cs="Arial"/>
          <w:color w:val="auto"/>
          <w:sz w:val="22"/>
          <w:szCs w:val="22"/>
        </w:rPr>
        <w:t xml:space="preserve"> Quando da abertura de processos para eventual aplicação de penalidade, para fins de configuração de “expectativa de sinistro”, a CONTRATANTE deverá comunicar o fato à seguradora e/ou fiadora tão logo ocorra a instauração do processo administrativo sancionatório.</w:t>
      </w:r>
    </w:p>
    <w:p w14:paraId="26C45E06">
      <w:pPr>
        <w:pStyle w:val="3"/>
        <w:numPr>
          <w:ilvl w:val="2"/>
          <w:numId w:val="3"/>
        </w:numPr>
        <w:spacing w:before="120" w:after="120" w:line="360" w:lineRule="auto"/>
        <w:ind w:right="176" w:rightChars="80"/>
        <w:jc w:val="both"/>
        <w:rPr>
          <w:rFonts w:ascii="Arial" w:hAnsi="Arial" w:cs="Arial"/>
          <w:color w:val="auto"/>
          <w:sz w:val="22"/>
          <w:szCs w:val="22"/>
        </w:rPr>
      </w:pPr>
      <w:r>
        <w:rPr>
          <w:rFonts w:ascii="Arial" w:hAnsi="Arial" w:eastAsia="SimSun" w:cs="Arial"/>
          <w:color w:val="auto"/>
          <w:sz w:val="22"/>
          <w:szCs w:val="22"/>
        </w:rPr>
        <w:t xml:space="preserve"> O garantidor não é parte interessada para figurar em processo administrativo instaurado pela CONTRATANTE com o objetivo de apurar prejuízos e/ou aplicar sanções à CONTRATADA</w:t>
      </w:r>
    </w:p>
    <w:p w14:paraId="5657CB0B">
      <w:pPr>
        <w:numPr>
          <w:ilvl w:val="1"/>
          <w:numId w:val="3"/>
        </w:numPr>
        <w:tabs>
          <w:tab w:val="left" w:pos="567"/>
          <w:tab w:val="left" w:pos="9240"/>
          <w:tab w:val="left" w:pos="9680"/>
        </w:tabs>
        <w:spacing w:before="120" w:beforeLines="50" w:after="120" w:afterLines="50" w:line="360" w:lineRule="auto"/>
        <w:ind w:right="176" w:rightChars="80"/>
        <w:jc w:val="both"/>
        <w:rPr>
          <w:rFonts w:ascii="Arial" w:hAnsi="Arial" w:cs="Arial"/>
          <w:sz w:val="24"/>
          <w:szCs w:val="24"/>
        </w:rPr>
      </w:pPr>
      <w:r>
        <w:rPr>
          <w:rFonts w:ascii="Arial" w:hAnsi="Arial" w:cs="Arial"/>
          <w:b/>
          <w:bCs/>
          <w:sz w:val="24"/>
          <w:szCs w:val="24"/>
        </w:rPr>
        <w:t xml:space="preserve"> DURAÇÃO DO CONTRATO: </w:t>
      </w:r>
    </w:p>
    <w:p w14:paraId="01154E0D">
      <w:pPr>
        <w:numPr>
          <w:ilvl w:val="2"/>
          <w:numId w:val="3"/>
        </w:numPr>
        <w:tabs>
          <w:tab w:val="left" w:pos="567"/>
          <w:tab w:val="left" w:pos="9240"/>
          <w:tab w:val="left" w:pos="9680"/>
        </w:tabs>
        <w:spacing w:before="120" w:beforeLines="50" w:after="120" w:afterLines="50" w:line="360" w:lineRule="auto"/>
        <w:ind w:right="176" w:rightChars="80"/>
        <w:jc w:val="both"/>
        <w:rPr>
          <w:rFonts w:ascii="Times New Roman" w:hAnsi="Times New Roman" w:cs="Times New Roman"/>
          <w:color w:val="000000"/>
          <w:sz w:val="27"/>
          <w:szCs w:val="27"/>
        </w:rPr>
      </w:pPr>
      <w:r>
        <w:rPr>
          <w:rFonts w:ascii="Arial" w:hAnsi="Arial" w:eastAsia="SimSun" w:cs="Arial"/>
        </w:rPr>
        <w:t xml:space="preserve"> </w:t>
      </w:r>
      <w:r>
        <w:rPr>
          <w:rFonts w:ascii="Arial" w:hAnsi="Arial"/>
          <w:bCs/>
          <w:spacing w:val="-2"/>
          <w:sz w:val="24"/>
          <w:szCs w:val="24"/>
        </w:rPr>
        <w:t xml:space="preserve">A duração será definida conforme o disposto no Art. 84 da Lei nº 14.133/2021, que estabelece o prazo de vigência da ata de registro de preços em 1 (um) ano, podendo ser prorrogado por igual período, desde que seja demonstrado que o preço permanece vantajoso. O processo originará contrato, cuja vigência e eventuais prorrogações estarão sujeitas ao artigo 107 da mesma lei que dispõe: </w:t>
      </w:r>
    </w:p>
    <w:p w14:paraId="295FEF2A">
      <w:pPr>
        <w:pStyle w:val="15"/>
        <w:spacing w:beforeAutospacing="0" w:afterAutospacing="0" w:line="360" w:lineRule="auto"/>
        <w:ind w:left="3520" w:leftChars="1600"/>
        <w:jc w:val="both"/>
        <w:rPr>
          <w:rFonts w:ascii="Arial" w:hAnsi="Arial" w:cs="Arial"/>
          <w:szCs w:val="22"/>
          <w:lang w:val="pt-BR"/>
        </w:rPr>
      </w:pPr>
      <w:r>
        <w:rPr>
          <w:rFonts w:ascii="Arial" w:hAnsi="Arial" w:cs="Arial"/>
          <w:color w:val="000000"/>
          <w:sz w:val="20"/>
          <w:szCs w:val="20"/>
          <w:lang w:val="pt-BR"/>
        </w:rPr>
        <w:t>Art. 107. Os contratos de serviços e fornecimentos contínuos poderão ser prorrogados sucessivamente, respeitada a vigência máxima decenal, desde que haja previsão em edital e que a autoridade competente ateste que as condições e os preços permanecem vantajosos para a Administração, permitida a negociação com o contratado ou a extinção contratual sem ônus para qualquer das partes.</w:t>
      </w:r>
      <w:r>
        <w:rPr>
          <w:rFonts w:ascii="Arial" w:hAnsi="Arial" w:cs="Arial"/>
          <w:color w:val="000000"/>
          <w:szCs w:val="22"/>
          <w:lang w:val="pt-BR" w:bidi="ar"/>
        </w:rPr>
        <w:t xml:space="preserve">  </w:t>
      </w:r>
    </w:p>
    <w:p w14:paraId="6066D8B4">
      <w:pPr>
        <w:numPr>
          <w:ilvl w:val="3"/>
          <w:numId w:val="3"/>
        </w:numPr>
        <w:tabs>
          <w:tab w:val="left" w:pos="567"/>
          <w:tab w:val="left" w:pos="9240"/>
          <w:tab w:val="left" w:pos="9680"/>
        </w:tabs>
        <w:spacing w:before="120" w:beforeLines="50" w:after="120" w:afterLines="50" w:line="360" w:lineRule="auto"/>
        <w:ind w:left="440" w:leftChars="200" w:right="176" w:rightChars="80"/>
        <w:jc w:val="both"/>
        <w:rPr>
          <w:rFonts w:ascii="Arial" w:hAnsi="Arial" w:cs="Arial"/>
        </w:rPr>
      </w:pPr>
      <w:r>
        <w:rPr>
          <w:rFonts w:ascii="Arial" w:hAnsi="Arial" w:eastAsia="SimSun" w:cs="Arial"/>
          <w:color w:val="000000"/>
          <w:lang w:eastAsia="zh-CN" w:bidi="ar"/>
        </w:rPr>
        <w:t>Transcorrido o prazo de 12 (doze) meses, caso a administração opte pela prorrogação da vigência da ata/contrato, o valor registrado poderá ser reajustado, com base no índice IPCA.</w:t>
      </w:r>
    </w:p>
    <w:p w14:paraId="64944A71">
      <w:pPr>
        <w:numPr>
          <w:ilvl w:val="2"/>
          <w:numId w:val="3"/>
        </w:numPr>
        <w:tabs>
          <w:tab w:val="left" w:pos="567"/>
          <w:tab w:val="left" w:pos="9240"/>
          <w:tab w:val="left" w:pos="9680"/>
        </w:tabs>
        <w:spacing w:before="120" w:beforeLines="50" w:after="120" w:afterLines="50" w:line="360" w:lineRule="auto"/>
        <w:ind w:right="176" w:rightChars="80"/>
        <w:jc w:val="both"/>
        <w:rPr>
          <w:rFonts w:ascii="Arial" w:hAnsi="Arial" w:cs="Arial"/>
        </w:rPr>
      </w:pPr>
      <w:r>
        <w:rPr>
          <w:rFonts w:ascii="Arial" w:hAnsi="Arial" w:eastAsia="SimSun" w:cs="Arial"/>
          <w:color w:val="000000"/>
          <w:lang w:eastAsia="zh-CN" w:bidi="ar"/>
        </w:rPr>
        <w:t>Em caso de prorrogação da vigência do contrato, as quantidades inicialmente registradas serão renovadas, na sua totalidade, independentemente do quantitativo utilizado no período de vigência, não sendo possível cumular com as quantidades não utilizadas.</w:t>
      </w:r>
    </w:p>
    <w:p w14:paraId="27F8B981">
      <w:pPr>
        <w:numPr>
          <w:ilvl w:val="1"/>
          <w:numId w:val="3"/>
        </w:numPr>
        <w:tabs>
          <w:tab w:val="left" w:pos="567"/>
          <w:tab w:val="left" w:pos="9240"/>
          <w:tab w:val="left" w:pos="9680"/>
        </w:tabs>
        <w:spacing w:before="120" w:beforeLines="50" w:after="120" w:afterLines="50" w:line="360" w:lineRule="auto"/>
        <w:ind w:right="176" w:rightChars="80"/>
        <w:jc w:val="both"/>
        <w:rPr>
          <w:rFonts w:ascii="Arial" w:hAnsi="Arial" w:cs="Arial"/>
        </w:rPr>
      </w:pPr>
      <w:r>
        <w:rPr>
          <w:rFonts w:ascii="Arial" w:hAnsi="Arial" w:cs="Arial"/>
          <w:b/>
          <w:bCs/>
        </w:rPr>
        <w:t>COTA EXCLUSIVA /PARCELAMENTO PARA ME E EPP:</w:t>
      </w:r>
    </w:p>
    <w:p w14:paraId="0BF14549">
      <w:pPr>
        <w:numPr>
          <w:ilvl w:val="2"/>
          <w:numId w:val="3"/>
        </w:numPr>
        <w:tabs>
          <w:tab w:val="left" w:pos="567"/>
          <w:tab w:val="left" w:pos="9240"/>
          <w:tab w:val="left" w:pos="9680"/>
        </w:tabs>
        <w:spacing w:before="120" w:beforeLines="50" w:after="120" w:afterLines="50" w:line="360" w:lineRule="auto"/>
        <w:ind w:right="176" w:rightChars="80"/>
        <w:jc w:val="both"/>
        <w:rPr>
          <w:rFonts w:ascii="Arial" w:hAnsi="Arial" w:cs="Arial"/>
        </w:rPr>
      </w:pPr>
      <w:r>
        <w:rPr>
          <w:rFonts w:ascii="Arial" w:hAnsi="Arial" w:cs="Arial"/>
        </w:rPr>
        <w:t xml:space="preserve"> </w:t>
      </w:r>
      <w:r>
        <w:rPr>
          <w:rFonts w:ascii="Arial" w:hAnsi="Arial" w:eastAsia="SimSun" w:cs="Arial"/>
        </w:rPr>
        <w:t xml:space="preserve">Não se aplica, </w:t>
      </w:r>
    </w:p>
    <w:p w14:paraId="41FBB692">
      <w:pPr>
        <w:numPr>
          <w:ilvl w:val="2"/>
          <w:numId w:val="3"/>
        </w:numPr>
        <w:tabs>
          <w:tab w:val="left" w:pos="567"/>
          <w:tab w:val="left" w:pos="9240"/>
          <w:tab w:val="left" w:pos="9680"/>
        </w:tabs>
        <w:spacing w:before="120" w:beforeLines="50" w:after="120" w:afterLines="50" w:line="360" w:lineRule="auto"/>
        <w:ind w:right="176" w:rightChars="80"/>
        <w:jc w:val="both"/>
        <w:rPr>
          <w:rFonts w:ascii="Arial" w:hAnsi="Arial" w:cs="Arial"/>
          <w:b/>
          <w:spacing w:val="-4"/>
          <w:sz w:val="24"/>
        </w:rPr>
      </w:pPr>
      <w:r>
        <w:rPr>
          <w:rFonts w:ascii="Arial" w:hAnsi="Arial" w:eastAsia="SimSun" w:cs="Arial"/>
        </w:rPr>
        <w:t xml:space="preserve"> Considerando a</w:t>
      </w:r>
      <w:r>
        <w:rPr>
          <w:rFonts w:ascii="Arial" w:hAnsi="Arial" w:cs="Arial"/>
        </w:rPr>
        <w:t xml:space="preserve"> </w:t>
      </w:r>
      <w:r>
        <w:rPr>
          <w:rFonts w:ascii="Arial" w:hAnsi="Arial" w:eastAsia="Cambria" w:cs="Arial"/>
        </w:rPr>
        <w:t>documentação necessária para abertura de processo licitatório cujo objeto “</w:t>
      </w:r>
      <w:r>
        <w:rPr>
          <w:rFonts w:ascii="Arial" w:hAnsi="Arial" w:cs="Arial"/>
          <w:b/>
          <w:bCs/>
        </w:rPr>
        <w:t xml:space="preserve">CONTRATAÇÃO DE EMPRESA ESPECIALIZADA PARA O FORNECIMENTO DE </w:t>
      </w:r>
      <w:r>
        <w:rPr>
          <w:rFonts w:ascii="Arial" w:hAnsi="Arial"/>
          <w:b/>
          <w:bCs/>
        </w:rPr>
        <w:t>REFEIÇÃO</w:t>
      </w:r>
      <w:r>
        <w:rPr>
          <w:rFonts w:ascii="Arial" w:hAnsi="Arial" w:cs="Arial"/>
          <w:b/>
          <w:bCs/>
        </w:rPr>
        <w:t xml:space="preserve"> ESCOLAR, EXECUTADO ATRAVÉS DE SERVIÇOS CONTÍNUOS, INCLUINDO O PRÉ-PREPARO E PREPARO DA ALIMENTAÇÃO, COM O FORNECIMENTO DE TODOS OS GÊNEROS ALIMENTÍCIOS E DEMAIS INSUMOS, PREPARAÇÃO NOS LOCAIS DE CONSUMO, LOGÍSTICA, SUPERVISÃO, PRESTAÇÃO DE SERVIÇOS DE MANUTENÇÃO PREVENTIVA E CORRETIVA DAS ESTRUTURAS FÍSICAS, EQUIPAMENTOS E UTENSÍLIOS UTILIZADOS, PARA ATENDER ESTUDANTES DE DAS UNIDADES EDUCATIVAS DA PREFEITURA MUNICIPAL DE SINOP/MT, SOB GESTÃO DO SETOR DE ALIMENTAÇÃO ESCOLAR DA SECRETARIA MUNICIPAL DE EDUCAÇÃO</w:t>
      </w:r>
      <w:r>
        <w:rPr>
          <w:rFonts w:ascii="Arial" w:hAnsi="Arial" w:cs="Arial"/>
          <w:bCs/>
          <w:i/>
        </w:rPr>
        <w:t>”</w:t>
      </w:r>
      <w:r>
        <w:rPr>
          <w:rFonts w:ascii="Arial" w:hAnsi="Arial" w:eastAsia="Cambria" w:cs="Arial"/>
        </w:rPr>
        <w:t>. Demonstra a inviabilidade</w:t>
      </w:r>
      <w:r>
        <w:rPr>
          <w:rFonts w:ascii="Arial" w:hAnsi="Arial" w:cs="Arial"/>
        </w:rPr>
        <w:t xml:space="preserve"> da divisão do objeto, dada a natureza do mesmo.</w:t>
      </w:r>
    </w:p>
    <w:p w14:paraId="7097C997">
      <w:pPr>
        <w:numPr>
          <w:ilvl w:val="2"/>
          <w:numId w:val="3"/>
        </w:numPr>
        <w:tabs>
          <w:tab w:val="left" w:pos="567"/>
          <w:tab w:val="left" w:pos="9240"/>
          <w:tab w:val="left" w:pos="9680"/>
        </w:tabs>
        <w:spacing w:before="120" w:beforeLines="50" w:after="120" w:afterLines="50" w:line="360" w:lineRule="auto"/>
        <w:ind w:right="176" w:rightChars="80"/>
        <w:jc w:val="both"/>
        <w:rPr>
          <w:rFonts w:ascii="Arial" w:hAnsi="Arial" w:cs="Arial"/>
        </w:rPr>
      </w:pPr>
      <w:r>
        <w:rPr>
          <w:rFonts w:ascii="Arial" w:hAnsi="Arial" w:eastAsia="SimSun" w:cs="Arial"/>
          <w:lang w:bidi="ar"/>
        </w:rPr>
        <w:t xml:space="preserve">Considerando que o valor estimado dos itens é superior ao limite estabelecido no inciso I do art. 48 da Lei Complementar nº 123/2006, a licitação será para ampla concorrência por não ser divisível. </w:t>
      </w:r>
    </w:p>
    <w:p w14:paraId="0A1D9BCC">
      <w:pPr>
        <w:numPr>
          <w:ilvl w:val="2"/>
          <w:numId w:val="3"/>
        </w:numPr>
        <w:tabs>
          <w:tab w:val="left" w:pos="567"/>
          <w:tab w:val="left" w:pos="9240"/>
          <w:tab w:val="left" w:pos="9680"/>
        </w:tabs>
        <w:spacing w:before="120" w:beforeLines="50" w:after="120" w:afterLines="50" w:line="360" w:lineRule="auto"/>
        <w:ind w:right="176" w:rightChars="80"/>
        <w:jc w:val="both"/>
        <w:rPr>
          <w:rFonts w:ascii="Arial" w:hAnsi="Arial" w:cs="Arial"/>
        </w:rPr>
      </w:pPr>
      <w:r>
        <w:rPr>
          <w:rFonts w:ascii="Arial" w:hAnsi="Arial" w:eastAsia="CIDFont+F4" w:cs="Arial"/>
          <w:color w:val="000000"/>
          <w:lang w:eastAsia="zh-CN" w:bidi="ar"/>
        </w:rPr>
        <w:t xml:space="preserve">Inicialmente, dividir as contratações para o fornecimento de alimentação escolar na rede municipal de ensino não se mostra viável ou vantajoso para a administração. A gestão da merenda escolar abrange etapas como o pré-preparo, preparo, e distribuição das refeições, sendo imprescindível manter a integridade do processo. Um rigoroso padrão de execução é necessário para assegurar o cumprimento de todos os requisitos de segurança alimentar e valor nutricional. </w:t>
      </w:r>
    </w:p>
    <w:p w14:paraId="2CEE90FD">
      <w:pPr>
        <w:numPr>
          <w:ilvl w:val="2"/>
          <w:numId w:val="3"/>
        </w:numPr>
        <w:tabs>
          <w:tab w:val="left" w:pos="567"/>
          <w:tab w:val="left" w:pos="9240"/>
          <w:tab w:val="left" w:pos="9680"/>
        </w:tabs>
        <w:spacing w:before="120" w:beforeLines="50" w:after="120" w:afterLines="50" w:line="360" w:lineRule="auto"/>
        <w:ind w:right="176" w:rightChars="80"/>
        <w:jc w:val="both"/>
        <w:rPr>
          <w:rFonts w:ascii="Arial" w:hAnsi="Arial" w:cs="Arial"/>
        </w:rPr>
      </w:pPr>
      <w:r>
        <w:rPr>
          <w:rFonts w:ascii="Arial" w:hAnsi="Arial" w:eastAsia="CIDFont+F4" w:cs="Arial"/>
          <w:color w:val="000000"/>
          <w:lang w:eastAsia="zh-CN" w:bidi="ar"/>
        </w:rPr>
        <w:t xml:space="preserve">Além disso, segmentar as contratações gera obstáculos para manter a uniformidade na qualidade e segurança dos alimentos. Diferentes fornecedores poderiam adotar processos distintos de produção e manipulação, o que poderia comprometer a padronização exigida pelos critérios nutricionais estabelecidos. </w:t>
      </w:r>
    </w:p>
    <w:p w14:paraId="573D165F">
      <w:pPr>
        <w:numPr>
          <w:ilvl w:val="2"/>
          <w:numId w:val="3"/>
        </w:numPr>
        <w:tabs>
          <w:tab w:val="left" w:pos="567"/>
          <w:tab w:val="left" w:pos="9240"/>
          <w:tab w:val="left" w:pos="9680"/>
        </w:tabs>
        <w:spacing w:before="120" w:beforeLines="50" w:after="120" w:afterLines="50" w:line="360" w:lineRule="auto"/>
        <w:ind w:right="176" w:rightChars="80"/>
        <w:jc w:val="both"/>
        <w:rPr>
          <w:rFonts w:ascii="Arial" w:hAnsi="Arial" w:cs="Arial"/>
        </w:rPr>
      </w:pPr>
      <w:r>
        <w:rPr>
          <w:rFonts w:ascii="Arial" w:hAnsi="Arial" w:eastAsia="CIDFont+F4" w:cs="Arial"/>
          <w:color w:val="000000"/>
          <w:lang w:eastAsia="zh-CN" w:bidi="ar"/>
        </w:rPr>
        <w:t>Por fim, a fragmentação dos contratos também pode impactar negativamente a gestão integrada da alimentação escolar, dificultando o acompanhamento e a supervisão dos processos.</w:t>
      </w:r>
    </w:p>
    <w:p w14:paraId="5D9019E5">
      <w:pPr>
        <w:numPr>
          <w:ilvl w:val="2"/>
          <w:numId w:val="3"/>
        </w:numPr>
        <w:tabs>
          <w:tab w:val="left" w:pos="567"/>
          <w:tab w:val="left" w:pos="9240"/>
          <w:tab w:val="left" w:pos="9680"/>
        </w:tabs>
        <w:spacing w:before="120" w:beforeLines="50" w:after="120" w:afterLines="50" w:line="360" w:lineRule="auto"/>
        <w:ind w:right="176" w:rightChars="80"/>
        <w:jc w:val="both"/>
        <w:rPr>
          <w:rFonts w:ascii="Arial" w:hAnsi="Arial" w:cs="Arial"/>
        </w:rPr>
      </w:pPr>
      <w:r>
        <w:rPr>
          <w:rFonts w:ascii="Arial" w:hAnsi="Arial" w:eastAsia="CIDFont+F4" w:cs="Arial"/>
          <w:color w:val="000000"/>
          <w:lang w:eastAsia="zh-CN" w:bidi="ar"/>
        </w:rPr>
        <w:t>O objeto não é divisível, sendo a responsabilidade da terceirização por uma única empresa vencedora. Desta forma, a Secretaria Municipal de Educação e seus agentes conseguem atuar diretamente em uma fiscalização única e muito mais próxima da empresa contratada.</w:t>
      </w:r>
    </w:p>
    <w:p w14:paraId="7C3E48CB">
      <w:pPr>
        <w:numPr>
          <w:ilvl w:val="1"/>
          <w:numId w:val="3"/>
        </w:numPr>
        <w:tabs>
          <w:tab w:val="left" w:pos="567"/>
          <w:tab w:val="left" w:pos="9240"/>
          <w:tab w:val="left" w:pos="9680"/>
        </w:tabs>
        <w:spacing w:before="120" w:beforeLines="50" w:after="120" w:afterLines="50" w:line="360" w:lineRule="auto"/>
        <w:ind w:right="176" w:rightChars="80"/>
        <w:jc w:val="both"/>
        <w:rPr>
          <w:rFonts w:ascii="Arial" w:hAnsi="Arial" w:cs="Arial"/>
        </w:rPr>
      </w:pPr>
      <w:r>
        <w:rPr>
          <w:rFonts w:ascii="Arial" w:hAnsi="Arial" w:cs="Arial"/>
          <w:b/>
          <w:bCs/>
        </w:rPr>
        <w:t>CONTRATAÇÃO ANTERIOR PARA O OBJETO DA DEMANDA:</w:t>
      </w:r>
    </w:p>
    <w:p w14:paraId="7C7B9572">
      <w:pPr>
        <w:tabs>
          <w:tab w:val="left" w:pos="567"/>
          <w:tab w:val="left" w:pos="9240"/>
          <w:tab w:val="left" w:pos="9680"/>
        </w:tabs>
        <w:spacing w:before="120" w:beforeLines="50" w:after="120" w:afterLines="50" w:line="360" w:lineRule="auto"/>
        <w:ind w:right="176" w:rightChars="80"/>
        <w:jc w:val="both"/>
        <w:rPr>
          <w:rFonts w:ascii="Arial" w:hAnsi="Arial" w:cs="Arial"/>
        </w:rPr>
      </w:pPr>
      <w:r>
        <w:rPr>
          <w:rFonts w:ascii="Arial" w:hAnsi="Arial" w:cs="Arial"/>
        </w:rPr>
        <w:t>( X ) Não houve contratação anterior</w:t>
      </w:r>
    </w:p>
    <w:p w14:paraId="2C212070">
      <w:pPr>
        <w:numPr>
          <w:ilvl w:val="1"/>
          <w:numId w:val="3"/>
        </w:numPr>
        <w:tabs>
          <w:tab w:val="left" w:pos="567"/>
          <w:tab w:val="left" w:pos="9240"/>
          <w:tab w:val="left" w:pos="9680"/>
        </w:tabs>
        <w:spacing w:before="120" w:beforeLines="50" w:after="120" w:afterLines="50" w:line="360" w:lineRule="auto"/>
        <w:ind w:right="176" w:rightChars="80"/>
        <w:jc w:val="both"/>
        <w:rPr>
          <w:rFonts w:ascii="Arial" w:hAnsi="Arial" w:cs="Arial"/>
        </w:rPr>
      </w:pPr>
      <w:r>
        <w:rPr>
          <w:rFonts w:ascii="Arial" w:hAnsi="Arial" w:cs="Arial"/>
          <w:b/>
          <w:bCs/>
        </w:rPr>
        <w:t xml:space="preserve"> LEGISLAÇÃO ESPECÍFICA SOBRE O OBJETO DE CONTRATAÇÃO:</w:t>
      </w:r>
    </w:p>
    <w:p w14:paraId="0DE6436E">
      <w:pPr>
        <w:spacing w:before="120" w:beforeLines="50" w:after="120" w:afterLines="50" w:line="360" w:lineRule="auto"/>
        <w:ind w:right="176" w:rightChars="80"/>
        <w:jc w:val="both"/>
        <w:rPr>
          <w:rFonts w:ascii="Arial" w:hAnsi="Arial" w:cs="Arial"/>
        </w:rPr>
      </w:pPr>
      <w:r>
        <w:rPr>
          <w:rFonts w:ascii="Arial" w:hAnsi="Arial" w:cs="Arial"/>
        </w:rPr>
        <w:t>(     ) Não</w:t>
      </w:r>
    </w:p>
    <w:p w14:paraId="55B58529">
      <w:pPr>
        <w:spacing w:before="120" w:beforeLines="50" w:after="120" w:afterLines="50" w:line="360" w:lineRule="auto"/>
        <w:ind w:right="176" w:rightChars="80"/>
        <w:jc w:val="both"/>
        <w:rPr>
          <w:rFonts w:ascii="Arial" w:hAnsi="Arial" w:cs="Arial"/>
        </w:rPr>
      </w:pPr>
      <w:r>
        <w:rPr>
          <w:rFonts w:ascii="Arial" w:hAnsi="Arial" w:cs="Arial"/>
        </w:rPr>
        <w:t>( X ) Sim</w:t>
      </w:r>
    </w:p>
    <w:p w14:paraId="2FC26A8F">
      <w:pPr>
        <w:spacing w:before="120" w:beforeLines="50" w:after="120" w:afterLines="50" w:line="360" w:lineRule="auto"/>
        <w:ind w:right="176" w:rightChars="80"/>
        <w:jc w:val="both"/>
        <w:rPr>
          <w:rFonts w:ascii="Arial" w:hAnsi="Arial" w:cs="Arial"/>
        </w:rPr>
      </w:pPr>
      <w:r>
        <w:rPr>
          <w:rFonts w:ascii="Arial" w:hAnsi="Arial" w:cs="Arial"/>
          <w:b/>
          <w:bCs/>
        </w:rPr>
        <w:t>Legislação</w:t>
      </w:r>
      <w:r>
        <w:rPr>
          <w:rFonts w:ascii="Arial" w:hAnsi="Arial" w:cs="Arial"/>
          <w:b/>
          <w:bCs/>
          <w:spacing w:val="-3"/>
        </w:rPr>
        <w:t xml:space="preserve"> </w:t>
      </w:r>
      <w:r>
        <w:rPr>
          <w:rFonts w:ascii="Arial" w:hAnsi="Arial" w:cs="Arial"/>
          <w:b/>
          <w:bCs/>
        </w:rPr>
        <w:t>aplicável:</w:t>
      </w:r>
      <w:r>
        <w:rPr>
          <w:rFonts w:ascii="Arial" w:hAnsi="Arial" w:cs="Arial"/>
        </w:rPr>
        <w:t xml:space="preserve"> </w:t>
      </w:r>
    </w:p>
    <w:p w14:paraId="507EC2AB">
      <w:pPr>
        <w:spacing w:before="120" w:beforeLines="50" w:after="120" w:afterLines="50" w:line="360" w:lineRule="auto"/>
        <w:ind w:right="176" w:rightChars="80"/>
        <w:jc w:val="both"/>
        <w:rPr>
          <w:rFonts w:ascii="SimSun" w:hAnsi="SimSun" w:eastAsia="SimSun" w:cs="SimSun"/>
          <w:sz w:val="24"/>
          <w:szCs w:val="24"/>
        </w:rPr>
      </w:pPr>
      <w:r>
        <w:rPr>
          <w:rFonts w:ascii="Arial" w:hAnsi="Arial" w:eastAsia="SimSun" w:cs="Arial"/>
        </w:rPr>
        <w:t>A L</w:t>
      </w:r>
      <w:r>
        <w:rPr>
          <w:rFonts w:ascii="Arial" w:hAnsi="Arial" w:eastAsia="SimSun" w:cs="Arial"/>
          <w:b/>
          <w:bCs/>
        </w:rPr>
        <w:t>ei 11.947/2009</w:t>
      </w:r>
      <w:r>
        <w:rPr>
          <w:rFonts w:ascii="Arial" w:hAnsi="Arial" w:eastAsia="SimSun" w:cs="Arial"/>
        </w:rPr>
        <w:t xml:space="preserve"> prevê que todos os estudantes matriculados em escolas públicas do Brasil tenham acesso à alimentação na escola.</w:t>
      </w:r>
    </w:p>
    <w:p w14:paraId="29FF0858">
      <w:pPr>
        <w:spacing w:before="120" w:beforeLines="50" w:after="120" w:afterLines="50" w:line="360" w:lineRule="auto"/>
        <w:ind w:right="176" w:rightChars="80"/>
        <w:jc w:val="both"/>
        <w:rPr>
          <w:rFonts w:ascii="Arial" w:hAnsi="Arial" w:eastAsia="SimSun" w:cs="Arial"/>
        </w:rPr>
      </w:pPr>
      <w:r>
        <w:rPr>
          <w:rFonts w:ascii="Arial" w:hAnsi="Arial" w:cs="Arial"/>
          <w:color w:val="000000" w:themeColor="text1"/>
          <w14:textFill>
            <w14:solidFill>
              <w14:schemeClr w14:val="tx1"/>
            </w14:solidFill>
          </w14:textFill>
        </w:rPr>
        <w:t>Decreto Municipal 359/2023 - Re</w:t>
      </w:r>
      <w:r>
        <w:rPr>
          <w:rFonts w:ascii="Arial" w:hAnsi="Arial" w:eastAsia="SimSun" w:cs="Arial"/>
        </w:rPr>
        <w:t xml:space="preserve">gulamenta as regras e diretrizes de Licitações de que trata a Lei Federal nº 14.133, de 01 de abril de 2021, no âmbito da Administração Pública </w:t>
      </w:r>
      <w:r>
        <w:rPr>
          <w:rFonts w:ascii="Arial" w:hAnsi="Arial" w:eastAsia="SimSun" w:cs="Arial"/>
          <w:b/>
          <w:bCs/>
        </w:rPr>
        <w:t>Municipal</w:t>
      </w:r>
      <w:r>
        <w:rPr>
          <w:rFonts w:ascii="Arial" w:hAnsi="Arial" w:eastAsia="SimSun" w:cs="Arial"/>
        </w:rPr>
        <w:t xml:space="preserve"> de </w:t>
      </w:r>
      <w:r>
        <w:rPr>
          <w:rFonts w:ascii="Arial" w:hAnsi="Arial" w:eastAsia="SimSun" w:cs="Arial"/>
          <w:b/>
          <w:bCs/>
        </w:rPr>
        <w:t>SINOP</w:t>
      </w:r>
      <w:r>
        <w:rPr>
          <w:rFonts w:ascii="Arial" w:hAnsi="Arial" w:eastAsia="SimSun" w:cs="Arial"/>
        </w:rPr>
        <w:t>/</w:t>
      </w:r>
      <w:r>
        <w:rPr>
          <w:rFonts w:ascii="Arial" w:hAnsi="Arial" w:eastAsia="SimSun" w:cs="Arial"/>
          <w:b/>
          <w:bCs/>
        </w:rPr>
        <w:t>MT</w:t>
      </w:r>
      <w:r>
        <w:rPr>
          <w:rFonts w:ascii="Arial" w:hAnsi="Arial" w:eastAsia="SimSun" w:cs="Arial"/>
        </w:rPr>
        <w:t>, e da outras providências.</w:t>
      </w:r>
    </w:p>
    <w:p w14:paraId="37EFD2DD">
      <w:pPr>
        <w:spacing w:before="120" w:beforeLines="50" w:after="120" w:afterLines="50" w:line="360" w:lineRule="auto"/>
        <w:ind w:right="176" w:rightChars="80"/>
        <w:jc w:val="both"/>
        <w:rPr>
          <w:rFonts w:ascii="Arial" w:hAnsi="Arial" w:cs="Arial"/>
        </w:rPr>
      </w:pPr>
      <w:r>
        <w:fldChar w:fldCharType="begin"/>
      </w:r>
      <w:r>
        <w:instrText xml:space="preserve"> HYPERLINK "http://portal.anvisa.gov.br/documents/10181/2718376/RDC_275_2002_COMP.pdf/fce9dac0-ae57-4de2-8cf9-e286a383f254" \t "https://activecorp.com.br/transporte-de-alimentos-normas-legislacao/_blank" </w:instrText>
      </w:r>
      <w:r>
        <w:fldChar w:fldCharType="separate"/>
      </w:r>
      <w:r>
        <w:rPr>
          <w:rStyle w:val="11"/>
          <w:rFonts w:ascii="Arial" w:hAnsi="Arial" w:cs="Arial"/>
        </w:rPr>
        <w:t>Resolução nº 275 da ANVISA</w:t>
      </w:r>
      <w:r>
        <w:rPr>
          <w:rStyle w:val="11"/>
          <w:rFonts w:ascii="Arial" w:hAnsi="Arial" w:cs="Arial"/>
        </w:rPr>
        <w:fldChar w:fldCharType="end"/>
      </w:r>
      <w:r>
        <w:rPr>
          <w:rFonts w:ascii="Arial" w:hAnsi="Arial" w:cs="Arial"/>
        </w:rPr>
        <w:t>, que é um regulamento técnico com procedimentos padronizados que devem ser seguidos por empresas que lidam com alimentos.</w:t>
      </w:r>
    </w:p>
    <w:p w14:paraId="06793949">
      <w:pPr>
        <w:spacing w:before="120" w:beforeLines="50" w:after="120" w:afterLines="50" w:line="360" w:lineRule="auto"/>
        <w:ind w:right="176" w:rightChars="80"/>
        <w:jc w:val="both"/>
        <w:rPr>
          <w:rFonts w:ascii="Arial" w:hAnsi="Arial" w:eastAsia="SimSun" w:cs="Arial"/>
        </w:rPr>
      </w:pPr>
      <w:r>
        <w:fldChar w:fldCharType="begin"/>
      </w:r>
      <w:r>
        <w:instrText xml:space="preserve"> HYPERLINK "http://bvsms.saude.gov.br/bvs/saudelegis/svs1/1997/prt0326_30_07_1997.html" \t "https://activecorp.com.br/transporte-de-alimentos-normas-legislacao/_blank" </w:instrText>
      </w:r>
      <w:r>
        <w:fldChar w:fldCharType="separate"/>
      </w:r>
      <w:r>
        <w:rPr>
          <w:rStyle w:val="11"/>
          <w:rFonts w:ascii="Arial" w:hAnsi="Arial" w:eastAsia="SimSun" w:cs="Arial"/>
        </w:rPr>
        <w:t>Portaria nº 326</w:t>
      </w:r>
      <w:r>
        <w:rPr>
          <w:rStyle w:val="11"/>
          <w:rFonts w:ascii="Arial" w:hAnsi="Arial" w:eastAsia="SimSun" w:cs="Arial"/>
        </w:rPr>
        <w:fldChar w:fldCharType="end"/>
      </w:r>
      <w:r>
        <w:rPr>
          <w:rFonts w:ascii="Arial" w:hAnsi="Arial" w:eastAsia="SimSun" w:cs="Arial"/>
        </w:rPr>
        <w:t xml:space="preserve">  da </w:t>
      </w:r>
      <w:r>
        <w:fldChar w:fldCharType="begin"/>
      </w:r>
      <w:r>
        <w:instrText xml:space="preserve"> HYPERLINK "http://bvsms.saude.gov.br/bvs/saudelegis/svs1/1997/prt0326_30_07_1997.html" \t "https://activecorp.com.br/transporte-de-alimentos-normas-legislacao/_blank" </w:instrText>
      </w:r>
      <w:r>
        <w:fldChar w:fldCharType="separate"/>
      </w:r>
      <w:r>
        <w:rPr>
          <w:rStyle w:val="11"/>
          <w:rFonts w:ascii="Arial" w:hAnsi="Arial" w:eastAsia="SimSun" w:cs="Arial"/>
        </w:rPr>
        <w:t>Secretaria de Vigilância Sanitária</w:t>
      </w:r>
      <w:r>
        <w:rPr>
          <w:rStyle w:val="11"/>
          <w:rFonts w:ascii="Arial" w:hAnsi="Arial" w:eastAsia="SimSun" w:cs="Arial"/>
        </w:rPr>
        <w:fldChar w:fldCharType="end"/>
      </w:r>
      <w:r>
        <w:rPr>
          <w:rFonts w:ascii="Arial" w:hAnsi="Arial" w:eastAsia="SimSun" w:cs="Arial"/>
        </w:rPr>
        <w:t>, que estabelece normas e boas práticas de higiene, fabricação e manuseio dos alimentos.</w:t>
      </w:r>
    </w:p>
    <w:p w14:paraId="7397668E">
      <w:pPr>
        <w:spacing w:before="120" w:beforeLines="50" w:after="120" w:afterLines="50" w:line="360" w:lineRule="auto"/>
        <w:ind w:right="176" w:rightChars="80"/>
        <w:jc w:val="both"/>
        <w:rPr>
          <w:rFonts w:ascii="Arial" w:hAnsi="Arial" w:eastAsia="SimSun" w:cs="Arial"/>
          <w:color w:val="000000"/>
          <w:lang w:eastAsia="zh-CN" w:bidi="ar"/>
        </w:rPr>
      </w:pPr>
      <w:r>
        <w:rPr>
          <w:rFonts w:ascii="Arial" w:hAnsi="Arial" w:eastAsia="SimSun" w:cs="Arial"/>
          <w:color w:val="000000"/>
          <w:lang w:eastAsia="zh-CN" w:bidi="ar"/>
        </w:rPr>
        <w:t xml:space="preserve">Resolução RDC nº 275 de 21 de outubro de 2002 - </w:t>
      </w:r>
      <w:r>
        <w:rPr>
          <w:rFonts w:ascii="Arial" w:hAnsi="Arial" w:eastAsia="SimSun" w:cs="Arial"/>
        </w:rPr>
        <w:t>Dispõe sobre o Regulamento Técnico de Procedimentos Operacionais Padronizados aplicados aos Estabelecimentos Produtores/Industrializadores de Alimentos e a Lista de Verificação das Boas Práticas de Fabricação em Estabelecimentos Produtores/Industrializadores de Alimentos.</w:t>
      </w:r>
    </w:p>
    <w:p w14:paraId="124648E7">
      <w:pPr>
        <w:spacing w:before="120" w:beforeLines="50" w:after="120" w:afterLines="50" w:line="360" w:lineRule="auto"/>
        <w:ind w:right="176" w:rightChars="80"/>
        <w:jc w:val="both"/>
        <w:rPr>
          <w:rFonts w:ascii="Arial" w:hAnsi="Arial" w:eastAsia="SimSun" w:cs="Arial"/>
          <w:color w:val="000000"/>
          <w:lang w:eastAsia="zh-CN" w:bidi="ar"/>
        </w:rPr>
      </w:pPr>
      <w:r>
        <w:rPr>
          <w:rFonts w:ascii="Arial" w:hAnsi="Arial" w:eastAsia="SimSun" w:cs="Arial"/>
          <w:color w:val="000000"/>
          <w:lang w:eastAsia="zh-CN" w:bidi="ar"/>
        </w:rPr>
        <w:t xml:space="preserve">Resolução RDC nº 216 de 15 de setembro de 2004 - </w:t>
      </w:r>
    </w:p>
    <w:p w14:paraId="2D678E60">
      <w:pPr>
        <w:spacing w:before="120" w:beforeLines="50" w:after="120" w:afterLines="50" w:line="360" w:lineRule="auto"/>
        <w:ind w:right="176" w:rightChars="80"/>
        <w:jc w:val="both"/>
        <w:rPr>
          <w:rFonts w:ascii="Arial" w:hAnsi="Arial" w:eastAsia="SimSun"/>
          <w:color w:val="000000"/>
          <w:lang w:eastAsia="zh-CN"/>
        </w:rPr>
      </w:pPr>
      <w:r>
        <w:rPr>
          <w:rFonts w:ascii="Arial" w:hAnsi="Arial" w:eastAsia="SimSun" w:cs="Arial"/>
          <w:color w:val="000000"/>
          <w:lang w:eastAsia="zh-CN" w:bidi="ar"/>
        </w:rPr>
        <w:t>Resolução RDC nº 52 de 29 de setembro de 2014 - D</w:t>
      </w:r>
      <w:r>
        <w:rPr>
          <w:rFonts w:ascii="Arial" w:hAnsi="Arial" w:eastAsia="SimSun"/>
          <w:color w:val="000000"/>
          <w:lang w:eastAsia="zh-CN"/>
        </w:rPr>
        <w:t>ispõe sobre o Regulamento Técnico de Boas Práticas para os Serviços de Alimentação.</w:t>
      </w:r>
    </w:p>
    <w:p w14:paraId="78CDC526">
      <w:pPr>
        <w:spacing w:before="120" w:beforeLines="50" w:after="120" w:afterLines="50" w:line="360" w:lineRule="auto"/>
        <w:ind w:right="176" w:rightChars="80"/>
        <w:jc w:val="both"/>
        <w:rPr>
          <w:rFonts w:ascii="Arial" w:hAnsi="Arial" w:eastAsia="SimSun" w:cs="Arial"/>
          <w:lang w:eastAsia="zh-CN" w:bidi="ar"/>
        </w:rPr>
      </w:pPr>
      <w:r>
        <w:rPr>
          <w:rFonts w:ascii="Arial" w:hAnsi="Arial" w:cs="Arial"/>
        </w:rPr>
        <w:t xml:space="preserve">Resolução nº 6, de 08 de maio de 2020 - </w:t>
      </w:r>
      <w:r>
        <w:rPr>
          <w:rFonts w:ascii="Arial" w:hAnsi="Arial" w:eastAsia="SimSun" w:cs="Arial"/>
          <w:lang w:eastAsia="zh-CN" w:bidi="ar"/>
        </w:rPr>
        <w:t>Dispõe sobre o atendimento da alimentação escolar aos alunos da educação básica no âmbito do Programa Nacional de Alimentação Escolar – PNAE.</w:t>
      </w:r>
    </w:p>
    <w:p w14:paraId="09113F90">
      <w:pPr>
        <w:spacing w:before="120" w:beforeLines="50" w:after="120" w:afterLines="50" w:line="360" w:lineRule="auto"/>
        <w:ind w:right="176" w:rightChars="80"/>
        <w:jc w:val="both"/>
        <w:rPr>
          <w:rFonts w:ascii="Arial" w:hAnsi="Arial" w:eastAsia="SimSun" w:cs="Arial"/>
          <w:color w:val="000000"/>
          <w:lang w:eastAsia="zh-CN" w:bidi="ar"/>
        </w:rPr>
      </w:pPr>
      <w:r>
        <w:rPr>
          <w:rFonts w:ascii="Arial" w:hAnsi="Arial" w:eastAsia="TimesNewRomanPS-BoldMT" w:cs="Arial"/>
          <w:b/>
          <w:bCs/>
          <w:color w:val="000000"/>
          <w:lang w:eastAsia="zh-CN" w:bidi="ar"/>
        </w:rPr>
        <w:t xml:space="preserve">Decreto Municipal nº 304/2024 - </w:t>
      </w:r>
      <w:r>
        <w:rPr>
          <w:rFonts w:ascii="Arial" w:hAnsi="Arial" w:eastAsia="SimSun" w:cs="Arial"/>
          <w:color w:val="000000"/>
          <w:lang w:eastAsia="zh-CN" w:bidi="ar"/>
        </w:rPr>
        <w:t>dispõe sobre o processo de contagem de pontos para atribuição de turmas e/ou aulas e jornada de trabalho dos Profissionais e Servidores da Rede Municipal de Ensino, e dá outras providências.</w:t>
      </w:r>
    </w:p>
    <w:p w14:paraId="75C03B6B">
      <w:pPr>
        <w:spacing w:before="120" w:beforeLines="50" w:after="120" w:afterLines="50" w:line="360" w:lineRule="auto"/>
        <w:ind w:right="176" w:rightChars="80"/>
        <w:jc w:val="both"/>
        <w:rPr>
          <w:rFonts w:ascii="Arial" w:hAnsi="Arial" w:eastAsia="SimSun" w:cs="Arial"/>
          <w:color w:val="000000"/>
          <w:lang w:eastAsia="zh-CN" w:bidi="ar"/>
        </w:rPr>
      </w:pPr>
      <w:r>
        <w:rPr>
          <w:rFonts w:ascii="Arial" w:hAnsi="Arial" w:eastAsia="SimSun" w:cs="Arial"/>
          <w:color w:val="000000"/>
          <w:lang w:eastAsia="zh-CN" w:bidi="ar"/>
        </w:rPr>
        <w:t xml:space="preserve">Resolução CFN nº. 600/2018 - </w:t>
      </w:r>
      <w:bookmarkStart w:id="11" w:name="_Hlk487198901"/>
      <w:r>
        <w:rPr>
          <w:rFonts w:ascii="Arial" w:hAnsi="Arial" w:eastAsia="SimSun" w:cs="Arial"/>
          <w:bCs/>
          <w:color w:val="000000"/>
          <w:sz w:val="24"/>
          <w:szCs w:val="24"/>
        </w:rPr>
        <w:t>Dispõe sobre a definição das áreas de atuação do nutricionista e suas atribuições, indica parâmetros numéricos mínimos de referência, por área de atuação, para a efetividade dos serviços prestados à sociedade e dá outras providências</w:t>
      </w:r>
      <w:bookmarkEnd w:id="11"/>
      <w:r>
        <w:rPr>
          <w:rFonts w:ascii="Arial" w:hAnsi="Arial" w:eastAsia="SimSun" w:cs="Arial"/>
          <w:bCs/>
          <w:color w:val="000000"/>
          <w:sz w:val="24"/>
          <w:szCs w:val="24"/>
        </w:rPr>
        <w:t>.</w:t>
      </w:r>
    </w:p>
    <w:p w14:paraId="6AB47C58">
      <w:pPr>
        <w:pStyle w:val="19"/>
        <w:numPr>
          <w:ilvl w:val="1"/>
          <w:numId w:val="3"/>
        </w:numPr>
        <w:tabs>
          <w:tab w:val="left" w:leader="dot" w:pos="9345"/>
        </w:tabs>
        <w:spacing w:before="120" w:after="120" w:line="360" w:lineRule="auto"/>
        <w:ind w:right="176" w:rightChars="80"/>
        <w:rPr>
          <w:rFonts w:ascii="Arial" w:hAnsi="Arial" w:cs="Arial"/>
          <w:sz w:val="22"/>
          <w:szCs w:val="22"/>
          <w:lang w:val="pt-BR"/>
        </w:rPr>
      </w:pPr>
      <w:r>
        <w:rPr>
          <w:rFonts w:ascii="Arial" w:hAnsi="Arial" w:cs="Arial"/>
          <w:b/>
          <w:bCs/>
          <w:sz w:val="22"/>
          <w:szCs w:val="22"/>
          <w:lang w:val="pt-BR"/>
        </w:rPr>
        <w:t xml:space="preserve"> NECESSIDADE DE CONSOLIDAÇÃO PARA TODA A ESTRUTURA:</w:t>
      </w:r>
    </w:p>
    <w:p w14:paraId="29131B34">
      <w:pPr>
        <w:spacing w:after="120" w:line="360" w:lineRule="auto"/>
        <w:ind w:right="176" w:rightChars="80"/>
        <w:jc w:val="both"/>
        <w:rPr>
          <w:rFonts w:ascii="Arial" w:hAnsi="Arial" w:cs="Arial"/>
        </w:rPr>
      </w:pPr>
      <w:r>
        <w:rPr>
          <w:rFonts w:ascii="Arial" w:hAnsi="Arial" w:cs="Arial"/>
        </w:rPr>
        <w:t>(    ) Aquisição consolidada para toda estrutura</w:t>
      </w:r>
    </w:p>
    <w:p w14:paraId="5D076E8F">
      <w:pPr>
        <w:tabs>
          <w:tab w:val="left" w:pos="567"/>
          <w:tab w:val="left" w:pos="9240"/>
          <w:tab w:val="left" w:pos="9680"/>
        </w:tabs>
        <w:spacing w:before="120" w:beforeLines="50" w:after="120" w:afterLines="50" w:line="360" w:lineRule="auto"/>
        <w:ind w:right="176" w:rightChars="80"/>
        <w:jc w:val="both"/>
        <w:rPr>
          <w:rFonts w:ascii="Arial" w:hAnsi="Arial" w:cs="Arial"/>
        </w:rPr>
      </w:pPr>
      <w:r>
        <w:rPr>
          <w:rFonts w:ascii="Arial" w:hAnsi="Arial" w:cs="Arial"/>
        </w:rPr>
        <w:t xml:space="preserve">( X ) Aquisição exclusiva da unidade administrativa demandante </w:t>
      </w:r>
    </w:p>
    <w:p w14:paraId="01294788">
      <w:pPr>
        <w:numPr>
          <w:ilvl w:val="1"/>
          <w:numId w:val="3"/>
        </w:numPr>
        <w:tabs>
          <w:tab w:val="left" w:pos="567"/>
          <w:tab w:val="left" w:pos="9240"/>
          <w:tab w:val="left" w:pos="9680"/>
        </w:tabs>
        <w:spacing w:before="120" w:beforeLines="50" w:after="120" w:afterLines="50" w:line="360" w:lineRule="auto"/>
        <w:ind w:right="176" w:rightChars="80"/>
        <w:jc w:val="both"/>
        <w:rPr>
          <w:rFonts w:ascii="Arial" w:hAnsi="Arial" w:cs="Arial"/>
        </w:rPr>
      </w:pPr>
      <w:r>
        <w:rPr>
          <w:rFonts w:ascii="Arial" w:hAnsi="Arial" w:cs="Arial"/>
          <w:b/>
          <w:bCs/>
        </w:rPr>
        <w:t>VIABILIDADE DA ADOÇÃO DA MODALIDADE NA FORMA ELETRÔNICA:</w:t>
      </w:r>
    </w:p>
    <w:p w14:paraId="27A9EF3E">
      <w:pPr>
        <w:spacing w:after="120" w:line="360" w:lineRule="auto"/>
        <w:ind w:right="176" w:rightChars="80"/>
        <w:jc w:val="both"/>
        <w:rPr>
          <w:rFonts w:ascii="Arial" w:hAnsi="Arial" w:cs="Arial"/>
        </w:rPr>
      </w:pPr>
      <w:r>
        <w:rPr>
          <w:rFonts w:ascii="Arial" w:hAnsi="Arial" w:cs="Arial"/>
        </w:rPr>
        <w:t>( X ) Sim</w:t>
      </w:r>
    </w:p>
    <w:p w14:paraId="3D4BF843">
      <w:pPr>
        <w:spacing w:after="120" w:line="360" w:lineRule="auto"/>
        <w:ind w:right="176" w:rightChars="80"/>
        <w:jc w:val="both"/>
        <w:rPr>
          <w:rFonts w:ascii="Arial" w:hAnsi="Arial" w:cs="Arial"/>
        </w:rPr>
      </w:pPr>
      <w:r>
        <w:rPr>
          <w:rFonts w:ascii="Arial" w:hAnsi="Arial" w:cs="Arial"/>
        </w:rPr>
        <w:t>(    ) Não</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61"/>
      </w:tblGrid>
      <w:tr w14:paraId="1882A0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1" w:type="dxa"/>
            <w:shd w:val="clear" w:color="auto" w:fill="D8D8D8" w:themeFill="background1" w:themeFillShade="D9"/>
          </w:tcPr>
          <w:p w14:paraId="26800669">
            <w:pPr>
              <w:keepNext w:val="0"/>
              <w:keepLines w:val="0"/>
              <w:pageBreakBefore w:val="0"/>
              <w:widowControl/>
              <w:numPr>
                <w:ilvl w:val="0"/>
                <w:numId w:val="3"/>
              </w:numPr>
              <w:kinsoku/>
              <w:wordWrap/>
              <w:overflowPunct/>
              <w:topLinePunct w:val="0"/>
              <w:autoSpaceDE/>
              <w:autoSpaceDN/>
              <w:bidi w:val="0"/>
              <w:adjustRightInd/>
              <w:snapToGrid/>
              <w:spacing w:before="181" w:beforeLines="50" w:after="120" w:line="240" w:lineRule="auto"/>
              <w:ind w:right="176"/>
              <w:jc w:val="center"/>
              <w:textAlignment w:val="auto"/>
              <w:rPr>
                <w:rFonts w:ascii="Arial" w:hAnsi="Arial" w:cs="Arial"/>
                <w:sz w:val="24"/>
                <w:szCs w:val="24"/>
              </w:rPr>
            </w:pPr>
            <w:r>
              <w:rPr>
                <w:rFonts w:ascii="Arial" w:hAnsi="Arial" w:cs="Arial"/>
                <w:b/>
                <w:bCs/>
                <w:sz w:val="24"/>
                <w:szCs w:val="24"/>
              </w:rPr>
              <w:t>METODOLOGIA DE ESTIMATIVA DE PREÇO E PREÇO DE REFERÊNCIA</w:t>
            </w:r>
          </w:p>
        </w:tc>
      </w:tr>
    </w:tbl>
    <w:p w14:paraId="665B8921">
      <w:pPr>
        <w:numPr>
          <w:ilvl w:val="1"/>
          <w:numId w:val="3"/>
        </w:numPr>
        <w:tabs>
          <w:tab w:val="left" w:pos="567"/>
          <w:tab w:val="left" w:pos="9240"/>
          <w:tab w:val="left" w:pos="9680"/>
        </w:tabs>
        <w:spacing w:before="120" w:beforeLines="50" w:after="120" w:afterLines="50" w:line="360" w:lineRule="auto"/>
        <w:ind w:right="176" w:rightChars="80"/>
        <w:jc w:val="both"/>
        <w:rPr>
          <w:rFonts w:ascii="Arial" w:hAnsi="Arial" w:cs="Arial"/>
        </w:rPr>
      </w:pPr>
      <w:r>
        <w:rPr>
          <w:rFonts w:ascii="Arial" w:hAnsi="Arial" w:cs="Arial"/>
          <w:b/>
          <w:bCs/>
        </w:rPr>
        <w:t>Metodologia aplicável para a estimativa de preços ou preço de referência:</w:t>
      </w:r>
    </w:p>
    <w:p w14:paraId="60A8A73B">
      <w:pPr>
        <w:numPr>
          <w:ilvl w:val="2"/>
          <w:numId w:val="3"/>
        </w:numPr>
        <w:tabs>
          <w:tab w:val="left" w:pos="567"/>
          <w:tab w:val="left" w:pos="9240"/>
          <w:tab w:val="left" w:pos="9680"/>
        </w:tabs>
        <w:spacing w:before="120" w:beforeLines="50" w:after="120" w:afterLines="50" w:line="360" w:lineRule="auto"/>
        <w:ind w:right="176" w:rightChars="80"/>
        <w:jc w:val="both"/>
        <w:rPr>
          <w:rFonts w:ascii="Arial" w:hAnsi="Arial" w:cs="Arial"/>
        </w:rPr>
      </w:pPr>
      <w:r>
        <w:rPr>
          <w:rFonts w:ascii="Arial" w:hAnsi="Arial" w:eastAsia="Helvetica" w:cs="Arial"/>
          <w:color w:val="000000"/>
          <w:lang w:eastAsia="zh-CN" w:bidi="ar"/>
        </w:rPr>
        <w:t xml:space="preserve">A metodologia aplicada seguiu </w:t>
      </w:r>
      <w:r>
        <w:rPr>
          <w:rFonts w:ascii="Arial" w:hAnsi="Arial" w:cs="Arial"/>
        </w:rPr>
        <w:t>os procedimentos instituídos pelo decreto municipal n° 359/2023 que disciplina a pesquisa de preços, estabelecida no artigo 109, do decreto, onde pregões e atas de outros órgãos foram consultados através de pesquisa no site especializado Banco de Preços conforme parâmetro III deste artigo, porém neste caso vale salientar que os preços encontrados para compor o mapa de preços são de critérios de similaridade ou aproximação na descrição e caracteristica do item, uma vez que a particularidade e especificidade dependem de cada cardápio, respeitando cada fase de ensino. Por fim utilizou-se o parâmetro IV, pesquisa com fornecedores, evidenciando que os valores composto pela mediana estão de acordo com o preço de mercado atual.</w:t>
      </w:r>
    </w:p>
    <w:p w14:paraId="41246005">
      <w:pPr>
        <w:spacing w:before="120" w:beforeLines="50" w:after="120" w:line="360" w:lineRule="auto"/>
        <w:ind w:left="3520" w:leftChars="1600" w:right="172" w:rightChars="78"/>
        <w:jc w:val="both"/>
        <w:rPr>
          <w:rFonts w:ascii="Arial" w:hAnsi="Arial" w:eastAsia="SimSun" w:cs="Arial"/>
          <w:color w:val="000000"/>
          <w:sz w:val="20"/>
          <w:szCs w:val="20"/>
          <w:lang w:eastAsia="zh-CN" w:bidi="ar"/>
        </w:rPr>
      </w:pPr>
      <w:r>
        <w:rPr>
          <w:rFonts w:ascii="Arial" w:hAnsi="Arial" w:eastAsia="SimSun" w:cs="Arial"/>
          <w:color w:val="000000"/>
          <w:sz w:val="20"/>
          <w:szCs w:val="20"/>
          <w:lang w:eastAsia="zh-CN" w:bidi="ar"/>
        </w:rPr>
        <w:t xml:space="preserve">Art. 109. A Pesquisa de Preços para fins de determinação do preço estimado em processo licitatório para a aquisição de bens e contratação de serviços em geral ou para contratações diretas será realizada mediante a utilização dos seguintes parâmetros, empregados de forma combinada ou não: </w:t>
      </w:r>
    </w:p>
    <w:p w14:paraId="2B8474A3">
      <w:pPr>
        <w:spacing w:before="120" w:beforeLines="50" w:after="120" w:line="360" w:lineRule="auto"/>
        <w:ind w:left="3520" w:leftChars="1600" w:right="172" w:rightChars="78"/>
        <w:jc w:val="both"/>
        <w:rPr>
          <w:rFonts w:ascii="Arial" w:hAnsi="Arial" w:eastAsia="SimSun" w:cs="Arial"/>
          <w:color w:val="000000"/>
          <w:sz w:val="20"/>
          <w:szCs w:val="20"/>
          <w:lang w:eastAsia="zh-CN" w:bidi="ar"/>
        </w:rPr>
      </w:pPr>
      <w:r>
        <w:rPr>
          <w:rFonts w:ascii="Arial" w:hAnsi="Arial" w:eastAsia="SimSun" w:cs="Arial"/>
          <w:color w:val="000000"/>
          <w:sz w:val="20"/>
          <w:szCs w:val="20"/>
          <w:lang w:eastAsia="zh-CN" w:bidi="ar"/>
        </w:rPr>
        <w:t>(...);</w:t>
      </w:r>
    </w:p>
    <w:p w14:paraId="137B5C5F">
      <w:pPr>
        <w:spacing w:before="120" w:beforeLines="50" w:after="120" w:line="360" w:lineRule="auto"/>
        <w:ind w:left="3520" w:leftChars="1600" w:right="172" w:rightChars="78"/>
        <w:jc w:val="both"/>
        <w:rPr>
          <w:rFonts w:ascii="Arial" w:hAnsi="Arial" w:eastAsia="SimSun" w:cs="Arial"/>
          <w:sz w:val="20"/>
          <w:szCs w:val="20"/>
        </w:rPr>
      </w:pPr>
      <w:r>
        <w:rPr>
          <w:rFonts w:ascii="Arial" w:hAnsi="Arial" w:eastAsia="SimSun" w:cs="Arial"/>
          <w:sz w:val="20"/>
          <w:szCs w:val="20"/>
        </w:rPr>
        <w:t xml:space="preserve">III - Dados de pesquisa publicada em mídia especializada, de tabela de referência formalmente aprovada pelo Poder Executivo Federal e de sítios eletrônicos especializados ou de domínio amplo, desde que contenham a data e hora do acesso; </w:t>
      </w:r>
    </w:p>
    <w:p w14:paraId="7E93631A">
      <w:pPr>
        <w:spacing w:before="120" w:beforeLines="50" w:after="120" w:line="360" w:lineRule="auto"/>
        <w:ind w:left="3520" w:leftChars="1600" w:right="172" w:rightChars="78"/>
        <w:jc w:val="both"/>
        <w:rPr>
          <w:rFonts w:ascii="Times New Roman" w:hAnsi="Times New Roman" w:eastAsia="SimSun" w:cs="Times New Roman"/>
          <w:sz w:val="20"/>
          <w:szCs w:val="20"/>
        </w:rPr>
      </w:pPr>
      <w:r>
        <w:rPr>
          <w:rFonts w:ascii="Arial" w:hAnsi="Arial" w:eastAsia="SimSun" w:cs="Arial"/>
          <w:sz w:val="20"/>
          <w:szCs w:val="20"/>
        </w:rPr>
        <w:t>IV - Pesquisa direta com, no mínimo, 3 (três) fornecedores cadastrados ou não no sistema eletrônico do Município, mediante solicitação formal de cotação, por meio de ofício ou e-mail, desde que seja apresentada justificativa da escolha desses fornecedores, como prazo de validade da proposta, conforme estabelecido no presente Decreto, não podendo ultrapassar 6 meses de antecedência da divulgação do Edital.</w:t>
      </w:r>
    </w:p>
    <w:p w14:paraId="774DDE4B">
      <w:pPr>
        <w:numPr>
          <w:ilvl w:val="2"/>
          <w:numId w:val="3"/>
        </w:numPr>
        <w:tabs>
          <w:tab w:val="left" w:pos="9240"/>
        </w:tabs>
        <w:spacing w:before="120" w:beforeLines="50" w:after="120" w:afterLines="50" w:line="360" w:lineRule="auto"/>
        <w:ind w:right="172" w:rightChars="78"/>
        <w:jc w:val="both"/>
        <w:rPr>
          <w:rFonts w:ascii="Arial" w:hAnsi="Arial" w:eastAsia="Helvetica" w:cs="Arial"/>
          <w:color w:val="000000"/>
          <w:lang w:eastAsia="zh-CN"/>
        </w:rPr>
      </w:pPr>
      <w:r>
        <w:rPr>
          <w:rFonts w:ascii="Arial" w:hAnsi="Arial" w:eastAsia="SimSun"/>
        </w:rPr>
        <w:t>O valor da mediana se deu através de um conjunto 0</w:t>
      </w:r>
      <w:r>
        <w:rPr>
          <w:rFonts w:hint="default" w:ascii="Arial" w:hAnsi="Arial" w:eastAsia="SimSun"/>
          <w:lang w:val="pt-BR"/>
        </w:rPr>
        <w:t>5</w:t>
      </w:r>
      <w:r>
        <w:rPr>
          <w:rFonts w:ascii="Arial" w:hAnsi="Arial" w:eastAsia="SimSun"/>
        </w:rPr>
        <w:t xml:space="preserve"> valores para cada item, descartando o menor e o maior preço, considerando como referência o valor do central.  Vale ressaltar que quando o número de elementos de um conjunto é par, a mediana é a média aritmética simples dos dois valores centrais, ou seja, somou-se os valores centrais e dividiu-se por dois</w:t>
      </w:r>
      <w:r>
        <w:rPr>
          <w:rFonts w:ascii="Arial" w:hAnsi="Arial" w:cs="Arial"/>
        </w:rPr>
        <w:t>.</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61"/>
      </w:tblGrid>
      <w:tr w14:paraId="55C752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1" w:type="dxa"/>
            <w:shd w:val="clear" w:color="auto" w:fill="D8D8D8" w:themeFill="background1" w:themeFillShade="D9"/>
          </w:tcPr>
          <w:p w14:paraId="0155DB36">
            <w:pPr>
              <w:keepNext w:val="0"/>
              <w:keepLines w:val="0"/>
              <w:pageBreakBefore w:val="0"/>
              <w:widowControl/>
              <w:numPr>
                <w:ilvl w:val="0"/>
                <w:numId w:val="3"/>
              </w:numPr>
              <w:kinsoku/>
              <w:wordWrap/>
              <w:overflowPunct/>
              <w:topLinePunct w:val="0"/>
              <w:autoSpaceDE/>
              <w:autoSpaceDN/>
              <w:bidi w:val="0"/>
              <w:adjustRightInd/>
              <w:snapToGrid/>
              <w:spacing w:before="181" w:beforeLines="50" w:after="120" w:line="240" w:lineRule="auto"/>
              <w:jc w:val="center"/>
              <w:textAlignment w:val="auto"/>
              <w:rPr>
                <w:rFonts w:ascii="Arial" w:hAnsi="Arial" w:cs="Arial"/>
                <w:sz w:val="24"/>
                <w:szCs w:val="24"/>
                <w:highlight w:val="none"/>
              </w:rPr>
            </w:pPr>
            <w:r>
              <w:rPr>
                <w:rFonts w:ascii="Arial" w:hAnsi="Arial" w:cs="Arial"/>
                <w:b/>
                <w:bCs/>
                <w:sz w:val="24"/>
                <w:szCs w:val="24"/>
                <w:highlight w:val="none"/>
              </w:rPr>
              <w:t>LEVANTAMENTO DE MERCADO</w:t>
            </w:r>
          </w:p>
        </w:tc>
      </w:tr>
    </w:tbl>
    <w:p w14:paraId="5ABE6910">
      <w:pPr>
        <w:numPr>
          <w:ilvl w:val="1"/>
          <w:numId w:val="3"/>
        </w:numPr>
        <w:spacing w:before="120" w:beforeLines="50" w:after="120" w:afterLines="50" w:line="360" w:lineRule="auto"/>
        <w:ind w:right="172" w:rightChars="78"/>
        <w:jc w:val="both"/>
        <w:rPr>
          <w:rFonts w:ascii="Arial" w:hAnsi="Arial" w:cs="Arial"/>
          <w:highlight w:val="none"/>
        </w:rPr>
      </w:pPr>
      <w:r>
        <w:rPr>
          <w:rFonts w:ascii="Arial" w:hAnsi="Arial" w:eastAsia="CIDFont+F3" w:cs="Arial"/>
          <w:b/>
          <w:bCs/>
          <w:color w:val="000000"/>
          <w:highlight w:val="none"/>
          <w:lang w:eastAsia="zh-CN" w:bidi="ar"/>
        </w:rPr>
        <w:t xml:space="preserve">Solução 1: Gestão Centralizada Direta:  </w:t>
      </w:r>
    </w:p>
    <w:p w14:paraId="55D183E5">
      <w:pPr>
        <w:numPr>
          <w:ilvl w:val="2"/>
          <w:numId w:val="3"/>
        </w:numPr>
        <w:spacing w:before="120" w:beforeLines="50" w:after="120" w:afterLines="50" w:line="360" w:lineRule="auto"/>
        <w:ind w:right="172" w:rightChars="78"/>
        <w:jc w:val="both"/>
        <w:rPr>
          <w:rFonts w:ascii="Arial" w:hAnsi="Arial" w:cs="Arial"/>
          <w:highlight w:val="none"/>
        </w:rPr>
      </w:pPr>
      <w:r>
        <w:rPr>
          <w:rFonts w:ascii="Arial" w:hAnsi="Arial" w:eastAsia="CIDFont+F4" w:cs="Arial"/>
          <w:color w:val="000000"/>
          <w:highlight w:val="none"/>
          <w:lang w:eastAsia="zh-CN" w:bidi="ar"/>
        </w:rPr>
        <w:t xml:space="preserve">Atualmente o Setor de Alimentação Escolar através das Secretaria Municipal de Educação adquire os gêneros alimentícios, que são fornecidos às </w:t>
      </w:r>
      <w:r>
        <w:rPr>
          <w:rFonts w:ascii="Arial" w:hAnsi="Arial" w:eastAsia="SimSun" w:cs="Arial"/>
          <w:color w:val="000000"/>
          <w:highlight w:val="none"/>
          <w:lang w:eastAsia="zh-CN" w:bidi="ar"/>
        </w:rPr>
        <w:t>Unidades Educativas</w:t>
      </w:r>
      <w:r>
        <w:rPr>
          <w:rFonts w:ascii="Arial" w:hAnsi="Arial" w:eastAsia="CIDFont+F4" w:cs="Arial"/>
          <w:color w:val="000000"/>
          <w:highlight w:val="none"/>
          <w:lang w:eastAsia="zh-CN" w:bidi="ar"/>
        </w:rPr>
        <w:t xml:space="preserve"> para o preparo e distribuição da alimentação escolar. A entrega dos gêneros alimentícios pelos fornecedores pode ser realizada diretamente às </w:t>
      </w:r>
      <w:r>
        <w:rPr>
          <w:rFonts w:ascii="Arial" w:hAnsi="Arial" w:eastAsia="SimSun" w:cs="Arial"/>
          <w:color w:val="000000"/>
          <w:highlight w:val="none"/>
          <w:lang w:eastAsia="zh-CN" w:bidi="ar"/>
        </w:rPr>
        <w:t>Unidades Educativas</w:t>
      </w:r>
      <w:r>
        <w:rPr>
          <w:rFonts w:ascii="Arial" w:hAnsi="Arial" w:eastAsia="CIDFont+F4" w:cs="Arial"/>
          <w:color w:val="000000"/>
          <w:highlight w:val="none"/>
          <w:lang w:eastAsia="zh-CN" w:bidi="ar"/>
        </w:rPr>
        <w:t xml:space="preserve"> e pode haver depósitos centrais de intermediação do abastecimento. </w:t>
      </w:r>
    </w:p>
    <w:p w14:paraId="61BDD669">
      <w:pPr>
        <w:numPr>
          <w:ilvl w:val="2"/>
          <w:numId w:val="3"/>
        </w:numPr>
        <w:spacing w:before="120" w:beforeLines="50" w:after="120" w:afterLines="50" w:line="360" w:lineRule="auto"/>
        <w:ind w:right="172" w:rightChars="78"/>
        <w:jc w:val="both"/>
        <w:rPr>
          <w:rFonts w:ascii="Arial" w:hAnsi="Arial" w:cs="Arial"/>
          <w:highlight w:val="none"/>
        </w:rPr>
      </w:pPr>
      <w:r>
        <w:rPr>
          <w:rFonts w:ascii="Arial" w:hAnsi="Arial" w:eastAsia="CIDFont+F4" w:cs="Arial"/>
          <w:color w:val="000000"/>
          <w:highlight w:val="none"/>
          <w:lang w:eastAsia="zh-CN" w:bidi="ar"/>
        </w:rPr>
        <w:t xml:space="preserve">Para essa solução são necessários: </w:t>
      </w:r>
    </w:p>
    <w:p w14:paraId="4AD75B67">
      <w:pPr>
        <w:numPr>
          <w:ilvl w:val="0"/>
          <w:numId w:val="47"/>
        </w:numPr>
        <w:spacing w:before="120" w:beforeLines="50" w:after="120" w:afterLines="50" w:line="360" w:lineRule="auto"/>
        <w:ind w:right="176" w:rightChars="80" w:firstLine="15"/>
        <w:jc w:val="both"/>
        <w:rPr>
          <w:rFonts w:ascii="Arial" w:hAnsi="Arial" w:cs="Arial"/>
          <w:highlight w:val="none"/>
        </w:rPr>
      </w:pPr>
      <w:r>
        <w:rPr>
          <w:rFonts w:ascii="Arial" w:hAnsi="Arial" w:eastAsia="CIDFont+F4" w:cs="Arial"/>
          <w:color w:val="000000"/>
          <w:highlight w:val="none"/>
          <w:lang w:eastAsia="zh-CN" w:bidi="ar"/>
        </w:rPr>
        <w:t xml:space="preserve">Mão de obra própria por meio de concurso público específico para os cargos de merendeira, nutricionista, administrativo e ajudante geral; </w:t>
      </w:r>
    </w:p>
    <w:p w14:paraId="42DA4F6A">
      <w:pPr>
        <w:numPr>
          <w:ilvl w:val="0"/>
          <w:numId w:val="47"/>
        </w:numPr>
        <w:spacing w:before="120" w:beforeLines="50" w:after="120" w:afterLines="50" w:line="360" w:lineRule="auto"/>
        <w:ind w:right="176" w:rightChars="80" w:firstLine="15"/>
        <w:jc w:val="both"/>
        <w:rPr>
          <w:rFonts w:ascii="Arial" w:hAnsi="Arial" w:cs="Arial"/>
          <w:highlight w:val="none"/>
        </w:rPr>
      </w:pPr>
      <w:r>
        <w:rPr>
          <w:rFonts w:ascii="Arial" w:hAnsi="Arial" w:eastAsia="CIDFont+F4" w:cs="Arial"/>
          <w:color w:val="000000"/>
          <w:highlight w:val="none"/>
          <w:lang w:eastAsia="zh-CN" w:bidi="ar"/>
        </w:rPr>
        <w:t xml:space="preserve">Processos licitatórios para aquisição de gêneros alimentícios, equipamentos, utensílios e gás liquefeito de petróleo; </w:t>
      </w:r>
    </w:p>
    <w:p w14:paraId="4C257CE9">
      <w:pPr>
        <w:numPr>
          <w:ilvl w:val="0"/>
          <w:numId w:val="47"/>
        </w:numPr>
        <w:spacing w:before="120" w:beforeLines="50" w:after="120" w:afterLines="50" w:line="360" w:lineRule="auto"/>
        <w:ind w:right="176" w:rightChars="80" w:firstLine="15"/>
        <w:jc w:val="both"/>
        <w:rPr>
          <w:rFonts w:ascii="Arial" w:hAnsi="Arial" w:cs="Arial"/>
          <w:highlight w:val="none"/>
        </w:rPr>
      </w:pPr>
      <w:r>
        <w:rPr>
          <w:rFonts w:ascii="Arial" w:hAnsi="Arial" w:eastAsia="CIDFont+F4" w:cs="Arial"/>
          <w:color w:val="000000"/>
          <w:highlight w:val="none"/>
          <w:lang w:eastAsia="zh-CN" w:bidi="ar"/>
        </w:rPr>
        <w:t xml:space="preserve">Estoque central de alimentos com câmara fria e estoque de alimentos nas </w:t>
      </w:r>
      <w:r>
        <w:rPr>
          <w:rFonts w:ascii="Arial" w:hAnsi="Arial" w:eastAsia="SimSun" w:cs="Arial"/>
          <w:color w:val="000000"/>
          <w:highlight w:val="none"/>
          <w:lang w:eastAsia="zh-CN" w:bidi="ar"/>
        </w:rPr>
        <w:t>Unidades Educativas</w:t>
      </w:r>
      <w:r>
        <w:rPr>
          <w:rFonts w:ascii="Arial" w:hAnsi="Arial" w:eastAsia="CIDFont+F4" w:cs="Arial"/>
          <w:color w:val="000000"/>
          <w:highlight w:val="none"/>
          <w:lang w:eastAsia="zh-CN" w:bidi="ar"/>
        </w:rPr>
        <w:t xml:space="preserve">; </w:t>
      </w:r>
    </w:p>
    <w:p w14:paraId="5535C398">
      <w:pPr>
        <w:numPr>
          <w:ilvl w:val="0"/>
          <w:numId w:val="47"/>
        </w:numPr>
        <w:spacing w:before="120" w:beforeLines="50" w:after="120" w:afterLines="50" w:line="360" w:lineRule="auto"/>
        <w:ind w:right="176" w:rightChars="80" w:firstLine="15"/>
        <w:jc w:val="both"/>
        <w:rPr>
          <w:rFonts w:ascii="Arial" w:hAnsi="Arial" w:cs="Arial"/>
          <w:highlight w:val="none"/>
        </w:rPr>
      </w:pPr>
      <w:r>
        <w:rPr>
          <w:rFonts w:ascii="Arial" w:hAnsi="Arial" w:eastAsia="CIDFont+F4" w:cs="Arial"/>
          <w:color w:val="000000"/>
          <w:highlight w:val="none"/>
          <w:lang w:eastAsia="zh-CN" w:bidi="ar"/>
        </w:rPr>
        <w:t xml:space="preserve">Veículos para transporte de alimentos; </w:t>
      </w:r>
    </w:p>
    <w:p w14:paraId="0A9D8CF7">
      <w:pPr>
        <w:numPr>
          <w:ilvl w:val="0"/>
          <w:numId w:val="47"/>
        </w:numPr>
        <w:spacing w:before="120" w:beforeLines="50" w:after="120" w:afterLines="50" w:line="360" w:lineRule="auto"/>
        <w:ind w:right="176" w:rightChars="80" w:firstLine="15"/>
        <w:jc w:val="both"/>
        <w:rPr>
          <w:rFonts w:ascii="Arial" w:hAnsi="Arial" w:cs="Arial"/>
          <w:highlight w:val="none"/>
        </w:rPr>
      </w:pPr>
      <w:r>
        <w:rPr>
          <w:rFonts w:ascii="Arial" w:hAnsi="Arial" w:eastAsia="CIDFont+F4" w:cs="Arial"/>
          <w:color w:val="000000"/>
          <w:highlight w:val="none"/>
          <w:lang w:eastAsia="zh-CN" w:bidi="ar"/>
        </w:rPr>
        <w:t xml:space="preserve">Serviços de manutenção de equipamentos de linha branca, dedetização e desratização periódicas, manutenção e limpeza de caixas d´água. </w:t>
      </w:r>
    </w:p>
    <w:p w14:paraId="5935A50A">
      <w:pPr>
        <w:numPr>
          <w:ilvl w:val="1"/>
          <w:numId w:val="3"/>
        </w:numPr>
        <w:spacing w:after="0" w:line="360" w:lineRule="auto"/>
        <w:ind w:right="176" w:rightChars="80"/>
        <w:contextualSpacing/>
        <w:jc w:val="both"/>
        <w:rPr>
          <w:rFonts w:ascii="Arial" w:hAnsi="Arial" w:cs="Arial"/>
          <w:highlight w:val="none"/>
        </w:rPr>
      </w:pPr>
      <w:r>
        <w:rPr>
          <w:rFonts w:ascii="Arial" w:hAnsi="Arial" w:eastAsia="CIDFont+F3" w:cs="Arial"/>
          <w:b/>
          <w:bCs/>
          <w:color w:val="000000"/>
          <w:highlight w:val="none"/>
          <w:lang w:eastAsia="zh-CN" w:bidi="ar"/>
        </w:rPr>
        <w:t xml:space="preserve">Solução 2: Gestão terceirizada: </w:t>
      </w:r>
    </w:p>
    <w:p w14:paraId="7A094B25">
      <w:pPr>
        <w:numPr>
          <w:ilvl w:val="2"/>
          <w:numId w:val="3"/>
        </w:numPr>
        <w:spacing w:after="0" w:line="360" w:lineRule="auto"/>
        <w:ind w:right="176" w:rightChars="80"/>
        <w:contextualSpacing/>
        <w:jc w:val="both"/>
        <w:rPr>
          <w:rFonts w:ascii="Arial" w:hAnsi="Arial" w:cs="Arial"/>
          <w:highlight w:val="none"/>
        </w:rPr>
      </w:pPr>
      <w:r>
        <w:rPr>
          <w:rFonts w:ascii="Arial" w:hAnsi="Arial" w:eastAsia="CIDFont+F4" w:cs="Arial"/>
          <w:highlight w:val="none"/>
          <w:lang w:eastAsia="zh-CN" w:bidi="ar"/>
        </w:rPr>
        <w:t>A entidade executora contrata empresa especializada que assume integralmente a responsabilidade operacional pelo fornecimento da alimentação escolar aos estudantes das Unidades Educativas da rede pública municipal.</w:t>
      </w:r>
    </w:p>
    <w:p w14:paraId="5194B477">
      <w:pPr>
        <w:numPr>
          <w:ilvl w:val="2"/>
          <w:numId w:val="3"/>
        </w:numPr>
        <w:spacing w:after="0" w:line="360" w:lineRule="auto"/>
        <w:ind w:right="176" w:rightChars="80"/>
        <w:contextualSpacing/>
        <w:jc w:val="both"/>
        <w:rPr>
          <w:rFonts w:ascii="Arial" w:hAnsi="Arial" w:cs="Arial"/>
          <w:highlight w:val="none"/>
        </w:rPr>
      </w:pPr>
      <w:r>
        <w:rPr>
          <w:rFonts w:ascii="Arial" w:hAnsi="Arial" w:eastAsia="CIDFont+F4" w:cs="Arial"/>
          <w:color w:val="000000"/>
          <w:highlight w:val="none"/>
          <w:lang w:eastAsia="zh-CN" w:bidi="ar"/>
        </w:rPr>
        <w:t>Neste modelo, a empresa contratada é responsável por:</w:t>
      </w:r>
    </w:p>
    <w:p w14:paraId="7707A355">
      <w:pPr>
        <w:numPr>
          <w:ilvl w:val="0"/>
          <w:numId w:val="48"/>
        </w:numPr>
        <w:spacing w:after="0" w:line="360" w:lineRule="auto"/>
        <w:ind w:right="176" w:rightChars="80" w:firstLine="15"/>
        <w:contextualSpacing/>
        <w:jc w:val="both"/>
        <w:rPr>
          <w:rFonts w:ascii="Arial" w:hAnsi="Arial" w:cs="Arial"/>
          <w:highlight w:val="none"/>
        </w:rPr>
      </w:pPr>
      <w:r>
        <w:rPr>
          <w:rStyle w:val="8"/>
          <w:rFonts w:ascii="Arial" w:hAnsi="Arial" w:cs="Arial"/>
          <w:highlight w:val="none"/>
        </w:rPr>
        <w:t>Fornecimento integral de gêneros alimentícios:</w:t>
      </w:r>
      <w:r>
        <w:rPr>
          <w:rFonts w:ascii="Arial" w:hAnsi="Arial" w:cs="Arial"/>
          <w:highlight w:val="none"/>
        </w:rPr>
        <w:t xml:space="preserve"> aquisição, transporte, armazenamento e controle de estoque de todos os insumos necessários à execução dos cardápios estabelecidos pelo Setor de Alimentação Escolar (exceto produtos da agricultura familiar, cuja aquisição permanece sob responsabilidade da Administração conforme exigência legal);</w:t>
      </w:r>
    </w:p>
    <w:p w14:paraId="1F8E5FE3">
      <w:pPr>
        <w:numPr>
          <w:ilvl w:val="0"/>
          <w:numId w:val="48"/>
        </w:numPr>
        <w:spacing w:after="0" w:line="360" w:lineRule="auto"/>
        <w:ind w:right="176" w:rightChars="80" w:firstLine="15"/>
        <w:contextualSpacing/>
        <w:jc w:val="both"/>
        <w:rPr>
          <w:rFonts w:ascii="Arial" w:hAnsi="Arial" w:cs="Arial"/>
          <w:highlight w:val="none"/>
        </w:rPr>
      </w:pPr>
      <w:r>
        <w:rPr>
          <w:rStyle w:val="8"/>
          <w:rFonts w:ascii="Arial" w:hAnsi="Arial" w:cs="Arial"/>
          <w:highlight w:val="none"/>
        </w:rPr>
        <w:t>Mão de obra especializada:</w:t>
      </w:r>
      <w:r>
        <w:rPr>
          <w:rFonts w:ascii="Arial" w:hAnsi="Arial" w:cs="Arial"/>
          <w:highlight w:val="none"/>
        </w:rPr>
        <w:t xml:space="preserve"> contratação, capacitação e disponibilização de profissionais de manipulação de alimentos (cozinheiras/merendeiras) em quantitativo adequado às necessidades de cada unidade educativa, conforme parâmetros técnicos estabelecidos;</w:t>
      </w:r>
    </w:p>
    <w:p w14:paraId="3BB250B4">
      <w:pPr>
        <w:numPr>
          <w:ilvl w:val="0"/>
          <w:numId w:val="48"/>
        </w:numPr>
        <w:spacing w:after="0" w:line="360" w:lineRule="auto"/>
        <w:ind w:right="176" w:rightChars="80" w:firstLine="15"/>
        <w:contextualSpacing/>
        <w:jc w:val="both"/>
        <w:rPr>
          <w:rFonts w:ascii="Arial" w:hAnsi="Arial" w:cs="Arial"/>
          <w:highlight w:val="none"/>
        </w:rPr>
      </w:pPr>
      <w:r>
        <w:rPr>
          <w:rStyle w:val="8"/>
          <w:rFonts w:ascii="Arial" w:hAnsi="Arial" w:cs="Arial"/>
          <w:highlight w:val="none"/>
        </w:rPr>
        <w:t>Estrutura logística:</w:t>
      </w:r>
      <w:r>
        <w:rPr>
          <w:rFonts w:ascii="Arial" w:hAnsi="Arial" w:cs="Arial"/>
          <w:highlight w:val="none"/>
        </w:rPr>
        <w:t xml:space="preserve"> veículos, equipamentos e sistemas de distribuição necessários ao transporte e entrega dos insumos às unidades educativas;</w:t>
      </w:r>
    </w:p>
    <w:p w14:paraId="6A0CF405">
      <w:pPr>
        <w:numPr>
          <w:ilvl w:val="0"/>
          <w:numId w:val="48"/>
        </w:numPr>
        <w:spacing w:after="0" w:line="360" w:lineRule="auto"/>
        <w:ind w:right="176" w:rightChars="80" w:firstLine="15"/>
        <w:contextualSpacing/>
        <w:jc w:val="both"/>
        <w:rPr>
          <w:rFonts w:ascii="Arial" w:hAnsi="Arial" w:cs="Arial"/>
          <w:highlight w:val="none"/>
        </w:rPr>
      </w:pPr>
      <w:r>
        <w:rPr>
          <w:rStyle w:val="8"/>
          <w:rFonts w:ascii="Arial" w:hAnsi="Arial" w:cs="Arial"/>
          <w:highlight w:val="none"/>
        </w:rPr>
        <w:t>Infraestrutura operacional:</w:t>
      </w:r>
      <w:r>
        <w:rPr>
          <w:rFonts w:ascii="Arial" w:hAnsi="Arial" w:cs="Arial"/>
          <w:highlight w:val="none"/>
        </w:rPr>
        <w:t xml:space="preserve"> fornecimento de materiais descartáveis, produtos de limpeza e higienização, gás de cozinha (GLP) e demais insumos operacionais necessários;</w:t>
      </w:r>
    </w:p>
    <w:p w14:paraId="4D70E638">
      <w:pPr>
        <w:numPr>
          <w:ilvl w:val="0"/>
          <w:numId w:val="48"/>
        </w:numPr>
        <w:spacing w:after="0" w:line="360" w:lineRule="auto"/>
        <w:ind w:right="176" w:rightChars="80" w:firstLine="15"/>
        <w:contextualSpacing/>
        <w:jc w:val="both"/>
        <w:rPr>
          <w:rFonts w:ascii="Arial" w:hAnsi="Arial" w:cs="Arial"/>
          <w:highlight w:val="none"/>
        </w:rPr>
      </w:pPr>
      <w:r>
        <w:rPr>
          <w:rStyle w:val="8"/>
          <w:rFonts w:ascii="Arial" w:hAnsi="Arial" w:cs="Arial"/>
          <w:highlight w:val="none"/>
        </w:rPr>
        <w:t>Manutenção preventiva e corretiva:</w:t>
      </w:r>
      <w:r>
        <w:rPr>
          <w:rFonts w:ascii="Arial" w:hAnsi="Arial" w:cs="Arial"/>
          <w:highlight w:val="none"/>
        </w:rPr>
        <w:t xml:space="preserve"> responsabilidade pela manutenção, reparo e reposição de equipamentos, utensílios e estruturas físicas das cozinhas escolares;</w:t>
      </w:r>
    </w:p>
    <w:p w14:paraId="1D434591">
      <w:pPr>
        <w:numPr>
          <w:ilvl w:val="0"/>
          <w:numId w:val="48"/>
        </w:numPr>
        <w:spacing w:after="0" w:line="360" w:lineRule="auto"/>
        <w:ind w:right="176" w:rightChars="80" w:firstLine="15"/>
        <w:contextualSpacing/>
        <w:jc w:val="both"/>
        <w:rPr>
          <w:rFonts w:ascii="Arial" w:hAnsi="Arial" w:cs="Arial"/>
          <w:highlight w:val="none"/>
        </w:rPr>
      </w:pPr>
      <w:r>
        <w:rPr>
          <w:rStyle w:val="8"/>
          <w:rFonts w:ascii="Arial" w:hAnsi="Arial" w:cs="Arial"/>
          <w:highlight w:val="none"/>
        </w:rPr>
        <w:t>Sistema digital de controle:</w:t>
      </w:r>
      <w:r>
        <w:rPr>
          <w:rFonts w:ascii="Arial" w:hAnsi="Arial" w:cs="Arial"/>
          <w:highlight w:val="none"/>
        </w:rPr>
        <w:t xml:space="preserve"> implantação e operação de sistema biométrico ou facial de aferição e controle das refeições servidas, com emissão de relatórios gerenciais acessíveis em tempo real pela Administração;</w:t>
      </w:r>
    </w:p>
    <w:p w14:paraId="2E656250">
      <w:pPr>
        <w:numPr>
          <w:ilvl w:val="0"/>
          <w:numId w:val="48"/>
        </w:numPr>
        <w:spacing w:after="0" w:line="360" w:lineRule="auto"/>
        <w:ind w:right="176" w:rightChars="80" w:firstLine="15"/>
        <w:contextualSpacing/>
        <w:jc w:val="both"/>
        <w:rPr>
          <w:rFonts w:ascii="Arial" w:hAnsi="Arial" w:cs="Arial"/>
          <w:highlight w:val="none"/>
        </w:rPr>
      </w:pPr>
      <w:r>
        <w:rPr>
          <w:rStyle w:val="8"/>
          <w:rFonts w:ascii="Arial" w:hAnsi="Arial" w:cs="Arial"/>
          <w:highlight w:val="none"/>
        </w:rPr>
        <w:t>Supervisão técnica própria:</w:t>
      </w:r>
      <w:r>
        <w:rPr>
          <w:rFonts w:ascii="Arial" w:hAnsi="Arial" w:cs="Arial"/>
          <w:highlight w:val="none"/>
        </w:rPr>
        <w:t xml:space="preserve"> disponibilização de nutricionista responsável técnico da empresa para interface com o Setor de Alimentação Escolar da SME e supervisão das equipes operacionais.</w:t>
      </w:r>
    </w:p>
    <w:p w14:paraId="2A97E3E0">
      <w:pPr>
        <w:pStyle w:val="26"/>
        <w:numPr>
          <w:ilvl w:val="2"/>
          <w:numId w:val="3"/>
        </w:numPr>
        <w:spacing w:before="0" w:after="0" w:afterLines="0" w:line="360" w:lineRule="auto"/>
        <w:ind w:right="176" w:rightChars="80"/>
        <w:contextualSpacing/>
        <w:rPr>
          <w:rFonts w:ascii="Arial" w:hAnsi="Arial" w:cs="Arial"/>
          <w:highlight w:val="none"/>
        </w:rPr>
      </w:pPr>
      <w:r>
        <w:rPr>
          <w:rFonts w:ascii="Arial" w:hAnsi="Arial" w:cs="Arial"/>
          <w:b/>
          <w:bCs/>
          <w:highlight w:val="none"/>
        </w:rPr>
        <w:t>Interface com a Agricultura Familiar</w:t>
      </w:r>
      <w:r>
        <w:rPr>
          <w:rFonts w:ascii="Arial" w:hAnsi="Arial" w:cs="Arial"/>
          <w:highlight w:val="none"/>
        </w:rPr>
        <w:t xml:space="preserve">: </w:t>
      </w:r>
    </w:p>
    <w:p w14:paraId="493C08AB">
      <w:pPr>
        <w:pStyle w:val="26"/>
        <w:numPr>
          <w:ilvl w:val="3"/>
          <w:numId w:val="3"/>
        </w:numPr>
        <w:spacing w:before="0" w:after="0" w:afterLines="0" w:line="360" w:lineRule="auto"/>
        <w:ind w:right="176" w:rightChars="80"/>
        <w:contextualSpacing/>
        <w:rPr>
          <w:rFonts w:ascii="Arial" w:hAnsi="Arial" w:cs="Arial"/>
          <w:highlight w:val="none"/>
        </w:rPr>
      </w:pPr>
      <w:r>
        <w:rPr>
          <w:rFonts w:ascii="Arial" w:hAnsi="Arial" w:cs="Arial"/>
          <w:highlight w:val="none"/>
        </w:rPr>
        <w:t xml:space="preserve">Conforme determina a Lei Federal nº 11.947/2009 e a Resolução FNDE nº 06/2020, a Administração Municipal permanece obrigada a destinar no mínimo 30% dos recursos federais do PNAE para aquisição de gêneros alimentícios diretamente da agricultura familiar, mediante processo de chamamento público específico. </w:t>
      </w:r>
    </w:p>
    <w:p w14:paraId="3A2C893A">
      <w:pPr>
        <w:pStyle w:val="26"/>
        <w:numPr>
          <w:ilvl w:val="3"/>
          <w:numId w:val="3"/>
        </w:numPr>
        <w:spacing w:before="0" w:after="0" w:afterLines="0" w:line="360" w:lineRule="auto"/>
        <w:ind w:right="176" w:rightChars="80"/>
        <w:contextualSpacing/>
        <w:rPr>
          <w:rFonts w:ascii="Arial" w:hAnsi="Arial" w:cs="Arial"/>
          <w:highlight w:val="none"/>
        </w:rPr>
      </w:pPr>
      <w:r>
        <w:rPr>
          <w:rFonts w:ascii="Arial" w:hAnsi="Arial" w:cs="Arial"/>
          <w:highlight w:val="none"/>
        </w:rPr>
        <w:t xml:space="preserve">No modelo de gestão terceirizada, a Prefeitura Municipal mantém sob sua responsabilidade: </w:t>
      </w:r>
    </w:p>
    <w:p w14:paraId="208B86F7">
      <w:pPr>
        <w:pStyle w:val="26"/>
        <w:numPr>
          <w:ilvl w:val="0"/>
          <w:numId w:val="49"/>
        </w:numPr>
        <w:spacing w:before="0" w:after="0" w:afterLines="0" w:line="360" w:lineRule="auto"/>
        <w:ind w:right="176" w:rightChars="80"/>
        <w:contextualSpacing/>
        <w:rPr>
          <w:rFonts w:ascii="Arial" w:hAnsi="Arial" w:cs="Arial"/>
          <w:highlight w:val="none"/>
        </w:rPr>
      </w:pPr>
      <w:r>
        <w:rPr>
          <w:rFonts w:ascii="Arial" w:hAnsi="Arial" w:cs="Arial"/>
          <w:highlight w:val="none"/>
        </w:rPr>
        <w:t>A realização dos processos de chamamento público para credenciamento de produtores da agricultura familiar;</w:t>
      </w:r>
    </w:p>
    <w:p w14:paraId="14523DFE">
      <w:pPr>
        <w:pStyle w:val="26"/>
        <w:numPr>
          <w:ilvl w:val="0"/>
          <w:numId w:val="49"/>
        </w:numPr>
        <w:spacing w:before="0" w:after="0" w:afterLines="0" w:line="360" w:lineRule="auto"/>
        <w:ind w:right="176" w:rightChars="80"/>
        <w:contextualSpacing/>
        <w:rPr>
          <w:rFonts w:ascii="Arial" w:hAnsi="Arial" w:cs="Arial"/>
          <w:highlight w:val="none"/>
        </w:rPr>
      </w:pPr>
      <w:r>
        <w:rPr>
          <w:rFonts w:ascii="Arial" w:hAnsi="Arial" w:cs="Arial"/>
          <w:highlight w:val="none"/>
        </w:rPr>
        <w:t>A formalização dos contratos de fornecimento com agricultores familiares ou suas cooperativas;</w:t>
      </w:r>
    </w:p>
    <w:p w14:paraId="6FCC8BA5">
      <w:pPr>
        <w:pStyle w:val="26"/>
        <w:numPr>
          <w:ilvl w:val="0"/>
          <w:numId w:val="49"/>
        </w:numPr>
        <w:spacing w:before="0" w:after="0" w:afterLines="0" w:line="360" w:lineRule="auto"/>
        <w:ind w:right="176" w:rightChars="80"/>
        <w:contextualSpacing/>
        <w:rPr>
          <w:rFonts w:ascii="Arial" w:hAnsi="Arial" w:cs="Arial"/>
          <w:highlight w:val="none"/>
        </w:rPr>
      </w:pPr>
      <w:r>
        <w:rPr>
          <w:rFonts w:ascii="Arial" w:hAnsi="Arial" w:cs="Arial"/>
          <w:highlight w:val="none"/>
        </w:rPr>
        <w:t>O pagamento direto aos fornecedores da agricultura familiar.</w:t>
      </w:r>
    </w:p>
    <w:p w14:paraId="36B9D657">
      <w:pPr>
        <w:pStyle w:val="26"/>
        <w:numPr>
          <w:ilvl w:val="3"/>
          <w:numId w:val="3"/>
        </w:numPr>
        <w:spacing w:beforeLines="50" w:line="360" w:lineRule="auto"/>
        <w:ind w:right="176" w:rightChars="80"/>
        <w:rPr>
          <w:rFonts w:ascii="Arial" w:hAnsi="Arial" w:cs="Arial"/>
          <w:highlight w:val="none"/>
        </w:rPr>
      </w:pPr>
      <w:r>
        <w:rPr>
          <w:rFonts w:ascii="Arial" w:hAnsi="Arial" w:cs="Arial"/>
          <w:highlight w:val="none"/>
        </w:rPr>
        <w:t>Esta sistemática assegura o cumprimento da obrigação legal de fortalecimento da agricultura familiar, mantendo a gestão pública deste aspecto específico do PNAE, enquanto a execução operacional (preparo e servimento das refeições utilizando estes insumos) fica sob responsabilidade da empresa especializada.</w:t>
      </w:r>
    </w:p>
    <w:p w14:paraId="10C96D63">
      <w:pPr>
        <w:numPr>
          <w:ilvl w:val="1"/>
          <w:numId w:val="3"/>
        </w:numPr>
        <w:spacing w:before="120" w:beforeLines="50" w:after="120" w:afterLines="50" w:line="360" w:lineRule="auto"/>
        <w:ind w:right="176" w:rightChars="80"/>
        <w:jc w:val="both"/>
        <w:rPr>
          <w:rFonts w:ascii="Arial" w:hAnsi="Arial" w:eastAsia="Times New Roman" w:cs="Arial"/>
          <w:color w:val="000000"/>
          <w:highlight w:val="none"/>
          <w:lang w:eastAsia="pt-BR"/>
        </w:rPr>
      </w:pPr>
      <w:r>
        <w:rPr>
          <w:rFonts w:ascii="Arial" w:hAnsi="Arial" w:eastAsia="CIDFont+F4" w:cs="Arial"/>
          <w:color w:val="000000"/>
          <w:highlight w:val="none"/>
          <w:lang w:eastAsia="zh-CN" w:bidi="ar"/>
        </w:rPr>
        <w:t xml:space="preserve">A </w:t>
      </w:r>
      <w:r>
        <w:rPr>
          <w:rFonts w:ascii="Arial" w:hAnsi="Arial" w:eastAsia="Cambria" w:cs="Arial"/>
          <w:highlight w:val="none"/>
        </w:rPr>
        <w:t>“</w:t>
      </w:r>
      <w:r>
        <w:rPr>
          <w:rFonts w:ascii="Arial" w:hAnsi="Arial" w:cs="Arial"/>
          <w:b/>
          <w:bCs/>
          <w:highlight w:val="none"/>
        </w:rPr>
        <w:t xml:space="preserve">CONTRATAÇÃO DE EMPRESA ESPECIALIZADA PARA O FORNECIMENTO DE </w:t>
      </w:r>
      <w:r>
        <w:rPr>
          <w:rFonts w:ascii="Arial" w:hAnsi="Arial"/>
          <w:b/>
          <w:bCs/>
          <w:highlight w:val="none"/>
        </w:rPr>
        <w:t>REFEIÇÃO</w:t>
      </w:r>
      <w:r>
        <w:rPr>
          <w:rFonts w:ascii="Arial" w:hAnsi="Arial" w:cs="Arial"/>
          <w:b/>
          <w:bCs/>
          <w:highlight w:val="none"/>
        </w:rPr>
        <w:t xml:space="preserve"> ESCOLAR, EXECUTADO ATRAVÉS DE SERVIÇOS CONTÍNUOS, INCLUINDO O PRÉ-PREPARO E PREPARO DA ALIMENTAÇÃO, COM O FORNECIMENTO DE TODOS OS GÊNEROS ALIMENTÍCIOS E DEMAIS INSUMOS, PREPARAÇÃO NOS LOCAIS DE CONSUMO, LOGÍSTICA, SUPERVISÃO, PRESTAÇÃO DE SERVIÇOS DE MANUTENÇÃO PREVENTIVA E CORRETIVA DAS ESTRUTURAS FÍSICAS, EQUIPAMENTOS E UTENSÍLIOS UTILIZADOS, PARA ATENDER ESTUDANTES DAS UNIDADES EDUCATIVAS DA PREFEITURA MUNICIPAL DE SINOP/MT, SOB GESTÃO DO SETOR DE ALIMENTAÇÃO ESCOLAR DA SECRETARIA MUNICIPAL DE EDUCAÇÃO,</w:t>
      </w:r>
      <w:r>
        <w:rPr>
          <w:rFonts w:ascii="Arial" w:hAnsi="Arial" w:eastAsia="CIDFont+F4" w:cs="Arial"/>
          <w:color w:val="000000"/>
          <w:highlight w:val="none"/>
          <w:lang w:eastAsia="zh-CN" w:bidi="ar"/>
        </w:rPr>
        <w:t xml:space="preserve"> é a solução mais viável, visto que além dos pontos citados acima, SEGUE  </w:t>
      </w:r>
      <w:r>
        <w:rPr>
          <w:rFonts w:ascii="Arial" w:hAnsi="Arial" w:eastAsia="CIDFont+F4" w:cs="Arial"/>
          <w:b/>
          <w:bCs/>
          <w:color w:val="000000"/>
          <w:highlight w:val="none"/>
          <w:u w:val="single"/>
          <w:lang w:eastAsia="zh-CN" w:bidi="ar"/>
        </w:rPr>
        <w:t>anexo</w:t>
      </w:r>
      <w:r>
        <w:rPr>
          <w:rFonts w:ascii="Arial" w:hAnsi="Arial" w:eastAsia="CIDFont+F4" w:cs="Arial"/>
          <w:color w:val="000000"/>
          <w:highlight w:val="none"/>
          <w:lang w:eastAsia="zh-CN" w:bidi="ar"/>
        </w:rPr>
        <w:t xml:space="preserve"> a este ETP o PARECER TÉCNICO realizado pela equipe de planejamento,  </w:t>
      </w:r>
      <w:r>
        <w:rPr>
          <w:rFonts w:ascii="Arial" w:hAnsi="Arial" w:eastAsia="CIDFont+F4"/>
          <w:color w:val="000000"/>
          <w:highlight w:val="none"/>
          <w:lang w:eastAsia="zh-CN"/>
        </w:rPr>
        <w:t>com a finalidade de avaliar a viabilidade técnica, econômica/financeira da terceirização do Setor de Alimentação Escolar, responsável pela execução do Programa Nacional de Alimentação Escolar (PNAE) no âmbito municipal, apresentando de forma detalhada os custos atuais de execução direta como base de comparação para avaliação de vantajosidade econômica</w:t>
      </w:r>
      <w:r>
        <w:rPr>
          <w:rFonts w:ascii="Arial" w:hAnsi="Arial" w:eastAsia="SimSun" w:cs="Arial"/>
          <w:highlight w:val="none"/>
        </w:rPr>
        <w:t>.</w:t>
      </w:r>
    </w:p>
    <w:p w14:paraId="1A7636D3">
      <w:pPr>
        <w:numPr>
          <w:ilvl w:val="2"/>
          <w:numId w:val="3"/>
        </w:numPr>
        <w:spacing w:before="120" w:beforeLines="50" w:after="120" w:afterLines="50" w:line="360" w:lineRule="auto"/>
        <w:ind w:right="176" w:rightChars="80"/>
        <w:jc w:val="both"/>
        <w:rPr>
          <w:rFonts w:ascii="Arial" w:hAnsi="Arial" w:eastAsia="Times New Roman" w:cs="Arial"/>
          <w:color w:val="000000"/>
          <w:highlight w:val="none"/>
          <w:lang w:eastAsia="pt-BR"/>
        </w:rPr>
      </w:pPr>
      <w:r>
        <w:rPr>
          <w:rFonts w:ascii="Arial" w:hAnsi="Arial" w:eastAsia="Times New Roman" w:cs="Arial"/>
          <w:color w:val="000000"/>
          <w:highlight w:val="none"/>
          <w:lang w:eastAsia="pt-BR"/>
        </w:rPr>
        <w:t>O Parecer Técnico elaborado pelo Departamento Técnico Educacional de Planejamento da Secretaria Municipal de Educação, anexo a este processo, demonstrou de forma detalhada a estrutura operacional e os custos atuais de execução direta da alimentação escolar, estabelecendo valores unitários de referência para cada um dos 12 tipos de refeição que compõem o cardápio da rede municipal.</w:t>
      </w:r>
    </w:p>
    <w:p w14:paraId="42C95844">
      <w:pPr>
        <w:pStyle w:val="26"/>
        <w:numPr>
          <w:ilvl w:val="3"/>
          <w:numId w:val="3"/>
        </w:numPr>
        <w:spacing w:beforeLines="50" w:line="360" w:lineRule="auto"/>
        <w:ind w:right="176" w:rightChars="80"/>
        <w:rPr>
          <w:rFonts w:ascii="Arial" w:hAnsi="Arial" w:eastAsia="Times New Roman" w:cs="Arial"/>
          <w:color w:val="000000"/>
          <w:highlight w:val="none"/>
          <w:lang w:eastAsia="pt-BR"/>
        </w:rPr>
      </w:pPr>
      <w:r>
        <w:rPr>
          <w:rFonts w:ascii="Arial" w:hAnsi="Arial" w:eastAsia="Times New Roman" w:cs="Arial"/>
          <w:color w:val="000000"/>
          <w:highlight w:val="none"/>
          <w:lang w:eastAsia="pt-BR"/>
        </w:rPr>
        <w:t>Esta metodologia de precificação unitária por tipo de refeição confere flexibilidade ao contrato, permitindo ajustes proporcionais conforme variação no número de matrículas e dias letivos, sem necessidade de aditivos contratuais. Os valores unitários estabelecidos (variando entre R$ 2,6923 e R$ 3,5263 por refeição) constituem base para as propostas das licitantes.</w:t>
      </w:r>
    </w:p>
    <w:p w14:paraId="71AD4083">
      <w:pPr>
        <w:pStyle w:val="26"/>
        <w:numPr>
          <w:ilvl w:val="3"/>
          <w:numId w:val="3"/>
        </w:numPr>
        <w:spacing w:beforeLines="50" w:line="360" w:lineRule="auto"/>
        <w:ind w:right="176" w:rightChars="80"/>
        <w:rPr>
          <w:rFonts w:ascii="Arial" w:hAnsi="Arial" w:eastAsia="Times New Roman" w:cs="Arial"/>
          <w:color w:val="000000"/>
          <w:highlight w:val="none"/>
          <w:lang w:eastAsia="pt-BR"/>
        </w:rPr>
      </w:pPr>
      <w:r>
        <w:rPr>
          <w:rFonts w:ascii="Arial" w:hAnsi="Arial" w:eastAsia="Times New Roman" w:cs="Arial"/>
          <w:color w:val="000000"/>
          <w:highlight w:val="none"/>
          <w:lang w:eastAsia="pt-BR"/>
        </w:rPr>
        <w:t>A vantajosidade será demonstrada quando as empresas apresentarem valores iguais ou inferiores aos custos de referência estabelecidos no Parecer Técnico, especialmente os discriminados na tabela 7.4, que representam os valores máximos que poderão ser praticados pelas empresas licitantes, sendo que as propostas que mantenham os padrões de qualidade nutricional, segurança alimentar e especificações técnicas exigidas demonstrarão a vantajosidade econômica da contratação. O pagamento ocorrerá mensalmente com base nas refeições efetivamente servidas, conforme sistema digital de controle, assegurando que a Administração pagará apenas pelo executado.</w:t>
      </w:r>
    </w:p>
    <w:p w14:paraId="4421F78C">
      <w:pPr>
        <w:numPr>
          <w:ilvl w:val="2"/>
          <w:numId w:val="3"/>
        </w:numPr>
        <w:spacing w:before="120" w:beforeLines="50" w:after="120" w:afterLines="50" w:line="360" w:lineRule="auto"/>
        <w:ind w:right="176" w:rightChars="80"/>
        <w:jc w:val="both"/>
        <w:rPr>
          <w:rFonts w:ascii="Arial" w:hAnsi="Arial" w:eastAsia="Times New Roman" w:cs="Arial"/>
          <w:color w:val="000000"/>
          <w:highlight w:val="none"/>
          <w:lang w:eastAsia="pt-BR"/>
        </w:rPr>
      </w:pPr>
      <w:r>
        <w:rPr>
          <w:rFonts w:ascii="Arial" w:hAnsi="Arial" w:eastAsia="Times New Roman" w:cs="Arial"/>
          <w:color w:val="000000"/>
          <w:highlight w:val="none"/>
          <w:lang w:eastAsia="pt-BR"/>
        </w:rPr>
        <w:t xml:space="preserve">A terceirização encontra respaldo na Lei nº 11.947/2009, Resolução FNDE nº 6/2020 e Lei nº 14.133/2021, bem como as Resoluções CFN nº 788/2024 e 789/2024 vedam a terceirização da responsabilidade técnica, exigência plenamente atendida uma vez que as 8 nutricionistas efetivas permanecerão exercendo responsabilidade técnica, elaboração de cardápios, supervisão e fiscalização. </w:t>
      </w:r>
    </w:p>
    <w:p w14:paraId="2FEA4010">
      <w:pPr>
        <w:numPr>
          <w:ilvl w:val="2"/>
          <w:numId w:val="3"/>
        </w:numPr>
        <w:spacing w:before="120" w:beforeLines="50" w:after="120" w:afterLines="50" w:line="360" w:lineRule="auto"/>
        <w:ind w:right="176" w:rightChars="80"/>
        <w:jc w:val="both"/>
        <w:rPr>
          <w:rFonts w:ascii="Arial" w:hAnsi="Arial" w:eastAsia="Times New Roman" w:cs="Arial"/>
          <w:color w:val="000000"/>
          <w:highlight w:val="none"/>
          <w:lang w:eastAsia="pt-BR"/>
        </w:rPr>
      </w:pPr>
      <w:r>
        <w:rPr>
          <w:rFonts w:ascii="Arial" w:hAnsi="Arial" w:eastAsia="Times New Roman" w:cs="Arial"/>
          <w:color w:val="000000"/>
          <w:highlight w:val="none"/>
          <w:lang w:eastAsia="pt-BR"/>
        </w:rPr>
        <w:t xml:space="preserve"> A aquisição de gêneros da agricultura familiar (mínimo 30% dos recursos FNDE) permanece sob responsabilidade da SME via chamamento público, cabendo à empresa contratada utilizar esses produtos no preparo das refeições conforme cardápios elaborados pelas nutricionistas do município.</w:t>
      </w:r>
    </w:p>
    <w:p w14:paraId="350AEF94">
      <w:pPr>
        <w:numPr>
          <w:ilvl w:val="2"/>
          <w:numId w:val="3"/>
        </w:numPr>
        <w:spacing w:before="120" w:beforeLines="50" w:after="120" w:afterLines="50" w:line="360" w:lineRule="auto"/>
        <w:ind w:right="176" w:rightChars="80"/>
        <w:jc w:val="both"/>
        <w:rPr>
          <w:rFonts w:ascii="Arial" w:hAnsi="Arial" w:eastAsia="Times New Roman" w:cs="Arial"/>
          <w:color w:val="000000"/>
          <w:highlight w:val="none"/>
          <w:lang w:eastAsia="pt-BR"/>
        </w:rPr>
      </w:pPr>
      <w:r>
        <w:rPr>
          <w:rFonts w:ascii="Arial" w:hAnsi="Arial" w:eastAsia="Times New Roman" w:cs="Arial"/>
          <w:color w:val="000000"/>
          <w:highlight w:val="none"/>
          <w:lang w:eastAsia="pt-BR"/>
        </w:rPr>
        <w:t>A centralização em empresa única especializada substitui a atual gestão de 16 instrumentos contratuais por contrato único, permitindo que a equipe técnica da SME concentre-se nas atividades de supervisão e controle de qualidade, além de que a padronização proporcionada pela execução unificada assegura uniformidade nos procedimentos em todas as unidades, reduzindo riscos operacionais como desabastecimento, incompatibilidade entre entregas e dificuldade de identificação de responsabilidades, tendo por fim que a responsabilização única e integral da contratada estabelece clareza de obrigações e maior segurança jurídica.</w:t>
      </w:r>
    </w:p>
    <w:p w14:paraId="662286DB">
      <w:pPr>
        <w:numPr>
          <w:ilvl w:val="2"/>
          <w:numId w:val="3"/>
        </w:numPr>
        <w:spacing w:before="120" w:beforeLines="50" w:after="120" w:afterLines="50" w:line="360" w:lineRule="auto"/>
        <w:ind w:right="176" w:rightChars="80"/>
        <w:jc w:val="both"/>
        <w:rPr>
          <w:rFonts w:ascii="Arial" w:hAnsi="Arial" w:eastAsia="Times New Roman" w:cs="Arial"/>
          <w:color w:val="000000"/>
          <w:highlight w:val="none"/>
          <w:lang w:eastAsia="pt-BR"/>
        </w:rPr>
      </w:pPr>
      <w:r>
        <w:rPr>
          <w:rFonts w:ascii="Arial" w:hAnsi="Arial" w:eastAsia="Times New Roman" w:cs="Arial"/>
          <w:color w:val="000000"/>
          <w:highlight w:val="none"/>
          <w:lang w:eastAsia="pt-BR"/>
        </w:rPr>
        <w:t>Com base nas análises apresentadas, conclui-se que há viabilidade técnica, legal e financeira para a terceirização dos serviços de alimentação escolar. A viabilidade técnica está demonstrada pelo dimensionamento claro da estrutura operacional necessária, pelos cardápios tecnicamente elaborados conforme diretrizes do PNAE, e pela comprovada existência no mercado de empresas especializadas capazes de executar serviços desta natureza e complexidade.</w:t>
      </w:r>
    </w:p>
    <w:p w14:paraId="2479EA2C">
      <w:pPr>
        <w:numPr>
          <w:ilvl w:val="2"/>
          <w:numId w:val="3"/>
        </w:numPr>
        <w:spacing w:before="120" w:beforeLines="50" w:after="120" w:afterLines="50" w:line="360" w:lineRule="auto"/>
        <w:ind w:right="176" w:rightChars="80"/>
        <w:jc w:val="both"/>
        <w:rPr>
          <w:rFonts w:ascii="Arial" w:hAnsi="Arial" w:cs="Arial"/>
        </w:rPr>
      </w:pPr>
      <w:r>
        <w:rPr>
          <w:rFonts w:ascii="Arial" w:hAnsi="Arial" w:eastAsia="Times New Roman" w:cs="Arial"/>
          <w:color w:val="000000"/>
          <w:highlight w:val="none"/>
          <w:lang w:eastAsia="pt-BR"/>
        </w:rPr>
        <w:t>O PARECER TÉCNICO subsidiou a elaboração deste Estudo Técnico Preliminar (ETP) e do Termo de Referência (TR) que integrarão o processo licitatório, nos quais serão estabelecidos as especificações técnicas detalhadas, obrigações contratuais, critérios de fiscalização e demais condições para a contratação dos serviços.</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28"/>
      </w:tblGrid>
      <w:tr w14:paraId="0C6F5A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8" w:type="dxa"/>
            <w:shd w:val="clear" w:color="auto" w:fill="D8D8D8" w:themeFill="background1" w:themeFillShade="D9"/>
          </w:tcPr>
          <w:p w14:paraId="74195F71">
            <w:pPr>
              <w:keepNext w:val="0"/>
              <w:keepLines w:val="0"/>
              <w:pageBreakBefore w:val="0"/>
              <w:widowControl/>
              <w:numPr>
                <w:ilvl w:val="0"/>
                <w:numId w:val="3"/>
              </w:numPr>
              <w:kinsoku/>
              <w:wordWrap/>
              <w:overflowPunct/>
              <w:topLinePunct w:val="0"/>
              <w:autoSpaceDE/>
              <w:autoSpaceDN/>
              <w:bidi w:val="0"/>
              <w:adjustRightInd/>
              <w:snapToGrid/>
              <w:spacing w:before="181" w:beforeLines="50" w:after="120" w:line="240" w:lineRule="auto"/>
              <w:ind w:right="176"/>
              <w:jc w:val="center"/>
              <w:textAlignment w:val="auto"/>
              <w:rPr>
                <w:rFonts w:ascii="Arial" w:hAnsi="Arial" w:cs="Arial"/>
                <w:sz w:val="24"/>
                <w:szCs w:val="24"/>
              </w:rPr>
            </w:pPr>
            <w:r>
              <w:rPr>
                <w:rFonts w:ascii="Arial" w:hAnsi="Arial" w:cs="Arial"/>
                <w:b/>
                <w:bCs/>
                <w:sz w:val="24"/>
                <w:szCs w:val="24"/>
              </w:rPr>
              <w:t xml:space="preserve"> ESCOLHA DA SOLUÇÃO</w:t>
            </w:r>
          </w:p>
        </w:tc>
      </w:tr>
    </w:tbl>
    <w:p w14:paraId="26EFC26F">
      <w:pPr>
        <w:numPr>
          <w:ilvl w:val="1"/>
          <w:numId w:val="3"/>
        </w:numPr>
        <w:spacing w:before="120" w:beforeLines="50" w:after="120" w:afterLines="50" w:line="360" w:lineRule="auto"/>
        <w:ind w:right="172" w:rightChars="78"/>
        <w:jc w:val="both"/>
        <w:rPr>
          <w:rFonts w:ascii="Arial" w:hAnsi="Arial" w:eastAsia="Helvetica" w:cs="Arial"/>
          <w:color w:val="000000"/>
          <w:lang w:eastAsia="zh-CN" w:bidi="ar"/>
        </w:rPr>
      </w:pPr>
      <w:r>
        <w:rPr>
          <w:rFonts w:ascii="Arial" w:hAnsi="Arial" w:cs="Arial"/>
        </w:rPr>
        <w:t xml:space="preserve"> A solução escolhida para </w:t>
      </w:r>
      <w:r>
        <w:rPr>
          <w:rFonts w:ascii="Arial" w:hAnsi="Arial" w:cs="Arial"/>
          <w:b/>
          <w:bCs/>
        </w:rPr>
        <w:t xml:space="preserve">CONTRATAÇÃO DE EMPRESA ESPECIALIZADA PARA O FORNECIMENTO DE </w:t>
      </w:r>
      <w:r>
        <w:rPr>
          <w:rFonts w:ascii="Arial" w:hAnsi="Arial"/>
          <w:b/>
          <w:bCs/>
        </w:rPr>
        <w:t>REFEIÇÃO</w:t>
      </w:r>
      <w:r>
        <w:rPr>
          <w:rFonts w:ascii="Arial" w:hAnsi="Arial" w:cs="Arial"/>
          <w:b/>
          <w:bCs/>
        </w:rPr>
        <w:t xml:space="preserve"> ESCOLAR, EXECUTADO ATRAVÉS DE SERVIÇOS CONTÍNUOS, INCLUINDO O PRÉ-PREPARO E PREPARO DA ALIMENTAÇÃO, COM O FORNECIMENTO DE TODOS OS GÊNEROS ALIMENTÍCIOS E DEMAIS INSUMOS, PREPARAÇÃO NOS LOCAIS DE CONSUMO, LOGÍSTICA, SUPERVISÃO, PRESTAÇÃO DE SERVIÇOS DE MANUTENÇÃO PREVENTIVA E CORRETIVA DAS ESTRUTURAS FÍSICAS, EQUIPAMENTOS E UTENSÍLIOS UTILIZADOS, PARA ATENDER ESTUDANTES DAS UNIDADES EDUCATIVAS DA PREFEITURA MUNICIPAL DE SINOP/MT, SOB GESTÃO DO SETOR DE ALIMENTAÇÃO ESCOLAR DA SECRETARIA MUNICIPAL DE EDUCAÇÃO</w:t>
      </w:r>
      <w:r>
        <w:rPr>
          <w:rFonts w:ascii="Arial" w:hAnsi="Arial" w:cs="Arial"/>
        </w:rPr>
        <w:t xml:space="preserve">, para atender a Secretaria Municipal de Educação, </w:t>
      </w:r>
      <w:r>
        <w:rPr>
          <w:rFonts w:ascii="Arial" w:hAnsi="Arial" w:cs="Arial"/>
          <w:bCs/>
        </w:rPr>
        <w:t>dar-se-á</w:t>
      </w:r>
      <w:r>
        <w:rPr>
          <w:rFonts w:ascii="Arial" w:hAnsi="Arial" w:eastAsia="Helvetica" w:cs="Arial"/>
          <w:color w:val="000000"/>
          <w:lang w:eastAsia="zh-CN" w:bidi="ar"/>
        </w:rPr>
        <w:t xml:space="preserve">  através da modalidade de Pregão Eletrônico pelo Sistema de Reg</w:t>
      </w:r>
      <w:r>
        <w:rPr>
          <w:rFonts w:ascii="Arial" w:hAnsi="Arial" w:eastAsia="Helvetica" w:cs="Arial"/>
          <w:lang w:eastAsia="zh-CN" w:bidi="ar"/>
        </w:rPr>
        <w:t>istro de Preços, amparad</w:t>
      </w:r>
      <w:r>
        <w:rPr>
          <w:rFonts w:ascii="Arial" w:hAnsi="Arial" w:cs="Arial"/>
        </w:rPr>
        <w:t xml:space="preserve">o no art. 161, incisos I  do Decreto Municipal n. 359/2023 - </w:t>
      </w:r>
      <w:r>
        <w:rPr>
          <w:rFonts w:ascii="Arial" w:hAnsi="Arial" w:eastAsia="CIDFont+F4" w:cs="Arial"/>
          <w:color w:val="000000"/>
          <w:lang w:eastAsia="zh-CN" w:bidi="ar"/>
        </w:rPr>
        <w:t>MENOR PREÇO GLOBAL (GRUPO UNICO)</w:t>
      </w:r>
      <w:r>
        <w:rPr>
          <w:rFonts w:ascii="Arial" w:hAnsi="Arial" w:cs="Arial"/>
        </w:rPr>
        <w:t>,</w:t>
      </w:r>
      <w:r>
        <w:rPr>
          <w:rFonts w:ascii="Arial" w:hAnsi="Arial" w:cs="Arial"/>
          <w:color w:val="FF0000"/>
        </w:rPr>
        <w:t xml:space="preserve"> </w:t>
      </w:r>
      <w:r>
        <w:rPr>
          <w:rFonts w:ascii="Arial" w:hAnsi="Arial" w:eastAsia="Helvetica" w:cs="Arial"/>
          <w:color w:val="000000"/>
          <w:lang w:eastAsia="zh-CN" w:bidi="ar"/>
        </w:rPr>
        <w:t xml:space="preserve">e se justifica pela conveniência, </w:t>
      </w:r>
      <w:r>
        <w:rPr>
          <w:rFonts w:ascii="Arial" w:hAnsi="Arial" w:eastAsia="SimSun" w:cs="Arial"/>
        </w:rPr>
        <w:t>por sua natureza, demanda Fornecimento de Refeições continuados ao longo de um período (ano letivo), com possibilidade de variação na quantidade de alunos atendidos e em sua distribuição geográfica</w:t>
      </w:r>
      <w:r>
        <w:rPr>
          <w:rFonts w:ascii="Arial" w:hAnsi="Arial" w:eastAsia="Helvetica" w:cs="Arial"/>
          <w:color w:val="000000"/>
          <w:lang w:eastAsia="zh-CN" w:bidi="ar"/>
        </w:rPr>
        <w:t xml:space="preserve">, citado no </w:t>
      </w:r>
      <w:r>
        <w:rPr>
          <w:rFonts w:ascii="Arial" w:hAnsi="Arial" w:eastAsia="Helvetica" w:cs="Arial"/>
          <w:b/>
          <w:bCs/>
          <w:color w:val="000000"/>
          <w:lang w:eastAsia="zh-CN" w:bidi="ar"/>
        </w:rPr>
        <w:t>item 3.2.</w:t>
      </w:r>
      <w:r>
        <w:rPr>
          <w:rFonts w:ascii="Arial" w:hAnsi="Arial" w:eastAsia="Helvetica" w:cs="Arial"/>
          <w:color w:val="000000"/>
          <w:lang w:eastAsia="zh-CN" w:bidi="ar"/>
        </w:rPr>
        <w:t xml:space="preserve"> deste ETP. </w:t>
      </w:r>
    </w:p>
    <w:p w14:paraId="5702DF4F">
      <w:pPr>
        <w:spacing w:before="120" w:beforeLines="50" w:after="120" w:afterLines="50" w:line="360" w:lineRule="auto"/>
        <w:ind w:left="3520" w:leftChars="1600" w:right="172" w:rightChars="78"/>
        <w:jc w:val="both"/>
        <w:rPr>
          <w:rFonts w:ascii="Arial" w:hAnsi="Arial" w:eastAsia="SimSun" w:cs="Arial"/>
          <w:sz w:val="20"/>
          <w:szCs w:val="20"/>
        </w:rPr>
      </w:pPr>
      <w:r>
        <w:rPr>
          <w:rFonts w:ascii="Arial" w:hAnsi="Arial" w:eastAsia="SimSun" w:cs="Arial"/>
          <w:sz w:val="20"/>
          <w:szCs w:val="20"/>
        </w:rPr>
        <w:t>Art. 161. Para as licitações nos termos da Lei Federal n. 14.133, de 1º de abril de 2021, poderão ser utilizados como critérios de julgamento:</w:t>
      </w:r>
    </w:p>
    <w:p w14:paraId="243DC260">
      <w:pPr>
        <w:spacing w:before="120" w:beforeLines="50" w:after="120" w:afterLines="50" w:line="360" w:lineRule="auto"/>
        <w:ind w:left="3520" w:leftChars="1600" w:right="172" w:rightChars="78"/>
        <w:jc w:val="both"/>
        <w:rPr>
          <w:rFonts w:ascii="Arial" w:hAnsi="Arial" w:eastAsia="SimSun" w:cs="Arial"/>
          <w:sz w:val="20"/>
          <w:szCs w:val="20"/>
        </w:rPr>
      </w:pPr>
      <w:r>
        <w:rPr>
          <w:rFonts w:ascii="Arial" w:hAnsi="Arial" w:eastAsia="SimSun" w:cs="Arial"/>
          <w:sz w:val="20"/>
          <w:szCs w:val="20"/>
        </w:rPr>
        <w:t>I – Menor preço</w:t>
      </w:r>
    </w:p>
    <w:p w14:paraId="7056AD32">
      <w:pPr>
        <w:spacing w:before="120" w:beforeLines="50" w:after="120" w:afterLines="50" w:line="360" w:lineRule="auto"/>
        <w:ind w:left="3520" w:leftChars="1600" w:right="172" w:rightChars="78"/>
        <w:jc w:val="both"/>
        <w:rPr>
          <w:rFonts w:ascii="Arial" w:hAnsi="Arial" w:eastAsia="SimSun" w:cs="Arial"/>
          <w:sz w:val="20"/>
          <w:szCs w:val="20"/>
        </w:rPr>
      </w:pPr>
      <w:r>
        <w:rPr>
          <w:rFonts w:ascii="Arial" w:hAnsi="Arial" w:eastAsia="SimSun" w:cs="Arial"/>
          <w:sz w:val="20"/>
          <w:szCs w:val="20"/>
        </w:rPr>
        <w:t>(...)</w:t>
      </w:r>
    </w:p>
    <w:p w14:paraId="483F4C94">
      <w:pPr>
        <w:spacing w:before="120" w:beforeLines="50" w:after="120" w:afterLines="50" w:line="360" w:lineRule="auto"/>
        <w:ind w:left="3520" w:leftChars="1600" w:right="172" w:rightChars="78"/>
        <w:jc w:val="both"/>
        <w:rPr>
          <w:rFonts w:ascii="Arial" w:hAnsi="Arial" w:eastAsia="SimSun" w:cs="Arial"/>
          <w:sz w:val="20"/>
          <w:szCs w:val="20"/>
        </w:rPr>
      </w:pPr>
      <w:r>
        <w:rPr>
          <w:rFonts w:ascii="Arial" w:hAnsi="Arial" w:eastAsia="SimSun" w:cs="Arial"/>
          <w:sz w:val="20"/>
          <w:szCs w:val="20"/>
        </w:rPr>
        <w:t>§1º. A modalidade pregão poderá se realizar apenas mediante os critérios de julgamento por menor preço ou maior desconto.</w:t>
      </w:r>
    </w:p>
    <w:p w14:paraId="3F699585">
      <w:pPr>
        <w:numPr>
          <w:ilvl w:val="2"/>
          <w:numId w:val="3"/>
        </w:numPr>
        <w:spacing w:before="120" w:beforeLines="50" w:after="120" w:afterLines="50" w:line="360" w:lineRule="auto"/>
        <w:ind w:right="172" w:rightChars="78"/>
        <w:jc w:val="both"/>
        <w:rPr>
          <w:rFonts w:ascii="Arial" w:hAnsi="Arial" w:eastAsia="Rawline-Medium" w:cs="Arial"/>
          <w:color w:val="162937"/>
          <w:lang w:eastAsia="zh-CN" w:bidi="ar"/>
        </w:rPr>
      </w:pPr>
      <w:r>
        <w:rPr>
          <w:rFonts w:ascii="Arial" w:hAnsi="Arial" w:eastAsia="SimSun" w:cs="Arial"/>
          <w:sz w:val="20"/>
          <w:szCs w:val="20"/>
        </w:rPr>
        <w:t xml:space="preserve">. </w:t>
      </w:r>
      <w:r>
        <w:rPr>
          <w:rFonts w:ascii="Arial" w:hAnsi="Arial" w:eastAsia="Helvetica" w:cs="Arial"/>
          <w:color w:val="000000"/>
          <w:lang w:eastAsia="zh-CN" w:bidi="ar"/>
        </w:rPr>
        <w:t>Esta modalidade também facilita o trabalho de planejamento orçamentário das unidades, possibilitando uma melhor aplicabilidade dos recursos ao longo do exercício</w:t>
      </w:r>
      <w:r>
        <w:rPr>
          <w:rFonts w:ascii="Arial" w:hAnsi="Arial" w:eastAsia="Rawline-Medium" w:cs="Arial"/>
          <w:color w:val="162937"/>
          <w:lang w:eastAsia="zh-CN" w:bidi="ar"/>
        </w:rPr>
        <w:t>.</w:t>
      </w:r>
    </w:p>
    <w:p w14:paraId="5099DB4B">
      <w:pPr>
        <w:numPr>
          <w:ilvl w:val="1"/>
          <w:numId w:val="3"/>
        </w:numPr>
        <w:tabs>
          <w:tab w:val="left" w:pos="9240"/>
        </w:tabs>
        <w:spacing w:before="120" w:beforeLines="50" w:after="120" w:line="360" w:lineRule="auto"/>
        <w:ind w:right="304" w:rightChars="138"/>
        <w:jc w:val="both"/>
        <w:rPr>
          <w:rFonts w:ascii="Arial" w:hAnsi="Arial" w:eastAsia="Rawline-Medium" w:cs="Arial"/>
          <w:color w:val="162937"/>
          <w:lang w:eastAsia="zh-CN" w:bidi="ar"/>
        </w:rPr>
      </w:pPr>
      <w:r>
        <w:rPr>
          <w:rFonts w:ascii="Arial" w:hAnsi="Arial" w:cs="Arial"/>
        </w:rPr>
        <w:t xml:space="preserve"> Destacamos que a contratação no sistema de </w:t>
      </w:r>
      <w:r>
        <w:rPr>
          <w:rFonts w:ascii="Arial" w:hAnsi="Arial" w:cs="Arial"/>
          <w:b/>
        </w:rPr>
        <w:t>REGISTRO DE PREÇO, na</w:t>
      </w:r>
      <w:r>
        <w:rPr>
          <w:rFonts w:ascii="Arial" w:hAnsi="Arial" w:cs="Arial"/>
          <w:b/>
          <w:spacing w:val="1"/>
        </w:rPr>
        <w:t xml:space="preserve"> </w:t>
      </w:r>
      <w:r>
        <w:rPr>
          <w:rFonts w:ascii="Arial" w:hAnsi="Arial" w:cs="Arial"/>
          <w:b/>
        </w:rPr>
        <w:t>forma</w:t>
      </w:r>
      <w:r>
        <w:rPr>
          <w:rFonts w:ascii="Arial" w:hAnsi="Arial" w:cs="Arial"/>
          <w:b/>
          <w:spacing w:val="1"/>
        </w:rPr>
        <w:t xml:space="preserve"> </w:t>
      </w:r>
      <w:r>
        <w:rPr>
          <w:rFonts w:ascii="Arial" w:hAnsi="Arial" w:cs="Arial"/>
          <w:b/>
        </w:rPr>
        <w:t>ELETRÔNICA,</w:t>
      </w:r>
      <w:r>
        <w:rPr>
          <w:rFonts w:ascii="Arial" w:hAnsi="Arial" w:cs="Arial"/>
          <w:b/>
          <w:spacing w:val="1"/>
        </w:rPr>
        <w:t xml:space="preserve"> </w:t>
      </w:r>
      <w:r>
        <w:rPr>
          <w:rFonts w:ascii="Arial" w:hAnsi="Arial" w:cs="Arial"/>
        </w:rPr>
        <w:t>pelo</w:t>
      </w:r>
      <w:r>
        <w:rPr>
          <w:rFonts w:ascii="Arial" w:hAnsi="Arial" w:cs="Arial"/>
          <w:spacing w:val="1"/>
        </w:rPr>
        <w:t xml:space="preserve"> </w:t>
      </w:r>
      <w:r>
        <w:rPr>
          <w:rFonts w:ascii="Arial" w:hAnsi="Arial" w:cs="Arial"/>
        </w:rPr>
        <w:t>critério</w:t>
      </w:r>
      <w:r>
        <w:rPr>
          <w:rFonts w:ascii="Arial" w:hAnsi="Arial" w:cs="Arial"/>
          <w:spacing w:val="1"/>
        </w:rPr>
        <w:t xml:space="preserve"> </w:t>
      </w:r>
      <w:r>
        <w:rPr>
          <w:rFonts w:ascii="Arial" w:hAnsi="Arial" w:cs="Arial"/>
        </w:rPr>
        <w:t>de</w:t>
      </w:r>
      <w:r>
        <w:rPr>
          <w:rFonts w:ascii="Arial" w:hAnsi="Arial" w:cs="Arial"/>
          <w:spacing w:val="1"/>
        </w:rPr>
        <w:t xml:space="preserve"> </w:t>
      </w:r>
      <w:r>
        <w:rPr>
          <w:rFonts w:ascii="Arial" w:hAnsi="Arial" w:cs="Arial"/>
        </w:rPr>
        <w:t>julgamento</w:t>
      </w:r>
      <w:r>
        <w:rPr>
          <w:rFonts w:ascii="Arial" w:hAnsi="Arial" w:cs="Arial"/>
          <w:spacing w:val="1"/>
        </w:rPr>
        <w:t xml:space="preserve"> </w:t>
      </w:r>
      <w:r>
        <w:rPr>
          <w:rFonts w:ascii="Arial" w:hAnsi="Arial" w:cs="Arial"/>
          <w:b/>
        </w:rPr>
        <w:t>MENOR</w:t>
      </w:r>
      <w:r>
        <w:rPr>
          <w:rFonts w:ascii="Arial" w:hAnsi="Arial" w:cs="Arial"/>
          <w:b/>
          <w:spacing w:val="1"/>
        </w:rPr>
        <w:t xml:space="preserve"> </w:t>
      </w:r>
      <w:r>
        <w:rPr>
          <w:rFonts w:ascii="Arial" w:hAnsi="Arial" w:cs="Arial"/>
          <w:b/>
        </w:rPr>
        <w:t>PREÇO</w:t>
      </w:r>
      <w:r>
        <w:rPr>
          <w:rFonts w:ascii="Arial" w:hAnsi="Arial" w:cs="Arial"/>
        </w:rPr>
        <w:t xml:space="preserve"> é a solução mais vantajosa para a administração pública, cabendo a administração fazer a gestão do contrato e a fiscalização técnica. </w:t>
      </w:r>
    </w:p>
    <w:p w14:paraId="397EAD21">
      <w:pPr>
        <w:numPr>
          <w:ilvl w:val="1"/>
          <w:numId w:val="3"/>
        </w:numPr>
        <w:tabs>
          <w:tab w:val="left" w:pos="9240"/>
        </w:tabs>
        <w:spacing w:before="120" w:beforeLines="50" w:after="120" w:line="360" w:lineRule="auto"/>
        <w:ind w:right="304" w:rightChars="138"/>
        <w:jc w:val="both"/>
        <w:rPr>
          <w:rFonts w:ascii="Arial" w:hAnsi="Arial" w:eastAsia="Rawline-Medium" w:cs="Arial"/>
          <w:color w:val="162937"/>
          <w:lang w:eastAsia="zh-CN" w:bidi="ar"/>
        </w:rPr>
      </w:pPr>
      <w:r>
        <w:rPr>
          <w:rFonts w:ascii="Arial" w:hAnsi="Arial" w:eastAsia="CIDFont+F4" w:cs="Arial"/>
          <w:color w:val="000000"/>
          <w:lang w:eastAsia="zh-CN" w:bidi="ar"/>
        </w:rPr>
        <w:t xml:space="preserve">O objeto desta Licitação é o mais viável, justificado no </w:t>
      </w:r>
      <w:r>
        <w:rPr>
          <w:rFonts w:ascii="Arial" w:hAnsi="Arial" w:eastAsia="CIDFont+F4" w:cs="Arial"/>
          <w:b/>
          <w:bCs/>
          <w:color w:val="000000"/>
          <w:lang w:eastAsia="zh-CN" w:bidi="ar"/>
        </w:rPr>
        <w:t>item 7.3.</w:t>
      </w:r>
      <w:r>
        <w:rPr>
          <w:rFonts w:ascii="Arial" w:hAnsi="Arial" w:eastAsia="CIDFont+F4" w:cs="Arial"/>
          <w:color w:val="000000"/>
          <w:lang w:eastAsia="zh-CN" w:bidi="ar"/>
        </w:rPr>
        <w:t xml:space="preserve"> deste ETP</w:t>
      </w:r>
      <w:r>
        <w:rPr>
          <w:rFonts w:ascii="Arial" w:hAnsi="Arial" w:eastAsia="SimSun" w:cs="Arial"/>
        </w:rPr>
        <w:t>.</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761"/>
      </w:tblGrid>
      <w:tr w14:paraId="51281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761" w:type="dxa"/>
            <w:shd w:val="clear" w:color="auto" w:fill="D8D8D8" w:themeFill="background1" w:themeFillShade="D9"/>
          </w:tcPr>
          <w:p w14:paraId="4BC49F82">
            <w:pPr>
              <w:keepNext w:val="0"/>
              <w:keepLines w:val="0"/>
              <w:pageBreakBefore w:val="0"/>
              <w:widowControl/>
              <w:numPr>
                <w:ilvl w:val="0"/>
                <w:numId w:val="3"/>
              </w:numPr>
              <w:kinsoku/>
              <w:wordWrap/>
              <w:overflowPunct/>
              <w:topLinePunct w:val="0"/>
              <w:autoSpaceDE/>
              <w:autoSpaceDN/>
              <w:bidi w:val="0"/>
              <w:adjustRightInd/>
              <w:snapToGrid/>
              <w:spacing w:before="181" w:beforeLines="50" w:after="120" w:line="240" w:lineRule="auto"/>
              <w:ind w:right="176"/>
              <w:jc w:val="center"/>
              <w:textAlignment w:val="auto"/>
              <w:rPr>
                <w:rFonts w:ascii="Arial" w:hAnsi="Arial" w:cs="Arial"/>
                <w:sz w:val="24"/>
                <w:szCs w:val="24"/>
              </w:rPr>
            </w:pPr>
            <w:r>
              <w:rPr>
                <w:rFonts w:ascii="Arial" w:hAnsi="Arial" w:cs="Arial"/>
                <w:b/>
                <w:bCs/>
                <w:sz w:val="24"/>
                <w:szCs w:val="24"/>
              </w:rPr>
              <w:t xml:space="preserve"> DESCRIÇÃO DA SOLUÇÃO COMO UM TODO (QUANDO APLICÁVEL)</w:t>
            </w:r>
          </w:p>
        </w:tc>
      </w:tr>
    </w:tbl>
    <w:p w14:paraId="098F1D18">
      <w:pPr>
        <w:numPr>
          <w:ilvl w:val="1"/>
          <w:numId w:val="3"/>
        </w:numPr>
        <w:tabs>
          <w:tab w:val="left" w:pos="9240"/>
        </w:tabs>
        <w:spacing w:before="120" w:beforeLines="50" w:after="120" w:afterLines="50" w:line="360" w:lineRule="auto"/>
        <w:ind w:right="172" w:rightChars="78"/>
        <w:jc w:val="both"/>
        <w:rPr>
          <w:rFonts w:ascii="Arial" w:hAnsi="Arial" w:cs="Arial"/>
        </w:rPr>
      </w:pPr>
      <w:r>
        <w:rPr>
          <w:rFonts w:ascii="Arial" w:hAnsi="Arial" w:eastAsia="Helvetica" w:cs="Arial"/>
          <w:color w:val="000000"/>
          <w:lang w:eastAsia="zh-CN"/>
        </w:rPr>
        <w:t xml:space="preserve">A descrição da solução como um todo por si só ja se defini, por tratar-se de </w:t>
      </w:r>
      <w:r>
        <w:rPr>
          <w:rFonts w:ascii="Arial" w:hAnsi="Arial" w:cs="Arial"/>
          <w:b/>
          <w:bCs/>
        </w:rPr>
        <w:t xml:space="preserve">CONTRATAÇÃO DE EMPRESA ESPECIALIZADA PARA O FORNECIMENTO DE </w:t>
      </w:r>
      <w:r>
        <w:rPr>
          <w:rFonts w:ascii="Arial" w:hAnsi="Arial"/>
          <w:b/>
          <w:bCs/>
        </w:rPr>
        <w:t>REFEIÇÃO</w:t>
      </w:r>
      <w:r>
        <w:rPr>
          <w:rFonts w:ascii="Arial" w:hAnsi="Arial" w:cs="Arial"/>
          <w:b/>
          <w:bCs/>
        </w:rPr>
        <w:t xml:space="preserve"> ESCOLAR, EXECUTADO ATRAVÉS DE SERVIÇOS CONTÍNUOS, INCLUINDO O PRÉ-PREPARO E PREPARO DA ALIMENTAÇÃO, COM O FORNECIMENTO DE TODOS OS GÊNEROS ALIMENTÍCIOS E DEMAIS INSUMOS, PREPARAÇÃO NOS LOCAIS DE CONSUMO, LOGÍSTICA, SUPERVISÃO, PRESTAÇÃO DE SERVIÇOS DE MANUTENÇÃO PREVENTIVA E CORRETIVA DAS ESTRUTURAS FÍSICAS, EQUIPAMENTOS E UTENSÍLIOS UTILIZADOS, PARA ATENDER ESTUDANTES DE DAS UNIDADES EDUCATIVAS DA PREFEITURA MUNICIPAL DE SINOP/MT, SOB GESTÃO DO SETOR DE ALIMENTAÇÃO ESCOLAR DA SECRETARIA MUNICIPAL DE EDUCAÇÃO</w:t>
      </w:r>
      <w:r>
        <w:rPr>
          <w:rFonts w:ascii="Arial" w:hAnsi="Arial" w:cs="Arial"/>
          <w:bCs/>
          <w:i/>
        </w:rPr>
        <w:t>,</w:t>
      </w:r>
      <w:r>
        <w:rPr>
          <w:rFonts w:ascii="Arial" w:hAnsi="Arial" w:eastAsia="Helvetica" w:cs="Arial"/>
          <w:color w:val="000000"/>
          <w:lang w:eastAsia="zh-CN"/>
        </w:rPr>
        <w:t xml:space="preserve"> como cita o </w:t>
      </w:r>
      <w:r>
        <w:rPr>
          <w:rFonts w:ascii="Arial" w:hAnsi="Arial" w:eastAsia="Helvetica" w:cs="Arial"/>
          <w:b/>
          <w:bCs/>
          <w:color w:val="000000"/>
          <w:lang w:eastAsia="zh-CN"/>
        </w:rPr>
        <w:t>item 4.7</w:t>
      </w:r>
      <w:r>
        <w:rPr>
          <w:rFonts w:ascii="Arial" w:hAnsi="Arial" w:eastAsia="Helvetica" w:cs="Arial"/>
          <w:color w:val="000000"/>
          <w:lang w:eastAsia="zh-CN"/>
        </w:rPr>
        <w:t xml:space="preserve"> (Natureza do Objeto) neste ETP.</w:t>
      </w:r>
    </w:p>
    <w:p w14:paraId="525BD558">
      <w:pPr>
        <w:numPr>
          <w:ilvl w:val="1"/>
          <w:numId w:val="3"/>
        </w:numPr>
        <w:tabs>
          <w:tab w:val="left" w:pos="9240"/>
        </w:tabs>
        <w:spacing w:before="120" w:beforeLines="50" w:after="120" w:afterLines="50" w:line="360" w:lineRule="auto"/>
        <w:ind w:right="172" w:rightChars="78"/>
        <w:jc w:val="both"/>
        <w:rPr>
          <w:rFonts w:ascii="Arial" w:hAnsi="Arial" w:cs="Arial"/>
        </w:rPr>
      </w:pPr>
      <w:r>
        <w:rPr>
          <w:rFonts w:ascii="Arial" w:hAnsi="Arial" w:eastAsia="CIDFont+F4" w:cs="Arial"/>
          <w:color w:val="000000"/>
          <w:lang w:eastAsia="zh-CN" w:bidi="ar"/>
        </w:rPr>
        <w:t xml:space="preserve">O objeto desta licitação será executado durante os dias letivos de cada </w:t>
      </w:r>
      <w:r>
        <w:rPr>
          <w:rFonts w:ascii="Arial" w:hAnsi="Arial" w:eastAsia="SimSun" w:cs="Arial"/>
          <w:color w:val="000000"/>
          <w:lang w:eastAsia="zh-CN" w:bidi="ar"/>
        </w:rPr>
        <w:t>Unidade Educativa</w:t>
      </w:r>
      <w:r>
        <w:rPr>
          <w:rFonts w:ascii="Arial" w:hAnsi="Arial" w:eastAsia="CIDFont+F4" w:cs="Arial"/>
          <w:color w:val="000000"/>
          <w:lang w:eastAsia="zh-CN" w:bidi="ar"/>
        </w:rPr>
        <w:t xml:space="preserve">, de segunda a sexta-feira, conforme descrito no </w:t>
      </w:r>
      <w:r>
        <w:rPr>
          <w:rFonts w:ascii="Arial" w:hAnsi="Arial" w:eastAsia="CIDFont+F4" w:cs="Arial"/>
          <w:b/>
          <w:bCs/>
          <w:color w:val="000000"/>
          <w:lang w:eastAsia="zh-CN" w:bidi="ar"/>
        </w:rPr>
        <w:t>item 2.4.2.</w:t>
      </w:r>
      <w:r>
        <w:rPr>
          <w:rFonts w:ascii="Arial" w:hAnsi="Arial" w:eastAsia="CIDFont+F4" w:cs="Arial"/>
          <w:color w:val="000000"/>
          <w:lang w:eastAsia="zh-CN" w:bidi="ar"/>
        </w:rPr>
        <w:t xml:space="preserve"> deste ETP, que irá constar em anexo especifico do termo de referência. </w:t>
      </w:r>
    </w:p>
    <w:p w14:paraId="28147094">
      <w:pPr>
        <w:numPr>
          <w:ilvl w:val="1"/>
          <w:numId w:val="3"/>
        </w:numPr>
        <w:tabs>
          <w:tab w:val="left" w:pos="9240"/>
        </w:tabs>
        <w:spacing w:before="120" w:beforeLines="50" w:after="120" w:afterLines="50" w:line="360" w:lineRule="auto"/>
        <w:ind w:right="172" w:rightChars="78"/>
        <w:jc w:val="both"/>
        <w:rPr>
          <w:rFonts w:ascii="Arial" w:hAnsi="Arial" w:cs="Arial"/>
        </w:rPr>
      </w:pPr>
      <w:r>
        <w:rPr>
          <w:rFonts w:ascii="Arial" w:hAnsi="Arial" w:eastAsia="CIDFont+F4" w:cs="Arial"/>
          <w:color w:val="000000"/>
          <w:lang w:eastAsia="zh-CN" w:bidi="ar"/>
        </w:rPr>
        <w:t>O regime de execução do objeto da licitação será na modalidade Pregão Eletrônico, Sistema Registro de Preços, pelo critério MENOR PREÇO GLOBAL (GRUPO UNICO), considerando que na proposta deverá conter o valor unitário de cada ITEM do grupo de 12 itens (refeição) relacionado no sub</w:t>
      </w:r>
      <w:r>
        <w:rPr>
          <w:rFonts w:ascii="Arial" w:hAnsi="Arial" w:eastAsia="CIDFont+F4" w:cs="Arial"/>
          <w:b/>
          <w:bCs/>
          <w:color w:val="000000"/>
          <w:lang w:eastAsia="zh-CN" w:bidi="ar"/>
        </w:rPr>
        <w:t xml:space="preserve"> item 2.3.</w:t>
      </w:r>
      <w:r>
        <w:rPr>
          <w:rFonts w:ascii="Arial" w:hAnsi="Arial" w:eastAsia="CIDFont+F4" w:cs="Arial"/>
          <w:color w:val="000000"/>
          <w:lang w:eastAsia="zh-CN" w:bidi="ar"/>
        </w:rPr>
        <w:t xml:space="preserve"> deste ETP, do cardápio indicado pelo Setor de Alimentação Escolar da Secretaria Municipal de Educação que seguirá anexo ao Termo de Referência. </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28"/>
      </w:tblGrid>
      <w:tr w14:paraId="475615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8" w:type="dxa"/>
            <w:shd w:val="clear" w:color="auto" w:fill="D8D8D8" w:themeFill="background1" w:themeFillShade="D9"/>
          </w:tcPr>
          <w:p w14:paraId="332FAEEA">
            <w:pPr>
              <w:keepNext w:val="0"/>
              <w:keepLines w:val="0"/>
              <w:pageBreakBefore w:val="0"/>
              <w:widowControl/>
              <w:numPr>
                <w:ilvl w:val="0"/>
                <w:numId w:val="3"/>
              </w:numPr>
              <w:kinsoku/>
              <w:wordWrap/>
              <w:overflowPunct/>
              <w:topLinePunct w:val="0"/>
              <w:autoSpaceDE/>
              <w:autoSpaceDN/>
              <w:bidi w:val="0"/>
              <w:adjustRightInd/>
              <w:snapToGrid/>
              <w:spacing w:before="181" w:beforeLines="50" w:after="120" w:line="240" w:lineRule="auto"/>
              <w:ind w:right="176"/>
              <w:jc w:val="center"/>
              <w:textAlignment w:val="auto"/>
              <w:rPr>
                <w:rFonts w:ascii="Arial" w:hAnsi="Arial" w:cs="Arial"/>
                <w:sz w:val="24"/>
                <w:szCs w:val="24"/>
              </w:rPr>
            </w:pPr>
            <w:r>
              <w:rPr>
                <w:rFonts w:ascii="Arial" w:hAnsi="Arial" w:cs="Arial"/>
                <w:b/>
                <w:bCs/>
              </w:rPr>
              <w:t>JUSTIFICATIVA PARA O PARCELAMENTO OU NÃO DA SOLUÇÃO</w:t>
            </w:r>
          </w:p>
        </w:tc>
      </w:tr>
    </w:tbl>
    <w:p w14:paraId="4C962941">
      <w:pPr>
        <w:numPr>
          <w:ilvl w:val="1"/>
          <w:numId w:val="3"/>
        </w:numPr>
        <w:spacing w:before="120" w:beforeLines="50" w:after="120" w:afterLines="50" w:line="360" w:lineRule="auto"/>
        <w:ind w:right="172" w:rightChars="78"/>
        <w:jc w:val="both"/>
        <w:rPr>
          <w:rFonts w:ascii="Arial" w:hAnsi="Arial" w:cs="Arial"/>
        </w:rPr>
      </w:pPr>
      <w:r>
        <w:rPr>
          <w:rFonts w:ascii="Arial" w:hAnsi="Arial" w:eastAsia="CIDFont+F4" w:cs="Arial"/>
          <w:color w:val="000000"/>
          <w:lang w:eastAsia="zh-CN" w:bidi="ar"/>
        </w:rPr>
        <w:t>Inicialmente, dividir as contratações para o fornecimento de alimentação escolar na rede municipal de ensino não se mostra viável ou vantajoso para a administração. A gestão da merenda escolar abrange etapas como o pré-preparo, preparo, distribuição das refeições, sendo imprescindível manter a integridade do processo. Um rigoroso padrão de execução é necessário para assegurar o cumprimento de todos os requisitos de segurança alimentar e valor nutricional.</w:t>
      </w:r>
    </w:p>
    <w:p w14:paraId="37B9921B">
      <w:pPr>
        <w:numPr>
          <w:ilvl w:val="1"/>
          <w:numId w:val="3"/>
        </w:numPr>
        <w:spacing w:before="120" w:beforeLines="50" w:after="120" w:afterLines="50" w:line="360" w:lineRule="auto"/>
        <w:ind w:right="172" w:rightChars="78"/>
        <w:jc w:val="both"/>
        <w:rPr>
          <w:rFonts w:ascii="Arial" w:hAnsi="Arial" w:cs="Arial"/>
        </w:rPr>
      </w:pPr>
      <w:r>
        <w:rPr>
          <w:rFonts w:ascii="Arial" w:hAnsi="Arial" w:eastAsia="CIDFont+F4" w:cs="Arial"/>
          <w:color w:val="000000"/>
          <w:lang w:eastAsia="zh-CN" w:bidi="ar"/>
        </w:rPr>
        <w:t xml:space="preserve">Além disso, segmentar as contratações gera obstáculos para manter a uniformidade na qualidade e segurança dos alimentos. Diferentes fornecedores poderiam adotar processos distintos de produção e manipulação, o que poderia comprometer a padronização exigida pelos critérios nutricionais estabelecidos nos cardápios fornecidos pelo setor de Alimentação Escolar da Rede Municipal. </w:t>
      </w:r>
    </w:p>
    <w:p w14:paraId="6526FA6F">
      <w:pPr>
        <w:pStyle w:val="26"/>
        <w:widowControl w:val="0"/>
        <w:numPr>
          <w:ilvl w:val="2"/>
          <w:numId w:val="3"/>
        </w:numPr>
        <w:tabs>
          <w:tab w:val="left" w:pos="567"/>
          <w:tab w:val="clear" w:pos="4157"/>
        </w:tabs>
        <w:autoSpaceDE w:val="0"/>
        <w:autoSpaceDN w:val="0"/>
        <w:spacing w:line="360" w:lineRule="auto"/>
        <w:ind w:right="220" w:rightChars="100"/>
        <w:rPr>
          <w:rFonts w:ascii="Arial" w:hAnsi="Arial" w:cs="Arial"/>
          <w:b/>
        </w:rPr>
      </w:pPr>
      <w:r>
        <w:rPr>
          <w:rFonts w:ascii="Arial" w:hAnsi="Arial" w:cs="Arial"/>
        </w:rPr>
        <w:t xml:space="preserve"> Portanto é mais vantojoso a utilização do critério</w:t>
      </w:r>
      <w:r>
        <w:rPr>
          <w:rFonts w:ascii="Arial" w:hAnsi="Arial" w:eastAsia="CIDFont+F4" w:cs="Arial"/>
          <w:color w:val="000000"/>
          <w:lang w:eastAsia="zh-CN" w:bidi="ar"/>
        </w:rPr>
        <w:t xml:space="preserve"> MENOR PREÇO GLOBAL (GRUPO UNICO), </w:t>
      </w:r>
      <w:r>
        <w:rPr>
          <w:rFonts w:ascii="Arial" w:hAnsi="Arial" w:eastAsia="CIDFont+F5" w:cs="Arial"/>
          <w:color w:val="000000"/>
          <w:u w:val="single"/>
          <w:lang w:eastAsia="zh-CN" w:bidi="ar"/>
        </w:rPr>
        <w:t xml:space="preserve">devendo o licitante oferecer proposta com valor </w:t>
      </w:r>
      <w:r>
        <w:rPr>
          <w:rFonts w:ascii="Arial" w:hAnsi="Arial" w:eastAsia="CIDFont+F4" w:cs="Arial"/>
          <w:color w:val="000000"/>
          <w:u w:val="single"/>
          <w:lang w:eastAsia="zh-CN" w:bidi="ar"/>
        </w:rPr>
        <w:t>unitário para cada ITEM do grupo composto por 12 (doze) itens (tipo de refeição) relacionado no sub</w:t>
      </w:r>
      <w:r>
        <w:rPr>
          <w:rFonts w:ascii="Arial" w:hAnsi="Arial" w:eastAsia="CIDFont+F4" w:cs="Arial"/>
          <w:b/>
          <w:bCs/>
          <w:color w:val="000000"/>
          <w:u w:val="single"/>
          <w:lang w:eastAsia="zh-CN" w:bidi="ar"/>
        </w:rPr>
        <w:t xml:space="preserve"> item 2.3.</w:t>
      </w:r>
      <w:r>
        <w:rPr>
          <w:rFonts w:ascii="Arial" w:hAnsi="Arial" w:eastAsia="CIDFont+F4" w:cs="Arial"/>
          <w:color w:val="000000"/>
          <w:u w:val="single"/>
          <w:lang w:eastAsia="zh-CN" w:bidi="ar"/>
        </w:rPr>
        <w:t xml:space="preserve"> ETP</w:t>
      </w:r>
      <w:r>
        <w:rPr>
          <w:rFonts w:ascii="Arial" w:hAnsi="Arial" w:eastAsia="CIDFont+F4" w:cs="Arial"/>
          <w:color w:val="000000"/>
          <w:lang w:eastAsia="zh-CN" w:bidi="ar"/>
        </w:rPr>
        <w:t xml:space="preserve">. </w:t>
      </w:r>
    </w:p>
    <w:p w14:paraId="2362725B">
      <w:pPr>
        <w:numPr>
          <w:ilvl w:val="3"/>
          <w:numId w:val="3"/>
        </w:numPr>
        <w:spacing w:before="120" w:beforeLines="50" w:after="120" w:line="360" w:lineRule="auto"/>
        <w:ind w:right="220" w:rightChars="100"/>
        <w:jc w:val="both"/>
        <w:rPr>
          <w:rFonts w:ascii="Arial" w:hAnsi="Arial" w:cs="Arial"/>
        </w:rPr>
      </w:pPr>
      <w:r>
        <w:rPr>
          <w:rFonts w:ascii="Arial" w:hAnsi="Arial" w:eastAsia="SimSun" w:cs="Arial"/>
        </w:rPr>
        <w:t>A Lei nº 14.133/2021, prevê a possibilidade de agrupamento de itens em lotes ou grupos, desde que justificada a vantajosidade dessa modalidade para a Administração Pública. De acordo com os A</w:t>
      </w:r>
      <w:r>
        <w:rPr>
          <w:rStyle w:val="8"/>
          <w:rFonts w:ascii="Arial" w:hAnsi="Arial" w:eastAsia="SimSun" w:cs="Arial"/>
          <w:b w:val="0"/>
          <w:bCs w:val="0"/>
        </w:rPr>
        <w:t xml:space="preserve">rt. 40, inciso V e </w:t>
      </w:r>
      <w:r>
        <w:rPr>
          <w:rFonts w:ascii="Arial" w:hAnsi="Arial" w:eastAsia="SimSun" w:cs="Arial"/>
        </w:rPr>
        <w:t>A</w:t>
      </w:r>
      <w:r>
        <w:rPr>
          <w:rStyle w:val="8"/>
          <w:rFonts w:ascii="Arial" w:hAnsi="Arial" w:eastAsia="SimSun" w:cs="Arial"/>
          <w:b w:val="0"/>
          <w:bCs w:val="0"/>
        </w:rPr>
        <w:t>rt. 47, inciso I</w:t>
      </w:r>
      <w:r>
        <w:rPr>
          <w:rFonts w:ascii="Arial" w:hAnsi="Arial" w:eastAsia="SimSun" w:cs="Arial"/>
        </w:rPr>
        <w:t>, a Administração pode estruturar a licitação por itens, lotes ou grupos, considerando a natureza do objeto e a eficiência da contratação.</w:t>
      </w:r>
    </w:p>
    <w:p w14:paraId="12C9D478">
      <w:pPr>
        <w:numPr>
          <w:ilvl w:val="3"/>
          <w:numId w:val="3"/>
        </w:numPr>
        <w:spacing w:before="120" w:beforeLines="50" w:after="120" w:line="360" w:lineRule="auto"/>
        <w:ind w:right="220" w:rightChars="100"/>
        <w:jc w:val="both"/>
        <w:rPr>
          <w:rFonts w:ascii="Arial" w:hAnsi="Arial" w:cs="Arial"/>
        </w:rPr>
      </w:pPr>
      <w:r>
        <w:rPr>
          <w:rFonts w:ascii="Arial" w:hAnsi="Arial" w:cs="Arial"/>
        </w:rPr>
        <w:t xml:space="preserve">A adoção do </w:t>
      </w:r>
      <w:r>
        <w:rPr>
          <w:rStyle w:val="8"/>
          <w:rFonts w:ascii="Arial" w:hAnsi="Arial" w:cs="Arial"/>
        </w:rPr>
        <w:t>GRUPO ÚNICO</w:t>
      </w:r>
      <w:r>
        <w:rPr>
          <w:rFonts w:ascii="Arial" w:hAnsi="Arial" w:cs="Arial"/>
        </w:rPr>
        <w:t>, no qual o licitante deve oferecer proposta para todos os 12 (doze) itens, é necessária e justificada pelos seguintes motivos:</w:t>
      </w:r>
    </w:p>
    <w:p w14:paraId="63E8B70A">
      <w:pPr>
        <w:numPr>
          <w:ilvl w:val="3"/>
          <w:numId w:val="3"/>
        </w:numPr>
        <w:spacing w:before="120" w:beforeLines="50" w:after="120" w:line="360" w:lineRule="auto"/>
        <w:ind w:right="220" w:rightChars="100"/>
        <w:jc w:val="both"/>
        <w:rPr>
          <w:rStyle w:val="8"/>
          <w:rFonts w:ascii="Arial" w:hAnsi="Arial" w:cs="Arial"/>
        </w:rPr>
      </w:pPr>
      <w:r>
        <w:rPr>
          <w:rStyle w:val="8"/>
          <w:rFonts w:ascii="Arial" w:hAnsi="Arial" w:cs="Arial"/>
        </w:rPr>
        <w:t>Indissociabilidade e Interdependência dos Itens:</w:t>
      </w:r>
    </w:p>
    <w:p w14:paraId="71C2E45B">
      <w:pPr>
        <w:numPr>
          <w:ilvl w:val="0"/>
          <w:numId w:val="5"/>
        </w:numPr>
        <w:spacing w:before="120" w:beforeLines="50" w:after="120" w:line="360" w:lineRule="auto"/>
        <w:ind w:right="220" w:rightChars="100" w:firstLine="15"/>
        <w:jc w:val="both"/>
        <w:rPr>
          <w:rFonts w:ascii="Arial" w:hAnsi="Arial" w:cs="Arial"/>
        </w:rPr>
      </w:pPr>
      <w:r>
        <w:rPr>
          <w:rFonts w:ascii="Arial" w:hAnsi="Arial" w:cs="Arial"/>
        </w:rPr>
        <w:t>Os 12 itens que compõem o grupo possuem interdependência na execução do contrato, pois envolvem tanto o fornecimento dos alimentos quanto a prestação do serviço de preparo e distribuição da merenda escolar.</w:t>
      </w:r>
    </w:p>
    <w:p w14:paraId="5CBF5C36">
      <w:pPr>
        <w:numPr>
          <w:ilvl w:val="0"/>
          <w:numId w:val="5"/>
        </w:numPr>
        <w:spacing w:before="120" w:beforeLines="50" w:after="120" w:line="360" w:lineRule="auto"/>
        <w:ind w:right="220" w:rightChars="100" w:firstLine="15"/>
        <w:jc w:val="both"/>
        <w:rPr>
          <w:rFonts w:ascii="Arial" w:hAnsi="Arial" w:cs="Arial"/>
        </w:rPr>
      </w:pPr>
      <w:r>
        <w:rPr>
          <w:rFonts w:ascii="Arial" w:hAnsi="Arial" w:cs="Arial"/>
        </w:rPr>
        <w:t>A fragmentação dos itens em lotes distintos poderia comprometer a qualidade, gerando dificuldades operacionais na compatibilização dos insumos e execução da alimentação escolar.</w:t>
      </w:r>
    </w:p>
    <w:p w14:paraId="344165D9">
      <w:pPr>
        <w:numPr>
          <w:ilvl w:val="3"/>
          <w:numId w:val="3"/>
        </w:numPr>
        <w:spacing w:before="120" w:beforeLines="50" w:after="120" w:line="360" w:lineRule="auto"/>
        <w:ind w:right="220" w:rightChars="100"/>
        <w:jc w:val="both"/>
        <w:rPr>
          <w:rFonts w:ascii="Arial" w:hAnsi="Arial" w:cs="Arial"/>
        </w:rPr>
      </w:pPr>
      <w:r>
        <w:rPr>
          <w:rStyle w:val="8"/>
          <w:rFonts w:ascii="Arial" w:hAnsi="Arial" w:cs="Arial"/>
        </w:rPr>
        <w:t>Padronização e Controle da Qualidade:</w:t>
      </w:r>
    </w:p>
    <w:p w14:paraId="4BED14B1">
      <w:pPr>
        <w:numPr>
          <w:ilvl w:val="0"/>
          <w:numId w:val="6"/>
        </w:numPr>
        <w:spacing w:before="120" w:beforeLines="50" w:after="120" w:line="360" w:lineRule="auto"/>
        <w:ind w:right="220" w:rightChars="100" w:firstLine="15"/>
        <w:jc w:val="both"/>
        <w:rPr>
          <w:rFonts w:ascii="Arial" w:hAnsi="Arial" w:cs="Arial"/>
        </w:rPr>
      </w:pPr>
      <w:r>
        <w:rPr>
          <w:rFonts w:ascii="Arial" w:hAnsi="Arial" w:cs="Arial"/>
        </w:rPr>
        <w:t>A contratação de um único fornecedor responsável por todos os itens do grupo permite maior controle e padronização da qualidade dos alimentos fornecidos.</w:t>
      </w:r>
    </w:p>
    <w:p w14:paraId="613FA27D">
      <w:pPr>
        <w:numPr>
          <w:ilvl w:val="0"/>
          <w:numId w:val="6"/>
        </w:numPr>
        <w:spacing w:before="120" w:beforeLines="50" w:after="120" w:line="360" w:lineRule="auto"/>
        <w:ind w:right="220" w:rightChars="100" w:firstLine="15"/>
        <w:jc w:val="both"/>
        <w:rPr>
          <w:rFonts w:ascii="Arial" w:hAnsi="Arial" w:cs="Arial"/>
        </w:rPr>
      </w:pPr>
      <w:r>
        <w:rPr>
          <w:rFonts w:ascii="Arial" w:hAnsi="Arial" w:cs="Arial"/>
        </w:rPr>
        <w:t>Diferentes fornecedores para itens distintos poderiam gerar divergências na padronização das refeições, impactando negativamente a qualidade da alimentação dos alunos.</w:t>
      </w:r>
    </w:p>
    <w:p w14:paraId="61498D98">
      <w:pPr>
        <w:numPr>
          <w:ilvl w:val="3"/>
          <w:numId w:val="3"/>
        </w:numPr>
        <w:spacing w:before="120" w:beforeLines="50" w:after="120" w:line="360" w:lineRule="auto"/>
        <w:ind w:right="220" w:rightChars="100"/>
        <w:jc w:val="both"/>
        <w:rPr>
          <w:rFonts w:ascii="Arial" w:hAnsi="Arial" w:cs="Arial"/>
        </w:rPr>
      </w:pPr>
      <w:r>
        <w:rPr>
          <w:rStyle w:val="8"/>
          <w:rFonts w:ascii="Arial" w:hAnsi="Arial" w:cs="Arial"/>
        </w:rPr>
        <w:t>Eficiência Logística e Operacional:</w:t>
      </w:r>
    </w:p>
    <w:p w14:paraId="5DC9E78B">
      <w:pPr>
        <w:numPr>
          <w:ilvl w:val="0"/>
          <w:numId w:val="7"/>
        </w:numPr>
        <w:spacing w:before="120" w:beforeLines="50" w:after="120" w:line="360" w:lineRule="auto"/>
        <w:ind w:right="220" w:rightChars="100" w:firstLine="15"/>
        <w:jc w:val="both"/>
        <w:rPr>
          <w:rFonts w:ascii="Arial" w:hAnsi="Arial" w:cs="Arial"/>
        </w:rPr>
      </w:pPr>
      <w:r>
        <w:rPr>
          <w:rFonts w:ascii="Arial" w:hAnsi="Arial" w:cs="Arial"/>
        </w:rPr>
        <w:t>A execução integrada do contrato por um único fornecedor reduz riscos operacionais, garantindo uma gestão logística mais eficiente no armazenamento, distribuição e preparo das refeições.</w:t>
      </w:r>
    </w:p>
    <w:p w14:paraId="25C4ABD8">
      <w:pPr>
        <w:numPr>
          <w:ilvl w:val="0"/>
          <w:numId w:val="7"/>
        </w:numPr>
        <w:spacing w:before="120" w:beforeLines="50" w:after="120" w:line="360" w:lineRule="auto"/>
        <w:ind w:right="220" w:rightChars="100" w:firstLine="15"/>
        <w:jc w:val="both"/>
        <w:rPr>
          <w:rFonts w:ascii="Arial" w:hAnsi="Arial" w:cs="Arial"/>
        </w:rPr>
      </w:pPr>
      <w:r>
        <w:rPr>
          <w:rFonts w:ascii="Arial" w:hAnsi="Arial" w:cs="Arial"/>
        </w:rPr>
        <w:t>A divisão em múltiplos lotes poderia gerar conflitos entre fornecedores, atrasos na entrega de insumos e dificuldades na gestão de estoque e preparação das refeições.</w:t>
      </w:r>
    </w:p>
    <w:p w14:paraId="050149F9">
      <w:pPr>
        <w:pStyle w:val="15"/>
        <w:numPr>
          <w:ilvl w:val="3"/>
          <w:numId w:val="3"/>
        </w:numPr>
        <w:spacing w:before="120" w:beforeLines="50" w:beforeAutospacing="0" w:after="120" w:afterAutospacing="0" w:line="360" w:lineRule="auto"/>
        <w:ind w:right="220" w:rightChars="100"/>
        <w:jc w:val="both"/>
        <w:rPr>
          <w:rFonts w:ascii="Arial" w:hAnsi="Arial" w:cs="Arial"/>
          <w:szCs w:val="22"/>
          <w:lang w:val="pt-BR"/>
        </w:rPr>
      </w:pPr>
      <w:r>
        <w:rPr>
          <w:rStyle w:val="8"/>
          <w:rFonts w:ascii="Arial" w:hAnsi="Arial" w:cs="Arial"/>
          <w:szCs w:val="22"/>
          <w:lang w:val="pt-BR"/>
        </w:rPr>
        <w:t>Maior Competitividade e Economicidade:</w:t>
      </w:r>
    </w:p>
    <w:p w14:paraId="1D7F9A65">
      <w:pPr>
        <w:pStyle w:val="15"/>
        <w:numPr>
          <w:ilvl w:val="0"/>
          <w:numId w:val="8"/>
        </w:numPr>
        <w:spacing w:before="120" w:beforeLines="50" w:beforeAutospacing="0" w:after="120" w:afterAutospacing="0" w:line="360" w:lineRule="auto"/>
        <w:ind w:right="220" w:rightChars="100" w:firstLine="15"/>
        <w:jc w:val="both"/>
        <w:rPr>
          <w:rFonts w:ascii="Arial" w:hAnsi="Arial" w:cs="Arial"/>
          <w:szCs w:val="22"/>
          <w:lang w:val="pt-BR"/>
        </w:rPr>
      </w:pPr>
      <w:r>
        <w:rPr>
          <w:rFonts w:ascii="Arial" w:hAnsi="Arial" w:cs="Arial"/>
          <w:szCs w:val="22"/>
          <w:lang w:val="pt-BR"/>
        </w:rPr>
        <w:t>A exigência de proposta para todos os itens do grupo possibilita uma contratação mais vantajosa, pois o licitante precisa apresentar um preço global competitivo, promovendo a economicidade na administração dos recursos públicos.</w:t>
      </w:r>
    </w:p>
    <w:p w14:paraId="4352CC5D">
      <w:pPr>
        <w:pStyle w:val="15"/>
        <w:numPr>
          <w:ilvl w:val="0"/>
          <w:numId w:val="8"/>
        </w:numPr>
        <w:spacing w:before="120" w:beforeLines="50" w:beforeAutospacing="0" w:after="120" w:afterAutospacing="0" w:line="360" w:lineRule="auto"/>
        <w:ind w:right="220" w:rightChars="100" w:firstLine="15"/>
        <w:jc w:val="both"/>
        <w:rPr>
          <w:rFonts w:ascii="Arial" w:hAnsi="Arial" w:cs="Arial"/>
          <w:szCs w:val="22"/>
          <w:lang w:val="pt-BR"/>
        </w:rPr>
      </w:pPr>
      <w:r>
        <w:rPr>
          <w:rFonts w:ascii="Arial" w:hAnsi="Arial" w:cs="Arial"/>
          <w:szCs w:val="22"/>
          <w:lang w:val="pt-BR"/>
        </w:rPr>
        <w:t>A fragmentação dos itens poderia gerar contratações com preços diferenciados entre fornecedores, elevando os custos e comprometendo a relação custo-benefício da licitação.</w:t>
      </w:r>
    </w:p>
    <w:p w14:paraId="5A76E40D">
      <w:pPr>
        <w:pStyle w:val="15"/>
        <w:numPr>
          <w:ilvl w:val="3"/>
          <w:numId w:val="3"/>
        </w:numPr>
        <w:spacing w:before="120" w:beforeLines="50" w:beforeAutospacing="0" w:after="120" w:afterAutospacing="0" w:line="360" w:lineRule="auto"/>
        <w:ind w:right="220" w:rightChars="100"/>
        <w:jc w:val="both"/>
        <w:rPr>
          <w:rFonts w:ascii="Arial" w:hAnsi="Arial" w:cs="Arial"/>
          <w:szCs w:val="22"/>
          <w:lang w:val="pt-BR"/>
        </w:rPr>
      </w:pPr>
      <w:r>
        <w:rPr>
          <w:rStyle w:val="8"/>
          <w:rFonts w:ascii="Arial" w:hAnsi="Arial" w:cs="Arial"/>
          <w:szCs w:val="22"/>
          <w:lang w:val="pt-BR"/>
        </w:rPr>
        <w:t>Segurança Jurídica e Prevenção de Litígios Contratuais</w:t>
      </w:r>
    </w:p>
    <w:p w14:paraId="1E179F84">
      <w:pPr>
        <w:pStyle w:val="15"/>
        <w:numPr>
          <w:ilvl w:val="0"/>
          <w:numId w:val="9"/>
        </w:numPr>
        <w:spacing w:before="120" w:beforeLines="50" w:beforeAutospacing="0" w:after="120" w:afterAutospacing="0" w:line="360" w:lineRule="auto"/>
        <w:ind w:right="220" w:rightChars="100" w:firstLine="15"/>
        <w:jc w:val="both"/>
        <w:rPr>
          <w:rFonts w:ascii="Arial" w:hAnsi="Arial" w:cs="Arial"/>
          <w:szCs w:val="22"/>
          <w:lang w:val="pt-BR"/>
        </w:rPr>
      </w:pPr>
      <w:r>
        <w:rPr>
          <w:rFonts w:ascii="Arial" w:hAnsi="Arial" w:cs="Arial"/>
          <w:szCs w:val="22"/>
          <w:lang w:val="pt-BR"/>
        </w:rPr>
        <w:t>A unificação dos itens reduz a complexidade na fiscalização e execução do contrato, evitando litígios entre diferentes fornecedores quanto a responsabilidades na execução do objeto desta licitação.</w:t>
      </w:r>
    </w:p>
    <w:p w14:paraId="0B4F47CC">
      <w:pPr>
        <w:pStyle w:val="15"/>
        <w:numPr>
          <w:ilvl w:val="0"/>
          <w:numId w:val="9"/>
        </w:numPr>
        <w:spacing w:before="120" w:beforeLines="50" w:beforeAutospacing="0" w:after="120" w:afterAutospacing="0" w:line="360" w:lineRule="auto"/>
        <w:ind w:right="220" w:rightChars="100" w:firstLine="15"/>
        <w:jc w:val="both"/>
        <w:rPr>
          <w:rFonts w:ascii="Arial" w:hAnsi="Arial" w:cs="Arial"/>
          <w:szCs w:val="22"/>
          <w:lang w:val="pt-BR"/>
        </w:rPr>
      </w:pPr>
      <w:r>
        <w:rPr>
          <w:rFonts w:ascii="Arial" w:hAnsi="Arial" w:cs="Arial"/>
          <w:szCs w:val="22"/>
          <w:lang w:val="pt-BR"/>
        </w:rPr>
        <w:t>A medida garante maior segurança jurídica à Administração Pública, promovendo maior previsibilidade na execução contratual.</w:t>
      </w:r>
    </w:p>
    <w:p w14:paraId="7B822377">
      <w:pPr>
        <w:pStyle w:val="15"/>
        <w:numPr>
          <w:ilvl w:val="2"/>
          <w:numId w:val="3"/>
        </w:numPr>
        <w:spacing w:before="120" w:beforeLines="50" w:beforeAutospacing="0" w:after="120" w:afterAutospacing="0" w:line="360" w:lineRule="auto"/>
        <w:ind w:right="220" w:rightChars="100"/>
        <w:jc w:val="both"/>
        <w:rPr>
          <w:rFonts w:ascii="Arial" w:hAnsi="Arial" w:cs="Arial"/>
          <w:szCs w:val="22"/>
          <w:lang w:val="pt-BR"/>
        </w:rPr>
      </w:pPr>
      <w:r>
        <w:rPr>
          <w:rFonts w:ascii="Arial" w:hAnsi="Arial" w:cs="Arial"/>
          <w:szCs w:val="22"/>
          <w:lang w:val="pt-BR"/>
        </w:rPr>
        <w:t xml:space="preserve">Diante do exposto, a adoção do </w:t>
      </w:r>
      <w:r>
        <w:rPr>
          <w:rStyle w:val="8"/>
          <w:rFonts w:ascii="Arial" w:hAnsi="Arial" w:cs="Arial"/>
          <w:szCs w:val="22"/>
          <w:lang w:val="pt-BR"/>
        </w:rPr>
        <w:t>GRUPO ÚNICO</w:t>
      </w:r>
      <w:r>
        <w:rPr>
          <w:rFonts w:ascii="Arial" w:hAnsi="Arial" w:cs="Arial"/>
          <w:szCs w:val="22"/>
          <w:lang w:val="pt-BR"/>
        </w:rPr>
        <w:t xml:space="preserve"> composto por 12 itens na licitação para o fornecimento da merenda escolar se justifica legalmente citado no </w:t>
      </w:r>
      <w:r>
        <w:rPr>
          <w:rFonts w:ascii="Arial" w:hAnsi="Arial" w:cs="Arial"/>
          <w:b/>
          <w:bCs/>
          <w:szCs w:val="22"/>
          <w:lang w:val="pt-BR"/>
        </w:rPr>
        <w:t>Item 2.2.8.</w:t>
      </w:r>
      <w:r>
        <w:rPr>
          <w:rFonts w:ascii="Arial" w:hAnsi="Arial" w:cs="Arial"/>
          <w:szCs w:val="22"/>
          <w:lang w:val="pt-BR"/>
        </w:rPr>
        <w:t xml:space="preserve">. Além disso, a medida atende aos princípios da </w:t>
      </w:r>
      <w:r>
        <w:rPr>
          <w:rStyle w:val="8"/>
          <w:rFonts w:ascii="Arial" w:hAnsi="Arial" w:cs="Arial"/>
          <w:szCs w:val="22"/>
          <w:lang w:val="pt-BR"/>
        </w:rPr>
        <w:t>economicidade, eficiência, padronização, controle de qualidade e segurança jurídica</w:t>
      </w:r>
      <w:r>
        <w:rPr>
          <w:rFonts w:ascii="Arial" w:hAnsi="Arial" w:cs="Arial"/>
          <w:szCs w:val="22"/>
          <w:lang w:val="pt-BR"/>
        </w:rPr>
        <w:t xml:space="preserve">, garantindo uma execução contratual mais eficaz e vantajosa para a Administração Pública. </w:t>
      </w:r>
    </w:p>
    <w:p w14:paraId="4A977B93">
      <w:pPr>
        <w:pStyle w:val="15"/>
        <w:numPr>
          <w:ilvl w:val="2"/>
          <w:numId w:val="3"/>
        </w:numPr>
        <w:spacing w:before="120" w:beforeLines="50" w:beforeAutospacing="0" w:after="120" w:afterAutospacing="0" w:line="360" w:lineRule="auto"/>
        <w:ind w:right="220" w:rightChars="100"/>
        <w:jc w:val="both"/>
        <w:rPr>
          <w:rFonts w:ascii="Arial" w:hAnsi="Arial" w:cs="Arial"/>
          <w:szCs w:val="22"/>
          <w:lang w:val="pt-BR"/>
        </w:rPr>
      </w:pPr>
      <w:r>
        <w:rPr>
          <w:rFonts w:ascii="Arial" w:hAnsi="Arial" w:eastAsia="CIDFont+F4" w:cs="Arial"/>
          <w:color w:val="000000"/>
          <w:szCs w:val="22"/>
          <w:lang w:val="pt-BR" w:bidi="ar"/>
        </w:rPr>
        <w:t>Ao dividir as contratações para o fornecimento de alimentação escolar na rede municipal de ensino não se mostra viável ou vantajoso para a administração. A gestão da merenda escolar abrange etapas como o pré-preparo, preparo, distribuição das refeições, sendo imprescindível manter a integridade do processo. Um rigoroso padrão de execução é necessário para assegurar o cumprimento de todos os requisitos de segurança alimentar e valor nutricional.</w:t>
      </w:r>
    </w:p>
    <w:p w14:paraId="306C8D3F">
      <w:pPr>
        <w:numPr>
          <w:ilvl w:val="2"/>
          <w:numId w:val="3"/>
        </w:numPr>
        <w:spacing w:before="120" w:beforeLines="50" w:after="120" w:line="360" w:lineRule="auto"/>
        <w:ind w:right="176" w:rightChars="80"/>
        <w:jc w:val="both"/>
        <w:rPr>
          <w:rFonts w:ascii="Arial" w:hAnsi="Arial" w:cs="Arial"/>
        </w:rPr>
      </w:pPr>
      <w:r>
        <w:rPr>
          <w:rFonts w:ascii="Arial" w:hAnsi="Arial" w:eastAsia="CIDFont+F4" w:cs="Arial"/>
          <w:color w:val="000000"/>
          <w:lang w:eastAsia="zh-CN" w:bidi="ar"/>
        </w:rPr>
        <w:t xml:space="preserve">Além disso,  como já evidanciado segmentar as contratações gera obstáculos para manter a uniformidade na qualidade e segurança dos alimentos. Diferentes fornecedores poderiam adotar processos distintos de produção e manipulação, o que poderia comprometer a padronização exigida pelos critérios nutricionais estabelecidos nos cardápios fornecidos pelo setor de Alimentação Escolar da Rede Municipal. </w:t>
      </w:r>
    </w:p>
    <w:p w14:paraId="4F73715E">
      <w:pPr>
        <w:numPr>
          <w:ilvl w:val="2"/>
          <w:numId w:val="3"/>
        </w:numPr>
        <w:spacing w:before="120" w:beforeLines="50" w:after="120" w:line="360" w:lineRule="auto"/>
        <w:ind w:right="176" w:rightChars="80"/>
        <w:jc w:val="both"/>
        <w:rPr>
          <w:rFonts w:ascii="Arial" w:hAnsi="Arial" w:cs="Arial"/>
          <w:b/>
          <w:i/>
          <w:iCs/>
          <w:sz w:val="20"/>
          <w:szCs w:val="20"/>
        </w:rPr>
      </w:pPr>
      <w:r>
        <w:rPr>
          <w:rFonts w:ascii="Arial" w:hAnsi="Arial" w:eastAsia="CIDFont+F4" w:cs="Arial"/>
          <w:color w:val="000000"/>
          <w:lang w:eastAsia="zh-CN" w:bidi="ar"/>
        </w:rPr>
        <w:t>Por fim, a fragmentação dos contratos também pode impactar negativamente a gestão integrada da alimentação escolar, dificultando o acompanhamento e a supervisão dos processos.</w:t>
      </w:r>
    </w:p>
    <w:p w14:paraId="1AD107EE">
      <w:pPr>
        <w:pStyle w:val="26"/>
        <w:widowControl w:val="0"/>
        <w:numPr>
          <w:ilvl w:val="2"/>
          <w:numId w:val="3"/>
        </w:numPr>
        <w:tabs>
          <w:tab w:val="left" w:pos="567"/>
          <w:tab w:val="clear" w:pos="4157"/>
        </w:tabs>
        <w:autoSpaceDE w:val="0"/>
        <w:autoSpaceDN w:val="0"/>
        <w:spacing w:line="360" w:lineRule="auto"/>
        <w:ind w:right="220" w:rightChars="100"/>
        <w:rPr>
          <w:rFonts w:ascii="Arial" w:hAnsi="Arial" w:cs="Arial"/>
          <w:b/>
        </w:rPr>
      </w:pPr>
      <w:r>
        <w:rPr>
          <w:rFonts w:ascii="Arial" w:hAnsi="Arial" w:eastAsia="CIDFont+F4" w:cs="Arial"/>
          <w:color w:val="000000"/>
          <w:lang w:eastAsia="zh-CN" w:bidi="ar"/>
        </w:rPr>
        <w:t>O objeto não é divisível, sendo a responsabilidade da terceirização por uma única empresa vencedora. Desta forma, a Secretaria Muniicpal de Educação e seus agentes conseguem atuar diretamente em uma fiscalização única e muito mais próxima da empresa contratada</w:t>
      </w:r>
    </w:p>
    <w:p w14:paraId="6029F4B3">
      <w:pPr>
        <w:numPr>
          <w:ilvl w:val="1"/>
          <w:numId w:val="3"/>
        </w:numPr>
        <w:spacing w:before="120" w:beforeLines="50" w:after="120" w:afterLines="50" w:line="360" w:lineRule="auto"/>
        <w:ind w:right="172" w:rightChars="78"/>
        <w:jc w:val="both"/>
        <w:rPr>
          <w:rFonts w:ascii="Arial" w:hAnsi="Arial" w:cs="Arial"/>
          <w:sz w:val="24"/>
          <w:szCs w:val="24"/>
        </w:rPr>
      </w:pPr>
      <w:r>
        <w:rPr>
          <w:rFonts w:ascii="Arial" w:hAnsi="Arial" w:eastAsia="CIDFont+F4" w:cs="Arial"/>
          <w:color w:val="000000"/>
          <w:lang w:eastAsia="zh-CN" w:bidi="ar"/>
        </w:rPr>
        <w:t xml:space="preserve">O objeto desta licitação será executado durante os dias letivos de cada </w:t>
      </w:r>
      <w:r>
        <w:rPr>
          <w:rFonts w:ascii="Arial" w:hAnsi="Arial" w:eastAsia="SimSun" w:cs="Arial"/>
          <w:color w:val="000000"/>
          <w:lang w:eastAsia="zh-CN" w:bidi="ar"/>
        </w:rPr>
        <w:t>Unidade Educativa</w:t>
      </w:r>
      <w:r>
        <w:rPr>
          <w:rFonts w:ascii="Arial" w:hAnsi="Arial" w:eastAsia="CIDFont+F4" w:cs="Arial"/>
          <w:color w:val="000000"/>
          <w:lang w:eastAsia="zh-CN" w:bidi="ar"/>
        </w:rPr>
        <w:t xml:space="preserve">, de segunda a sexta-feira, conforme os tipos de </w:t>
      </w:r>
      <w:r>
        <w:rPr>
          <w:rFonts w:ascii="Arial" w:hAnsi="Arial" w:eastAsia="CIDFont+F4" w:cs="Arial"/>
          <w:b/>
          <w:bCs/>
          <w:color w:val="000000"/>
          <w:lang w:eastAsia="zh-CN" w:bidi="ar"/>
        </w:rPr>
        <w:t>Atendimentos</w:t>
      </w:r>
      <w:r>
        <w:rPr>
          <w:rFonts w:ascii="Arial" w:hAnsi="Arial" w:eastAsia="CIDFont+F4" w:cs="Arial"/>
          <w:color w:val="000000"/>
          <w:lang w:eastAsia="zh-CN" w:bidi="ar"/>
        </w:rPr>
        <w:t xml:space="preserve"> do </w:t>
      </w:r>
      <w:r>
        <w:rPr>
          <w:rFonts w:ascii="Arial" w:hAnsi="Arial" w:eastAsia="CIDFont+F4" w:cs="Arial"/>
          <w:b/>
          <w:bCs/>
          <w:color w:val="000000"/>
          <w:lang w:eastAsia="zh-CN" w:bidi="ar"/>
        </w:rPr>
        <w:t>item 2.4.2</w:t>
      </w:r>
      <w:r>
        <w:rPr>
          <w:rFonts w:ascii="Arial" w:hAnsi="Arial" w:eastAsia="CIDFont+F4" w:cs="Arial"/>
          <w:color w:val="000000"/>
          <w:lang w:eastAsia="zh-CN" w:bidi="ar"/>
        </w:rPr>
        <w:t xml:space="preserve"> deste ETP, C</w:t>
      </w:r>
      <w:r>
        <w:rPr>
          <w:rFonts w:ascii="Arial" w:hAnsi="Arial" w:eastAsia="SimSun" w:cs="Arial"/>
          <w:color w:val="000000"/>
          <w:lang w:eastAsia="zh-CN" w:bidi="ar"/>
        </w:rPr>
        <w:t>onsiderar como tipos de atendimentos a produção das refeições que compõem os cardápios fornecidos pelo Setor de Alimentação Escolnar para as Unidades Educativas Municipais, de acordo com a etapa, modalidade de ensino, turno, horário e os gêneros alimentícios que os compõem, conforme os cardápios em ANEXO</w:t>
      </w:r>
      <w:r>
        <w:rPr>
          <w:rFonts w:ascii="Arial" w:hAnsi="Arial" w:cs="Arial"/>
        </w:rPr>
        <w:t>.</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28"/>
      </w:tblGrid>
      <w:tr w14:paraId="63F4922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8" w:type="dxa"/>
            <w:shd w:val="clear" w:color="auto" w:fill="D8D8D8" w:themeFill="background1" w:themeFillShade="D9"/>
          </w:tcPr>
          <w:p w14:paraId="449D5C8E">
            <w:pPr>
              <w:keepNext w:val="0"/>
              <w:keepLines w:val="0"/>
              <w:pageBreakBefore w:val="0"/>
              <w:widowControl/>
              <w:numPr>
                <w:ilvl w:val="0"/>
                <w:numId w:val="3"/>
              </w:numPr>
              <w:kinsoku/>
              <w:wordWrap/>
              <w:overflowPunct/>
              <w:topLinePunct w:val="0"/>
              <w:autoSpaceDE/>
              <w:autoSpaceDN/>
              <w:bidi w:val="0"/>
              <w:adjustRightInd/>
              <w:snapToGrid/>
              <w:spacing w:before="181" w:beforeLines="50" w:after="120" w:line="240" w:lineRule="auto"/>
              <w:ind w:right="176"/>
              <w:jc w:val="center"/>
              <w:textAlignment w:val="auto"/>
              <w:rPr>
                <w:rFonts w:ascii="Arial" w:hAnsi="Arial" w:cs="Arial"/>
                <w:sz w:val="24"/>
                <w:szCs w:val="24"/>
              </w:rPr>
            </w:pPr>
            <w:r>
              <w:rPr>
                <w:rFonts w:ascii="Arial" w:hAnsi="Arial" w:cs="Arial"/>
                <w:b/>
                <w:bCs/>
                <w:sz w:val="24"/>
                <w:szCs w:val="24"/>
              </w:rPr>
              <w:t>DEMONSTRATIVO DOS RESULTADOS PRETENDIDOS (QUANDO APLICÁVEL)</w:t>
            </w:r>
          </w:p>
        </w:tc>
      </w:tr>
    </w:tbl>
    <w:p w14:paraId="3897781F">
      <w:pPr>
        <w:numPr>
          <w:ilvl w:val="1"/>
          <w:numId w:val="3"/>
        </w:numPr>
        <w:tabs>
          <w:tab w:val="left" w:pos="9680"/>
        </w:tabs>
        <w:spacing w:before="120" w:beforeLines="50" w:after="120" w:line="360" w:lineRule="auto"/>
        <w:ind w:right="176" w:rightChars="80"/>
        <w:jc w:val="both"/>
        <w:rPr>
          <w:rFonts w:ascii="Arial" w:hAnsi="Arial" w:cs="Arial"/>
          <w:b/>
          <w:bCs/>
        </w:rPr>
      </w:pPr>
      <w:r>
        <w:rPr>
          <w:rFonts w:ascii="Arial" w:hAnsi="Arial" w:eastAsia="CIDFont+F4" w:cs="Arial"/>
          <w:color w:val="000000"/>
          <w:lang w:eastAsia="zh-CN" w:bidi="ar"/>
        </w:rPr>
        <w:t>Pretendemos com essa contratação suprir a necessidade da continuidade da alimentação escolar do município, possibilitando que durante o ano letivo, os alunos possam se alimentar de forma adequada, garantindo assim, o direito à alimentação e ao atendimento das diretrizes do FNDE.</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28"/>
      </w:tblGrid>
      <w:tr w14:paraId="550FE38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8" w:type="dxa"/>
            <w:shd w:val="clear" w:color="auto" w:fill="D8D8D8" w:themeFill="background1" w:themeFillShade="D9"/>
          </w:tcPr>
          <w:p w14:paraId="25E81F92">
            <w:pPr>
              <w:keepNext w:val="0"/>
              <w:keepLines w:val="0"/>
              <w:pageBreakBefore w:val="0"/>
              <w:widowControl/>
              <w:numPr>
                <w:ilvl w:val="0"/>
                <w:numId w:val="3"/>
              </w:numPr>
              <w:kinsoku/>
              <w:wordWrap/>
              <w:overflowPunct/>
              <w:topLinePunct w:val="0"/>
              <w:autoSpaceDE/>
              <w:autoSpaceDN/>
              <w:bidi w:val="0"/>
              <w:adjustRightInd/>
              <w:snapToGrid/>
              <w:spacing w:before="181" w:beforeLines="50" w:after="120" w:line="240" w:lineRule="auto"/>
              <w:ind w:right="176"/>
              <w:jc w:val="center"/>
              <w:textAlignment w:val="auto"/>
              <w:rPr>
                <w:rFonts w:ascii="Arial" w:hAnsi="Arial" w:cs="Arial"/>
                <w:sz w:val="24"/>
                <w:szCs w:val="24"/>
              </w:rPr>
            </w:pPr>
            <w:r>
              <w:rPr>
                <w:rFonts w:ascii="Arial" w:hAnsi="Arial" w:cs="Arial"/>
                <w:b/>
                <w:bCs/>
                <w:sz w:val="24"/>
                <w:szCs w:val="24"/>
              </w:rPr>
              <w:t>PROVIDÊNCIAS ESPECÍFICAS A SEREM ADOTADAS (QUANDO APLICÁVEL)</w:t>
            </w:r>
          </w:p>
        </w:tc>
      </w:tr>
    </w:tbl>
    <w:p w14:paraId="5D979FEE">
      <w:pPr>
        <w:pStyle w:val="29"/>
        <w:widowControl w:val="0"/>
        <w:tabs>
          <w:tab w:val="left" w:pos="427"/>
          <w:tab w:val="left" w:pos="4913"/>
          <w:tab w:val="left" w:pos="5232"/>
          <w:tab w:val="left" w:pos="7920"/>
        </w:tabs>
        <w:autoSpaceDE w:val="0"/>
        <w:autoSpaceDN w:val="0"/>
        <w:spacing w:before="120" w:after="120" w:line="360" w:lineRule="auto"/>
        <w:ind w:left="108" w:right="176"/>
        <w:rPr>
          <w:rFonts w:ascii="Arial" w:hAnsi="Arial" w:cs="Arial"/>
          <w:lang w:val="pt-BR"/>
        </w:rPr>
      </w:pPr>
      <w:r>
        <w:rPr>
          <w:rFonts w:ascii="Arial" w:hAnsi="Arial" w:cs="Arial"/>
          <w:lang w:val="pt-BR"/>
        </w:rPr>
        <w:t>(     )</w:t>
      </w:r>
      <w:r>
        <w:rPr>
          <w:rFonts w:ascii="Arial" w:hAnsi="Arial" w:cs="Arial"/>
          <w:spacing w:val="-2"/>
          <w:lang w:val="pt-BR"/>
        </w:rPr>
        <w:t xml:space="preserve"> </w:t>
      </w:r>
      <w:r>
        <w:rPr>
          <w:rFonts w:ascii="Arial" w:hAnsi="Arial" w:cs="Arial"/>
          <w:lang w:val="pt-BR"/>
        </w:rPr>
        <w:t>há</w:t>
      </w:r>
      <w:r>
        <w:rPr>
          <w:rFonts w:ascii="Arial" w:hAnsi="Arial" w:cs="Arial"/>
          <w:spacing w:val="-1"/>
          <w:lang w:val="pt-BR"/>
        </w:rPr>
        <w:t xml:space="preserve"> </w:t>
      </w:r>
      <w:r>
        <w:rPr>
          <w:rFonts w:ascii="Arial" w:hAnsi="Arial" w:cs="Arial"/>
          <w:lang w:val="pt-BR"/>
        </w:rPr>
        <w:t>providências</w:t>
      </w:r>
      <w:r>
        <w:rPr>
          <w:rFonts w:ascii="Arial" w:hAnsi="Arial" w:cs="Arial"/>
          <w:spacing w:val="-1"/>
          <w:lang w:val="pt-BR"/>
        </w:rPr>
        <w:t xml:space="preserve"> </w:t>
      </w:r>
      <w:r>
        <w:rPr>
          <w:rFonts w:ascii="Arial" w:hAnsi="Arial" w:cs="Arial"/>
          <w:lang w:val="pt-BR"/>
        </w:rPr>
        <w:t xml:space="preserve">específicas                 </w:t>
      </w:r>
      <w:r>
        <w:rPr>
          <w:rFonts w:ascii="Arial" w:hAnsi="Arial" w:cs="Arial"/>
          <w:spacing w:val="-57"/>
          <w:lang w:val="pt-BR"/>
        </w:rPr>
        <w:t xml:space="preserve">                                                                                          </w:t>
      </w:r>
      <w:r>
        <w:rPr>
          <w:rFonts w:ascii="Arial" w:hAnsi="Arial" w:cs="Arial"/>
          <w:lang w:val="pt-BR"/>
        </w:rPr>
        <w:t>( X )</w:t>
      </w:r>
      <w:r>
        <w:rPr>
          <w:rFonts w:ascii="Arial" w:hAnsi="Arial" w:cs="Arial"/>
          <w:spacing w:val="-3"/>
          <w:lang w:val="pt-BR"/>
        </w:rPr>
        <w:t xml:space="preserve"> Não h</w:t>
      </w:r>
      <w:r>
        <w:rPr>
          <w:rFonts w:ascii="Arial" w:hAnsi="Arial" w:cs="Arial"/>
          <w:lang w:val="pt-BR"/>
        </w:rPr>
        <w:t>á</w:t>
      </w:r>
      <w:r>
        <w:rPr>
          <w:rFonts w:ascii="Arial" w:hAnsi="Arial" w:cs="Arial"/>
          <w:spacing w:val="-1"/>
          <w:lang w:val="pt-BR"/>
        </w:rPr>
        <w:t xml:space="preserve"> </w:t>
      </w:r>
      <w:r>
        <w:rPr>
          <w:rFonts w:ascii="Arial" w:hAnsi="Arial" w:cs="Arial"/>
          <w:lang w:val="pt-BR"/>
        </w:rPr>
        <w:t>providencias</w:t>
      </w:r>
      <w:r>
        <w:rPr>
          <w:rFonts w:ascii="Arial" w:hAnsi="Arial" w:cs="Arial"/>
          <w:spacing w:val="-2"/>
          <w:lang w:val="pt-BR"/>
        </w:rPr>
        <w:t xml:space="preserve"> </w:t>
      </w:r>
      <w:r>
        <w:rPr>
          <w:rFonts w:ascii="Arial" w:hAnsi="Arial" w:cs="Arial"/>
          <w:lang w:val="pt-BR"/>
        </w:rPr>
        <w:t xml:space="preserve">específicas                                   </w:t>
      </w:r>
    </w:p>
    <w:p w14:paraId="1CDF6606">
      <w:pPr>
        <w:pStyle w:val="29"/>
        <w:widowControl w:val="0"/>
        <w:tabs>
          <w:tab w:val="left" w:pos="427"/>
          <w:tab w:val="left" w:pos="4913"/>
          <w:tab w:val="left" w:pos="5232"/>
          <w:tab w:val="left" w:pos="7920"/>
        </w:tabs>
        <w:autoSpaceDE w:val="0"/>
        <w:autoSpaceDN w:val="0"/>
        <w:spacing w:before="120" w:after="120" w:line="360" w:lineRule="auto"/>
        <w:ind w:left="108" w:right="176"/>
        <w:jc w:val="both"/>
        <w:rPr>
          <w:rFonts w:ascii="Arial" w:hAnsi="Arial" w:cs="Arial"/>
          <w:lang w:val="pt-BR"/>
        </w:rPr>
      </w:pPr>
      <w:r>
        <w:rPr>
          <w:rFonts w:ascii="Arial" w:hAnsi="Arial" w:cs="Arial"/>
          <w:lang w:val="pt-BR"/>
        </w:rPr>
        <w:t xml:space="preserve">   Quais?            </w:t>
      </w:r>
    </w:p>
    <w:p w14:paraId="4159B19F">
      <w:pPr>
        <w:pStyle w:val="29"/>
        <w:widowControl w:val="0"/>
        <w:tabs>
          <w:tab w:val="left" w:pos="427"/>
          <w:tab w:val="left" w:pos="4913"/>
          <w:tab w:val="left" w:pos="5232"/>
          <w:tab w:val="left" w:pos="7920"/>
        </w:tabs>
        <w:autoSpaceDE w:val="0"/>
        <w:autoSpaceDN w:val="0"/>
        <w:spacing w:before="120" w:after="120" w:line="360" w:lineRule="auto"/>
        <w:ind w:left="108" w:right="176"/>
        <w:jc w:val="both"/>
        <w:rPr>
          <w:rFonts w:ascii="Arial" w:hAnsi="Arial" w:cs="Arial"/>
          <w:lang w:val="pt-BR"/>
        </w:rPr>
      </w:pPr>
      <w:r>
        <w:rPr>
          <w:rFonts w:ascii="Arial" w:hAnsi="Arial" w:cs="Arial"/>
          <w:lang w:val="pt-BR"/>
        </w:rPr>
        <w:t>(    )</w:t>
      </w:r>
      <w:r>
        <w:rPr>
          <w:rFonts w:ascii="Arial" w:hAnsi="Arial" w:cs="Arial"/>
          <w:spacing w:val="-5"/>
          <w:lang w:val="pt-BR"/>
        </w:rPr>
        <w:t xml:space="preserve"> H</w:t>
      </w:r>
      <w:r>
        <w:rPr>
          <w:rFonts w:ascii="Arial" w:hAnsi="Arial" w:cs="Arial"/>
          <w:lang w:val="pt-BR"/>
        </w:rPr>
        <w:t>á</w:t>
      </w:r>
      <w:r>
        <w:rPr>
          <w:rFonts w:ascii="Arial" w:hAnsi="Arial" w:cs="Arial"/>
          <w:spacing w:val="-4"/>
          <w:lang w:val="pt-BR"/>
        </w:rPr>
        <w:t xml:space="preserve"> </w:t>
      </w:r>
      <w:r>
        <w:rPr>
          <w:rFonts w:ascii="Arial" w:hAnsi="Arial" w:cs="Arial"/>
          <w:lang w:val="pt-BR"/>
        </w:rPr>
        <w:t>impactos</w:t>
      </w:r>
      <w:r>
        <w:rPr>
          <w:rFonts w:ascii="Arial" w:hAnsi="Arial" w:cs="Arial"/>
          <w:spacing w:val="-4"/>
          <w:lang w:val="pt-BR"/>
        </w:rPr>
        <w:t xml:space="preserve"> </w:t>
      </w:r>
      <w:r>
        <w:rPr>
          <w:rFonts w:ascii="Arial" w:hAnsi="Arial" w:cs="Arial"/>
          <w:lang w:val="pt-BR"/>
        </w:rPr>
        <w:t>ambientai                                ( X )</w:t>
      </w:r>
      <w:r>
        <w:rPr>
          <w:rFonts w:ascii="Arial" w:hAnsi="Arial" w:cs="Arial"/>
          <w:spacing w:val="-1"/>
          <w:lang w:val="pt-BR"/>
        </w:rPr>
        <w:t xml:space="preserve"> Não h</w:t>
      </w:r>
      <w:r>
        <w:rPr>
          <w:rFonts w:ascii="Arial" w:hAnsi="Arial" w:cs="Arial"/>
          <w:lang w:val="pt-BR"/>
        </w:rPr>
        <w:t>á impactos ambientais</w:t>
      </w:r>
    </w:p>
    <w:p w14:paraId="28FFF881">
      <w:pPr>
        <w:pStyle w:val="13"/>
        <w:spacing w:before="120" w:after="120" w:line="360" w:lineRule="auto"/>
        <w:ind w:firstLine="220" w:firstLineChars="100"/>
        <w:jc w:val="both"/>
        <w:rPr>
          <w:rFonts w:ascii="Arial" w:hAnsi="Arial" w:cs="Arial"/>
          <w:lang w:val="pt-BR"/>
        </w:rPr>
      </w:pPr>
      <w:r>
        <w:rPr>
          <w:rFonts w:ascii="Arial" w:hAnsi="Arial" w:cs="Arial"/>
          <w:sz w:val="22"/>
          <w:szCs w:val="22"/>
          <w:lang w:val="pt-BR"/>
        </w:rPr>
        <w:t>Quais?</w:t>
      </w:r>
      <w:r>
        <w:rPr>
          <w:rFonts w:ascii="Arial" w:hAnsi="Arial" w:cs="Arial"/>
          <w:sz w:val="22"/>
          <w:szCs w:val="22"/>
          <w:lang w:val="pt-BR"/>
        </w:rPr>
        <w:tab/>
      </w:r>
      <w:r>
        <w:rPr>
          <w:rFonts w:ascii="Arial" w:hAnsi="Arial" w:cs="Arial"/>
          <w:sz w:val="22"/>
          <w:szCs w:val="22"/>
          <w:lang w:val="pt-BR"/>
        </w:rPr>
        <w:t xml:space="preserve">                                   </w:t>
      </w:r>
      <w:r>
        <w:rPr>
          <w:rFonts w:ascii="Arial" w:hAnsi="Arial" w:cs="Arial"/>
          <w:lang w:val="pt-BR"/>
        </w:rPr>
        <w:t xml:space="preserve">                    </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47"/>
      </w:tblGrid>
      <w:tr w14:paraId="6E066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47" w:type="dxa"/>
            <w:shd w:val="clear" w:color="auto" w:fill="D8D8D8" w:themeFill="background1" w:themeFillShade="D9"/>
          </w:tcPr>
          <w:p w14:paraId="7EED3B3C">
            <w:pPr>
              <w:keepNext w:val="0"/>
              <w:keepLines w:val="0"/>
              <w:pageBreakBefore w:val="0"/>
              <w:widowControl/>
              <w:numPr>
                <w:ilvl w:val="0"/>
                <w:numId w:val="3"/>
              </w:numPr>
              <w:kinsoku/>
              <w:wordWrap/>
              <w:overflowPunct/>
              <w:topLinePunct w:val="0"/>
              <w:autoSpaceDE/>
              <w:autoSpaceDN/>
              <w:bidi w:val="0"/>
              <w:adjustRightInd/>
              <w:snapToGrid/>
              <w:spacing w:before="181" w:beforeLines="50" w:after="120" w:line="240" w:lineRule="auto"/>
              <w:ind w:right="176"/>
              <w:jc w:val="center"/>
              <w:textAlignment w:val="auto"/>
              <w:rPr>
                <w:rFonts w:ascii="Arial" w:hAnsi="Arial" w:cs="Arial"/>
                <w:sz w:val="24"/>
                <w:szCs w:val="24"/>
              </w:rPr>
            </w:pPr>
            <w:r>
              <w:rPr>
                <w:rFonts w:ascii="Arial" w:hAnsi="Arial" w:cs="Arial"/>
                <w:b/>
                <w:bCs/>
                <w:sz w:val="24"/>
                <w:szCs w:val="24"/>
              </w:rPr>
              <w:t>DEMONSTRATIVO DE CONTRATAÇÕES SIMILARES OU QUE GUARDAM RELAÇÃO COM O OBJETO</w:t>
            </w:r>
          </w:p>
        </w:tc>
      </w:tr>
    </w:tbl>
    <w:p w14:paraId="078AAB02">
      <w:pPr>
        <w:numPr>
          <w:ilvl w:val="1"/>
          <w:numId w:val="3"/>
        </w:numPr>
        <w:spacing w:before="240" w:beforeLines="100" w:after="120" w:afterLines="50" w:line="360" w:lineRule="auto"/>
        <w:ind w:right="176" w:rightChars="80"/>
        <w:jc w:val="both"/>
        <w:rPr>
          <w:rFonts w:ascii="Arial" w:hAnsi="Arial" w:cs="Arial"/>
        </w:rPr>
      </w:pPr>
      <w:r>
        <w:rPr>
          <w:rFonts w:ascii="Arial" w:hAnsi="Arial" w:cs="Arial"/>
        </w:rPr>
        <w:t>Existem atas de Registro de Preços Vigentes para Aquisição de Gêneros Alimentícios, pois atualmente a gestão da Alimentação Escolar é de responsabilidade do setor de Alimentação Escolar da Secretaria Municipal de Educação.</w:t>
      </w:r>
    </w:p>
    <w:p w14:paraId="6DCF2E09">
      <w:pPr>
        <w:numPr>
          <w:ilvl w:val="1"/>
          <w:numId w:val="3"/>
        </w:numPr>
        <w:spacing w:before="240" w:beforeLines="100" w:after="120" w:afterLines="50" w:line="360" w:lineRule="auto"/>
        <w:ind w:right="176" w:rightChars="80"/>
        <w:jc w:val="both"/>
        <w:rPr>
          <w:rFonts w:ascii="Arial" w:hAnsi="Arial" w:cs="Arial"/>
          <w:b/>
          <w:bCs/>
          <w:sz w:val="24"/>
          <w:szCs w:val="24"/>
        </w:rPr>
      </w:pPr>
      <w:r>
        <w:rPr>
          <w:rFonts w:ascii="Arial" w:hAnsi="Arial" w:cs="Arial"/>
        </w:rPr>
        <w:t xml:space="preserve">Mesmo com a contratção do objeto em questão, </w:t>
      </w:r>
      <w:r>
        <w:rPr>
          <w:rFonts w:ascii="Arial" w:hAnsi="Arial" w:eastAsia="CIDFont+F4" w:cs="Arial"/>
          <w:color w:val="000000"/>
          <w:lang w:eastAsia="zh-CN" w:bidi="ar"/>
        </w:rPr>
        <w:t>faz necessária a contratação interdependente para aquisição de alimentos da Agricultura Familiar, visto que o repasse do Governo Federal ao Município serve somente para a aquisição de insumos, sendo indispensável à complementação das refeições servidas pela empresa terceirizada com produtos oriundos da Agricultura Familiar adquiridos via processo de Chamamento Público.</w:t>
      </w:r>
    </w:p>
    <w:tbl>
      <w:tblPr>
        <w:tblStyle w:val="2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626"/>
      </w:tblGrid>
      <w:tr w14:paraId="0DBF57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6" w:type="dxa"/>
            <w:shd w:val="clear" w:color="auto" w:fill="D8D8D8" w:themeFill="background1" w:themeFillShade="D9"/>
          </w:tcPr>
          <w:p w14:paraId="402605F5">
            <w:pPr>
              <w:keepNext w:val="0"/>
              <w:keepLines w:val="0"/>
              <w:pageBreakBefore w:val="0"/>
              <w:widowControl/>
              <w:numPr>
                <w:ilvl w:val="0"/>
                <w:numId w:val="3"/>
              </w:numPr>
              <w:kinsoku/>
              <w:wordWrap/>
              <w:overflowPunct/>
              <w:topLinePunct w:val="0"/>
              <w:autoSpaceDE/>
              <w:autoSpaceDN/>
              <w:bidi w:val="0"/>
              <w:adjustRightInd/>
              <w:snapToGrid/>
              <w:spacing w:before="181" w:beforeLines="50" w:after="120" w:line="240" w:lineRule="auto"/>
              <w:ind w:right="176"/>
              <w:jc w:val="center"/>
              <w:textAlignment w:val="auto"/>
              <w:rPr>
                <w:rFonts w:ascii="Arial" w:hAnsi="Arial" w:cs="Arial"/>
                <w:sz w:val="24"/>
                <w:szCs w:val="24"/>
              </w:rPr>
            </w:pPr>
            <w:r>
              <w:rPr>
                <w:rFonts w:ascii="Arial" w:hAnsi="Arial" w:cs="Arial"/>
                <w:b/>
                <w:bCs/>
                <w:sz w:val="24"/>
                <w:szCs w:val="24"/>
              </w:rPr>
              <w:t>DECLARAÇÃO DE VIABILIDADE OU NÃO DA CONTRATAÇÃO</w:t>
            </w:r>
          </w:p>
        </w:tc>
      </w:tr>
    </w:tbl>
    <w:p w14:paraId="007B7FC5">
      <w:pPr>
        <w:numPr>
          <w:ilvl w:val="1"/>
          <w:numId w:val="3"/>
        </w:numPr>
        <w:spacing w:before="120" w:beforeLines="50" w:after="120" w:afterLines="50" w:line="360" w:lineRule="auto"/>
        <w:ind w:right="176" w:rightChars="80"/>
        <w:jc w:val="both"/>
        <w:rPr>
          <w:rFonts w:ascii="Arial" w:hAnsi="Arial" w:cs="Arial"/>
          <w:b/>
          <w:bCs/>
          <w:sz w:val="24"/>
          <w:szCs w:val="24"/>
        </w:rPr>
      </w:pPr>
      <w:r>
        <w:rPr>
          <w:rFonts w:ascii="Arial" w:hAnsi="Arial" w:eastAsia="CIDFont" w:cs="Arial"/>
          <w:color w:val="000000"/>
          <w:sz w:val="24"/>
          <w:szCs w:val="24"/>
          <w:lang w:eastAsia="zh-CN" w:bidi="ar"/>
        </w:rPr>
        <w:t>Os estudos preliminares evidenciaram que a contratação da solução descrita nesta ETP, mostra-se possível tecnicamente e fundamentadamente necessária. Diante do exposto, declara-se ser viável a contratação pretendida.</w:t>
      </w:r>
    </w:p>
    <w:p w14:paraId="1CE14737">
      <w:pPr>
        <w:spacing w:after="120" w:line="240" w:lineRule="auto"/>
        <w:ind w:right="176"/>
        <w:jc w:val="both"/>
        <w:rPr>
          <w:rFonts w:ascii="Arial" w:hAnsi="Arial" w:cs="Arial"/>
          <w:sz w:val="24"/>
          <w:szCs w:val="24"/>
        </w:rPr>
      </w:pPr>
      <w:r>
        <w:rPr>
          <w:rFonts w:ascii="Arial" w:hAnsi="Arial" w:cs="Arial"/>
          <w:sz w:val="24"/>
          <w:szCs w:val="24"/>
        </w:rPr>
        <w:t xml:space="preserve">Sinop/MT, </w:t>
      </w:r>
      <w:r>
        <w:rPr>
          <w:rFonts w:hint="default" w:ascii="Arial" w:hAnsi="Arial" w:cs="Arial"/>
          <w:sz w:val="24"/>
          <w:szCs w:val="24"/>
          <w:lang w:val="pt-BR"/>
        </w:rPr>
        <w:t>03 de novembro</w:t>
      </w:r>
      <w:r>
        <w:rPr>
          <w:rFonts w:ascii="Arial" w:hAnsi="Arial" w:cs="Arial"/>
          <w:sz w:val="24"/>
          <w:szCs w:val="24"/>
        </w:rPr>
        <w:t xml:space="preserve"> de 2025.</w:t>
      </w:r>
      <w:bookmarkStart w:id="12" w:name="_GoBack"/>
      <w:bookmarkEnd w:id="12"/>
    </w:p>
    <w:p w14:paraId="0975C7A0">
      <w:pPr>
        <w:pStyle w:val="13"/>
        <w:keepNext w:val="0"/>
        <w:keepLines w:val="0"/>
        <w:pageBreakBefore w:val="0"/>
        <w:widowControl/>
        <w:kinsoku/>
        <w:wordWrap/>
        <w:overflowPunct/>
        <w:topLinePunct w:val="0"/>
        <w:autoSpaceDE/>
        <w:autoSpaceDN/>
        <w:bidi w:val="0"/>
        <w:adjustRightInd/>
        <w:spacing w:after="0" w:line="240" w:lineRule="auto"/>
        <w:textAlignment w:val="auto"/>
        <w:rPr>
          <w:lang w:val="pt-BR"/>
        </w:rPr>
      </w:pPr>
    </w:p>
    <w:p w14:paraId="0677FE69">
      <w:pPr>
        <w:pStyle w:val="13"/>
        <w:keepNext w:val="0"/>
        <w:keepLines w:val="0"/>
        <w:pageBreakBefore w:val="0"/>
        <w:widowControl/>
        <w:kinsoku/>
        <w:wordWrap/>
        <w:overflowPunct/>
        <w:topLinePunct w:val="0"/>
        <w:autoSpaceDE/>
        <w:autoSpaceDN/>
        <w:bidi w:val="0"/>
        <w:adjustRightInd/>
        <w:spacing w:after="0" w:line="240" w:lineRule="auto"/>
        <w:ind w:left="252" w:hanging="252" w:hangingChars="105"/>
        <w:textAlignment w:val="auto"/>
        <w:rPr>
          <w:rFonts w:ascii="Arial" w:hAnsi="Arial" w:cs="Arial"/>
          <w:i/>
          <w:iCs/>
          <w:sz w:val="22"/>
          <w:szCs w:val="22"/>
          <w:highlight w:val="none"/>
          <w:lang w:val="pt-BR"/>
        </w:rPr>
      </w:pPr>
      <w:r>
        <w:rPr>
          <w:i/>
          <w:iCs/>
          <w:lang w:val="pt-BR"/>
        </w:rPr>
        <w:t xml:space="preserve">________________________________                  _________________________________      </w:t>
      </w:r>
      <w:r>
        <w:rPr>
          <w:rFonts w:hint="default" w:ascii="Arial" w:hAnsi="Arial" w:cs="Arial"/>
          <w:i/>
          <w:iCs/>
          <w:sz w:val="22"/>
          <w:szCs w:val="22"/>
          <w:highlight w:val="none"/>
          <w:lang w:val="pt-BR"/>
        </w:rPr>
        <w:t>Pedro Henrique Valerio Quintella</w:t>
      </w:r>
      <w:r>
        <w:rPr>
          <w:rFonts w:ascii="Arial" w:hAnsi="Arial" w:cs="Arial"/>
          <w:i/>
          <w:iCs/>
          <w:sz w:val="22"/>
          <w:szCs w:val="22"/>
          <w:highlight w:val="none"/>
          <w:lang w:val="pt-BR"/>
        </w:rPr>
        <w:t xml:space="preserve">                        </w:t>
      </w:r>
      <w:r>
        <w:rPr>
          <w:rFonts w:hint="default" w:ascii="Arial" w:hAnsi="Arial" w:cs="Arial"/>
          <w:i/>
          <w:iCs/>
          <w:sz w:val="22"/>
          <w:szCs w:val="22"/>
          <w:highlight w:val="none"/>
          <w:lang w:val="pt-BR"/>
        </w:rPr>
        <w:t xml:space="preserve">    </w:t>
      </w:r>
      <w:r>
        <w:rPr>
          <w:rFonts w:ascii="Arial" w:hAnsi="Arial" w:cs="Arial"/>
          <w:bCs/>
          <w:highlight w:val="none"/>
          <w:lang w:val="pt-BR"/>
        </w:rPr>
        <w:t>Salete Vicenti Rodrigues Ieka</w:t>
      </w:r>
      <w:r>
        <w:rPr>
          <w:rFonts w:ascii="Arial" w:hAnsi="Arial" w:cs="Arial"/>
          <w:i/>
          <w:iCs/>
          <w:sz w:val="22"/>
          <w:szCs w:val="22"/>
          <w:highlight w:val="none"/>
          <w:lang w:val="pt-BR"/>
        </w:rPr>
        <w:t xml:space="preserve"> </w:t>
      </w:r>
    </w:p>
    <w:p w14:paraId="4467C398">
      <w:pPr>
        <w:pStyle w:val="13"/>
        <w:keepNext w:val="0"/>
        <w:keepLines w:val="0"/>
        <w:pageBreakBefore w:val="0"/>
        <w:widowControl/>
        <w:kinsoku/>
        <w:wordWrap/>
        <w:overflowPunct/>
        <w:topLinePunct w:val="0"/>
        <w:autoSpaceDE/>
        <w:autoSpaceDN/>
        <w:bidi w:val="0"/>
        <w:adjustRightInd/>
        <w:spacing w:after="0" w:line="240" w:lineRule="auto"/>
        <w:textAlignment w:val="auto"/>
        <w:rPr>
          <w:rFonts w:ascii="Arial" w:hAnsi="Arial" w:cs="Arial"/>
          <w:i/>
          <w:iCs/>
          <w:sz w:val="22"/>
          <w:szCs w:val="22"/>
          <w:highlight w:val="none"/>
          <w:lang w:val="pt-BR"/>
        </w:rPr>
      </w:pPr>
      <w:r>
        <w:rPr>
          <w:rFonts w:ascii="Arial" w:hAnsi="Arial" w:cs="Arial"/>
          <w:i/>
          <w:iCs/>
          <w:sz w:val="22"/>
          <w:szCs w:val="22"/>
          <w:highlight w:val="none"/>
          <w:lang w:val="pt-BR"/>
        </w:rPr>
        <w:t xml:space="preserve">               Nutricionista                                               Secretária Municipal de Educação</w:t>
      </w:r>
    </w:p>
    <w:p w14:paraId="5BC77E50">
      <w:pPr>
        <w:pStyle w:val="13"/>
        <w:keepNext w:val="0"/>
        <w:keepLines w:val="0"/>
        <w:pageBreakBefore w:val="0"/>
        <w:widowControl/>
        <w:kinsoku/>
        <w:wordWrap/>
        <w:overflowPunct/>
        <w:topLinePunct w:val="0"/>
        <w:autoSpaceDE/>
        <w:autoSpaceDN/>
        <w:bidi w:val="0"/>
        <w:adjustRightInd/>
        <w:spacing w:after="0" w:line="240" w:lineRule="auto"/>
        <w:textAlignment w:val="auto"/>
        <w:rPr>
          <w:rFonts w:ascii="Arial" w:hAnsi="Arial" w:cs="Arial"/>
          <w:i/>
          <w:iCs/>
          <w:sz w:val="22"/>
          <w:szCs w:val="22"/>
          <w:highlight w:val="none"/>
          <w:lang w:val="pt-BR"/>
        </w:rPr>
      </w:pPr>
      <w:r>
        <w:rPr>
          <w:rFonts w:ascii="Arial" w:hAnsi="Arial" w:cs="Arial"/>
          <w:i/>
          <w:iCs/>
          <w:sz w:val="22"/>
          <w:szCs w:val="22"/>
          <w:highlight w:val="none"/>
          <w:lang w:val="pt-BR"/>
        </w:rPr>
        <w:t xml:space="preserve">            Matrícula </w:t>
      </w:r>
      <w:r>
        <w:rPr>
          <w:rFonts w:hint="default" w:ascii="Arial" w:hAnsi="Arial" w:cs="Arial"/>
          <w:i/>
          <w:iCs/>
          <w:sz w:val="22"/>
          <w:szCs w:val="22"/>
          <w:highlight w:val="none"/>
          <w:lang w:val="pt-BR"/>
        </w:rPr>
        <w:t>17732</w:t>
      </w:r>
      <w:r>
        <w:rPr>
          <w:rFonts w:ascii="Arial" w:hAnsi="Arial" w:cs="Arial"/>
          <w:i/>
          <w:iCs/>
          <w:sz w:val="22"/>
          <w:szCs w:val="22"/>
          <w:highlight w:val="none"/>
          <w:lang w:val="pt-BR"/>
        </w:rPr>
        <w:t xml:space="preserve"> </w:t>
      </w:r>
      <w:r>
        <w:rPr>
          <w:rFonts w:ascii="Arial" w:hAnsi="Arial" w:cs="Arial"/>
          <w:i/>
          <w:iCs/>
          <w:sz w:val="22"/>
          <w:szCs w:val="22"/>
          <w:highlight w:val="none"/>
          <w:lang w:val="pt-BR"/>
        </w:rPr>
        <w:tab/>
      </w:r>
      <w:r>
        <w:rPr>
          <w:rFonts w:ascii="Arial" w:hAnsi="Arial" w:cs="Arial"/>
          <w:i/>
          <w:iCs/>
          <w:sz w:val="22"/>
          <w:szCs w:val="22"/>
          <w:highlight w:val="none"/>
          <w:lang w:val="pt-BR"/>
        </w:rPr>
        <w:tab/>
      </w:r>
      <w:r>
        <w:rPr>
          <w:rFonts w:ascii="Arial" w:hAnsi="Arial" w:cs="Arial"/>
          <w:i/>
          <w:iCs/>
          <w:sz w:val="22"/>
          <w:szCs w:val="22"/>
          <w:highlight w:val="none"/>
          <w:lang w:val="pt-BR"/>
        </w:rPr>
        <w:tab/>
      </w:r>
      <w:r>
        <w:rPr>
          <w:rFonts w:ascii="Arial" w:hAnsi="Arial" w:cs="Arial"/>
          <w:i/>
          <w:iCs/>
          <w:sz w:val="22"/>
          <w:szCs w:val="22"/>
          <w:highlight w:val="none"/>
          <w:lang w:val="pt-BR"/>
        </w:rPr>
        <w:t xml:space="preserve">                          Matrícula </w:t>
      </w:r>
      <w:r>
        <w:rPr>
          <w:rFonts w:ascii="Arial" w:hAnsi="Arial" w:cs="Arial"/>
          <w:bCs/>
          <w:highlight w:val="none"/>
          <w:lang w:val="pt-BR"/>
        </w:rPr>
        <w:t>13258</w:t>
      </w:r>
    </w:p>
    <w:p w14:paraId="0F45AE5D">
      <w:pPr>
        <w:pStyle w:val="13"/>
        <w:keepNext w:val="0"/>
        <w:keepLines w:val="0"/>
        <w:pageBreakBefore w:val="0"/>
        <w:widowControl/>
        <w:kinsoku/>
        <w:wordWrap/>
        <w:overflowPunct/>
        <w:topLinePunct w:val="0"/>
        <w:autoSpaceDE/>
        <w:autoSpaceDN/>
        <w:bidi w:val="0"/>
        <w:adjustRightInd/>
        <w:spacing w:after="0" w:line="240" w:lineRule="auto"/>
        <w:textAlignment w:val="auto"/>
        <w:rPr>
          <w:rFonts w:ascii="Arial" w:hAnsi="Arial" w:cs="Arial"/>
          <w:b/>
          <w:bCs/>
          <w:i/>
          <w:iCs/>
          <w:sz w:val="22"/>
          <w:szCs w:val="22"/>
          <w:lang w:val="pt-BR"/>
        </w:rPr>
      </w:pPr>
      <w:r>
        <w:rPr>
          <w:rFonts w:ascii="Arial" w:hAnsi="Arial" w:cs="Arial"/>
          <w:i/>
          <w:iCs/>
          <w:sz w:val="22"/>
          <w:szCs w:val="22"/>
          <w:highlight w:val="none"/>
          <w:lang w:val="pt-BR"/>
        </w:rPr>
        <w:t>Responsável Formação de Demand</w:t>
      </w:r>
      <w:r>
        <w:rPr>
          <w:rFonts w:ascii="Arial" w:hAnsi="Arial" w:cs="Arial"/>
          <w:i/>
          <w:iCs/>
          <w:sz w:val="22"/>
          <w:szCs w:val="22"/>
          <w:lang w:val="pt-BR"/>
        </w:rPr>
        <w:t>a                        Responsável Área Demandante</w:t>
      </w:r>
    </w:p>
    <w:bookmarkEnd w:id="0"/>
    <w:p w14:paraId="7F3EDD74">
      <w:pPr>
        <w:keepNext w:val="0"/>
        <w:keepLines w:val="0"/>
        <w:pageBreakBefore w:val="0"/>
        <w:widowControl/>
        <w:kinsoku/>
        <w:wordWrap/>
        <w:overflowPunct/>
        <w:topLinePunct w:val="0"/>
        <w:autoSpaceDE/>
        <w:autoSpaceDN/>
        <w:bidi w:val="0"/>
        <w:adjustRightInd/>
        <w:snapToGrid w:val="0"/>
        <w:spacing w:after="0" w:line="240" w:lineRule="auto"/>
        <w:ind w:right="176"/>
        <w:jc w:val="both"/>
        <w:textAlignment w:val="auto"/>
        <w:rPr>
          <w:rFonts w:ascii="Arial" w:hAnsi="Arial" w:cs="Arial"/>
          <w:sz w:val="24"/>
          <w:szCs w:val="24"/>
          <w:lang w:eastAsia="pt-BR"/>
        </w:rPr>
      </w:pPr>
    </w:p>
    <w:p w14:paraId="29C2A9C5">
      <w:pPr>
        <w:keepNext w:val="0"/>
        <w:keepLines w:val="0"/>
        <w:pageBreakBefore w:val="0"/>
        <w:widowControl/>
        <w:kinsoku/>
        <w:wordWrap/>
        <w:overflowPunct/>
        <w:topLinePunct w:val="0"/>
        <w:autoSpaceDE/>
        <w:autoSpaceDN/>
        <w:bidi w:val="0"/>
        <w:adjustRightInd/>
        <w:snapToGrid w:val="0"/>
        <w:spacing w:after="0" w:line="240" w:lineRule="auto"/>
        <w:ind w:right="176"/>
        <w:jc w:val="both"/>
        <w:textAlignment w:val="auto"/>
        <w:rPr>
          <w:rFonts w:ascii="Arial" w:hAnsi="Arial" w:cs="Arial"/>
          <w:sz w:val="24"/>
          <w:szCs w:val="24"/>
          <w:lang w:eastAsia="pt-BR"/>
        </w:rPr>
      </w:pPr>
    </w:p>
    <w:p w14:paraId="2BF7C382">
      <w:pPr>
        <w:snapToGrid w:val="0"/>
        <w:spacing w:after="120" w:line="240" w:lineRule="auto"/>
        <w:ind w:right="176"/>
        <w:jc w:val="both"/>
        <w:rPr>
          <w:rFonts w:ascii="Arial" w:hAnsi="Arial" w:cs="Arial"/>
          <w:sz w:val="24"/>
          <w:szCs w:val="24"/>
          <w:lang w:eastAsia="pt-BR"/>
        </w:rPr>
      </w:pPr>
    </w:p>
    <w:p w14:paraId="5B141D01">
      <w:pPr>
        <w:snapToGrid w:val="0"/>
        <w:spacing w:after="120" w:line="240" w:lineRule="auto"/>
        <w:ind w:right="176"/>
        <w:jc w:val="both"/>
        <w:rPr>
          <w:rFonts w:ascii="Arial" w:hAnsi="Arial" w:cs="Arial"/>
          <w:sz w:val="24"/>
          <w:szCs w:val="24"/>
          <w:lang w:eastAsia="pt-BR"/>
        </w:rPr>
      </w:pPr>
    </w:p>
    <w:p w14:paraId="2DA993D8">
      <w:pPr>
        <w:snapToGrid w:val="0"/>
        <w:spacing w:after="120" w:line="240" w:lineRule="auto"/>
        <w:ind w:right="176"/>
        <w:jc w:val="both"/>
        <w:rPr>
          <w:rFonts w:ascii="Arial" w:hAnsi="Arial" w:cs="Arial"/>
          <w:sz w:val="24"/>
          <w:szCs w:val="24"/>
          <w:lang w:eastAsia="pt-BR"/>
        </w:rPr>
      </w:pPr>
    </w:p>
    <w:p w14:paraId="5D998F32">
      <w:pPr>
        <w:snapToGrid w:val="0"/>
        <w:spacing w:after="120" w:line="240" w:lineRule="auto"/>
        <w:ind w:right="176"/>
        <w:jc w:val="both"/>
        <w:rPr>
          <w:rFonts w:ascii="Arial" w:hAnsi="Arial" w:cs="Arial"/>
          <w:sz w:val="24"/>
          <w:szCs w:val="24"/>
          <w:lang w:eastAsia="pt-BR"/>
        </w:rPr>
      </w:pPr>
    </w:p>
    <w:p w14:paraId="6717672D">
      <w:pPr>
        <w:snapToGrid w:val="0"/>
        <w:spacing w:after="120" w:line="240" w:lineRule="auto"/>
        <w:ind w:right="176"/>
        <w:jc w:val="both"/>
        <w:rPr>
          <w:rFonts w:ascii="Arial" w:hAnsi="Arial" w:cs="Arial"/>
          <w:sz w:val="24"/>
          <w:szCs w:val="24"/>
          <w:lang w:eastAsia="pt-BR"/>
        </w:rPr>
      </w:pPr>
    </w:p>
    <w:p w14:paraId="07DE066A">
      <w:pPr>
        <w:snapToGrid w:val="0"/>
        <w:spacing w:after="120" w:line="240" w:lineRule="auto"/>
        <w:ind w:right="176"/>
        <w:jc w:val="both"/>
        <w:rPr>
          <w:rFonts w:ascii="Arial" w:hAnsi="Arial" w:cs="Arial"/>
          <w:sz w:val="24"/>
          <w:szCs w:val="24"/>
          <w:lang w:eastAsia="pt-BR"/>
        </w:rPr>
      </w:pPr>
    </w:p>
    <w:p w14:paraId="6BA8B48C">
      <w:pPr>
        <w:snapToGrid w:val="0"/>
        <w:spacing w:after="120" w:line="240" w:lineRule="auto"/>
        <w:ind w:right="176"/>
        <w:jc w:val="both"/>
        <w:rPr>
          <w:rFonts w:ascii="Arial" w:hAnsi="Arial" w:cs="Arial"/>
          <w:sz w:val="24"/>
          <w:szCs w:val="24"/>
          <w:lang w:eastAsia="pt-BR"/>
        </w:rPr>
      </w:pPr>
    </w:p>
    <w:p w14:paraId="422346DC">
      <w:pPr>
        <w:snapToGrid w:val="0"/>
        <w:spacing w:after="120" w:line="240" w:lineRule="auto"/>
        <w:ind w:right="176"/>
        <w:jc w:val="both"/>
        <w:rPr>
          <w:rFonts w:ascii="Arial" w:hAnsi="Arial" w:cs="Arial"/>
          <w:sz w:val="24"/>
          <w:szCs w:val="24"/>
          <w:lang w:eastAsia="pt-BR"/>
        </w:rPr>
      </w:pPr>
    </w:p>
    <w:p w14:paraId="5E624441">
      <w:pPr>
        <w:snapToGrid w:val="0"/>
        <w:spacing w:after="120" w:line="240" w:lineRule="auto"/>
        <w:ind w:right="176"/>
        <w:jc w:val="both"/>
        <w:rPr>
          <w:rFonts w:ascii="Arial" w:hAnsi="Arial" w:cs="Arial"/>
          <w:sz w:val="24"/>
          <w:szCs w:val="24"/>
          <w:lang w:eastAsia="pt-BR"/>
        </w:rPr>
      </w:pPr>
    </w:p>
    <w:p w14:paraId="7AE165C0">
      <w:pPr>
        <w:snapToGrid w:val="0"/>
        <w:spacing w:after="120" w:line="240" w:lineRule="auto"/>
        <w:ind w:right="176"/>
        <w:jc w:val="both"/>
        <w:rPr>
          <w:rFonts w:ascii="Arial" w:hAnsi="Arial" w:cs="Arial"/>
          <w:sz w:val="24"/>
          <w:szCs w:val="24"/>
          <w:lang w:eastAsia="pt-BR"/>
        </w:rPr>
      </w:pPr>
    </w:p>
    <w:p w14:paraId="3409656C">
      <w:pPr>
        <w:snapToGrid w:val="0"/>
        <w:spacing w:after="120" w:line="240" w:lineRule="auto"/>
        <w:ind w:right="176"/>
        <w:jc w:val="both"/>
        <w:rPr>
          <w:rFonts w:ascii="Arial" w:hAnsi="Arial" w:cs="Arial"/>
          <w:sz w:val="24"/>
          <w:szCs w:val="24"/>
          <w:lang w:eastAsia="pt-BR"/>
        </w:rPr>
      </w:pPr>
    </w:p>
    <w:p w14:paraId="67849EA6">
      <w:pPr>
        <w:snapToGrid w:val="0"/>
        <w:spacing w:after="120" w:line="240" w:lineRule="auto"/>
        <w:ind w:right="176"/>
        <w:jc w:val="both"/>
        <w:rPr>
          <w:rFonts w:ascii="Arial" w:hAnsi="Arial" w:cs="Arial"/>
          <w:sz w:val="24"/>
          <w:szCs w:val="24"/>
          <w:lang w:eastAsia="pt-BR"/>
        </w:rPr>
      </w:pPr>
    </w:p>
    <w:sectPr>
      <w:headerReference r:id="rId7" w:type="first"/>
      <w:footerReference r:id="rId10" w:type="first"/>
      <w:headerReference r:id="rId5" w:type="default"/>
      <w:footerReference r:id="rId8" w:type="default"/>
      <w:headerReference r:id="rId6" w:type="even"/>
      <w:footerReference r:id="rId9" w:type="even"/>
      <w:pgSz w:w="11906" w:h="16838"/>
      <w:pgMar w:top="1554" w:right="1134" w:bottom="744" w:left="1134" w:header="454" w:footer="0" w:gutter="0"/>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SimHei">
    <w:altName w:val="SimSun"/>
    <w:panose1 w:val="02010609060101010101"/>
    <w:charset w:val="86"/>
    <w:family w:val="modern"/>
    <w:pitch w:val="default"/>
    <w:sig w:usb0="800002BF" w:usb1="38CF7CFA" w:usb2="00000016" w:usb3="00000000" w:csb0="00040001"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Libre Franklin">
    <w:altName w:val="Segoe Print"/>
    <w:panose1 w:val="00000000000000000000"/>
    <w:charset w:val="00"/>
    <w:family w:val="auto"/>
    <w:pitch w:val="default"/>
    <w:sig w:usb0="00000000" w:usb1="00000000" w:usb2="00000000" w:usb3="00000000" w:csb0="00000193" w:csb1="00000000"/>
  </w:font>
  <w:font w:name="TimesNewRoman,Bold">
    <w:altName w:val="Segoe Print"/>
    <w:panose1 w:val="00000000000000000000"/>
    <w:charset w:val="00"/>
    <w:family w:val="roman"/>
    <w:pitch w:val="default"/>
    <w:sig w:usb0="00000000" w:usb1="00000000" w:usb2="00000000" w:usb3="00000000" w:csb0="00000001" w:csb1="00000000"/>
  </w:font>
  <w:font w:name="CIDFont+F5">
    <w:altName w:val="Segoe Print"/>
    <w:panose1 w:val="00000000000000000000"/>
    <w:charset w:val="00"/>
    <w:family w:val="auto"/>
    <w:pitch w:val="default"/>
    <w:sig w:usb0="00000000" w:usb1="00000000" w:usb2="00000000" w:usb3="00000000" w:csb0="00000000" w:csb1="00000000"/>
  </w:font>
  <w:font w:name="CIDFont+F4">
    <w:altName w:val="Segoe Print"/>
    <w:panose1 w:val="00000000000000000000"/>
    <w:charset w:val="00"/>
    <w:family w:val="auto"/>
    <w:pitch w:val="default"/>
    <w:sig w:usb0="00000000" w:usb1="00000000" w:usb2="00000000" w:usb3="00000000" w:csb0="00000000" w:csb1="00000000"/>
  </w:font>
  <w:font w:name="Arial-BoldMT">
    <w:altName w:val="Segoe Print"/>
    <w:panose1 w:val="00000000000000000000"/>
    <w:charset w:val="00"/>
    <w:family w:val="auto"/>
    <w:pitch w:val="default"/>
    <w:sig w:usb0="00000000" w:usb1="00000000" w:usb2="00000000" w:usb3="00000000" w:csb0="00000000" w:csb1="00000000"/>
  </w:font>
  <w:font w:name="Arial-BoldItalicMT">
    <w:altName w:val="Segoe Print"/>
    <w:panose1 w:val="00000000000000000000"/>
    <w:charset w:val="00"/>
    <w:family w:val="auto"/>
    <w:pitch w:val="default"/>
    <w:sig w:usb0="00000000" w:usb1="00000000" w:usb2="00000000" w:usb3="00000000" w:csb0="00000000" w:csb1="00000000"/>
  </w:font>
  <w:font w:name="Wingdings">
    <w:panose1 w:val="05000000000000000000"/>
    <w:charset w:val="02"/>
    <w:family w:val="auto"/>
    <w:pitch w:val="default"/>
    <w:sig w:usb0="00000000" w:usb1="00000000" w:usb2="00000000" w:usb3="00000000" w:csb0="80000000" w:csb1="00000000"/>
  </w:font>
  <w:font w:name="Helvetica">
    <w:altName w:val="Arial"/>
    <w:panose1 w:val="020B0604020202020204"/>
    <w:charset w:val="00"/>
    <w:family w:val="swiss"/>
    <w:pitch w:val="default"/>
    <w:sig w:usb0="00000000" w:usb1="00000000" w:usb2="00000009" w:usb3="00000000" w:csb0="000001FF" w:csb1="00000000"/>
  </w:font>
  <w:font w:name="Rawline Medium">
    <w:altName w:val="Segoe Print"/>
    <w:panose1 w:val="00000000000000000000"/>
    <w:charset w:val="00"/>
    <w:family w:val="swiss"/>
    <w:pitch w:val="default"/>
    <w:sig w:usb0="00000000" w:usb1="00000000" w:usb2="00000000" w:usb3="00000000" w:csb0="00000001" w:csb1="00000000"/>
  </w:font>
  <w:font w:name="Rawline-Medium">
    <w:altName w:val="Segoe Print"/>
    <w:panose1 w:val="00000000000000000000"/>
    <w:charset w:val="00"/>
    <w:family w:val="auto"/>
    <w:pitch w:val="default"/>
    <w:sig w:usb0="00000000" w:usb1="00000000" w:usb2="00000000" w:usb3="00000000" w:csb0="00000000" w:csb1="00000000"/>
  </w:font>
  <w:font w:name="Cambria Math">
    <w:panose1 w:val="02040503050406030204"/>
    <w:charset w:val="00"/>
    <w:family w:val="roman"/>
    <w:pitch w:val="default"/>
    <w:sig w:usb0="E00006FF" w:usb1="420024FF" w:usb2="02000000" w:usb3="00000000" w:csb0="2000019F" w:csb1="00000000"/>
  </w:font>
  <w:font w:name="Cambria">
    <w:panose1 w:val="02040503050406030204"/>
    <w:charset w:val="00"/>
    <w:family w:val="roman"/>
    <w:pitch w:val="default"/>
    <w:sig w:usb0="E00006FF" w:usb1="420024FF" w:usb2="02000000" w:usb3="00000000" w:csb0="2000019F" w:csb1="00000000"/>
  </w:font>
  <w:font w:name="TimesNewRomanPS-BoldMT">
    <w:altName w:val="Segoe Print"/>
    <w:panose1 w:val="00000000000000000000"/>
    <w:charset w:val="00"/>
    <w:family w:val="auto"/>
    <w:pitch w:val="default"/>
    <w:sig w:usb0="00000000" w:usb1="00000000" w:usb2="00000000" w:usb3="00000000" w:csb0="00000000" w:csb1="00000000"/>
  </w:font>
  <w:font w:name="CIDFont+F3">
    <w:altName w:val="Segoe Print"/>
    <w:panose1 w:val="00000000000000000000"/>
    <w:charset w:val="00"/>
    <w:family w:val="auto"/>
    <w:pitch w:val="default"/>
    <w:sig w:usb0="00000000" w:usb1="00000000" w:usb2="00000000" w:usb3="00000000" w:csb0="00000000" w:csb1="00000000"/>
  </w:font>
  <w:font w:name="CIDFont">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FBCDCE">
    <w:pPr>
      <w:pStyle w:val="17"/>
      <w:ind w:right="176"/>
      <w:jc w:val="center"/>
      <w:rPr>
        <w:b/>
      </w:rPr>
    </w:pPr>
    <w:r>
      <w:rPr>
        <w:rFonts w:ascii="Times New Roman" w:hAnsi="Times New Roman" w:cs="Times New Roman"/>
        <w:b/>
        <w:sz w:val="24"/>
        <w:szCs w:val="24"/>
      </w:rPr>
      <mc:AlternateContent>
        <mc:Choice Requires="wps">
          <w:drawing>
            <wp:anchor distT="0" distB="0" distL="114300" distR="114300" simplePos="0" relativeHeight="251659264" behindDoc="0" locked="0" layoutInCell="1" allowOverlap="1">
              <wp:simplePos x="0" y="0"/>
              <wp:positionH relativeFrom="margin">
                <wp:posOffset>38735</wp:posOffset>
              </wp:positionH>
              <wp:positionV relativeFrom="paragraph">
                <wp:posOffset>162560</wp:posOffset>
              </wp:positionV>
              <wp:extent cx="6115050" cy="9525"/>
              <wp:effectExtent l="0" t="19050" r="0" b="28575"/>
              <wp:wrapNone/>
              <wp:docPr id="4" name="Conector Reto 4"/>
              <wp:cNvGraphicFramePr/>
              <a:graphic xmlns:a="http://schemas.openxmlformats.org/drawingml/2006/main">
                <a:graphicData uri="http://schemas.microsoft.com/office/word/2010/wordprocessingShape">
                  <wps:wsp>
                    <wps:cNvCnPr/>
                    <wps:spPr>
                      <a:xfrm>
                        <a:off x="0" y="0"/>
                        <a:ext cx="6115050" cy="9525"/>
                      </a:xfrm>
                      <a:prstGeom prst="line">
                        <a:avLst/>
                      </a:prstGeom>
                      <a:ln w="38100">
                        <a:solidFill>
                          <a:srgbClr val="FFC000"/>
                        </a:solidFill>
                      </a:ln>
                    </wps:spPr>
                    <wps:style>
                      <a:lnRef idx="2">
                        <a:schemeClr val="accent4"/>
                      </a:lnRef>
                      <a:fillRef idx="0">
                        <a:schemeClr val="accent4"/>
                      </a:fillRef>
                      <a:effectRef idx="1">
                        <a:schemeClr val="accent4"/>
                      </a:effectRef>
                      <a:fontRef idx="minor">
                        <a:schemeClr val="tx1"/>
                      </a:fontRef>
                    </wps:style>
                    <wps:bodyPr/>
                  </wps:wsp>
                </a:graphicData>
              </a:graphic>
            </wp:anchor>
          </w:drawing>
        </mc:Choice>
        <mc:Fallback>
          <w:pict>
            <v:line id="_x0000_s1026" o:spid="_x0000_s1026" o:spt="20" style="position:absolute;left:0pt;margin-left:3.05pt;margin-top:12.8pt;height:0.75pt;width:481.5pt;mso-position-horizontal-relative:margin;z-index:251659264;mso-width-relative:page;mso-height-relative:page;" filled="f" stroked="t" coordsize="21600,21600" o:gfxdata="UEsDBAoAAAAAAIdO4kAAAAAAAAAAAAAAAAAEAAAAZHJzL1BLAwQUAAAACACHTuJA8PzeQtEAAAAH&#10;AQAADwAAAGRycy9kb3ducmV2LnhtbE2OzU6EMBSF9ya+Q3NN3DktY0RBysSYzMKlOHFd6BWI9Ja0&#10;HQbe3utKl+cn53zVYXWTWDDE0ZOGbKdAIHXejtRrOH0c755AxGTImskTatgwwqG+vqpMaf2F3nFp&#10;Ui94hGJpNAwpzaWUsRvQmbjzMxJnXz44k1iGXtpgLjzuJrlXKpfOjMQPg5nxdcDuuzk7/l1ku90X&#10;2xE/V+WaXPbhrXvR+vYmU88gEq7prwy/+IwONTO1/kw2iklDnnFRw/4hB8FxkRdstGw8ZiDrSv7n&#10;r38AUEsDBBQAAAAIAIdO4kB6NQNd1wEAALMDAAAOAAAAZHJzL2Uyb0RvYy54bWytU8tu2zAQvBfo&#10;PxC8x5KdOHAFyznYcC9Fa7TpB6wpUiLAF7iMZf99l5TrtOklh17I5T5mOcPl+ulsDTvJiNq7ls9n&#10;NWfSCd9p17f85/P+bsUZJnAdGO9kyy8S+dPm44f1GBq58IM3nYyMQBw2Y2j5kFJoqgrFIC3gzAfp&#10;KKh8tJDoGPuqizASujXVoq4fq9HHLkQvJCJ5d1OQXxHjewC9UlrInRcvVro0oUZpIBElHHRAvim3&#10;VUqK9E0plImZlhPTVFZqQvYxr9VmDU0fIQxaXK8A77nCG04WtKOmN6gdJGAvUf8DZbWIHr1KM+Ft&#10;NREpihCLef1Gmx8DBFm4kNQYbqLj/4MVX0+HyHTX8gfOHFh68C09u0g+su8yefaQJRoDNpS5dYd4&#10;PWE4xMz3rKLNOzFh5yLr5SarPCcmyPk4ny/rJSkuKPZpuVhmyOq1NkRMn6W3LBstN9pl0tDA6Qum&#10;KfV3SnY7v9fGkB8a49jY8vvVvM7oQNOoaArItIEYoes5A9PTmIsUCyR6o7tcnqsx9setiewENBz7&#10;/bYmlKndX2m59w5wmPJKKKdBY3Win2C0bfmKam/VxhG9LNkkUraOvrsU7Yqf3rIIcJ27PCx/nkv1&#10;61/b/A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Dw/N5C0QAAAAcBAAAPAAAAAAAAAAEAIAAAACIA&#10;AABkcnMvZG93bnJldi54bWxQSwECFAAUAAAACACHTuJAejUDXdcBAACzAwAADgAAAAAAAAABACAA&#10;AAAgAQAAZHJzL2Uyb0RvYy54bWxQSwUGAAAAAAYABgBZAQAAaQUAAAAA&#10;">
              <v:fill on="f" focussize="0,0"/>
              <v:stroke weight="3pt" color="#FFC000 [3207]" miterlimit="8" joinstyle="miter"/>
              <v:imagedata o:title=""/>
              <o:lock v:ext="edit" aspectratio="f"/>
            </v:line>
          </w:pict>
        </mc:Fallback>
      </mc:AlternateContent>
    </w:r>
  </w:p>
  <w:p w14:paraId="1A1310A2">
    <w:pPr>
      <w:pStyle w:val="17"/>
      <w:ind w:right="176"/>
      <w:jc w:val="center"/>
    </w:pPr>
    <w:r>
      <w:rPr>
        <w:b/>
      </w:rPr>
      <w:t>Av. dos Jacarandás nº 2424, Setor Industrial Sul – Sinop – MT.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331D76">
    <w:pPr>
      <w:pStyle w:val="17"/>
      <w:ind w:right="176"/>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097648">
    <w:pPr>
      <w:pStyle w:val="17"/>
      <w:ind w:right="17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82815B1">
    <w:pPr>
      <w:pStyle w:val="16"/>
      <w:spacing w:after="120"/>
      <w:ind w:right="176"/>
      <w:jc w:val="center"/>
    </w:pPr>
    <w:r>
      <w:rPr>
        <w:bCs/>
        <w:i/>
      </w:rPr>
      <w:drawing>
        <wp:anchor distT="0" distB="0" distL="0" distR="0" simplePos="0" relativeHeight="251663360" behindDoc="1" locked="0" layoutInCell="1" allowOverlap="1">
          <wp:simplePos x="0" y="0"/>
          <wp:positionH relativeFrom="column">
            <wp:posOffset>1640840</wp:posOffset>
          </wp:positionH>
          <wp:positionV relativeFrom="paragraph">
            <wp:posOffset>-18415</wp:posOffset>
          </wp:positionV>
          <wp:extent cx="2830195" cy="550545"/>
          <wp:effectExtent l="0" t="0" r="8255" b="1905"/>
          <wp:wrapThrough wrapText="bothSides">
            <wp:wrapPolygon>
              <wp:start x="0" y="0"/>
              <wp:lineTo x="0" y="20927"/>
              <wp:lineTo x="11340" y="20927"/>
              <wp:lineTo x="12940" y="20927"/>
              <wp:lineTo x="18174" y="14201"/>
              <wp:lineTo x="18174" y="11958"/>
              <wp:lineTo x="21518" y="8969"/>
              <wp:lineTo x="21518" y="4484"/>
              <wp:lineTo x="11340" y="0"/>
              <wp:lineTo x="0" y="0"/>
            </wp:wrapPolygon>
          </wp:wrapThrough>
          <wp:docPr id="989950101" name="Imagem 3" descr="Interface gráfica do usuário, Texto, Aplicativ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9950101" name="Imagem 3" descr="Interface gráfica do usuário, Texto, Aplicativo&#10;&#10;Descrição gerada automaticamente"/>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0" y="0"/>
                    <a:ext cx="2830195" cy="550545"/>
                  </a:xfrm>
                  <a:prstGeom prst="rect">
                    <a:avLst/>
                  </a:prstGeom>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E74041D">
    <w:pPr>
      <w:pStyle w:val="16"/>
      <w:spacing w:after="120"/>
      <w:ind w:right="17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59DCEC">
    <w:pPr>
      <w:pStyle w:val="16"/>
      <w:spacing w:after="120"/>
      <w:ind w:right="17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BB00326"/>
    <w:multiLevelType w:val="singleLevel"/>
    <w:tmpl w:val="8BB00326"/>
    <w:lvl w:ilvl="0" w:tentative="0">
      <w:start w:val="1"/>
      <w:numFmt w:val="lowerLetter"/>
      <w:lvlText w:val="%1)"/>
      <w:lvlJc w:val="left"/>
      <w:pPr>
        <w:tabs>
          <w:tab w:val="left" w:pos="425"/>
        </w:tabs>
        <w:ind w:left="425" w:hanging="425"/>
      </w:pPr>
      <w:rPr>
        <w:rFonts w:hint="default" w:ascii="Arial" w:hAnsi="Arial" w:cs="Arial"/>
        <w:b/>
        <w:bCs/>
        <w:sz w:val="22"/>
        <w:szCs w:val="22"/>
      </w:rPr>
    </w:lvl>
  </w:abstractNum>
  <w:abstractNum w:abstractNumId="1">
    <w:nsid w:val="90DEE2C2"/>
    <w:multiLevelType w:val="singleLevel"/>
    <w:tmpl w:val="90DEE2C2"/>
    <w:lvl w:ilvl="0" w:tentative="0">
      <w:start w:val="1"/>
      <w:numFmt w:val="lowerLetter"/>
      <w:lvlText w:val="%1)"/>
      <w:lvlJc w:val="left"/>
      <w:pPr>
        <w:tabs>
          <w:tab w:val="left" w:pos="425"/>
        </w:tabs>
        <w:ind w:left="425" w:hanging="425"/>
      </w:pPr>
      <w:rPr>
        <w:rFonts w:hint="default"/>
        <w:b/>
        <w:bCs/>
        <w:sz w:val="22"/>
        <w:szCs w:val="22"/>
      </w:rPr>
    </w:lvl>
  </w:abstractNum>
  <w:abstractNum w:abstractNumId="2">
    <w:nsid w:val="94DB688C"/>
    <w:multiLevelType w:val="singleLevel"/>
    <w:tmpl w:val="94DB688C"/>
    <w:lvl w:ilvl="0" w:tentative="0">
      <w:start w:val="1"/>
      <w:numFmt w:val="lowerLetter"/>
      <w:lvlText w:val="%1)"/>
      <w:lvlJc w:val="left"/>
      <w:pPr>
        <w:tabs>
          <w:tab w:val="left" w:pos="425"/>
        </w:tabs>
        <w:ind w:left="425" w:hanging="425"/>
      </w:pPr>
      <w:rPr>
        <w:rFonts w:hint="default" w:ascii="Arial" w:hAnsi="Arial" w:cs="Arial"/>
        <w:b/>
        <w:bCs/>
        <w:sz w:val="22"/>
        <w:szCs w:val="22"/>
      </w:rPr>
    </w:lvl>
  </w:abstractNum>
  <w:abstractNum w:abstractNumId="3">
    <w:nsid w:val="9C5B9BB2"/>
    <w:multiLevelType w:val="singleLevel"/>
    <w:tmpl w:val="9C5B9BB2"/>
    <w:lvl w:ilvl="0" w:tentative="0">
      <w:start w:val="1"/>
      <w:numFmt w:val="lowerLetter"/>
      <w:lvlText w:val="%1)"/>
      <w:lvlJc w:val="left"/>
      <w:pPr>
        <w:tabs>
          <w:tab w:val="left" w:pos="425"/>
        </w:tabs>
        <w:ind w:left="425" w:hanging="425"/>
      </w:pPr>
      <w:rPr>
        <w:rFonts w:hint="default"/>
        <w:b/>
        <w:bCs/>
        <w:sz w:val="22"/>
        <w:szCs w:val="22"/>
      </w:rPr>
    </w:lvl>
  </w:abstractNum>
  <w:abstractNum w:abstractNumId="4">
    <w:nsid w:val="A7A676D1"/>
    <w:multiLevelType w:val="singleLevel"/>
    <w:tmpl w:val="A7A676D1"/>
    <w:lvl w:ilvl="0" w:tentative="0">
      <w:start w:val="1"/>
      <w:numFmt w:val="lowerLetter"/>
      <w:lvlText w:val="%1)"/>
      <w:lvlJc w:val="left"/>
      <w:pPr>
        <w:tabs>
          <w:tab w:val="left" w:pos="425"/>
        </w:tabs>
        <w:ind w:left="425" w:hanging="425"/>
      </w:pPr>
      <w:rPr>
        <w:rFonts w:hint="default"/>
        <w:b/>
        <w:bCs/>
        <w:sz w:val="22"/>
        <w:szCs w:val="22"/>
      </w:rPr>
    </w:lvl>
  </w:abstractNum>
  <w:abstractNum w:abstractNumId="5">
    <w:nsid w:val="A8B3DDEA"/>
    <w:multiLevelType w:val="singleLevel"/>
    <w:tmpl w:val="A8B3DDEA"/>
    <w:lvl w:ilvl="0" w:tentative="0">
      <w:start w:val="1"/>
      <w:numFmt w:val="lowerLetter"/>
      <w:lvlText w:val="%1)"/>
      <w:lvlJc w:val="left"/>
      <w:pPr>
        <w:tabs>
          <w:tab w:val="left" w:pos="425"/>
        </w:tabs>
        <w:ind w:left="425" w:hanging="425"/>
      </w:pPr>
      <w:rPr>
        <w:rFonts w:hint="default" w:ascii="Arial" w:hAnsi="Arial" w:cs="Arial"/>
        <w:b/>
        <w:bCs/>
        <w:sz w:val="22"/>
        <w:szCs w:val="22"/>
      </w:rPr>
    </w:lvl>
  </w:abstractNum>
  <w:abstractNum w:abstractNumId="6">
    <w:nsid w:val="ABC703E4"/>
    <w:multiLevelType w:val="singleLevel"/>
    <w:tmpl w:val="ABC703E4"/>
    <w:lvl w:ilvl="0" w:tentative="0">
      <w:start w:val="1"/>
      <w:numFmt w:val="lowerLetter"/>
      <w:lvlText w:val="%1)"/>
      <w:lvlJc w:val="left"/>
      <w:pPr>
        <w:tabs>
          <w:tab w:val="left" w:pos="425"/>
        </w:tabs>
        <w:ind w:left="425" w:hanging="425"/>
      </w:pPr>
      <w:rPr>
        <w:rFonts w:hint="default"/>
      </w:rPr>
    </w:lvl>
  </w:abstractNum>
  <w:abstractNum w:abstractNumId="7">
    <w:nsid w:val="AFC24031"/>
    <w:multiLevelType w:val="singleLevel"/>
    <w:tmpl w:val="AFC24031"/>
    <w:lvl w:ilvl="0" w:tentative="0">
      <w:start w:val="1"/>
      <w:numFmt w:val="lowerLetter"/>
      <w:lvlText w:val="%1)"/>
      <w:lvlJc w:val="left"/>
      <w:pPr>
        <w:tabs>
          <w:tab w:val="left" w:pos="425"/>
        </w:tabs>
        <w:ind w:left="425" w:hanging="425"/>
      </w:pPr>
      <w:rPr>
        <w:rFonts w:hint="default"/>
        <w:b/>
        <w:bCs/>
        <w:sz w:val="22"/>
        <w:szCs w:val="22"/>
      </w:rPr>
    </w:lvl>
  </w:abstractNum>
  <w:abstractNum w:abstractNumId="8">
    <w:nsid w:val="BB5D1C6F"/>
    <w:multiLevelType w:val="singleLevel"/>
    <w:tmpl w:val="BB5D1C6F"/>
    <w:lvl w:ilvl="0" w:tentative="0">
      <w:start w:val="1"/>
      <w:numFmt w:val="lowerLetter"/>
      <w:lvlText w:val="%1)"/>
      <w:lvlJc w:val="left"/>
      <w:pPr>
        <w:tabs>
          <w:tab w:val="left" w:pos="425"/>
        </w:tabs>
        <w:ind w:left="425" w:hanging="425"/>
      </w:pPr>
      <w:rPr>
        <w:rFonts w:hint="default" w:ascii="Arial" w:hAnsi="Arial" w:cs="Arial"/>
        <w:b/>
        <w:bCs/>
        <w:sz w:val="22"/>
        <w:szCs w:val="22"/>
      </w:rPr>
    </w:lvl>
  </w:abstractNum>
  <w:abstractNum w:abstractNumId="9">
    <w:nsid w:val="CCA254B3"/>
    <w:multiLevelType w:val="singleLevel"/>
    <w:tmpl w:val="CCA254B3"/>
    <w:lvl w:ilvl="0" w:tentative="0">
      <w:start w:val="1"/>
      <w:numFmt w:val="lowerLetter"/>
      <w:lvlText w:val="%1)"/>
      <w:lvlJc w:val="left"/>
      <w:pPr>
        <w:tabs>
          <w:tab w:val="left" w:pos="425"/>
        </w:tabs>
        <w:ind w:left="425" w:hanging="425"/>
      </w:pPr>
      <w:rPr>
        <w:rFonts w:hint="default"/>
      </w:rPr>
    </w:lvl>
  </w:abstractNum>
  <w:abstractNum w:abstractNumId="10">
    <w:nsid w:val="D1F91704"/>
    <w:multiLevelType w:val="singleLevel"/>
    <w:tmpl w:val="D1F91704"/>
    <w:lvl w:ilvl="0" w:tentative="0">
      <w:start w:val="1"/>
      <w:numFmt w:val="lowerLetter"/>
      <w:lvlText w:val="%1)"/>
      <w:lvlJc w:val="left"/>
      <w:pPr>
        <w:tabs>
          <w:tab w:val="left" w:pos="425"/>
        </w:tabs>
        <w:ind w:left="425" w:hanging="425"/>
      </w:pPr>
      <w:rPr>
        <w:rFonts w:hint="default" w:ascii="Arial" w:hAnsi="Arial" w:cs="Arial"/>
        <w:b/>
        <w:bCs/>
        <w:sz w:val="22"/>
        <w:szCs w:val="22"/>
      </w:rPr>
    </w:lvl>
  </w:abstractNum>
  <w:abstractNum w:abstractNumId="11">
    <w:nsid w:val="DA8C1D7E"/>
    <w:multiLevelType w:val="singleLevel"/>
    <w:tmpl w:val="DA8C1D7E"/>
    <w:lvl w:ilvl="0" w:tentative="0">
      <w:start w:val="1"/>
      <w:numFmt w:val="lowerLetter"/>
      <w:lvlText w:val="%1)"/>
      <w:lvlJc w:val="left"/>
      <w:pPr>
        <w:tabs>
          <w:tab w:val="left" w:pos="425"/>
        </w:tabs>
        <w:ind w:left="425" w:hanging="425"/>
      </w:pPr>
      <w:rPr>
        <w:rFonts w:hint="default" w:ascii="Arial" w:hAnsi="Arial" w:cs="Arial"/>
        <w:b/>
        <w:bCs/>
        <w:sz w:val="22"/>
        <w:szCs w:val="22"/>
      </w:rPr>
    </w:lvl>
  </w:abstractNum>
  <w:abstractNum w:abstractNumId="12">
    <w:nsid w:val="DB187799"/>
    <w:multiLevelType w:val="singleLevel"/>
    <w:tmpl w:val="DB187799"/>
    <w:lvl w:ilvl="0" w:tentative="0">
      <w:start w:val="1"/>
      <w:numFmt w:val="lowerLetter"/>
      <w:lvlText w:val="%1)"/>
      <w:lvlJc w:val="left"/>
      <w:pPr>
        <w:tabs>
          <w:tab w:val="left" w:pos="425"/>
        </w:tabs>
        <w:ind w:left="425" w:hanging="425"/>
      </w:pPr>
      <w:rPr>
        <w:rFonts w:hint="default"/>
        <w:b/>
        <w:bCs/>
        <w:sz w:val="22"/>
        <w:szCs w:val="22"/>
      </w:rPr>
    </w:lvl>
  </w:abstractNum>
  <w:abstractNum w:abstractNumId="13">
    <w:nsid w:val="DBCD0035"/>
    <w:multiLevelType w:val="singleLevel"/>
    <w:tmpl w:val="DBCD0035"/>
    <w:lvl w:ilvl="0" w:tentative="0">
      <w:start w:val="1"/>
      <w:numFmt w:val="lowerLetter"/>
      <w:lvlText w:val="%1)"/>
      <w:lvlJc w:val="left"/>
      <w:pPr>
        <w:tabs>
          <w:tab w:val="left" w:pos="425"/>
        </w:tabs>
        <w:ind w:left="425" w:hanging="425"/>
      </w:pPr>
      <w:rPr>
        <w:rFonts w:hint="default"/>
        <w:b/>
        <w:bCs/>
        <w:sz w:val="22"/>
        <w:szCs w:val="22"/>
      </w:rPr>
    </w:lvl>
  </w:abstractNum>
  <w:abstractNum w:abstractNumId="14">
    <w:nsid w:val="EFDEAF45"/>
    <w:multiLevelType w:val="singleLevel"/>
    <w:tmpl w:val="EFDEAF45"/>
    <w:lvl w:ilvl="0" w:tentative="0">
      <w:start w:val="1"/>
      <w:numFmt w:val="lowerLetter"/>
      <w:lvlText w:val="%1)"/>
      <w:lvlJc w:val="left"/>
      <w:pPr>
        <w:tabs>
          <w:tab w:val="left" w:pos="425"/>
        </w:tabs>
        <w:ind w:left="425" w:hanging="425"/>
      </w:pPr>
      <w:rPr>
        <w:rFonts w:hint="default"/>
        <w:b/>
        <w:bCs/>
        <w:sz w:val="22"/>
        <w:szCs w:val="22"/>
      </w:rPr>
    </w:lvl>
  </w:abstractNum>
  <w:abstractNum w:abstractNumId="15">
    <w:nsid w:val="F66A5782"/>
    <w:multiLevelType w:val="singleLevel"/>
    <w:tmpl w:val="F66A5782"/>
    <w:lvl w:ilvl="0" w:tentative="0">
      <w:start w:val="1"/>
      <w:numFmt w:val="bullet"/>
      <w:lvlText w:val=""/>
      <w:lvlJc w:val="left"/>
      <w:pPr>
        <w:tabs>
          <w:tab w:val="left" w:pos="420"/>
        </w:tabs>
        <w:ind w:left="420" w:hanging="420"/>
      </w:pPr>
      <w:rPr>
        <w:rFonts w:hint="default" w:ascii="Wingdings" w:hAnsi="Wingdings"/>
      </w:rPr>
    </w:lvl>
  </w:abstractNum>
  <w:abstractNum w:abstractNumId="16">
    <w:nsid w:val="F743B979"/>
    <w:multiLevelType w:val="singleLevel"/>
    <w:tmpl w:val="F743B979"/>
    <w:lvl w:ilvl="0" w:tentative="0">
      <w:start w:val="1"/>
      <w:numFmt w:val="lowerLetter"/>
      <w:lvlText w:val="%1)"/>
      <w:lvlJc w:val="left"/>
      <w:pPr>
        <w:tabs>
          <w:tab w:val="left" w:pos="425"/>
        </w:tabs>
        <w:ind w:left="425" w:hanging="425"/>
      </w:pPr>
      <w:rPr>
        <w:rFonts w:hint="default" w:ascii="Arial" w:hAnsi="Arial" w:cs="Arial"/>
        <w:b/>
        <w:bCs/>
        <w:sz w:val="22"/>
        <w:szCs w:val="22"/>
      </w:rPr>
    </w:lvl>
  </w:abstractNum>
  <w:abstractNum w:abstractNumId="17">
    <w:nsid w:val="F92C36EC"/>
    <w:multiLevelType w:val="singleLevel"/>
    <w:tmpl w:val="F92C36EC"/>
    <w:lvl w:ilvl="0" w:tentative="0">
      <w:start w:val="1"/>
      <w:numFmt w:val="lowerLetter"/>
      <w:lvlText w:val="%1)"/>
      <w:lvlJc w:val="left"/>
      <w:pPr>
        <w:tabs>
          <w:tab w:val="left" w:pos="425"/>
        </w:tabs>
        <w:ind w:left="425" w:hanging="425"/>
      </w:pPr>
      <w:rPr>
        <w:rFonts w:hint="default"/>
      </w:rPr>
    </w:lvl>
  </w:abstractNum>
  <w:abstractNum w:abstractNumId="18">
    <w:nsid w:val="0730B1E2"/>
    <w:multiLevelType w:val="singleLevel"/>
    <w:tmpl w:val="0730B1E2"/>
    <w:lvl w:ilvl="0" w:tentative="0">
      <w:start w:val="1"/>
      <w:numFmt w:val="bullet"/>
      <w:lvlText w:val=""/>
      <w:lvlJc w:val="left"/>
      <w:pPr>
        <w:tabs>
          <w:tab w:val="left" w:pos="420"/>
        </w:tabs>
        <w:ind w:left="420" w:hanging="420"/>
      </w:pPr>
      <w:rPr>
        <w:rFonts w:hint="default" w:ascii="Wingdings" w:hAnsi="Wingdings"/>
      </w:rPr>
    </w:lvl>
  </w:abstractNum>
  <w:abstractNum w:abstractNumId="19">
    <w:nsid w:val="0EAC86B8"/>
    <w:multiLevelType w:val="singleLevel"/>
    <w:tmpl w:val="0EAC86B8"/>
    <w:lvl w:ilvl="0" w:tentative="0">
      <w:start w:val="1"/>
      <w:numFmt w:val="lowerLetter"/>
      <w:lvlText w:val="%1)"/>
      <w:lvlJc w:val="left"/>
      <w:pPr>
        <w:tabs>
          <w:tab w:val="left" w:pos="425"/>
        </w:tabs>
        <w:ind w:left="425" w:hanging="425"/>
      </w:pPr>
      <w:rPr>
        <w:rFonts w:hint="default" w:ascii="Arial" w:hAnsi="Arial" w:cs="Arial"/>
        <w:b/>
        <w:bCs/>
        <w:sz w:val="22"/>
        <w:szCs w:val="22"/>
      </w:rPr>
    </w:lvl>
  </w:abstractNum>
  <w:abstractNum w:abstractNumId="20">
    <w:nsid w:val="10892770"/>
    <w:multiLevelType w:val="multilevel"/>
    <w:tmpl w:val="10892770"/>
    <w:lvl w:ilvl="0" w:tentative="0">
      <w:start w:val="1"/>
      <w:numFmt w:val="decimal"/>
      <w:suff w:val="space"/>
      <w:lvlText w:val="%1."/>
      <w:lvlJc w:val="left"/>
      <w:rPr>
        <w:rFonts w:hint="default" w:ascii="Arial" w:hAnsi="Arial" w:cs="Arial"/>
        <w:b/>
        <w:bCs/>
        <w:sz w:val="22"/>
        <w:szCs w:val="22"/>
      </w:rPr>
    </w:lvl>
    <w:lvl w:ilvl="1" w:tentative="0">
      <w:start w:val="1"/>
      <w:numFmt w:val="decimal"/>
      <w:suff w:val="space"/>
      <w:lvlText w:val="%1.%2."/>
      <w:lvlJc w:val="left"/>
      <w:pPr>
        <w:ind w:left="0" w:firstLine="0"/>
      </w:pPr>
      <w:rPr>
        <w:rFonts w:hint="default" w:ascii="Arial" w:hAnsi="Arial" w:cs="Arial"/>
        <w:b/>
        <w:bCs/>
        <w:color w:val="auto"/>
        <w:sz w:val="22"/>
        <w:szCs w:val="22"/>
      </w:rPr>
    </w:lvl>
    <w:lvl w:ilvl="2" w:tentative="0">
      <w:start w:val="1"/>
      <w:numFmt w:val="decimal"/>
      <w:suff w:val="space"/>
      <w:lvlText w:val="%1.%2.%3."/>
      <w:lvlJc w:val="left"/>
      <w:pPr>
        <w:ind w:left="0" w:firstLine="0"/>
      </w:pPr>
      <w:rPr>
        <w:rFonts w:hint="default" w:ascii="Arial" w:hAnsi="Arial" w:cs="Arial"/>
        <w:b/>
        <w:bCs/>
        <w:color w:val="auto"/>
        <w:sz w:val="22"/>
        <w:szCs w:val="22"/>
      </w:rPr>
    </w:lvl>
    <w:lvl w:ilvl="3" w:tentative="0">
      <w:start w:val="1"/>
      <w:numFmt w:val="decimal"/>
      <w:suff w:val="space"/>
      <w:lvlText w:val="%1.%2.%3.%4."/>
      <w:lvlJc w:val="left"/>
      <w:pPr>
        <w:ind w:left="0" w:firstLine="0"/>
      </w:pPr>
      <w:rPr>
        <w:rFonts w:hint="default" w:ascii="Arial" w:hAnsi="Arial" w:cs="Arial"/>
        <w:b/>
        <w:bCs/>
        <w:color w:val="auto"/>
        <w:sz w:val="22"/>
        <w:szCs w:val="22"/>
      </w:rPr>
    </w:lvl>
    <w:lvl w:ilvl="4" w:tentative="0">
      <w:start w:val="1"/>
      <w:numFmt w:val="decimal"/>
      <w:suff w:val="space"/>
      <w:lvlText w:val="%1.%2.%3.%4.%5."/>
      <w:lvlJc w:val="left"/>
      <w:pPr>
        <w:ind w:left="0" w:firstLine="0"/>
      </w:pPr>
      <w:rPr>
        <w:rFonts w:hint="default" w:ascii="Arial" w:hAnsi="Arial" w:cs="Arial"/>
        <w:b/>
        <w:bCs/>
        <w:sz w:val="22"/>
        <w:szCs w:val="22"/>
      </w:rPr>
    </w:lvl>
    <w:lvl w:ilvl="5" w:tentative="0">
      <w:start w:val="1"/>
      <w:numFmt w:val="decimal"/>
      <w:suff w:val="space"/>
      <w:lvlText w:val="%1.%2.%3.%4.%5.%6."/>
      <w:lvlJc w:val="left"/>
      <w:pPr>
        <w:ind w:left="0" w:firstLine="0"/>
      </w:pPr>
      <w:rPr>
        <w:rFonts w:hint="default"/>
        <w:b/>
        <w:bCs/>
        <w:sz w:val="22"/>
        <w:szCs w:val="22"/>
      </w:rPr>
    </w:lvl>
    <w:lvl w:ilvl="6" w:tentative="0">
      <w:start w:val="1"/>
      <w:numFmt w:val="decimal"/>
      <w:suff w:val="space"/>
      <w:lvlText w:val="%1.%2.%3.%4.%5.%6.%7."/>
      <w:lvlJc w:val="left"/>
      <w:pPr>
        <w:ind w:left="0" w:firstLine="0"/>
      </w:pPr>
      <w:rPr>
        <w:rFonts w:hint="default"/>
      </w:rPr>
    </w:lvl>
    <w:lvl w:ilvl="7" w:tentative="0">
      <w:start w:val="1"/>
      <w:numFmt w:val="decimal"/>
      <w:suff w:val="space"/>
      <w:lvlText w:val="%1.%2.%3.%4.%5.%6.%7.%8."/>
      <w:lvlJc w:val="left"/>
      <w:pPr>
        <w:ind w:left="0" w:firstLine="0"/>
      </w:pPr>
      <w:rPr>
        <w:rFonts w:hint="default"/>
      </w:rPr>
    </w:lvl>
    <w:lvl w:ilvl="8" w:tentative="0">
      <w:start w:val="1"/>
      <w:numFmt w:val="decimal"/>
      <w:suff w:val="space"/>
      <w:lvlText w:val="%1.%2.%3.%4.%5.%6.%7.%8.%9."/>
      <w:lvlJc w:val="left"/>
      <w:pPr>
        <w:ind w:left="0" w:firstLine="0"/>
      </w:pPr>
      <w:rPr>
        <w:rFonts w:hint="default"/>
      </w:rPr>
    </w:lvl>
  </w:abstractNum>
  <w:abstractNum w:abstractNumId="21">
    <w:nsid w:val="13A6D6D6"/>
    <w:multiLevelType w:val="singleLevel"/>
    <w:tmpl w:val="13A6D6D6"/>
    <w:lvl w:ilvl="0" w:tentative="0">
      <w:start w:val="1"/>
      <w:numFmt w:val="lowerLetter"/>
      <w:lvlText w:val="%1)"/>
      <w:lvlJc w:val="left"/>
      <w:pPr>
        <w:tabs>
          <w:tab w:val="left" w:pos="425"/>
        </w:tabs>
        <w:ind w:left="425" w:hanging="425"/>
      </w:pPr>
      <w:rPr>
        <w:rFonts w:hint="default"/>
        <w:b/>
        <w:bCs/>
        <w:sz w:val="22"/>
        <w:szCs w:val="22"/>
      </w:rPr>
    </w:lvl>
  </w:abstractNum>
  <w:abstractNum w:abstractNumId="22">
    <w:nsid w:val="1D5C100D"/>
    <w:multiLevelType w:val="multilevel"/>
    <w:tmpl w:val="1D5C100D"/>
    <w:lvl w:ilvl="0" w:tentative="0">
      <w:start w:val="1"/>
      <w:numFmt w:val="decimal"/>
      <w:pStyle w:val="43"/>
      <w:lvlText w:val="%1."/>
      <w:lvlJc w:val="left"/>
      <w:pPr>
        <w:ind w:left="360" w:hanging="360"/>
      </w:pPr>
      <w:rPr>
        <w:b/>
      </w:rPr>
    </w:lvl>
    <w:lvl w:ilvl="1" w:tentative="0">
      <w:start w:val="1"/>
      <w:numFmt w:val="decimal"/>
      <w:pStyle w:val="40"/>
      <w:lvlText w:val="%1.%2."/>
      <w:lvlJc w:val="left"/>
      <w:pPr>
        <w:ind w:left="999" w:hanging="432"/>
      </w:pPr>
      <w:rPr>
        <w:rFonts w:hint="default" w:ascii="Arial" w:hAnsi="Arial" w:cs="Arial"/>
        <w:b/>
        <w:bCs/>
        <w:i w:val="0"/>
        <w:strike w:val="0"/>
        <w:color w:val="auto"/>
        <w:sz w:val="22"/>
        <w:szCs w:val="22"/>
        <w:u w:val="none"/>
      </w:rPr>
    </w:lvl>
    <w:lvl w:ilvl="2" w:tentative="0">
      <w:start w:val="1"/>
      <w:numFmt w:val="decimal"/>
      <w:pStyle w:val="44"/>
      <w:lvlText w:val="%1.%2.%3."/>
      <w:lvlJc w:val="left"/>
      <w:pPr>
        <w:ind w:left="1550" w:hanging="504"/>
      </w:pPr>
      <w:rPr>
        <w:rFonts w:hint="default" w:ascii="Arial" w:hAnsi="Arial"/>
        <w:b w:val="0"/>
        <w:i w:val="0"/>
        <w:strike w:val="0"/>
        <w:color w:val="auto"/>
        <w:sz w:val="20"/>
        <w:szCs w:val="20"/>
      </w:rPr>
    </w:lvl>
    <w:lvl w:ilvl="3" w:tentative="0">
      <w:start w:val="1"/>
      <w:numFmt w:val="decimal"/>
      <w:lvlText w:val="%1.%2.%3.%4."/>
      <w:lvlJc w:val="left"/>
      <w:pPr>
        <w:ind w:left="2404" w:hanging="648"/>
      </w:pPr>
    </w:lvl>
    <w:lvl w:ilvl="4" w:tentative="0">
      <w:start w:val="1"/>
      <w:numFmt w:val="decimal"/>
      <w:lvlText w:val="%1.%2.%3.%4.%5."/>
      <w:lvlJc w:val="left"/>
      <w:pPr>
        <w:ind w:left="2232" w:hanging="792"/>
      </w:pPr>
    </w:lvl>
    <w:lvl w:ilvl="5" w:tentative="0">
      <w:start w:val="1"/>
      <w:numFmt w:val="decimal"/>
      <w:lvlText w:val="%1.%2.%3.%4.%5.%6."/>
      <w:lvlJc w:val="left"/>
      <w:pPr>
        <w:ind w:left="2736" w:hanging="936"/>
      </w:pPr>
    </w:lvl>
    <w:lvl w:ilvl="6" w:tentative="0">
      <w:start w:val="1"/>
      <w:numFmt w:val="decimal"/>
      <w:lvlText w:val="%1.%2.%3.%4.%5.%6.%7."/>
      <w:lvlJc w:val="left"/>
      <w:pPr>
        <w:ind w:left="3240" w:hanging="1080"/>
      </w:pPr>
    </w:lvl>
    <w:lvl w:ilvl="7" w:tentative="0">
      <w:start w:val="1"/>
      <w:numFmt w:val="decimal"/>
      <w:lvlText w:val="%1.%2.%3.%4.%5.%6.%7.%8."/>
      <w:lvlJc w:val="left"/>
      <w:pPr>
        <w:ind w:left="3744" w:hanging="1224"/>
      </w:pPr>
    </w:lvl>
    <w:lvl w:ilvl="8" w:tentative="0">
      <w:start w:val="1"/>
      <w:numFmt w:val="decimal"/>
      <w:lvlText w:val="%1.%2.%3.%4.%5.%6.%7.%8.%9."/>
      <w:lvlJc w:val="left"/>
      <w:pPr>
        <w:ind w:left="4320" w:hanging="1440"/>
      </w:pPr>
    </w:lvl>
  </w:abstractNum>
  <w:abstractNum w:abstractNumId="23">
    <w:nsid w:val="21D240F5"/>
    <w:multiLevelType w:val="singleLevel"/>
    <w:tmpl w:val="21D240F5"/>
    <w:lvl w:ilvl="0" w:tentative="0">
      <w:start w:val="1"/>
      <w:numFmt w:val="upperRoman"/>
      <w:lvlText w:val="%1."/>
      <w:lvlJc w:val="left"/>
      <w:pPr>
        <w:tabs>
          <w:tab w:val="left" w:pos="425"/>
        </w:tabs>
        <w:ind w:left="425" w:hanging="425"/>
      </w:pPr>
      <w:rPr>
        <w:rFonts w:hint="default"/>
        <w:b/>
        <w:bCs/>
        <w:sz w:val="22"/>
        <w:szCs w:val="22"/>
      </w:rPr>
    </w:lvl>
  </w:abstractNum>
  <w:abstractNum w:abstractNumId="24">
    <w:nsid w:val="24AD03F3"/>
    <w:multiLevelType w:val="singleLevel"/>
    <w:tmpl w:val="24AD03F3"/>
    <w:lvl w:ilvl="0" w:tentative="0">
      <w:start w:val="1"/>
      <w:numFmt w:val="lowerLetter"/>
      <w:lvlText w:val="%1)"/>
      <w:lvlJc w:val="left"/>
      <w:pPr>
        <w:tabs>
          <w:tab w:val="left" w:pos="425"/>
        </w:tabs>
        <w:ind w:left="425" w:hanging="425"/>
      </w:pPr>
      <w:rPr>
        <w:rFonts w:hint="default"/>
        <w:b/>
        <w:bCs/>
      </w:rPr>
    </w:lvl>
  </w:abstractNum>
  <w:abstractNum w:abstractNumId="25">
    <w:nsid w:val="27AD7697"/>
    <w:multiLevelType w:val="singleLevel"/>
    <w:tmpl w:val="27AD7697"/>
    <w:lvl w:ilvl="0" w:tentative="0">
      <w:start w:val="1"/>
      <w:numFmt w:val="lowerLetter"/>
      <w:lvlText w:val="%1)"/>
      <w:lvlJc w:val="left"/>
      <w:pPr>
        <w:tabs>
          <w:tab w:val="left" w:pos="425"/>
        </w:tabs>
        <w:ind w:left="425" w:hanging="425"/>
      </w:pPr>
      <w:rPr>
        <w:rFonts w:hint="default"/>
      </w:rPr>
    </w:lvl>
  </w:abstractNum>
  <w:abstractNum w:abstractNumId="26">
    <w:nsid w:val="28CB0AF8"/>
    <w:multiLevelType w:val="singleLevel"/>
    <w:tmpl w:val="28CB0AF8"/>
    <w:lvl w:ilvl="0" w:tentative="0">
      <w:start w:val="1"/>
      <w:numFmt w:val="lowerLetter"/>
      <w:lvlText w:val="%1)"/>
      <w:lvlJc w:val="left"/>
      <w:pPr>
        <w:tabs>
          <w:tab w:val="left" w:pos="425"/>
        </w:tabs>
        <w:ind w:left="425" w:hanging="425"/>
      </w:pPr>
      <w:rPr>
        <w:rFonts w:hint="default"/>
        <w:b/>
        <w:bCs/>
        <w:sz w:val="22"/>
        <w:szCs w:val="22"/>
      </w:rPr>
    </w:lvl>
  </w:abstractNum>
  <w:abstractNum w:abstractNumId="27">
    <w:nsid w:val="29661C9D"/>
    <w:multiLevelType w:val="singleLevel"/>
    <w:tmpl w:val="29661C9D"/>
    <w:lvl w:ilvl="0" w:tentative="0">
      <w:start w:val="1"/>
      <w:numFmt w:val="lowerLetter"/>
      <w:lvlText w:val="%1)"/>
      <w:lvlJc w:val="left"/>
      <w:pPr>
        <w:tabs>
          <w:tab w:val="left" w:pos="425"/>
        </w:tabs>
        <w:ind w:left="425" w:hanging="425"/>
      </w:pPr>
      <w:rPr>
        <w:rFonts w:hint="default"/>
        <w:b/>
        <w:bCs/>
        <w:sz w:val="22"/>
        <w:szCs w:val="22"/>
      </w:rPr>
    </w:lvl>
  </w:abstractNum>
  <w:abstractNum w:abstractNumId="28">
    <w:nsid w:val="299916C0"/>
    <w:multiLevelType w:val="multilevel"/>
    <w:tmpl w:val="299916C0"/>
    <w:lvl w:ilvl="0" w:tentative="0">
      <w:start w:val="1"/>
      <w:numFmt w:val="decimal"/>
      <w:pStyle w:val="46"/>
      <w:lvlText w:val="%1."/>
      <w:lvlJc w:val="left"/>
      <w:pPr>
        <w:ind w:left="720" w:hanging="360"/>
      </w:pPr>
      <w:rPr>
        <w:rFonts w:hint="default" w:cs="Times New Roman"/>
        <w:b/>
        <w:color w:val="auto"/>
      </w:rPr>
    </w:lvl>
    <w:lvl w:ilvl="1" w:tentative="0">
      <w:start w:val="1"/>
      <w:numFmt w:val="decimal"/>
      <w:isLgl/>
      <w:lvlText w:val="%1.%2"/>
      <w:lvlJc w:val="left"/>
      <w:pPr>
        <w:ind w:left="840" w:hanging="480"/>
      </w:pPr>
      <w:rPr>
        <w:rFonts w:hint="default" w:cs="Times New Roman"/>
        <w:b/>
      </w:rPr>
    </w:lvl>
    <w:lvl w:ilvl="2" w:tentative="0">
      <w:start w:val="1"/>
      <w:numFmt w:val="decimal"/>
      <w:isLgl/>
      <w:lvlText w:val="%1.%2.%3"/>
      <w:lvlJc w:val="left"/>
      <w:pPr>
        <w:ind w:left="1080" w:hanging="720"/>
      </w:pPr>
      <w:rPr>
        <w:rFonts w:hint="default" w:cs="Times New Roman"/>
        <w:b/>
      </w:rPr>
    </w:lvl>
    <w:lvl w:ilvl="3" w:tentative="0">
      <w:start w:val="1"/>
      <w:numFmt w:val="decimal"/>
      <w:isLgl/>
      <w:lvlText w:val="%1.%2.%3.%4"/>
      <w:lvlJc w:val="left"/>
      <w:pPr>
        <w:ind w:left="1080" w:hanging="720"/>
      </w:pPr>
      <w:rPr>
        <w:rFonts w:hint="default" w:cs="Times New Roman"/>
        <w:b/>
      </w:rPr>
    </w:lvl>
    <w:lvl w:ilvl="4" w:tentative="0">
      <w:start w:val="1"/>
      <w:numFmt w:val="decimal"/>
      <w:isLgl/>
      <w:lvlText w:val="%1.%2.%3.%4.%5"/>
      <w:lvlJc w:val="left"/>
      <w:pPr>
        <w:ind w:left="1440" w:hanging="1080"/>
      </w:pPr>
      <w:rPr>
        <w:rFonts w:hint="default" w:cs="Times New Roman"/>
        <w:b/>
      </w:rPr>
    </w:lvl>
    <w:lvl w:ilvl="5" w:tentative="0">
      <w:start w:val="1"/>
      <w:numFmt w:val="decimal"/>
      <w:isLgl/>
      <w:lvlText w:val="%1.%2.%3.%4.%5.%6"/>
      <w:lvlJc w:val="left"/>
      <w:pPr>
        <w:ind w:left="1440" w:hanging="1080"/>
      </w:pPr>
      <w:rPr>
        <w:rFonts w:hint="default" w:cs="Times New Roman"/>
        <w:b/>
      </w:rPr>
    </w:lvl>
    <w:lvl w:ilvl="6" w:tentative="0">
      <w:start w:val="1"/>
      <w:numFmt w:val="decimal"/>
      <w:isLgl/>
      <w:lvlText w:val="%1.%2.%3.%4.%5.%6.%7"/>
      <w:lvlJc w:val="left"/>
      <w:pPr>
        <w:ind w:left="1800" w:hanging="1440"/>
      </w:pPr>
      <w:rPr>
        <w:rFonts w:hint="default" w:cs="Times New Roman"/>
        <w:b/>
      </w:rPr>
    </w:lvl>
    <w:lvl w:ilvl="7" w:tentative="0">
      <w:start w:val="1"/>
      <w:numFmt w:val="decimal"/>
      <w:isLgl/>
      <w:lvlText w:val="%1.%2.%3.%4.%5.%6.%7.%8"/>
      <w:lvlJc w:val="left"/>
      <w:pPr>
        <w:ind w:left="1800" w:hanging="1440"/>
      </w:pPr>
      <w:rPr>
        <w:rFonts w:hint="default" w:cs="Times New Roman"/>
        <w:b/>
      </w:rPr>
    </w:lvl>
    <w:lvl w:ilvl="8" w:tentative="0">
      <w:start w:val="1"/>
      <w:numFmt w:val="decimal"/>
      <w:isLgl/>
      <w:lvlText w:val="%1.%2.%3.%4.%5.%6.%7.%8.%9"/>
      <w:lvlJc w:val="left"/>
      <w:pPr>
        <w:ind w:left="2160" w:hanging="1800"/>
      </w:pPr>
      <w:rPr>
        <w:rFonts w:hint="default" w:cs="Times New Roman"/>
        <w:b/>
      </w:rPr>
    </w:lvl>
  </w:abstractNum>
  <w:abstractNum w:abstractNumId="29">
    <w:nsid w:val="2A8F537B"/>
    <w:multiLevelType w:val="multilevel"/>
    <w:tmpl w:val="2A8F537B"/>
    <w:lvl w:ilvl="0" w:tentative="0">
      <w:start w:val="12"/>
      <w:numFmt w:val="decimal"/>
      <w:lvlText w:val="%1"/>
      <w:lvlJc w:val="left"/>
      <w:pPr>
        <w:ind w:left="1701" w:hanging="468"/>
      </w:pPr>
      <w:rPr>
        <w:rFonts w:hint="default"/>
        <w:lang w:val="pt-PT" w:eastAsia="en-US" w:bidi="ar-SA"/>
      </w:rPr>
    </w:lvl>
    <w:lvl w:ilvl="1" w:tentative="0">
      <w:start w:val="1"/>
      <w:numFmt w:val="decimal"/>
      <w:lvlText w:val="%1.%2"/>
      <w:lvlJc w:val="left"/>
      <w:pPr>
        <w:ind w:left="1701" w:hanging="468"/>
      </w:pPr>
      <w:rPr>
        <w:rFonts w:hint="default" w:ascii="Times New Roman" w:hAnsi="Times New Roman" w:eastAsia="Times New Roman" w:cs="Times New Roman"/>
        <w:b/>
        <w:bCs/>
        <w:w w:val="99"/>
        <w:sz w:val="24"/>
        <w:szCs w:val="24"/>
        <w:lang w:val="pt-PT" w:eastAsia="en-US" w:bidi="ar-SA"/>
      </w:rPr>
    </w:lvl>
    <w:lvl w:ilvl="2" w:tentative="0">
      <w:start w:val="1"/>
      <w:numFmt w:val="decimal"/>
      <w:lvlText w:val="%1.%2.%3"/>
      <w:lvlJc w:val="left"/>
      <w:pPr>
        <w:ind w:left="2268" w:hanging="735"/>
      </w:pPr>
      <w:rPr>
        <w:rFonts w:hint="default" w:ascii="Times New Roman" w:hAnsi="Times New Roman" w:eastAsia="Times New Roman" w:cs="Times New Roman"/>
        <w:b/>
        <w:bCs/>
        <w:w w:val="99"/>
        <w:sz w:val="24"/>
        <w:szCs w:val="24"/>
        <w:lang w:val="pt-PT" w:eastAsia="en-US" w:bidi="ar-SA"/>
      </w:rPr>
    </w:lvl>
    <w:lvl w:ilvl="3" w:tentative="0">
      <w:start w:val="1"/>
      <w:numFmt w:val="lowerLetter"/>
      <w:lvlText w:val="%4)"/>
      <w:lvlJc w:val="left"/>
      <w:pPr>
        <w:ind w:left="3119" w:hanging="250"/>
      </w:pPr>
      <w:rPr>
        <w:rFonts w:hint="default" w:ascii="Arial" w:hAnsi="Arial" w:eastAsia="Times New Roman" w:cs="Arial"/>
        <w:b/>
        <w:bCs/>
        <w:w w:val="99"/>
        <w:sz w:val="22"/>
        <w:szCs w:val="22"/>
        <w:lang w:val="pt-PT" w:eastAsia="en-US" w:bidi="ar-SA"/>
      </w:rPr>
    </w:lvl>
    <w:lvl w:ilvl="4" w:tentative="0">
      <w:start w:val="1"/>
      <w:numFmt w:val="decimal"/>
      <w:lvlText w:val="%4.%5)"/>
      <w:lvlJc w:val="left"/>
      <w:pPr>
        <w:ind w:left="3686" w:hanging="478"/>
      </w:pPr>
      <w:rPr>
        <w:rFonts w:hint="default" w:ascii="Times New Roman" w:hAnsi="Times New Roman" w:eastAsia="Times New Roman" w:cs="Times New Roman"/>
        <w:b/>
        <w:bCs/>
        <w:w w:val="99"/>
        <w:sz w:val="24"/>
        <w:szCs w:val="24"/>
        <w:lang w:val="pt-PT" w:eastAsia="en-US" w:bidi="ar-SA"/>
      </w:rPr>
    </w:lvl>
    <w:lvl w:ilvl="5" w:tentative="0">
      <w:start w:val="1"/>
      <w:numFmt w:val="decimal"/>
      <w:lvlText w:val="%4.%5.%6)"/>
      <w:lvlJc w:val="left"/>
      <w:pPr>
        <w:ind w:left="4252" w:hanging="1018"/>
      </w:pPr>
      <w:rPr>
        <w:rFonts w:hint="default" w:ascii="Times New Roman" w:hAnsi="Times New Roman" w:eastAsia="Times New Roman" w:cs="Times New Roman"/>
        <w:b/>
        <w:bCs/>
        <w:spacing w:val="0"/>
        <w:w w:val="99"/>
        <w:sz w:val="24"/>
        <w:szCs w:val="24"/>
        <w:lang w:val="pt-PT" w:eastAsia="en-US" w:bidi="ar-SA"/>
      </w:rPr>
    </w:lvl>
    <w:lvl w:ilvl="6" w:tentative="0">
      <w:start w:val="0"/>
      <w:numFmt w:val="bullet"/>
      <w:lvlText w:val="•"/>
      <w:lvlJc w:val="left"/>
      <w:pPr>
        <w:ind w:left="3120" w:hanging="1018"/>
      </w:pPr>
      <w:rPr>
        <w:rFonts w:hint="default"/>
        <w:lang w:val="pt-PT" w:eastAsia="en-US" w:bidi="ar-SA"/>
      </w:rPr>
    </w:lvl>
    <w:lvl w:ilvl="7" w:tentative="0">
      <w:start w:val="0"/>
      <w:numFmt w:val="bullet"/>
      <w:lvlText w:val="•"/>
      <w:lvlJc w:val="left"/>
      <w:pPr>
        <w:ind w:left="3260" w:hanging="1018"/>
      </w:pPr>
      <w:rPr>
        <w:rFonts w:hint="default"/>
        <w:lang w:val="pt-PT" w:eastAsia="en-US" w:bidi="ar-SA"/>
      </w:rPr>
    </w:lvl>
    <w:lvl w:ilvl="8" w:tentative="0">
      <w:start w:val="0"/>
      <w:numFmt w:val="bullet"/>
      <w:lvlText w:val="•"/>
      <w:lvlJc w:val="left"/>
      <w:pPr>
        <w:ind w:left="3540" w:hanging="1018"/>
      </w:pPr>
      <w:rPr>
        <w:rFonts w:hint="default"/>
        <w:lang w:val="pt-PT" w:eastAsia="en-US" w:bidi="ar-SA"/>
      </w:rPr>
    </w:lvl>
  </w:abstractNum>
  <w:abstractNum w:abstractNumId="30">
    <w:nsid w:val="30067ABE"/>
    <w:multiLevelType w:val="singleLevel"/>
    <w:tmpl w:val="30067ABE"/>
    <w:lvl w:ilvl="0" w:tentative="0">
      <w:start w:val="1"/>
      <w:numFmt w:val="lowerLetter"/>
      <w:lvlText w:val="%1)"/>
      <w:lvlJc w:val="left"/>
      <w:pPr>
        <w:tabs>
          <w:tab w:val="left" w:pos="425"/>
        </w:tabs>
        <w:ind w:left="425" w:hanging="425"/>
      </w:pPr>
      <w:rPr>
        <w:rFonts w:hint="default"/>
        <w:b/>
        <w:bCs/>
        <w:sz w:val="22"/>
        <w:szCs w:val="22"/>
      </w:rPr>
    </w:lvl>
  </w:abstractNum>
  <w:abstractNum w:abstractNumId="31">
    <w:nsid w:val="32B97E53"/>
    <w:multiLevelType w:val="singleLevel"/>
    <w:tmpl w:val="32B97E53"/>
    <w:lvl w:ilvl="0" w:tentative="0">
      <w:start w:val="1"/>
      <w:numFmt w:val="lowerLetter"/>
      <w:lvlText w:val="%1)"/>
      <w:lvlJc w:val="left"/>
      <w:pPr>
        <w:tabs>
          <w:tab w:val="left" w:pos="425"/>
        </w:tabs>
        <w:ind w:left="425" w:hanging="425"/>
      </w:pPr>
      <w:rPr>
        <w:rFonts w:hint="default" w:ascii="Arial" w:hAnsi="Arial" w:cs="Arial"/>
        <w:b/>
        <w:bCs/>
        <w:sz w:val="22"/>
        <w:szCs w:val="22"/>
      </w:rPr>
    </w:lvl>
  </w:abstractNum>
  <w:abstractNum w:abstractNumId="32">
    <w:nsid w:val="337E2742"/>
    <w:multiLevelType w:val="singleLevel"/>
    <w:tmpl w:val="337E2742"/>
    <w:lvl w:ilvl="0" w:tentative="0">
      <w:start w:val="1"/>
      <w:numFmt w:val="bullet"/>
      <w:lvlText w:val=""/>
      <w:lvlJc w:val="left"/>
      <w:pPr>
        <w:tabs>
          <w:tab w:val="left" w:pos="420"/>
        </w:tabs>
        <w:ind w:left="420" w:hanging="420"/>
      </w:pPr>
      <w:rPr>
        <w:rFonts w:hint="default" w:ascii="Wingdings" w:hAnsi="Wingdings"/>
      </w:rPr>
    </w:lvl>
  </w:abstractNum>
  <w:abstractNum w:abstractNumId="33">
    <w:nsid w:val="34FBE52E"/>
    <w:multiLevelType w:val="singleLevel"/>
    <w:tmpl w:val="34FBE52E"/>
    <w:lvl w:ilvl="0" w:tentative="0">
      <w:start w:val="1"/>
      <w:numFmt w:val="lowerLetter"/>
      <w:lvlText w:val="%1)"/>
      <w:lvlJc w:val="left"/>
      <w:pPr>
        <w:tabs>
          <w:tab w:val="left" w:pos="425"/>
        </w:tabs>
        <w:ind w:left="425" w:hanging="425"/>
      </w:pPr>
      <w:rPr>
        <w:rFonts w:hint="default"/>
        <w:b/>
        <w:bCs/>
        <w:sz w:val="22"/>
        <w:szCs w:val="22"/>
      </w:rPr>
    </w:lvl>
  </w:abstractNum>
  <w:abstractNum w:abstractNumId="34">
    <w:nsid w:val="3B6433F4"/>
    <w:multiLevelType w:val="multilevel"/>
    <w:tmpl w:val="3B6433F4"/>
    <w:lvl w:ilvl="0" w:tentative="0">
      <w:start w:val="1"/>
      <w:numFmt w:val="lowerLetter"/>
      <w:lvlText w:val="%1)"/>
      <w:lvlJc w:val="left"/>
      <w:pPr>
        <w:ind w:left="72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5">
    <w:nsid w:val="403B9878"/>
    <w:multiLevelType w:val="singleLevel"/>
    <w:tmpl w:val="403B9878"/>
    <w:lvl w:ilvl="0" w:tentative="0">
      <w:start w:val="1"/>
      <w:numFmt w:val="bullet"/>
      <w:lvlText w:val=""/>
      <w:lvlJc w:val="left"/>
      <w:pPr>
        <w:tabs>
          <w:tab w:val="left" w:pos="420"/>
        </w:tabs>
        <w:ind w:left="420" w:hanging="420"/>
      </w:pPr>
      <w:rPr>
        <w:rFonts w:hint="default" w:ascii="Wingdings" w:hAnsi="Wingdings"/>
      </w:rPr>
    </w:lvl>
  </w:abstractNum>
  <w:abstractNum w:abstractNumId="36">
    <w:nsid w:val="514B77B0"/>
    <w:multiLevelType w:val="singleLevel"/>
    <w:tmpl w:val="514B77B0"/>
    <w:lvl w:ilvl="0" w:tentative="0">
      <w:start w:val="1"/>
      <w:numFmt w:val="lowerLetter"/>
      <w:lvlText w:val="%1)"/>
      <w:lvlJc w:val="left"/>
      <w:pPr>
        <w:tabs>
          <w:tab w:val="left" w:pos="425"/>
        </w:tabs>
        <w:ind w:left="425" w:hanging="425"/>
      </w:pPr>
      <w:rPr>
        <w:rFonts w:hint="default"/>
        <w:b/>
        <w:bCs/>
        <w:sz w:val="22"/>
        <w:szCs w:val="22"/>
      </w:rPr>
    </w:lvl>
  </w:abstractNum>
  <w:abstractNum w:abstractNumId="37">
    <w:nsid w:val="51E0BA3D"/>
    <w:multiLevelType w:val="singleLevel"/>
    <w:tmpl w:val="51E0BA3D"/>
    <w:lvl w:ilvl="0" w:tentative="0">
      <w:start w:val="1"/>
      <w:numFmt w:val="lowerLetter"/>
      <w:lvlText w:val="%1)"/>
      <w:lvlJc w:val="left"/>
      <w:pPr>
        <w:tabs>
          <w:tab w:val="left" w:pos="425"/>
        </w:tabs>
        <w:ind w:left="425" w:hanging="425"/>
      </w:pPr>
      <w:rPr>
        <w:rFonts w:hint="default"/>
        <w:b/>
        <w:bCs/>
        <w:sz w:val="22"/>
        <w:szCs w:val="22"/>
      </w:rPr>
    </w:lvl>
  </w:abstractNum>
  <w:abstractNum w:abstractNumId="38">
    <w:nsid w:val="5716D415"/>
    <w:multiLevelType w:val="singleLevel"/>
    <w:tmpl w:val="5716D415"/>
    <w:lvl w:ilvl="0" w:tentative="0">
      <w:start w:val="1"/>
      <w:numFmt w:val="lowerLetter"/>
      <w:lvlText w:val="%1)"/>
      <w:lvlJc w:val="left"/>
      <w:pPr>
        <w:tabs>
          <w:tab w:val="left" w:pos="425"/>
        </w:tabs>
        <w:ind w:left="425" w:hanging="425"/>
      </w:pPr>
      <w:rPr>
        <w:rFonts w:hint="default"/>
        <w:b/>
        <w:bCs/>
        <w:sz w:val="22"/>
        <w:szCs w:val="22"/>
      </w:rPr>
    </w:lvl>
  </w:abstractNum>
  <w:abstractNum w:abstractNumId="39">
    <w:nsid w:val="57517E9D"/>
    <w:multiLevelType w:val="singleLevel"/>
    <w:tmpl w:val="57517E9D"/>
    <w:lvl w:ilvl="0" w:tentative="0">
      <w:start w:val="1"/>
      <w:numFmt w:val="lowerLetter"/>
      <w:lvlText w:val="%1)"/>
      <w:lvlJc w:val="left"/>
      <w:pPr>
        <w:tabs>
          <w:tab w:val="left" w:pos="425"/>
        </w:tabs>
        <w:ind w:left="425" w:hanging="425"/>
      </w:pPr>
      <w:rPr>
        <w:rFonts w:hint="default"/>
        <w:b/>
        <w:bCs/>
        <w:sz w:val="22"/>
        <w:szCs w:val="22"/>
      </w:rPr>
    </w:lvl>
  </w:abstractNum>
  <w:abstractNum w:abstractNumId="40">
    <w:nsid w:val="5A934733"/>
    <w:multiLevelType w:val="singleLevel"/>
    <w:tmpl w:val="5A934733"/>
    <w:lvl w:ilvl="0" w:tentative="0">
      <w:start w:val="1"/>
      <w:numFmt w:val="lowerLetter"/>
      <w:lvlText w:val="%1)"/>
      <w:lvlJc w:val="left"/>
      <w:pPr>
        <w:tabs>
          <w:tab w:val="left" w:pos="425"/>
        </w:tabs>
        <w:ind w:left="425" w:hanging="425"/>
      </w:pPr>
      <w:rPr>
        <w:rFonts w:hint="default"/>
        <w:b/>
        <w:bCs/>
        <w:sz w:val="22"/>
        <w:szCs w:val="22"/>
      </w:rPr>
    </w:lvl>
  </w:abstractNum>
  <w:abstractNum w:abstractNumId="41">
    <w:nsid w:val="5AC56ADE"/>
    <w:multiLevelType w:val="singleLevel"/>
    <w:tmpl w:val="5AC56ADE"/>
    <w:lvl w:ilvl="0" w:tentative="0">
      <w:start w:val="1"/>
      <w:numFmt w:val="lowerLetter"/>
      <w:lvlText w:val="%1)"/>
      <w:lvlJc w:val="left"/>
      <w:pPr>
        <w:tabs>
          <w:tab w:val="left" w:pos="425"/>
        </w:tabs>
        <w:ind w:left="425" w:hanging="425"/>
      </w:pPr>
      <w:rPr>
        <w:rFonts w:hint="default"/>
        <w:b/>
        <w:bCs/>
        <w:sz w:val="22"/>
        <w:szCs w:val="22"/>
      </w:rPr>
    </w:lvl>
  </w:abstractNum>
  <w:abstractNum w:abstractNumId="42">
    <w:nsid w:val="5C894EF3"/>
    <w:multiLevelType w:val="singleLevel"/>
    <w:tmpl w:val="5C894EF3"/>
    <w:lvl w:ilvl="0" w:tentative="0">
      <w:start w:val="1"/>
      <w:numFmt w:val="lowerLetter"/>
      <w:lvlText w:val="%1)"/>
      <w:lvlJc w:val="left"/>
      <w:pPr>
        <w:tabs>
          <w:tab w:val="left" w:pos="425"/>
        </w:tabs>
        <w:ind w:left="425" w:hanging="425"/>
      </w:pPr>
      <w:rPr>
        <w:rFonts w:hint="default"/>
        <w:b/>
        <w:bCs/>
        <w:sz w:val="22"/>
        <w:szCs w:val="22"/>
      </w:rPr>
    </w:lvl>
  </w:abstractNum>
  <w:abstractNum w:abstractNumId="43">
    <w:nsid w:val="5E7043F2"/>
    <w:multiLevelType w:val="singleLevel"/>
    <w:tmpl w:val="5E7043F2"/>
    <w:lvl w:ilvl="0" w:tentative="0">
      <w:start w:val="1"/>
      <w:numFmt w:val="lowerLetter"/>
      <w:lvlText w:val="%1)"/>
      <w:lvlJc w:val="left"/>
      <w:pPr>
        <w:tabs>
          <w:tab w:val="left" w:pos="425"/>
        </w:tabs>
        <w:ind w:left="425" w:hanging="425"/>
      </w:pPr>
      <w:rPr>
        <w:rFonts w:hint="default" w:ascii="Arial" w:hAnsi="Arial" w:cs="Arial"/>
        <w:b/>
        <w:bCs/>
        <w:sz w:val="22"/>
        <w:szCs w:val="22"/>
      </w:rPr>
    </w:lvl>
  </w:abstractNum>
  <w:abstractNum w:abstractNumId="44">
    <w:nsid w:val="61FB5651"/>
    <w:multiLevelType w:val="singleLevel"/>
    <w:tmpl w:val="61FB5651"/>
    <w:lvl w:ilvl="0" w:tentative="0">
      <w:start w:val="1"/>
      <w:numFmt w:val="lowerLetter"/>
      <w:lvlText w:val="%1)"/>
      <w:lvlJc w:val="left"/>
      <w:pPr>
        <w:tabs>
          <w:tab w:val="left" w:pos="425"/>
        </w:tabs>
        <w:ind w:left="425" w:hanging="425"/>
      </w:pPr>
      <w:rPr>
        <w:rFonts w:hint="default" w:ascii="Arial" w:hAnsi="Arial" w:cs="Arial"/>
        <w:b/>
        <w:bCs/>
        <w:sz w:val="22"/>
        <w:szCs w:val="22"/>
      </w:rPr>
    </w:lvl>
  </w:abstractNum>
  <w:abstractNum w:abstractNumId="45">
    <w:nsid w:val="665F65CE"/>
    <w:multiLevelType w:val="singleLevel"/>
    <w:tmpl w:val="665F65CE"/>
    <w:lvl w:ilvl="0" w:tentative="0">
      <w:start w:val="1"/>
      <w:numFmt w:val="bullet"/>
      <w:lvlText w:val=""/>
      <w:lvlJc w:val="left"/>
      <w:pPr>
        <w:tabs>
          <w:tab w:val="left" w:pos="420"/>
        </w:tabs>
        <w:ind w:left="420" w:hanging="420"/>
      </w:pPr>
      <w:rPr>
        <w:rFonts w:hint="default" w:ascii="Wingdings" w:hAnsi="Wingdings"/>
      </w:rPr>
    </w:lvl>
  </w:abstractNum>
  <w:abstractNum w:abstractNumId="46">
    <w:nsid w:val="6D58E09C"/>
    <w:multiLevelType w:val="singleLevel"/>
    <w:tmpl w:val="6D58E09C"/>
    <w:lvl w:ilvl="0" w:tentative="0">
      <w:start w:val="1"/>
      <w:numFmt w:val="lowerLetter"/>
      <w:lvlText w:val="%1)"/>
      <w:lvlJc w:val="left"/>
      <w:pPr>
        <w:tabs>
          <w:tab w:val="left" w:pos="425"/>
        </w:tabs>
        <w:ind w:left="425" w:hanging="425"/>
      </w:pPr>
      <w:rPr>
        <w:rFonts w:hint="default"/>
        <w:b/>
        <w:bCs/>
        <w:sz w:val="22"/>
        <w:szCs w:val="22"/>
      </w:rPr>
    </w:lvl>
  </w:abstractNum>
  <w:abstractNum w:abstractNumId="47">
    <w:nsid w:val="7A747E1F"/>
    <w:multiLevelType w:val="singleLevel"/>
    <w:tmpl w:val="7A747E1F"/>
    <w:lvl w:ilvl="0" w:tentative="0">
      <w:start w:val="1"/>
      <w:numFmt w:val="lowerLetter"/>
      <w:lvlText w:val="%1)"/>
      <w:lvlJc w:val="left"/>
      <w:pPr>
        <w:tabs>
          <w:tab w:val="left" w:pos="425"/>
        </w:tabs>
        <w:ind w:left="425" w:hanging="425"/>
      </w:pPr>
      <w:rPr>
        <w:rFonts w:hint="default"/>
      </w:rPr>
    </w:lvl>
  </w:abstractNum>
  <w:abstractNum w:abstractNumId="48">
    <w:nsid w:val="7EE0A96A"/>
    <w:multiLevelType w:val="singleLevel"/>
    <w:tmpl w:val="7EE0A96A"/>
    <w:lvl w:ilvl="0" w:tentative="0">
      <w:start w:val="1"/>
      <w:numFmt w:val="bullet"/>
      <w:lvlText w:val=""/>
      <w:lvlJc w:val="left"/>
      <w:pPr>
        <w:tabs>
          <w:tab w:val="left" w:pos="420"/>
        </w:tabs>
        <w:ind w:left="420" w:hanging="420"/>
      </w:pPr>
      <w:rPr>
        <w:rFonts w:hint="default" w:ascii="Wingdings" w:hAnsi="Wingdings"/>
      </w:rPr>
    </w:lvl>
  </w:abstractNum>
  <w:num w:numId="1">
    <w:abstractNumId w:val="22"/>
  </w:num>
  <w:num w:numId="2">
    <w:abstractNumId w:val="28"/>
  </w:num>
  <w:num w:numId="3">
    <w:abstractNumId w:val="20"/>
  </w:num>
  <w:num w:numId="4">
    <w:abstractNumId w:val="16"/>
  </w:num>
  <w:num w:numId="5">
    <w:abstractNumId w:val="47"/>
  </w:num>
  <w:num w:numId="6">
    <w:abstractNumId w:val="17"/>
  </w:num>
  <w:num w:numId="7">
    <w:abstractNumId w:val="6"/>
  </w:num>
  <w:num w:numId="8">
    <w:abstractNumId w:val="25"/>
  </w:num>
  <w:num w:numId="9">
    <w:abstractNumId w:val="9"/>
  </w:num>
  <w:num w:numId="10">
    <w:abstractNumId w:val="40"/>
  </w:num>
  <w:num w:numId="11">
    <w:abstractNumId w:val="41"/>
  </w:num>
  <w:num w:numId="12">
    <w:abstractNumId w:val="12"/>
  </w:num>
  <w:num w:numId="13">
    <w:abstractNumId w:val="1"/>
  </w:num>
  <w:num w:numId="14">
    <w:abstractNumId w:val="13"/>
  </w:num>
  <w:num w:numId="15">
    <w:abstractNumId w:val="3"/>
  </w:num>
  <w:num w:numId="16">
    <w:abstractNumId w:val="39"/>
  </w:num>
  <w:num w:numId="17">
    <w:abstractNumId w:val="21"/>
  </w:num>
  <w:num w:numId="18">
    <w:abstractNumId w:val="46"/>
  </w:num>
  <w:num w:numId="19">
    <w:abstractNumId w:val="33"/>
  </w:num>
  <w:num w:numId="20">
    <w:abstractNumId w:val="30"/>
  </w:num>
  <w:num w:numId="21">
    <w:abstractNumId w:val="24"/>
  </w:num>
  <w:num w:numId="22">
    <w:abstractNumId w:val="23"/>
  </w:num>
  <w:num w:numId="23">
    <w:abstractNumId w:val="5"/>
  </w:num>
  <w:num w:numId="24">
    <w:abstractNumId w:val="31"/>
  </w:num>
  <w:num w:numId="25">
    <w:abstractNumId w:val="14"/>
  </w:num>
  <w:num w:numId="26">
    <w:abstractNumId w:val="32"/>
  </w:num>
  <w:num w:numId="27">
    <w:abstractNumId w:val="18"/>
  </w:num>
  <w:num w:numId="28">
    <w:abstractNumId w:val="15"/>
  </w:num>
  <w:num w:numId="29">
    <w:abstractNumId w:val="45"/>
  </w:num>
  <w:num w:numId="30">
    <w:abstractNumId w:val="48"/>
  </w:num>
  <w:num w:numId="31">
    <w:abstractNumId w:val="35"/>
  </w:num>
  <w:num w:numId="32">
    <w:abstractNumId w:val="0"/>
  </w:num>
  <w:num w:numId="33">
    <w:abstractNumId w:val="38"/>
  </w:num>
  <w:num w:numId="34">
    <w:abstractNumId w:val="42"/>
  </w:num>
  <w:num w:numId="35">
    <w:abstractNumId w:val="36"/>
  </w:num>
  <w:num w:numId="36">
    <w:abstractNumId w:val="7"/>
  </w:num>
  <w:num w:numId="37">
    <w:abstractNumId w:val="37"/>
  </w:num>
  <w:num w:numId="38">
    <w:abstractNumId w:val="43"/>
  </w:num>
  <w:num w:numId="39">
    <w:abstractNumId w:val="8"/>
  </w:num>
  <w:num w:numId="40">
    <w:abstractNumId w:val="11"/>
  </w:num>
  <w:num w:numId="41">
    <w:abstractNumId w:val="4"/>
  </w:num>
  <w:num w:numId="42">
    <w:abstractNumId w:val="26"/>
  </w:num>
  <w:num w:numId="43">
    <w:abstractNumId w:val="44"/>
  </w:num>
  <w:num w:numId="44">
    <w:abstractNumId w:val="29"/>
  </w:num>
  <w:num w:numId="45">
    <w:abstractNumId w:val="19"/>
  </w:num>
  <w:num w:numId="46">
    <w:abstractNumId w:val="27"/>
  </w:num>
  <w:num w:numId="47">
    <w:abstractNumId w:val="2"/>
  </w:num>
  <w:num w:numId="48">
    <w:abstractNumId w:val="10"/>
  </w:num>
  <w:num w:numId="4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documentProtection w:enforcement="0"/>
  <w:defaultTabStop w:val="708"/>
  <w:hyphenationZone w:val="425"/>
  <w:noPunctuationKerning w:val="1"/>
  <w:characterSpacingControl w:val="doNotCompress"/>
  <w:footnotePr>
    <w:footnote w:id="0"/>
    <w:footnote w:id="1"/>
  </w:footnotePr>
  <w:endnotePr>
    <w:endnote w:id="0"/>
    <w:endnote w:id="1"/>
  </w:endnotePr>
  <w:compat>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3570"/>
    <w:rsid w:val="000B434B"/>
    <w:rsid w:val="00161793"/>
    <w:rsid w:val="001D5737"/>
    <w:rsid w:val="00230B15"/>
    <w:rsid w:val="00236FBD"/>
    <w:rsid w:val="002B7957"/>
    <w:rsid w:val="002C5E7E"/>
    <w:rsid w:val="002E23C0"/>
    <w:rsid w:val="00303AF4"/>
    <w:rsid w:val="00322B00"/>
    <w:rsid w:val="003B1954"/>
    <w:rsid w:val="004116EF"/>
    <w:rsid w:val="00543178"/>
    <w:rsid w:val="00557A05"/>
    <w:rsid w:val="005A4BF6"/>
    <w:rsid w:val="00603570"/>
    <w:rsid w:val="00612942"/>
    <w:rsid w:val="0063700D"/>
    <w:rsid w:val="006B5F70"/>
    <w:rsid w:val="0073000E"/>
    <w:rsid w:val="00772A86"/>
    <w:rsid w:val="007E3499"/>
    <w:rsid w:val="008130D4"/>
    <w:rsid w:val="008E698D"/>
    <w:rsid w:val="008E752D"/>
    <w:rsid w:val="008E7700"/>
    <w:rsid w:val="00920760"/>
    <w:rsid w:val="00A57DCD"/>
    <w:rsid w:val="00A83E02"/>
    <w:rsid w:val="00AB0306"/>
    <w:rsid w:val="00C05B1D"/>
    <w:rsid w:val="00C37B17"/>
    <w:rsid w:val="00CB2E5D"/>
    <w:rsid w:val="00DB2298"/>
    <w:rsid w:val="00DC3A3F"/>
    <w:rsid w:val="00DF5A37"/>
    <w:rsid w:val="00E0289A"/>
    <w:rsid w:val="00F250C6"/>
    <w:rsid w:val="00F41761"/>
    <w:rsid w:val="00F610F6"/>
    <w:rsid w:val="00FB62F5"/>
    <w:rsid w:val="01DE525D"/>
    <w:rsid w:val="0345496C"/>
    <w:rsid w:val="040205A2"/>
    <w:rsid w:val="048552F8"/>
    <w:rsid w:val="04930C26"/>
    <w:rsid w:val="04E7791B"/>
    <w:rsid w:val="059302D6"/>
    <w:rsid w:val="05965135"/>
    <w:rsid w:val="05C50C80"/>
    <w:rsid w:val="06952ADA"/>
    <w:rsid w:val="073F54F1"/>
    <w:rsid w:val="07A6619A"/>
    <w:rsid w:val="07F55F19"/>
    <w:rsid w:val="08303F84"/>
    <w:rsid w:val="083A0C0C"/>
    <w:rsid w:val="08EF5238"/>
    <w:rsid w:val="09511A59"/>
    <w:rsid w:val="09E6216C"/>
    <w:rsid w:val="0ABD672D"/>
    <w:rsid w:val="0C5E5E59"/>
    <w:rsid w:val="0CC17E6B"/>
    <w:rsid w:val="0CCE1EB7"/>
    <w:rsid w:val="0D026C5D"/>
    <w:rsid w:val="0D0C4CF8"/>
    <w:rsid w:val="0D107E7B"/>
    <w:rsid w:val="0D4C7ED9"/>
    <w:rsid w:val="0D591574"/>
    <w:rsid w:val="0DF85BFA"/>
    <w:rsid w:val="0E220FBD"/>
    <w:rsid w:val="0E231392"/>
    <w:rsid w:val="0EA61216"/>
    <w:rsid w:val="0F157D3D"/>
    <w:rsid w:val="0F647FFD"/>
    <w:rsid w:val="0F7F6B6D"/>
    <w:rsid w:val="10B33874"/>
    <w:rsid w:val="11BF0D10"/>
    <w:rsid w:val="11F34201"/>
    <w:rsid w:val="12422239"/>
    <w:rsid w:val="12B46B28"/>
    <w:rsid w:val="14385C21"/>
    <w:rsid w:val="143A53BF"/>
    <w:rsid w:val="145F076E"/>
    <w:rsid w:val="15894CE1"/>
    <w:rsid w:val="15AD1A1E"/>
    <w:rsid w:val="15C75E4B"/>
    <w:rsid w:val="15E505ED"/>
    <w:rsid w:val="161A5DA2"/>
    <w:rsid w:val="16242B4C"/>
    <w:rsid w:val="1716313B"/>
    <w:rsid w:val="171B2805"/>
    <w:rsid w:val="17592D5E"/>
    <w:rsid w:val="17885E1E"/>
    <w:rsid w:val="17B23E05"/>
    <w:rsid w:val="182D7C87"/>
    <w:rsid w:val="18401DA5"/>
    <w:rsid w:val="18974050"/>
    <w:rsid w:val="189B4667"/>
    <w:rsid w:val="18A516FB"/>
    <w:rsid w:val="19187035"/>
    <w:rsid w:val="19931384"/>
    <w:rsid w:val="19DF2AFE"/>
    <w:rsid w:val="1A7B1124"/>
    <w:rsid w:val="1B700122"/>
    <w:rsid w:val="1BAF61FB"/>
    <w:rsid w:val="1BD11C33"/>
    <w:rsid w:val="1C4A4D75"/>
    <w:rsid w:val="1C872916"/>
    <w:rsid w:val="1CA26BCB"/>
    <w:rsid w:val="1CD55FDE"/>
    <w:rsid w:val="1CD81161"/>
    <w:rsid w:val="1CF42E12"/>
    <w:rsid w:val="1CF7709A"/>
    <w:rsid w:val="1D104E69"/>
    <w:rsid w:val="1D1A544D"/>
    <w:rsid w:val="1D5133A9"/>
    <w:rsid w:val="1D5907B5"/>
    <w:rsid w:val="1D6B6E1C"/>
    <w:rsid w:val="1D7376C1"/>
    <w:rsid w:val="1E2458FF"/>
    <w:rsid w:val="1E6C1577"/>
    <w:rsid w:val="1E721F1B"/>
    <w:rsid w:val="1EF83A8A"/>
    <w:rsid w:val="1F1D5B17"/>
    <w:rsid w:val="1F277D64"/>
    <w:rsid w:val="1F32478A"/>
    <w:rsid w:val="205471C3"/>
    <w:rsid w:val="20D5610B"/>
    <w:rsid w:val="226A3751"/>
    <w:rsid w:val="22824E3A"/>
    <w:rsid w:val="22AF6449"/>
    <w:rsid w:val="22FB5E73"/>
    <w:rsid w:val="23F53B0C"/>
    <w:rsid w:val="24D221AF"/>
    <w:rsid w:val="26234121"/>
    <w:rsid w:val="26256F31"/>
    <w:rsid w:val="26421153"/>
    <w:rsid w:val="26F704DE"/>
    <w:rsid w:val="28180B3D"/>
    <w:rsid w:val="28210363"/>
    <w:rsid w:val="28494B60"/>
    <w:rsid w:val="284A1528"/>
    <w:rsid w:val="288B1F91"/>
    <w:rsid w:val="29DE1FDF"/>
    <w:rsid w:val="2A090204"/>
    <w:rsid w:val="2A1D6EA4"/>
    <w:rsid w:val="2A5F3191"/>
    <w:rsid w:val="2A7E5C44"/>
    <w:rsid w:val="2A976B6E"/>
    <w:rsid w:val="2AB61621"/>
    <w:rsid w:val="2ADB055C"/>
    <w:rsid w:val="2AE71DF0"/>
    <w:rsid w:val="2C3A0846"/>
    <w:rsid w:val="2C4E5FFD"/>
    <w:rsid w:val="2CD53B9A"/>
    <w:rsid w:val="2D466457"/>
    <w:rsid w:val="2D642184"/>
    <w:rsid w:val="2D703A18"/>
    <w:rsid w:val="2D8F19EF"/>
    <w:rsid w:val="2DDE0ED3"/>
    <w:rsid w:val="2E051D0E"/>
    <w:rsid w:val="2E354A5B"/>
    <w:rsid w:val="2E6863C8"/>
    <w:rsid w:val="2F874408"/>
    <w:rsid w:val="303D4E30"/>
    <w:rsid w:val="304A5411"/>
    <w:rsid w:val="30527354"/>
    <w:rsid w:val="30534DD6"/>
    <w:rsid w:val="310C3359"/>
    <w:rsid w:val="311F12EA"/>
    <w:rsid w:val="313F5CD8"/>
    <w:rsid w:val="326822C2"/>
    <w:rsid w:val="32A50AA2"/>
    <w:rsid w:val="32CD38BC"/>
    <w:rsid w:val="32E00C87"/>
    <w:rsid w:val="334F6D3D"/>
    <w:rsid w:val="34052FE8"/>
    <w:rsid w:val="348D41C6"/>
    <w:rsid w:val="35AD209F"/>
    <w:rsid w:val="36643DCC"/>
    <w:rsid w:val="368D4679"/>
    <w:rsid w:val="36CB6C73"/>
    <w:rsid w:val="36E467B1"/>
    <w:rsid w:val="36F4172D"/>
    <w:rsid w:val="37D1071F"/>
    <w:rsid w:val="382E5165"/>
    <w:rsid w:val="38FC4989"/>
    <w:rsid w:val="39191195"/>
    <w:rsid w:val="391F24C9"/>
    <w:rsid w:val="39F52050"/>
    <w:rsid w:val="3A3F1B1E"/>
    <w:rsid w:val="3AD65514"/>
    <w:rsid w:val="3ADE2921"/>
    <w:rsid w:val="3B130672"/>
    <w:rsid w:val="3B5612E6"/>
    <w:rsid w:val="3B5A6CF8"/>
    <w:rsid w:val="3B5E66F2"/>
    <w:rsid w:val="3BAD7345"/>
    <w:rsid w:val="3BB13F7E"/>
    <w:rsid w:val="3C2A03C4"/>
    <w:rsid w:val="3C595011"/>
    <w:rsid w:val="3C841D58"/>
    <w:rsid w:val="3CB834AB"/>
    <w:rsid w:val="3CF81D16"/>
    <w:rsid w:val="3E0F72E0"/>
    <w:rsid w:val="3E266F05"/>
    <w:rsid w:val="3E2843A4"/>
    <w:rsid w:val="3E3416D5"/>
    <w:rsid w:val="3E4629F6"/>
    <w:rsid w:val="3E661EED"/>
    <w:rsid w:val="3F2A0D32"/>
    <w:rsid w:val="3FB93A98"/>
    <w:rsid w:val="40243148"/>
    <w:rsid w:val="407E04B7"/>
    <w:rsid w:val="408A0194"/>
    <w:rsid w:val="414954A9"/>
    <w:rsid w:val="41566D3D"/>
    <w:rsid w:val="415F1B6C"/>
    <w:rsid w:val="41A7513D"/>
    <w:rsid w:val="41C041EE"/>
    <w:rsid w:val="42092064"/>
    <w:rsid w:val="422F44A2"/>
    <w:rsid w:val="424A42B3"/>
    <w:rsid w:val="42522987"/>
    <w:rsid w:val="426339F7"/>
    <w:rsid w:val="42C84A20"/>
    <w:rsid w:val="42E415D2"/>
    <w:rsid w:val="435321A2"/>
    <w:rsid w:val="437667CC"/>
    <w:rsid w:val="43D922DF"/>
    <w:rsid w:val="43F35DC9"/>
    <w:rsid w:val="44A734B8"/>
    <w:rsid w:val="44B609C8"/>
    <w:rsid w:val="44BB06D3"/>
    <w:rsid w:val="44E32791"/>
    <w:rsid w:val="455C4E89"/>
    <w:rsid w:val="45705FC9"/>
    <w:rsid w:val="45B253E8"/>
    <w:rsid w:val="45F849CD"/>
    <w:rsid w:val="469902A5"/>
    <w:rsid w:val="485B09F4"/>
    <w:rsid w:val="485C7545"/>
    <w:rsid w:val="4908545F"/>
    <w:rsid w:val="493375A8"/>
    <w:rsid w:val="493E20B6"/>
    <w:rsid w:val="496557F9"/>
    <w:rsid w:val="499140BE"/>
    <w:rsid w:val="49996F4C"/>
    <w:rsid w:val="4A372155"/>
    <w:rsid w:val="4A811448"/>
    <w:rsid w:val="4AAF2318"/>
    <w:rsid w:val="4ADF5065"/>
    <w:rsid w:val="4B0729A6"/>
    <w:rsid w:val="4BF6262F"/>
    <w:rsid w:val="4C64437B"/>
    <w:rsid w:val="4CA63DFC"/>
    <w:rsid w:val="4CCD2008"/>
    <w:rsid w:val="4D39517E"/>
    <w:rsid w:val="4D6B7C12"/>
    <w:rsid w:val="4E391564"/>
    <w:rsid w:val="4E537F10"/>
    <w:rsid w:val="4EC6375B"/>
    <w:rsid w:val="509A7781"/>
    <w:rsid w:val="51792CBB"/>
    <w:rsid w:val="51BF7BAC"/>
    <w:rsid w:val="51EC1975"/>
    <w:rsid w:val="52AE1A33"/>
    <w:rsid w:val="52B85BC6"/>
    <w:rsid w:val="52BF774F"/>
    <w:rsid w:val="536B23CE"/>
    <w:rsid w:val="537F7B8D"/>
    <w:rsid w:val="53AB3ED4"/>
    <w:rsid w:val="53B60700"/>
    <w:rsid w:val="54155B02"/>
    <w:rsid w:val="54A71E80"/>
    <w:rsid w:val="54AA5FF5"/>
    <w:rsid w:val="54CA0AA9"/>
    <w:rsid w:val="54ED44E0"/>
    <w:rsid w:val="550E678F"/>
    <w:rsid w:val="55137FA3"/>
    <w:rsid w:val="553810DC"/>
    <w:rsid w:val="554661C3"/>
    <w:rsid w:val="55A45EDD"/>
    <w:rsid w:val="55CD4988"/>
    <w:rsid w:val="55DD513F"/>
    <w:rsid w:val="55FC4013"/>
    <w:rsid w:val="5610349F"/>
    <w:rsid w:val="567917D3"/>
    <w:rsid w:val="56DD2A92"/>
    <w:rsid w:val="588440C7"/>
    <w:rsid w:val="590C52A5"/>
    <w:rsid w:val="594453FF"/>
    <w:rsid w:val="596E1AC6"/>
    <w:rsid w:val="597660A7"/>
    <w:rsid w:val="59814650"/>
    <w:rsid w:val="59930A01"/>
    <w:rsid w:val="59F92B62"/>
    <w:rsid w:val="5AB011D9"/>
    <w:rsid w:val="5AE06A99"/>
    <w:rsid w:val="5AF50649"/>
    <w:rsid w:val="5BCD0886"/>
    <w:rsid w:val="5C3A0711"/>
    <w:rsid w:val="5C8726FB"/>
    <w:rsid w:val="5E317B16"/>
    <w:rsid w:val="5E6160E7"/>
    <w:rsid w:val="5EAD7DA6"/>
    <w:rsid w:val="5F0605AF"/>
    <w:rsid w:val="606851B7"/>
    <w:rsid w:val="60B31DB3"/>
    <w:rsid w:val="60F715A3"/>
    <w:rsid w:val="61272CF8"/>
    <w:rsid w:val="618B077D"/>
    <w:rsid w:val="621C1CEB"/>
    <w:rsid w:val="62325AA7"/>
    <w:rsid w:val="625A33E9"/>
    <w:rsid w:val="626F1FDC"/>
    <w:rsid w:val="63165DFF"/>
    <w:rsid w:val="631B12A8"/>
    <w:rsid w:val="63AB1A91"/>
    <w:rsid w:val="63F81B90"/>
    <w:rsid w:val="64FF3524"/>
    <w:rsid w:val="651200DE"/>
    <w:rsid w:val="651D3EF1"/>
    <w:rsid w:val="657C558F"/>
    <w:rsid w:val="65AA3925"/>
    <w:rsid w:val="65ED6E32"/>
    <w:rsid w:val="663F63D9"/>
    <w:rsid w:val="66993BD7"/>
    <w:rsid w:val="66CF38B7"/>
    <w:rsid w:val="670C119E"/>
    <w:rsid w:val="676A4DBB"/>
    <w:rsid w:val="67E54704"/>
    <w:rsid w:val="680229AF"/>
    <w:rsid w:val="68503DB3"/>
    <w:rsid w:val="68991C29"/>
    <w:rsid w:val="6899292D"/>
    <w:rsid w:val="689D062F"/>
    <w:rsid w:val="68DF73AB"/>
    <w:rsid w:val="694B1A4D"/>
    <w:rsid w:val="69896DF8"/>
    <w:rsid w:val="69C30412"/>
    <w:rsid w:val="6A134521"/>
    <w:rsid w:val="6B80723B"/>
    <w:rsid w:val="6C8D3213"/>
    <w:rsid w:val="6CD9769F"/>
    <w:rsid w:val="6CE467DD"/>
    <w:rsid w:val="6D9632D6"/>
    <w:rsid w:val="6E3C7DF6"/>
    <w:rsid w:val="6EAA3B88"/>
    <w:rsid w:val="6F4E5EAA"/>
    <w:rsid w:val="6F6170C9"/>
    <w:rsid w:val="6F6325CC"/>
    <w:rsid w:val="6FF41EBB"/>
    <w:rsid w:val="701B1D7B"/>
    <w:rsid w:val="70324670"/>
    <w:rsid w:val="70411FBB"/>
    <w:rsid w:val="72442685"/>
    <w:rsid w:val="724D0D96"/>
    <w:rsid w:val="727608D5"/>
    <w:rsid w:val="72B33FBD"/>
    <w:rsid w:val="72D92B78"/>
    <w:rsid w:val="7304598C"/>
    <w:rsid w:val="73355810"/>
    <w:rsid w:val="73C4265E"/>
    <w:rsid w:val="73C42FD6"/>
    <w:rsid w:val="73F47C9E"/>
    <w:rsid w:val="747611FE"/>
    <w:rsid w:val="747A31B2"/>
    <w:rsid w:val="74995FE4"/>
    <w:rsid w:val="75060797"/>
    <w:rsid w:val="758964DA"/>
    <w:rsid w:val="75A40F4A"/>
    <w:rsid w:val="75BD7438"/>
    <w:rsid w:val="76377102"/>
    <w:rsid w:val="766962DF"/>
    <w:rsid w:val="76981B78"/>
    <w:rsid w:val="77935D3A"/>
    <w:rsid w:val="78376349"/>
    <w:rsid w:val="7843265A"/>
    <w:rsid w:val="785F4189"/>
    <w:rsid w:val="78777631"/>
    <w:rsid w:val="78C32BF8"/>
    <w:rsid w:val="79F0361A"/>
    <w:rsid w:val="7A1C6F28"/>
    <w:rsid w:val="7ABB432B"/>
    <w:rsid w:val="7AC313F4"/>
    <w:rsid w:val="7B541A34"/>
    <w:rsid w:val="7B8C0E3D"/>
    <w:rsid w:val="7B9C0542"/>
    <w:rsid w:val="7BA342E6"/>
    <w:rsid w:val="7BD24B08"/>
    <w:rsid w:val="7CA33E88"/>
    <w:rsid w:val="7CB32F08"/>
    <w:rsid w:val="7CC13438"/>
    <w:rsid w:val="7D3A3102"/>
    <w:rsid w:val="7D8A2166"/>
    <w:rsid w:val="7E0A7F58"/>
    <w:rsid w:val="7E2B7507"/>
    <w:rsid w:val="7E54384F"/>
    <w:rsid w:val="7F45445C"/>
    <w:rsid w:val="7F587BFA"/>
    <w:rsid w:val="7FBD0C23"/>
    <w:rsid w:val="7FC13DA6"/>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1" w:semiHidden="0" w:name="heading 1"/>
    <w:lsdException w:qFormat="1" w:uiPriority="1" w:semiHidden="0" w:name="heading 2"/>
    <w:lsdException w:qFormat="1" w:uiPriority="0" w:semiHidden="0" w:name="heading 3"/>
    <w:lsdException w:qFormat="1" w:uiPriority="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1" w:semiHidden="0" w:name="toc 1"/>
    <w:lsdException w:qFormat="1" w:unhideWhenUsed="0" w:uiPriority="1" w:semiHidden="0" w:name="toc 2"/>
    <w:lsdException w:qFormat="1" w:unhideWhenUsed="0" w:uiPriority="1"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0" w:semiHidden="0" w:name="annotation text"/>
    <w:lsdException w:qFormat="1" w:uiPriority="99"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1"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0"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0" w:semiHidden="0" w:name="Table Grid"/>
    <w:lsdException w:uiPriority="99" w:name="Table Theme"/>
    <w:lsdException w:qFormat="1" w:unhideWhenUsed="0" w:uiPriority="1" w:semiHidden="0" w:name="List Paragraph"/>
  </w:latentStyles>
  <w:style w:type="paragraph" w:default="1" w:styleId="1">
    <w:name w:val="Normal"/>
    <w:autoRedefine/>
    <w:qFormat/>
    <w:uiPriority w:val="0"/>
    <w:pPr>
      <w:spacing w:after="160" w:line="259" w:lineRule="auto"/>
    </w:pPr>
    <w:rPr>
      <w:rFonts w:asciiTheme="minorHAnsi" w:hAnsiTheme="minorHAnsi" w:eastAsiaTheme="minorHAnsi" w:cstheme="minorBidi"/>
      <w:sz w:val="22"/>
      <w:szCs w:val="22"/>
      <w:lang w:val="pt-BR" w:eastAsia="en-US" w:bidi="ar-SA"/>
    </w:rPr>
  </w:style>
  <w:style w:type="paragraph" w:styleId="2">
    <w:name w:val="heading 1"/>
    <w:basedOn w:val="1"/>
    <w:link w:val="48"/>
    <w:autoRedefine/>
    <w:qFormat/>
    <w:uiPriority w:val="1"/>
    <w:pPr>
      <w:ind w:left="1041" w:right="1498"/>
      <w:jc w:val="center"/>
      <w:outlineLvl w:val="0"/>
    </w:pPr>
    <w:rPr>
      <w:rFonts w:ascii="Times New Roman" w:hAnsi="Times New Roman" w:eastAsia="Times New Roman" w:cs="Times New Roman"/>
      <w:b/>
      <w:bCs/>
      <w:sz w:val="24"/>
      <w:szCs w:val="24"/>
      <w:lang w:val="pt-PT"/>
    </w:rPr>
  </w:style>
  <w:style w:type="paragraph" w:styleId="3">
    <w:name w:val="heading 2"/>
    <w:basedOn w:val="1"/>
    <w:link w:val="21"/>
    <w:autoRedefine/>
    <w:unhideWhenUsed/>
    <w:qFormat/>
    <w:uiPriority w:val="1"/>
    <w:pPr>
      <w:keepNext/>
      <w:keepLines/>
      <w:spacing w:before="40" w:after="0"/>
      <w:outlineLvl w:val="1"/>
    </w:pPr>
    <w:rPr>
      <w:rFonts w:asciiTheme="majorHAnsi" w:hAnsiTheme="majorHAnsi" w:eastAsiaTheme="majorEastAsia" w:cstheme="majorBidi"/>
      <w:color w:val="2F5597" w:themeColor="accent1" w:themeShade="BF"/>
      <w:sz w:val="26"/>
      <w:szCs w:val="26"/>
    </w:rPr>
  </w:style>
  <w:style w:type="paragraph" w:styleId="4">
    <w:name w:val="heading 3"/>
    <w:basedOn w:val="1"/>
    <w:next w:val="1"/>
    <w:link w:val="22"/>
    <w:autoRedefine/>
    <w:unhideWhenUsed/>
    <w:qFormat/>
    <w:uiPriority w:val="0"/>
    <w:pPr>
      <w:keepNext/>
      <w:keepLines/>
      <w:spacing w:before="40" w:after="0"/>
      <w:outlineLvl w:val="2"/>
    </w:pPr>
    <w:rPr>
      <w:rFonts w:asciiTheme="majorHAnsi" w:hAnsiTheme="majorHAnsi" w:eastAsiaTheme="majorEastAsia" w:cstheme="majorBidi"/>
      <w:color w:val="203864" w:themeColor="accent1" w:themeShade="80"/>
      <w:sz w:val="24"/>
      <w:szCs w:val="24"/>
    </w:rPr>
  </w:style>
  <w:style w:type="paragraph" w:styleId="5">
    <w:name w:val="heading 4"/>
    <w:next w:val="1"/>
    <w:semiHidden/>
    <w:unhideWhenUsed/>
    <w:qFormat/>
    <w:uiPriority w:val="0"/>
    <w:pPr>
      <w:spacing w:beforeAutospacing="1" w:afterAutospacing="1"/>
      <w:outlineLvl w:val="3"/>
    </w:pPr>
    <w:rPr>
      <w:rFonts w:hint="eastAsia" w:ascii="SimSun" w:hAnsi="SimSun" w:eastAsia="SimSun" w:cs="Times New Roman"/>
      <w:b/>
      <w:bCs/>
      <w:sz w:val="24"/>
      <w:szCs w:val="24"/>
      <w:lang w:val="en-US" w:eastAsia="zh-CN" w:bidi="ar-SA"/>
    </w:rPr>
  </w:style>
  <w:style w:type="character" w:default="1" w:styleId="6">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character" w:styleId="8">
    <w:name w:val="Strong"/>
    <w:basedOn w:val="6"/>
    <w:qFormat/>
    <w:uiPriority w:val="22"/>
    <w:rPr>
      <w:b/>
      <w:bCs/>
    </w:rPr>
  </w:style>
  <w:style w:type="character" w:styleId="9">
    <w:name w:val="annotation reference"/>
    <w:qFormat/>
    <w:uiPriority w:val="99"/>
    <w:rPr>
      <w:rFonts w:cs="Times New Roman"/>
      <w:sz w:val="16"/>
      <w:szCs w:val="16"/>
    </w:rPr>
  </w:style>
  <w:style w:type="character" w:styleId="10">
    <w:name w:val="FollowedHyperlink"/>
    <w:basedOn w:val="6"/>
    <w:qFormat/>
    <w:uiPriority w:val="0"/>
    <w:rPr>
      <w:color w:val="800080"/>
      <w:u w:val="single"/>
    </w:rPr>
  </w:style>
  <w:style w:type="character" w:styleId="11">
    <w:name w:val="Hyperlink"/>
    <w:basedOn w:val="6"/>
    <w:autoRedefine/>
    <w:unhideWhenUsed/>
    <w:qFormat/>
    <w:uiPriority w:val="0"/>
    <w:rPr>
      <w:color w:val="0563C1" w:themeColor="hyperlink"/>
      <w:u w:val="single"/>
      <w14:textFill>
        <w14:solidFill>
          <w14:schemeClr w14:val="hlink"/>
        </w14:solidFill>
      </w14:textFill>
    </w:rPr>
  </w:style>
  <w:style w:type="paragraph" w:styleId="12">
    <w:name w:val="toc 2"/>
    <w:basedOn w:val="1"/>
    <w:autoRedefine/>
    <w:qFormat/>
    <w:uiPriority w:val="1"/>
    <w:pPr>
      <w:widowControl w:val="0"/>
      <w:autoSpaceDE w:val="0"/>
      <w:autoSpaceDN w:val="0"/>
      <w:spacing w:before="101" w:after="0" w:line="240" w:lineRule="auto"/>
      <w:ind w:left="501"/>
    </w:pPr>
    <w:rPr>
      <w:rFonts w:ascii="Times New Roman" w:hAnsi="Times New Roman" w:eastAsia="Times New Roman" w:cs="Times New Roman"/>
      <w:i/>
      <w:iCs/>
      <w:sz w:val="24"/>
      <w:szCs w:val="24"/>
    </w:rPr>
  </w:style>
  <w:style w:type="paragraph" w:styleId="13">
    <w:name w:val="Body Text"/>
    <w:basedOn w:val="1"/>
    <w:autoRedefine/>
    <w:qFormat/>
    <w:uiPriority w:val="1"/>
    <w:rPr>
      <w:rFonts w:ascii="Times New Roman" w:hAnsi="Times New Roman" w:eastAsia="Times New Roman" w:cs="Times New Roman"/>
      <w:sz w:val="24"/>
      <w:szCs w:val="24"/>
      <w:lang w:val="pt-PT"/>
    </w:rPr>
  </w:style>
  <w:style w:type="paragraph" w:styleId="14">
    <w:name w:val="annotation text"/>
    <w:basedOn w:val="1"/>
    <w:unhideWhenUsed/>
    <w:qFormat/>
    <w:uiPriority w:val="0"/>
  </w:style>
  <w:style w:type="paragraph" w:styleId="15">
    <w:name w:val="Normal (Web)"/>
    <w:basedOn w:val="1"/>
    <w:qFormat/>
    <w:uiPriority w:val="0"/>
    <w:pPr>
      <w:spacing w:beforeAutospacing="1" w:afterAutospacing="1"/>
    </w:pPr>
    <w:rPr>
      <w:rFonts w:ascii="Times New Roman" w:hAnsi="Times New Roman" w:eastAsia="SimSun" w:cs="Times New Roman"/>
      <w:szCs w:val="24"/>
      <w:lang w:val="en-US" w:eastAsia="zh-CN"/>
    </w:rPr>
  </w:style>
  <w:style w:type="paragraph" w:styleId="16">
    <w:name w:val="header"/>
    <w:basedOn w:val="1"/>
    <w:link w:val="23"/>
    <w:autoRedefine/>
    <w:unhideWhenUsed/>
    <w:qFormat/>
    <w:uiPriority w:val="99"/>
    <w:pPr>
      <w:tabs>
        <w:tab w:val="center" w:pos="4252"/>
        <w:tab w:val="right" w:pos="8504"/>
      </w:tabs>
      <w:spacing w:after="0" w:line="240" w:lineRule="auto"/>
    </w:pPr>
  </w:style>
  <w:style w:type="paragraph" w:styleId="17">
    <w:name w:val="footer"/>
    <w:basedOn w:val="1"/>
    <w:autoRedefine/>
    <w:unhideWhenUsed/>
    <w:qFormat/>
    <w:uiPriority w:val="0"/>
    <w:pPr>
      <w:tabs>
        <w:tab w:val="center" w:pos="4252"/>
        <w:tab w:val="right" w:pos="8504"/>
      </w:tabs>
    </w:pPr>
  </w:style>
  <w:style w:type="paragraph" w:styleId="18">
    <w:name w:val="toc 3"/>
    <w:basedOn w:val="1"/>
    <w:qFormat/>
    <w:uiPriority w:val="1"/>
    <w:pPr>
      <w:widowControl w:val="0"/>
      <w:autoSpaceDE w:val="0"/>
      <w:autoSpaceDN w:val="0"/>
      <w:spacing w:before="99" w:after="0" w:line="240" w:lineRule="auto"/>
      <w:ind w:left="720"/>
    </w:pPr>
    <w:rPr>
      <w:rFonts w:ascii="Times New Roman" w:hAnsi="Times New Roman" w:eastAsia="Times New Roman" w:cs="Times New Roman"/>
      <w:sz w:val="24"/>
      <w:szCs w:val="24"/>
    </w:rPr>
  </w:style>
  <w:style w:type="paragraph" w:styleId="19">
    <w:name w:val="toc 1"/>
    <w:basedOn w:val="1"/>
    <w:autoRedefine/>
    <w:qFormat/>
    <w:uiPriority w:val="1"/>
    <w:pPr>
      <w:spacing w:before="101"/>
      <w:ind w:left="501"/>
    </w:pPr>
    <w:rPr>
      <w:rFonts w:ascii="Times New Roman" w:hAnsi="Times New Roman" w:eastAsia="Times New Roman" w:cs="Times New Roman"/>
      <w:sz w:val="24"/>
      <w:szCs w:val="24"/>
      <w:lang w:val="pt-PT"/>
    </w:rPr>
  </w:style>
  <w:style w:type="table" w:styleId="20">
    <w:name w:val="Table Grid"/>
    <w:basedOn w:val="7"/>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21">
    <w:name w:val="Título 2 Char"/>
    <w:basedOn w:val="6"/>
    <w:link w:val="3"/>
    <w:autoRedefine/>
    <w:semiHidden/>
    <w:qFormat/>
    <w:uiPriority w:val="9"/>
    <w:rPr>
      <w:rFonts w:asciiTheme="majorHAnsi" w:hAnsiTheme="majorHAnsi" w:eastAsiaTheme="majorEastAsia" w:cstheme="majorBidi"/>
      <w:color w:val="2F5597" w:themeColor="accent1" w:themeShade="BF"/>
      <w:kern w:val="0"/>
      <w:sz w:val="26"/>
      <w:szCs w:val="26"/>
      <w14:ligatures w14:val="none"/>
    </w:rPr>
  </w:style>
  <w:style w:type="character" w:customStyle="1" w:styleId="22">
    <w:name w:val="Título 3 Char"/>
    <w:basedOn w:val="6"/>
    <w:link w:val="4"/>
    <w:autoRedefine/>
    <w:semiHidden/>
    <w:qFormat/>
    <w:uiPriority w:val="9"/>
    <w:rPr>
      <w:rFonts w:asciiTheme="majorHAnsi" w:hAnsiTheme="majorHAnsi" w:eastAsiaTheme="majorEastAsia" w:cstheme="majorBidi"/>
      <w:color w:val="203864" w:themeColor="accent1" w:themeShade="80"/>
      <w:kern w:val="0"/>
      <w:sz w:val="24"/>
      <w:szCs w:val="24"/>
      <w14:ligatures w14:val="none"/>
    </w:rPr>
  </w:style>
  <w:style w:type="character" w:customStyle="1" w:styleId="23">
    <w:name w:val="Cabeçalho Char"/>
    <w:basedOn w:val="6"/>
    <w:link w:val="16"/>
    <w:autoRedefine/>
    <w:qFormat/>
    <w:uiPriority w:val="99"/>
    <w:rPr>
      <w:kern w:val="0"/>
      <w14:ligatures w14:val="none"/>
    </w:rPr>
  </w:style>
  <w:style w:type="character" w:customStyle="1" w:styleId="24">
    <w:name w:val="markedcontent"/>
    <w:basedOn w:val="6"/>
    <w:autoRedefine/>
    <w:qFormat/>
    <w:uiPriority w:val="0"/>
  </w:style>
  <w:style w:type="character" w:customStyle="1" w:styleId="25">
    <w:name w:val="Menção Pendente1"/>
    <w:basedOn w:val="6"/>
    <w:autoRedefine/>
    <w:semiHidden/>
    <w:unhideWhenUsed/>
    <w:qFormat/>
    <w:uiPriority w:val="99"/>
    <w:rPr>
      <w:color w:val="605E5C"/>
      <w:shd w:val="clear" w:color="auto" w:fill="E1DFDD"/>
    </w:rPr>
  </w:style>
  <w:style w:type="paragraph" w:styleId="26">
    <w:name w:val="List Paragraph"/>
    <w:basedOn w:val="1"/>
    <w:autoRedefine/>
    <w:qFormat/>
    <w:uiPriority w:val="1"/>
    <w:pPr>
      <w:tabs>
        <w:tab w:val="left" w:pos="4157"/>
      </w:tabs>
      <w:spacing w:before="120" w:after="120" w:afterLines="50" w:line="240" w:lineRule="auto"/>
      <w:ind w:right="-42"/>
      <w:jc w:val="both"/>
    </w:pPr>
  </w:style>
  <w:style w:type="character" w:customStyle="1" w:styleId="27">
    <w:name w:val="font11"/>
    <w:autoRedefine/>
    <w:qFormat/>
    <w:uiPriority w:val="0"/>
    <w:rPr>
      <w:rFonts w:hint="default" w:ascii="Arial" w:hAnsi="Arial" w:cs="Arial"/>
      <w:color w:val="000000"/>
      <w:u w:val="none"/>
    </w:rPr>
  </w:style>
  <w:style w:type="character" w:customStyle="1" w:styleId="28">
    <w:name w:val="font21"/>
    <w:qFormat/>
    <w:uiPriority w:val="0"/>
    <w:rPr>
      <w:rFonts w:hint="default" w:ascii="Arial" w:hAnsi="Arial" w:cs="Arial"/>
      <w:color w:val="000000"/>
      <w:u w:val="none"/>
    </w:rPr>
  </w:style>
  <w:style w:type="paragraph" w:customStyle="1" w:styleId="29">
    <w:name w:val="Table Paragraph"/>
    <w:basedOn w:val="1"/>
    <w:autoRedefine/>
    <w:qFormat/>
    <w:uiPriority w:val="1"/>
    <w:rPr>
      <w:rFonts w:ascii="Times New Roman" w:hAnsi="Times New Roman" w:eastAsia="Times New Roman" w:cs="Times New Roman"/>
      <w:lang w:val="pt-PT"/>
    </w:rPr>
  </w:style>
  <w:style w:type="table" w:customStyle="1" w:styleId="30">
    <w:name w:val="Table Normal"/>
    <w:autoRedefine/>
    <w:semiHidden/>
    <w:unhideWhenUsed/>
    <w:qFormat/>
    <w:uiPriority w:val="2"/>
    <w:tblPr>
      <w:tblCellMar>
        <w:top w:w="0" w:type="dxa"/>
        <w:left w:w="0" w:type="dxa"/>
        <w:bottom w:w="0" w:type="dxa"/>
        <w:right w:w="0" w:type="dxa"/>
      </w:tblCellMar>
    </w:tblPr>
  </w:style>
  <w:style w:type="character" w:customStyle="1" w:styleId="31">
    <w:name w:val="font31"/>
    <w:unhideWhenUsed/>
    <w:qFormat/>
    <w:uiPriority w:val="0"/>
    <w:rPr>
      <w:rFonts w:ascii="Arial"/>
      <w:b/>
      <w:color w:val="000000"/>
      <w:sz w:val="24"/>
    </w:rPr>
  </w:style>
  <w:style w:type="table" w:customStyle="1" w:styleId="32">
    <w:name w:val="_Style 541"/>
    <w:basedOn w:val="30"/>
    <w:qFormat/>
    <w:uiPriority w:val="0"/>
    <w:pPr>
      <w:spacing w:after="200" w:line="276" w:lineRule="auto"/>
      <w:ind w:hanging="1"/>
    </w:pPr>
    <w:rPr>
      <w:rFonts w:ascii="Libre Franklin" w:hAnsi="Libre Franklin" w:eastAsia="Libre Franklin" w:cs="Libre Franklin"/>
      <w:sz w:val="22"/>
      <w:szCs w:val="22"/>
    </w:rPr>
    <w:tblPr>
      <w:tblCellMar>
        <w:left w:w="108" w:type="dxa"/>
        <w:right w:w="108" w:type="dxa"/>
      </w:tblCellMar>
    </w:tblPr>
  </w:style>
  <w:style w:type="table" w:customStyle="1" w:styleId="33">
    <w:name w:val="_Style 542"/>
    <w:basedOn w:val="30"/>
    <w:qFormat/>
    <w:uiPriority w:val="0"/>
    <w:pPr>
      <w:spacing w:after="200" w:line="276" w:lineRule="auto"/>
      <w:ind w:hanging="1"/>
    </w:pPr>
    <w:rPr>
      <w:sz w:val="22"/>
      <w:szCs w:val="22"/>
    </w:rPr>
    <w:tblPr>
      <w:tblCellMar>
        <w:left w:w="21" w:type="dxa"/>
        <w:right w:w="65" w:type="dxa"/>
      </w:tblCellMar>
    </w:tblPr>
  </w:style>
  <w:style w:type="table" w:customStyle="1" w:styleId="34">
    <w:name w:val="_Style 543"/>
    <w:basedOn w:val="30"/>
    <w:qFormat/>
    <w:uiPriority w:val="0"/>
    <w:pPr>
      <w:spacing w:after="200" w:line="276" w:lineRule="auto"/>
      <w:ind w:hanging="1"/>
    </w:pPr>
    <w:rPr>
      <w:sz w:val="22"/>
      <w:szCs w:val="22"/>
    </w:rPr>
    <w:tblPr>
      <w:tblCellMar>
        <w:top w:w="4" w:type="dxa"/>
        <w:left w:w="21" w:type="dxa"/>
        <w:right w:w="65" w:type="dxa"/>
      </w:tblCellMar>
    </w:tblPr>
  </w:style>
  <w:style w:type="table" w:customStyle="1" w:styleId="35">
    <w:name w:val="_Style 544"/>
    <w:basedOn w:val="30"/>
    <w:qFormat/>
    <w:uiPriority w:val="0"/>
    <w:pPr>
      <w:spacing w:after="200" w:line="276" w:lineRule="auto"/>
      <w:ind w:hanging="1"/>
    </w:pPr>
    <w:rPr>
      <w:sz w:val="22"/>
      <w:szCs w:val="22"/>
    </w:rPr>
    <w:tblPr>
      <w:tblCellMar>
        <w:left w:w="21" w:type="dxa"/>
        <w:right w:w="65" w:type="dxa"/>
      </w:tblCellMar>
    </w:tblPr>
  </w:style>
  <w:style w:type="table" w:customStyle="1" w:styleId="36">
    <w:name w:val="_Style 545"/>
    <w:basedOn w:val="30"/>
    <w:qFormat/>
    <w:uiPriority w:val="0"/>
    <w:pPr>
      <w:spacing w:after="200" w:line="276" w:lineRule="auto"/>
      <w:ind w:hanging="1"/>
    </w:pPr>
    <w:rPr>
      <w:sz w:val="22"/>
      <w:szCs w:val="22"/>
    </w:rPr>
    <w:tblPr>
      <w:tblCellMar>
        <w:top w:w="4" w:type="dxa"/>
        <w:left w:w="21" w:type="dxa"/>
        <w:right w:w="65" w:type="dxa"/>
      </w:tblCellMar>
    </w:tblPr>
  </w:style>
  <w:style w:type="table" w:customStyle="1" w:styleId="37">
    <w:name w:val="_Style 546"/>
    <w:basedOn w:val="30"/>
    <w:qFormat/>
    <w:uiPriority w:val="0"/>
    <w:pPr>
      <w:spacing w:after="200" w:line="276" w:lineRule="auto"/>
      <w:ind w:hanging="1"/>
    </w:pPr>
    <w:rPr>
      <w:sz w:val="22"/>
      <w:szCs w:val="22"/>
    </w:rPr>
    <w:tblPr>
      <w:tblCellMar>
        <w:top w:w="4" w:type="dxa"/>
        <w:left w:w="21" w:type="dxa"/>
        <w:right w:w="65" w:type="dxa"/>
      </w:tblCellMar>
    </w:tblPr>
  </w:style>
  <w:style w:type="paragraph" w:customStyle="1" w:styleId="38">
    <w:name w:val="msolistparagraph"/>
    <w:qFormat/>
    <w:uiPriority w:val="0"/>
    <w:pPr>
      <w:ind w:left="700"/>
    </w:pPr>
    <w:rPr>
      <w:rFonts w:ascii="Calibri" w:hAnsi="Calibri" w:eastAsia="SimSun" w:cs="Times New Roman"/>
      <w:lang w:val="en-US" w:eastAsia="zh-CN" w:bidi="ar-SA"/>
    </w:rPr>
  </w:style>
  <w:style w:type="character" w:customStyle="1" w:styleId="39">
    <w:name w:val="apple-converted-space"/>
    <w:basedOn w:val="6"/>
    <w:autoRedefine/>
    <w:qFormat/>
    <w:uiPriority w:val="0"/>
  </w:style>
  <w:style w:type="paragraph" w:customStyle="1" w:styleId="40">
    <w:name w:val="Nivel 2"/>
    <w:basedOn w:val="1"/>
    <w:autoRedefine/>
    <w:qFormat/>
    <w:uiPriority w:val="0"/>
    <w:pPr>
      <w:widowControl w:val="0"/>
      <w:numPr>
        <w:ilvl w:val="1"/>
        <w:numId w:val="1"/>
      </w:numPr>
      <w:autoSpaceDE w:val="0"/>
      <w:autoSpaceDN w:val="0"/>
      <w:spacing w:before="120" w:after="120" w:line="276" w:lineRule="auto"/>
      <w:ind w:left="0" w:firstLine="0"/>
      <w:jc w:val="both"/>
    </w:pPr>
    <w:rPr>
      <w:rFonts w:ascii="Arial" w:hAnsi="Arial" w:eastAsia="Times New Roman" w:cs="Arial"/>
      <w:color w:val="000000"/>
      <w:sz w:val="20"/>
      <w:szCs w:val="20"/>
    </w:rPr>
  </w:style>
  <w:style w:type="paragraph" w:customStyle="1" w:styleId="41">
    <w:name w:val="Nível 1-Sem Num Preto"/>
    <w:basedOn w:val="42"/>
    <w:autoRedefine/>
    <w:qFormat/>
    <w:uiPriority w:val="0"/>
    <w:pPr>
      <w:tabs>
        <w:tab w:val="left" w:pos="567"/>
      </w:tabs>
    </w:pPr>
    <w:rPr>
      <w:color w:val="auto"/>
      <w:lang w:eastAsia="zh-CN" w:bidi="hi-IN"/>
    </w:rPr>
  </w:style>
  <w:style w:type="paragraph" w:customStyle="1" w:styleId="42">
    <w:name w:val="Nível 1-Sem Num"/>
    <w:basedOn w:val="43"/>
    <w:qFormat/>
    <w:uiPriority w:val="0"/>
    <w:pPr>
      <w:numPr>
        <w:numId w:val="0"/>
      </w:numPr>
      <w:tabs>
        <w:tab w:val="left" w:pos="567"/>
      </w:tabs>
      <w:outlineLvl w:val="1"/>
    </w:pPr>
    <w:rPr>
      <w:color w:val="FF0000"/>
    </w:rPr>
  </w:style>
  <w:style w:type="paragraph" w:customStyle="1" w:styleId="43">
    <w:name w:val="Nivel 01"/>
    <w:basedOn w:val="2"/>
    <w:next w:val="1"/>
    <w:qFormat/>
    <w:uiPriority w:val="0"/>
    <w:pPr>
      <w:widowControl w:val="0"/>
      <w:numPr>
        <w:ilvl w:val="0"/>
        <w:numId w:val="1"/>
      </w:numPr>
      <w:tabs>
        <w:tab w:val="left" w:pos="567"/>
      </w:tabs>
      <w:autoSpaceDE w:val="0"/>
      <w:autoSpaceDN w:val="0"/>
      <w:spacing w:before="288" w:beforeLines="120" w:after="288" w:afterLines="120" w:line="312" w:lineRule="auto"/>
      <w:jc w:val="both"/>
    </w:pPr>
    <w:rPr>
      <w:rFonts w:ascii="Arial" w:hAnsi="Arial" w:cs="Arial"/>
      <w:sz w:val="20"/>
      <w:szCs w:val="20"/>
      <w:lang w:val="pt-BR"/>
    </w:rPr>
  </w:style>
  <w:style w:type="paragraph" w:customStyle="1" w:styleId="44">
    <w:name w:val="Nivel 3"/>
    <w:basedOn w:val="1"/>
    <w:autoRedefine/>
    <w:qFormat/>
    <w:uiPriority w:val="0"/>
    <w:pPr>
      <w:widowControl w:val="0"/>
      <w:numPr>
        <w:ilvl w:val="2"/>
        <w:numId w:val="1"/>
      </w:numPr>
      <w:autoSpaceDE w:val="0"/>
      <w:autoSpaceDN w:val="0"/>
      <w:spacing w:before="120" w:after="120" w:line="276" w:lineRule="auto"/>
      <w:ind w:left="284" w:firstLine="0"/>
      <w:jc w:val="both"/>
    </w:pPr>
    <w:rPr>
      <w:rFonts w:ascii="Arial" w:hAnsi="Arial" w:eastAsia="Times New Roman" w:cs="Arial"/>
      <w:color w:val="000000"/>
      <w:sz w:val="20"/>
      <w:szCs w:val="20"/>
    </w:rPr>
  </w:style>
  <w:style w:type="character" w:customStyle="1" w:styleId="45">
    <w:name w:val="font41"/>
    <w:qFormat/>
    <w:uiPriority w:val="0"/>
    <w:rPr>
      <w:rFonts w:hint="default" w:ascii="Arial" w:hAnsi="Arial" w:cs="Arial"/>
      <w:b/>
      <w:bCs/>
      <w:color w:val="000000"/>
      <w:u w:val="none"/>
    </w:rPr>
  </w:style>
  <w:style w:type="paragraph" w:customStyle="1" w:styleId="46">
    <w:name w:val="Default"/>
    <w:qFormat/>
    <w:uiPriority w:val="0"/>
    <w:pPr>
      <w:widowControl w:val="0"/>
      <w:numPr>
        <w:ilvl w:val="0"/>
        <w:numId w:val="2"/>
      </w:numPr>
      <w:autoSpaceDE w:val="0"/>
      <w:autoSpaceDN w:val="0"/>
      <w:adjustRightInd w:val="0"/>
      <w:spacing w:line="360" w:lineRule="atLeast"/>
      <w:ind w:left="0"/>
      <w:jc w:val="both"/>
      <w:textAlignment w:val="baseline"/>
    </w:pPr>
    <w:rPr>
      <w:rFonts w:ascii="TimesNewRoman,Bold" w:hAnsi="TimesNewRoman,Bold" w:eastAsia="Times New Roman" w:cs="Times New Roman"/>
      <w:lang w:val="pt-BR" w:eastAsia="pt-BR" w:bidi="ar-SA"/>
    </w:rPr>
  </w:style>
  <w:style w:type="paragraph" w:customStyle="1" w:styleId="47">
    <w:name w:val="_A010165"/>
    <w:qFormat/>
    <w:uiPriority w:val="0"/>
    <w:pPr>
      <w:tabs>
        <w:tab w:val="left" w:pos="584"/>
        <w:tab w:val="left" w:pos="6560"/>
        <w:tab w:val="left" w:pos="7133"/>
      </w:tabs>
      <w:suppressAutoHyphens/>
      <w:jc w:val="both"/>
    </w:pPr>
    <w:rPr>
      <w:rFonts w:ascii="Arial" w:hAnsi="Arial" w:eastAsia="Times New Roman" w:cs="Times New Roman"/>
      <w:color w:val="000000"/>
      <w:sz w:val="22"/>
      <w:lang w:val="pt-BR" w:eastAsia="ar-SA" w:bidi="ar-SA"/>
    </w:rPr>
  </w:style>
  <w:style w:type="character" w:customStyle="1" w:styleId="48">
    <w:name w:val="Título 1 Char"/>
    <w:basedOn w:val="6"/>
    <w:link w:val="2"/>
    <w:qFormat/>
    <w:uiPriority w:val="1"/>
    <w:rPr>
      <w:rFonts w:eastAsia="Times New Roman"/>
      <w:b/>
      <w:bCs/>
      <w:sz w:val="24"/>
      <w:szCs w:val="24"/>
      <w:lang w:val="pt-PT" w:eastAsia="en-US"/>
    </w:rPr>
  </w:style>
  <w:style w:type="paragraph" w:customStyle="1" w:styleId="49">
    <w:name w:val="whitespace-normal"/>
    <w:basedOn w:val="1"/>
    <w:qFormat/>
    <w:uiPriority w:val="0"/>
    <w:pPr>
      <w:spacing w:before="100" w:beforeAutospacing="1" w:after="100" w:afterAutospacing="1" w:line="240" w:lineRule="auto"/>
    </w:pPr>
    <w:rPr>
      <w:rFonts w:ascii="Times New Roman" w:hAnsi="Times New Roman" w:eastAsia="Times New Roman" w:cs="Times New Roman"/>
      <w:sz w:val="24"/>
      <w:szCs w:val="24"/>
      <w:lang w:eastAsia="pt-BR"/>
    </w:rPr>
  </w:style>
</w:styles>
</file>

<file path=word/_rels/document.xml.rels><?xml version="1.0" encoding="UTF-8" standalone="yes"?>
<Relationships xmlns="http://schemas.openxmlformats.org/package/2006/relationships"><Relationship Id="rId9" Type="http://schemas.openxmlformats.org/officeDocument/2006/relationships/footer" Target="footer2.xml"/><Relationship Id="rId8" Type="http://schemas.openxmlformats.org/officeDocument/2006/relationships/footer" Target="footer1.xml"/><Relationship Id="rId7" Type="http://schemas.openxmlformats.org/officeDocument/2006/relationships/header" Target="head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3.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11E135E-99FE-4A32-B425-D92575A3A249}">
  <ds:schemaRefs/>
</ds:datastoreItem>
</file>

<file path=docProps/app.xml><?xml version="1.0" encoding="utf-8"?>
<Properties xmlns="http://schemas.openxmlformats.org/officeDocument/2006/extended-properties" xmlns:vt="http://schemas.openxmlformats.org/officeDocument/2006/docPropsVTypes">
  <Template>Normal</Template>
  <Pages>77</Pages>
  <Words>28285</Words>
  <Characters>152739</Characters>
  <Lines>1272</Lines>
  <Paragraphs>361</Paragraphs>
  <TotalTime>26</TotalTime>
  <ScaleCrop>false</ScaleCrop>
  <LinksUpToDate>false</LinksUpToDate>
  <CharactersWithSpaces>180663</CharactersWithSpaces>
  <Application>WPS Office_12.2.0.23131_F1E327BC-269C-435d-A152-05C5408002CA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2023-08-29T12:29:00Z</dcterms:created>
  <dc:creator>usuario</dc:creator>
  <cp:lastModifiedBy>LEONIR BAZZI DE MORAIS</cp:lastModifiedBy>
  <cp:lastPrinted>2025-11-10T17:55:41Z</cp:lastPrinted>
  <dcterms:modified xsi:type="dcterms:W3CDTF">2025-11-10T17:59:09Z</dcterms:modified>
  <cp:revision>12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1046-12.2.0.23131</vt:lpwstr>
  </property>
  <property fmtid="{D5CDD505-2E9C-101B-9397-08002B2CF9AE}" pid="3" name="ICV">
    <vt:lpwstr>09245BCBF5C94F7FAB4F4EF8D7501464_13</vt:lpwstr>
  </property>
</Properties>
</file>