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5915F">
      <w:pPr>
        <w:tabs>
          <w:tab w:val="left" w:pos="284"/>
        </w:tabs>
        <w:spacing w:line="276" w:lineRule="auto"/>
        <w:ind w:left="0" w:leftChars="0" w:firstLine="0" w:firstLineChars="0"/>
        <w:rPr>
          <w:b/>
          <w:sz w:val="24"/>
          <w:szCs w:val="24"/>
        </w:rPr>
      </w:pP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8"/>
      </w:tblGrid>
      <w:tr w14:paraId="2EAFA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62" w:type="dxa"/>
            <w:shd w:val="clear" w:color="auto" w:fill="D8D8D8" w:themeFill="background1" w:themeFillShade="D9"/>
          </w:tcPr>
          <w:p w14:paraId="24E5C8AE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hint="default" w:ascii="Arial" w:hAnsi="Arial" w:cs="Arial"/>
                <w:b/>
                <w:spacing w:val="-4"/>
                <w:kern w:val="2"/>
                <w:sz w:val="24"/>
                <w:szCs w:val="24"/>
              </w:rPr>
              <w:t xml:space="preserve"> </w:t>
            </w:r>
            <w:r>
              <w:rPr>
                <w:rFonts w:hint="default" w:ascii="Arial" w:hAnsi="Arial" w:cs="Arial"/>
                <w:b/>
                <w:bCs/>
                <w:kern w:val="2"/>
                <w:sz w:val="24"/>
                <w:szCs w:val="24"/>
                <w:lang w:val="pt-BR"/>
              </w:rPr>
              <w:t>GERENCIAMENTO DE RISCOS</w:t>
            </w:r>
            <w:r>
              <w:rPr>
                <w:rFonts w:hint="default" w:ascii="Arial" w:hAnsi="Arial" w:cs="Arial"/>
                <w:b/>
                <w:kern w:val="2"/>
                <w:sz w:val="24"/>
                <w:szCs w:val="24"/>
                <w:lang w:val="pt-BR"/>
              </w:rPr>
              <w:t>:</w:t>
            </w:r>
          </w:p>
        </w:tc>
      </w:tr>
    </w:tbl>
    <w:p w14:paraId="39902905">
      <w:pPr>
        <w:keepNext w:val="0"/>
        <w:keepLines w:val="0"/>
        <w:pageBreakBefore w:val="0"/>
        <w:widowControl/>
        <w:numPr>
          <w:ilvl w:val="1"/>
          <w:numId w:val="1"/>
        </w:numPr>
        <w:shd w:val="clear" w:fill="FFFFFF" w:themeFill="background1"/>
        <w:tabs>
          <w:tab w:val="left" w:pos="94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100" w:after="10" w:line="360" w:lineRule="auto"/>
        <w:ind w:left="0" w:leftChars="0" w:right="192" w:rightChars="80" w:firstLine="0" w:firstLineChars="0"/>
        <w:jc w:val="both"/>
        <w:textAlignment w:val="auto"/>
        <w:rPr>
          <w:rFonts w:hint="default" w:ascii="Arial" w:hAnsi="Arial" w:cs="Arial"/>
          <w:color w:val="auto"/>
          <w:sz w:val="22"/>
          <w:szCs w:val="22"/>
          <w:highlight w:val="none"/>
          <w:shd w:val="clear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O</w:t>
      </w:r>
      <w:r>
        <w:rPr>
          <w:rFonts w:hint="default" w:ascii="Arial" w:hAnsi="Arial" w:cs="Arial"/>
          <w:sz w:val="22"/>
          <w:szCs w:val="22"/>
        </w:rPr>
        <w:t xml:space="preserve"> presente</w:t>
      </w:r>
      <w:r>
        <w:rPr>
          <w:rFonts w:hint="default" w:ascii="Arial" w:hAnsi="Arial" w:cs="Arial"/>
          <w:sz w:val="22"/>
          <w:szCs w:val="22"/>
          <w:lang w:val="pt-BR"/>
        </w:rPr>
        <w:t xml:space="preserve"> documento visa </w:t>
      </w:r>
      <w:r>
        <w:rPr>
          <w:rFonts w:hint="default" w:ascii="Arial" w:hAnsi="Arial" w:cs="Arial"/>
          <w:sz w:val="22"/>
          <w:szCs w:val="22"/>
        </w:rPr>
        <w:t xml:space="preserve">consolidar </w:t>
      </w:r>
      <w:r>
        <w:rPr>
          <w:rFonts w:hint="default" w:ascii="Arial" w:hAnsi="Arial" w:cs="Arial"/>
          <w:sz w:val="22"/>
          <w:szCs w:val="22"/>
          <w:lang w:val="pt-BR"/>
        </w:rPr>
        <w:t xml:space="preserve">as </w:t>
      </w:r>
      <w:r>
        <w:rPr>
          <w:rFonts w:hint="default" w:ascii="Arial" w:hAnsi="Arial" w:cs="Arial"/>
          <w:sz w:val="22"/>
          <w:szCs w:val="22"/>
        </w:rPr>
        <w:t xml:space="preserve">informações e documentos necessários </w:t>
      </w:r>
      <w:r>
        <w:rPr>
          <w:rFonts w:hint="default" w:ascii="Arial" w:hAnsi="Arial" w:cs="Arial"/>
          <w:b w:val="0"/>
          <w:bCs/>
          <w:sz w:val="22"/>
          <w:szCs w:val="22"/>
        </w:rPr>
        <w:t xml:space="preserve">para </w:t>
      </w: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 xml:space="preserve">o processo licitatório que tem por objeto </w:t>
      </w:r>
      <w:r>
        <w:rPr>
          <w:rFonts w:hint="default" w:ascii="Arial" w:hAnsi="Arial" w:cs="Arial"/>
          <w:sz w:val="22"/>
          <w:szCs w:val="22"/>
          <w:lang w:val="pt-BR"/>
        </w:rPr>
        <w:t>“</w:t>
      </w:r>
      <w:r>
        <w:rPr>
          <w:rFonts w:hint="default" w:ascii="Arial" w:hAnsi="Arial" w:cs="Arial"/>
          <w:b/>
          <w:bCs/>
          <w:sz w:val="22"/>
          <w:szCs w:val="22"/>
          <w:highlight w:val="none"/>
        </w:rPr>
        <w:t xml:space="preserve">CONTRATAÇÃO DE EMPRESA ESPECIALIZADA PARA O FORNECIMENTO DE ALIMENTAÇÃO ESCOLAR, EXECUTADO ATRAVÉS DE SERVIÇOS CONTÍNUOS, INCLUINDO O PRÉ-PREPARO E PREPARO DA ALIMENTAÇÃO, COM O FORNECIMENTO DE TODOS OS GÊNEROS ALIMENTÍCIOS E DEMAIS INSUMOS, PREPARAÇÃO NOS LOCAIS DE CONSUMO, LOGÍSTICA, SUPERVISÃO, PRESTAÇÃO DE SERVIÇOS DE MANUTENÇÃO PREVENTIVA E CORRETIVA DAS ESTRUTURAS FÍSICAS, EQUIPAMENTOS E UTENSÍLIOS UTILIZADOS, PARA ATENDER </w:t>
      </w:r>
      <w:r>
        <w:rPr>
          <w:rFonts w:hint="default" w:ascii="Arial" w:hAnsi="Arial" w:cs="Arial"/>
          <w:b/>
          <w:bCs/>
          <w:sz w:val="22"/>
          <w:szCs w:val="22"/>
          <w:highlight w:val="none"/>
          <w:lang w:val="pt-BR"/>
        </w:rPr>
        <w:t>OS ALUNOS</w:t>
      </w:r>
      <w:r>
        <w:rPr>
          <w:rFonts w:hint="default" w:ascii="Arial" w:hAnsi="Arial" w:cs="Arial"/>
          <w:b/>
          <w:bCs/>
          <w:sz w:val="22"/>
          <w:szCs w:val="22"/>
          <w:highlight w:val="none"/>
        </w:rPr>
        <w:t xml:space="preserve"> </w:t>
      </w:r>
      <w:r>
        <w:rPr>
          <w:rFonts w:hint="default" w:ascii="Arial" w:hAnsi="Arial" w:cs="Arial"/>
          <w:b/>
          <w:bCs/>
          <w:sz w:val="22"/>
          <w:szCs w:val="22"/>
          <w:highlight w:val="none"/>
          <w:lang w:val="pt-BR"/>
        </w:rPr>
        <w:t xml:space="preserve">DAS </w:t>
      </w:r>
      <w:r>
        <w:rPr>
          <w:rFonts w:hint="default" w:ascii="Arial" w:hAnsi="Arial" w:cs="Arial"/>
          <w:b/>
          <w:bCs/>
          <w:sz w:val="22"/>
          <w:szCs w:val="22"/>
          <w:highlight w:val="none"/>
        </w:rPr>
        <w:t>UNIDADES</w:t>
      </w:r>
      <w:r>
        <w:rPr>
          <w:rFonts w:hint="default" w:ascii="Arial" w:hAnsi="Arial" w:cs="Arial"/>
          <w:b/>
          <w:bCs/>
          <w:sz w:val="22"/>
          <w:szCs w:val="22"/>
          <w:highlight w:val="none"/>
          <w:lang w:val="pt-BR"/>
        </w:rPr>
        <w:t xml:space="preserve"> EDUCATIVAS</w:t>
      </w:r>
      <w:r>
        <w:rPr>
          <w:rFonts w:hint="default" w:ascii="Arial" w:hAnsi="Arial" w:cs="Arial"/>
          <w:b/>
          <w:bCs/>
          <w:sz w:val="22"/>
          <w:szCs w:val="22"/>
          <w:highlight w:val="none"/>
        </w:rPr>
        <w:t xml:space="preserve"> DA PREFEITURA MUNICIPAL DE SINOP/MT</w:t>
      </w:r>
      <w:r>
        <w:rPr>
          <w:rFonts w:hint="default" w:ascii="Arial" w:hAnsi="Arial" w:cs="Arial"/>
          <w:b/>
          <w:bCs/>
          <w:sz w:val="22"/>
          <w:szCs w:val="22"/>
          <w:highlight w:val="none"/>
          <w:lang w:val="pt-BR"/>
        </w:rPr>
        <w:t>,</w:t>
      </w:r>
      <w:r>
        <w:rPr>
          <w:rFonts w:hint="default" w:ascii="Arial" w:hAnsi="Arial" w:cs="Arial"/>
          <w:b/>
          <w:bCs/>
          <w:sz w:val="22"/>
          <w:szCs w:val="22"/>
          <w:highlight w:val="none"/>
        </w:rPr>
        <w:t xml:space="preserve"> SOB GESTÃO DO SETOR DE ALIMENTAÇÃO ESCOLAR</w:t>
      </w:r>
      <w:r>
        <w:rPr>
          <w:rFonts w:hint="default" w:ascii="Arial" w:hAnsi="Arial" w:cs="Arial"/>
          <w:b/>
          <w:bCs/>
          <w:sz w:val="22"/>
          <w:szCs w:val="22"/>
          <w:highlight w:val="none"/>
          <w:lang w:val="pt-BR"/>
        </w:rPr>
        <w:t xml:space="preserve"> DA SECRETARIA MUNICIPAL DE EDUCAÇÃO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 xml:space="preserve">, </w:t>
      </w:r>
      <w:r>
        <w:rPr>
          <w:rStyle w:val="29"/>
          <w:rFonts w:hint="default" w:ascii="Arial" w:hAnsi="Arial" w:cs="Arial"/>
          <w:sz w:val="22"/>
          <w:szCs w:val="22"/>
          <w:lang w:val="pt-BR"/>
        </w:rPr>
        <w:t xml:space="preserve">e sua melhor solução demonstrando a necessidade e sua viabilidade técnica </w:t>
      </w:r>
      <w:r>
        <w:rPr>
          <w:rFonts w:hint="default" w:ascii="Arial" w:hAnsi="Arial" w:eastAsia="Times-Roman" w:cs="Arial"/>
          <w:sz w:val="22"/>
          <w:szCs w:val="22"/>
          <w:lang w:val="pt-BR" w:eastAsia="zh-CN" w:bidi="ar"/>
        </w:rPr>
        <w:t>financeira</w:t>
      </w:r>
      <w:r>
        <w:rPr>
          <w:rStyle w:val="29"/>
          <w:rFonts w:hint="default" w:ascii="Arial" w:hAnsi="Arial" w:cs="Arial"/>
          <w:sz w:val="22"/>
          <w:szCs w:val="22"/>
          <w:lang w:val="pt-BR"/>
        </w:rPr>
        <w:t>, bem como levantar os elementos essenciais</w:t>
      </w:r>
      <w:r>
        <w:rPr>
          <w:rFonts w:hint="default" w:ascii="Arial" w:hAnsi="Arial" w:cs="Arial"/>
          <w:color w:val="auto"/>
          <w:sz w:val="22"/>
          <w:szCs w:val="22"/>
          <w:highlight w:val="none"/>
          <w:shd w:val="clear"/>
        </w:rPr>
        <w:t>. Os Riscos foram classificados</w:t>
      </w:r>
      <w:r>
        <w:rPr>
          <w:rFonts w:hint="default" w:ascii="Arial" w:hAnsi="Arial" w:cs="Arial"/>
          <w:color w:val="auto"/>
          <w:sz w:val="22"/>
          <w:szCs w:val="22"/>
          <w:highlight w:val="none"/>
          <w:shd w:val="clear"/>
          <w:lang w:val="pt-BR"/>
        </w:rPr>
        <w:t xml:space="preserve"> em Probabilidade</w:t>
      </w:r>
      <w:r>
        <w:rPr>
          <w:rFonts w:hint="default" w:ascii="Arial" w:hAnsi="Arial" w:cs="Arial"/>
          <w:color w:val="auto"/>
          <w:sz w:val="22"/>
          <w:szCs w:val="22"/>
          <w:highlight w:val="none"/>
          <w:shd w:val="clear"/>
        </w:rPr>
        <w:t xml:space="preserve">: </w:t>
      </w:r>
      <w:r>
        <w:rPr>
          <w:rFonts w:hint="default" w:ascii="Arial" w:hAnsi="Arial" w:cs="Arial"/>
          <w:color w:val="auto"/>
          <w:sz w:val="22"/>
          <w:szCs w:val="22"/>
          <w:highlight w:val="none"/>
          <w:shd w:val="clear"/>
          <w:lang w:val="pt-BR"/>
        </w:rPr>
        <w:t>Alta, Média e Baixa.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515"/>
      </w:tblGrid>
      <w:tr w14:paraId="7D1EB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584" w:type="dxa"/>
            <w:gridSpan w:val="2"/>
            <w:shd w:val="clear" w:color="auto" w:fill="D7D7D7" w:themeFill="background1" w:themeFillShade="D8"/>
          </w:tcPr>
          <w:p w14:paraId="2A50E9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FASE DE ANÁLISE</w:t>
            </w:r>
          </w:p>
        </w:tc>
      </w:tr>
      <w:tr w14:paraId="1EFEB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9" w:type="dxa"/>
          </w:tcPr>
          <w:p w14:paraId="1D58C8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X</w:t>
            </w:r>
          </w:p>
        </w:tc>
        <w:tc>
          <w:tcPr>
            <w:tcW w:w="8795" w:type="dxa"/>
          </w:tcPr>
          <w:p w14:paraId="71FD5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Planejamento da Contratação e Seleção do Fornecedor</w:t>
            </w:r>
          </w:p>
        </w:tc>
      </w:tr>
      <w:tr w14:paraId="0B146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89" w:type="dxa"/>
          </w:tcPr>
          <w:p w14:paraId="2BCFA0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X</w:t>
            </w:r>
          </w:p>
        </w:tc>
        <w:tc>
          <w:tcPr>
            <w:tcW w:w="8795" w:type="dxa"/>
          </w:tcPr>
          <w:p w14:paraId="574848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Gestão de Contrato</w:t>
            </w:r>
          </w:p>
        </w:tc>
      </w:tr>
    </w:tbl>
    <w:p w14:paraId="6E87194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bCs/>
          <w:color w:val="2E75B6" w:themeColor="accent1" w:themeShade="BF"/>
          <w:sz w:val="22"/>
          <w:szCs w:val="22"/>
          <w:u w:val="single"/>
          <w:lang w:val="pt-BR"/>
        </w:rPr>
      </w:pP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700"/>
        <w:gridCol w:w="751"/>
        <w:gridCol w:w="1397"/>
        <w:gridCol w:w="713"/>
        <w:gridCol w:w="1010"/>
        <w:gridCol w:w="396"/>
        <w:gridCol w:w="757"/>
        <w:gridCol w:w="1760"/>
      </w:tblGrid>
      <w:tr w14:paraId="48986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</w:trPr>
        <w:tc>
          <w:tcPr>
            <w:tcW w:w="9598" w:type="dxa"/>
            <w:gridSpan w:val="9"/>
            <w:shd w:val="clear" w:color="auto" w:fill="D7D7D7" w:themeFill="background1" w:themeFillShade="D8"/>
          </w:tcPr>
          <w:p w14:paraId="4FB6FC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RISCO 01</w:t>
            </w:r>
          </w:p>
        </w:tc>
      </w:tr>
      <w:tr w14:paraId="2288B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8" w:type="dxa"/>
            <w:gridSpan w:val="9"/>
          </w:tcPr>
          <w:p w14:paraId="0FF99FE0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Morosidade na fase de planjamento</w:t>
            </w:r>
          </w:p>
        </w:tc>
      </w:tr>
      <w:tr w14:paraId="0E3E7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1" w:type="dxa"/>
            <w:gridSpan w:val="2"/>
          </w:tcPr>
          <w:p w14:paraId="42F9D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Probabilidade:</w:t>
            </w:r>
          </w:p>
        </w:tc>
        <w:tc>
          <w:tcPr>
            <w:tcW w:w="791" w:type="dxa"/>
          </w:tcPr>
          <w:p w14:paraId="3EE081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1445" w:type="dxa"/>
          </w:tcPr>
          <w:p w14:paraId="543099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750" w:type="dxa"/>
          </w:tcPr>
          <w:p w14:paraId="5BFE64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1446" w:type="dxa"/>
            <w:gridSpan w:val="2"/>
          </w:tcPr>
          <w:p w14:paraId="25869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77" w:type="dxa"/>
          </w:tcPr>
          <w:p w14:paraId="5EDED3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X</w:t>
            </w:r>
          </w:p>
        </w:tc>
        <w:tc>
          <w:tcPr>
            <w:tcW w:w="1828" w:type="dxa"/>
          </w:tcPr>
          <w:p w14:paraId="3503FB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42317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1" w:type="dxa"/>
            <w:gridSpan w:val="2"/>
          </w:tcPr>
          <w:p w14:paraId="432340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Impacto:</w:t>
            </w:r>
          </w:p>
        </w:tc>
        <w:tc>
          <w:tcPr>
            <w:tcW w:w="791" w:type="dxa"/>
          </w:tcPr>
          <w:p w14:paraId="19A5F0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45" w:type="dxa"/>
          </w:tcPr>
          <w:p w14:paraId="066EFE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750" w:type="dxa"/>
          </w:tcPr>
          <w:p w14:paraId="32828C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46" w:type="dxa"/>
            <w:gridSpan w:val="2"/>
          </w:tcPr>
          <w:p w14:paraId="69F35B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77" w:type="dxa"/>
          </w:tcPr>
          <w:p w14:paraId="6CF77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X</w:t>
            </w:r>
          </w:p>
        </w:tc>
        <w:tc>
          <w:tcPr>
            <w:tcW w:w="1828" w:type="dxa"/>
          </w:tcPr>
          <w:p w14:paraId="270E80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6A0BB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</w:tcPr>
          <w:p w14:paraId="7825B4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8794" w:type="dxa"/>
            <w:gridSpan w:val="8"/>
          </w:tcPr>
          <w:p w14:paraId="52E111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Dano</w:t>
            </w:r>
          </w:p>
        </w:tc>
      </w:tr>
      <w:tr w14:paraId="256261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6EDD6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8794" w:type="dxa"/>
            <w:gridSpan w:val="8"/>
          </w:tcPr>
          <w:p w14:paraId="4A9B9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Realizar estudo falho devido a inexperiência, falta de domínio na elaboração de artefatos da fase  preparatória de contratação, a exemplo do Estudo Técnico Preliminar, Pesquisa de Preços, Termo de Referência, todos baseados na Lei 14.133/202, e demais Leis, Decretos e Normativas que norteiam o Objeto desta licitação.</w:t>
            </w:r>
          </w:p>
        </w:tc>
      </w:tr>
      <w:tr w14:paraId="412F1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072D80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780" w:type="dxa"/>
            <w:gridSpan w:val="5"/>
            <w:shd w:val="clear" w:color="auto" w:fill="D7D7D7" w:themeFill="background1" w:themeFillShade="D8"/>
          </w:tcPr>
          <w:p w14:paraId="07E098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Preventiva</w:t>
            </w:r>
          </w:p>
        </w:tc>
        <w:tc>
          <w:tcPr>
            <w:tcW w:w="3014" w:type="dxa"/>
            <w:gridSpan w:val="3"/>
            <w:shd w:val="clear" w:color="auto" w:fill="D7D7D7" w:themeFill="background1" w:themeFillShade="D8"/>
          </w:tcPr>
          <w:p w14:paraId="0FAAD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6CC84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67DE4D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780" w:type="dxa"/>
            <w:gridSpan w:val="5"/>
          </w:tcPr>
          <w:p w14:paraId="3B96A67C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48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Escolher equipe com conhecimento suficientes para os estudos em tempo hábil para que não haja prejuízos durante a fase de planejamento.</w:t>
            </w:r>
          </w:p>
        </w:tc>
        <w:tc>
          <w:tcPr>
            <w:tcW w:w="3014" w:type="dxa"/>
            <w:gridSpan w:val="3"/>
            <w:vAlign w:val="center"/>
          </w:tcPr>
          <w:p w14:paraId="57CDF5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Setor Requisitante</w:t>
            </w:r>
          </w:p>
        </w:tc>
      </w:tr>
      <w:tr w14:paraId="56D68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2F67AF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780" w:type="dxa"/>
            <w:gridSpan w:val="5"/>
            <w:shd w:val="clear" w:color="auto" w:fill="D7D7D7" w:themeFill="background1" w:themeFillShade="D8"/>
          </w:tcPr>
          <w:p w14:paraId="105FD8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de Contingência</w:t>
            </w:r>
          </w:p>
        </w:tc>
        <w:tc>
          <w:tcPr>
            <w:tcW w:w="3014" w:type="dxa"/>
            <w:gridSpan w:val="3"/>
            <w:shd w:val="clear" w:color="auto" w:fill="D7D7D7" w:themeFill="background1" w:themeFillShade="D8"/>
          </w:tcPr>
          <w:p w14:paraId="1FCAB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5F554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6C0C6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780" w:type="dxa"/>
            <w:gridSpan w:val="5"/>
          </w:tcPr>
          <w:p w14:paraId="7134B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Substituir membros da equipe de planejamento que não estejam apresentando bom rendimento</w:t>
            </w:r>
          </w:p>
        </w:tc>
        <w:tc>
          <w:tcPr>
            <w:tcW w:w="3014" w:type="dxa"/>
            <w:gridSpan w:val="3"/>
          </w:tcPr>
          <w:p w14:paraId="29A71F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Setor Requisitante</w:t>
            </w:r>
          </w:p>
        </w:tc>
      </w:tr>
      <w:tr w14:paraId="7E0CC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46C4A7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2.</w:t>
            </w:r>
          </w:p>
        </w:tc>
        <w:tc>
          <w:tcPr>
            <w:tcW w:w="5780" w:type="dxa"/>
            <w:gridSpan w:val="5"/>
          </w:tcPr>
          <w:p w14:paraId="7F3E76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Capacitar os servidores escolhidos para o planejamento</w:t>
            </w:r>
          </w:p>
        </w:tc>
        <w:tc>
          <w:tcPr>
            <w:tcW w:w="3014" w:type="dxa"/>
            <w:gridSpan w:val="3"/>
          </w:tcPr>
          <w:p w14:paraId="1916E6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Setor Requisitante</w:t>
            </w:r>
          </w:p>
        </w:tc>
      </w:tr>
      <w:tr w14:paraId="2B439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5B780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3.</w:t>
            </w:r>
          </w:p>
        </w:tc>
        <w:tc>
          <w:tcPr>
            <w:tcW w:w="5780" w:type="dxa"/>
            <w:gridSpan w:val="5"/>
          </w:tcPr>
          <w:p w14:paraId="34D8F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Designar  membros com mais experiência em contratações</w:t>
            </w:r>
          </w:p>
        </w:tc>
        <w:tc>
          <w:tcPr>
            <w:tcW w:w="3014" w:type="dxa"/>
            <w:gridSpan w:val="3"/>
          </w:tcPr>
          <w:p w14:paraId="5611B2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Setor Requisitante</w:t>
            </w:r>
          </w:p>
        </w:tc>
      </w:tr>
    </w:tbl>
    <w:p w14:paraId="673AB6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bCs/>
          <w:color w:val="2E75B6" w:themeColor="accent1" w:themeShade="BF"/>
          <w:sz w:val="22"/>
          <w:szCs w:val="22"/>
          <w:u w:val="single"/>
          <w:lang w:val="pt-BR"/>
        </w:rPr>
      </w:pP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675"/>
        <w:gridCol w:w="755"/>
        <w:gridCol w:w="1401"/>
        <w:gridCol w:w="705"/>
        <w:gridCol w:w="1005"/>
        <w:gridCol w:w="412"/>
        <w:gridCol w:w="763"/>
        <w:gridCol w:w="1768"/>
      </w:tblGrid>
      <w:tr w14:paraId="0A69FD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</w:trPr>
        <w:tc>
          <w:tcPr>
            <w:tcW w:w="9611" w:type="dxa"/>
            <w:gridSpan w:val="9"/>
            <w:shd w:val="clear" w:color="auto" w:fill="D7D7D7" w:themeFill="background1" w:themeFillShade="D8"/>
          </w:tcPr>
          <w:p w14:paraId="76CBFB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RISCO 02</w:t>
            </w:r>
          </w:p>
        </w:tc>
      </w:tr>
      <w:tr w14:paraId="6CC1A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11" w:type="dxa"/>
            <w:gridSpan w:val="9"/>
          </w:tcPr>
          <w:p w14:paraId="1F286BF0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Atraso na conclusão do Processo de Adesão </w:t>
            </w:r>
          </w:p>
        </w:tc>
      </w:tr>
      <w:tr w14:paraId="300BD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8" w:type="dxa"/>
            <w:gridSpan w:val="2"/>
          </w:tcPr>
          <w:p w14:paraId="5C9679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Probabilidade:</w:t>
            </w:r>
          </w:p>
        </w:tc>
        <w:tc>
          <w:tcPr>
            <w:tcW w:w="804" w:type="dxa"/>
          </w:tcPr>
          <w:p w14:paraId="13B4C4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 </w:t>
            </w:r>
          </w:p>
        </w:tc>
        <w:tc>
          <w:tcPr>
            <w:tcW w:w="1459" w:type="dxa"/>
          </w:tcPr>
          <w:p w14:paraId="18EC62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736" w:type="dxa"/>
          </w:tcPr>
          <w:p w14:paraId="3F86B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X</w:t>
            </w:r>
          </w:p>
        </w:tc>
        <w:tc>
          <w:tcPr>
            <w:tcW w:w="1460" w:type="dxa"/>
            <w:gridSpan w:val="2"/>
          </w:tcPr>
          <w:p w14:paraId="2F0B28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77" w:type="dxa"/>
          </w:tcPr>
          <w:p w14:paraId="5A22F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827" w:type="dxa"/>
          </w:tcPr>
          <w:p w14:paraId="09D79F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23BE6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48" w:type="dxa"/>
            <w:gridSpan w:val="2"/>
          </w:tcPr>
          <w:p w14:paraId="50D738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Impacto:</w:t>
            </w:r>
          </w:p>
        </w:tc>
        <w:tc>
          <w:tcPr>
            <w:tcW w:w="804" w:type="dxa"/>
          </w:tcPr>
          <w:p w14:paraId="6BA37AF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59" w:type="dxa"/>
          </w:tcPr>
          <w:p w14:paraId="79B1E5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736" w:type="dxa"/>
          </w:tcPr>
          <w:p w14:paraId="38CC6B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60" w:type="dxa"/>
            <w:gridSpan w:val="2"/>
          </w:tcPr>
          <w:p w14:paraId="153410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77" w:type="dxa"/>
          </w:tcPr>
          <w:p w14:paraId="096C56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 X</w:t>
            </w:r>
          </w:p>
        </w:tc>
        <w:tc>
          <w:tcPr>
            <w:tcW w:w="1827" w:type="dxa"/>
          </w:tcPr>
          <w:p w14:paraId="1C4525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34579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</w:tcPr>
          <w:p w14:paraId="5A785C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8807" w:type="dxa"/>
            <w:gridSpan w:val="8"/>
          </w:tcPr>
          <w:p w14:paraId="5687D7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Dano</w:t>
            </w:r>
          </w:p>
        </w:tc>
      </w:tr>
      <w:tr w14:paraId="22C74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1FA93C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8807" w:type="dxa"/>
            <w:gridSpan w:val="8"/>
          </w:tcPr>
          <w:p w14:paraId="3A8531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Não finalizar os trâmites licitatórios no prazo necessário, prejudicando o atendimento da demanda.</w:t>
            </w:r>
          </w:p>
        </w:tc>
      </w:tr>
      <w:tr w14:paraId="00931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528F05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780" w:type="dxa"/>
            <w:gridSpan w:val="5"/>
            <w:shd w:val="clear" w:color="auto" w:fill="D7D7D7" w:themeFill="background1" w:themeFillShade="D8"/>
          </w:tcPr>
          <w:p w14:paraId="53C67E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Preventiva</w:t>
            </w:r>
          </w:p>
        </w:tc>
        <w:tc>
          <w:tcPr>
            <w:tcW w:w="3027" w:type="dxa"/>
            <w:gridSpan w:val="3"/>
            <w:shd w:val="clear" w:color="auto" w:fill="D7D7D7" w:themeFill="background1" w:themeFillShade="D8"/>
          </w:tcPr>
          <w:p w14:paraId="00FCE2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03CD4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26F15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780" w:type="dxa"/>
            <w:gridSpan w:val="5"/>
          </w:tcPr>
          <w:p w14:paraId="1335AC07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48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Estabelecer as exigências imprescindíveis a execução do objeto, sem, contudo, estabelecer exigências ilegais.</w:t>
            </w:r>
          </w:p>
        </w:tc>
        <w:tc>
          <w:tcPr>
            <w:tcW w:w="3027" w:type="dxa"/>
            <w:gridSpan w:val="3"/>
          </w:tcPr>
          <w:p w14:paraId="0D154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Setor Requisitante/Setor de Licitação</w:t>
            </w:r>
          </w:p>
        </w:tc>
      </w:tr>
      <w:tr w14:paraId="0EA7C5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742FEF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780" w:type="dxa"/>
            <w:gridSpan w:val="5"/>
            <w:shd w:val="clear" w:color="auto" w:fill="D7D7D7" w:themeFill="background1" w:themeFillShade="D8"/>
          </w:tcPr>
          <w:p w14:paraId="6E0FC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de Contingência</w:t>
            </w:r>
          </w:p>
        </w:tc>
        <w:tc>
          <w:tcPr>
            <w:tcW w:w="3027" w:type="dxa"/>
            <w:gridSpan w:val="3"/>
            <w:shd w:val="clear" w:color="auto" w:fill="D7D7D7" w:themeFill="background1" w:themeFillShade="D8"/>
          </w:tcPr>
          <w:p w14:paraId="6F14DE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2C66E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5554E3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780" w:type="dxa"/>
            <w:gridSpan w:val="5"/>
          </w:tcPr>
          <w:p w14:paraId="3496C9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Julgar a documentação anexada ao sistema pelos licitantes em estrita observância aos princípios básicos norteadores dos procedimentos licitatórios  públicos. </w:t>
            </w:r>
          </w:p>
        </w:tc>
        <w:tc>
          <w:tcPr>
            <w:tcW w:w="3027" w:type="dxa"/>
            <w:gridSpan w:val="3"/>
          </w:tcPr>
          <w:p w14:paraId="17C2EF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Pregoeiro e Equipe de Apoio</w:t>
            </w:r>
          </w:p>
        </w:tc>
      </w:tr>
    </w:tbl>
    <w:p w14:paraId="48BF70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bCs/>
          <w:color w:val="2E75B6" w:themeColor="accent1" w:themeShade="BF"/>
          <w:sz w:val="22"/>
          <w:szCs w:val="22"/>
          <w:u w:val="single"/>
          <w:lang w:val="pt-BR"/>
        </w:rPr>
      </w:pP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673"/>
        <w:gridCol w:w="768"/>
        <w:gridCol w:w="1399"/>
        <w:gridCol w:w="691"/>
        <w:gridCol w:w="1017"/>
        <w:gridCol w:w="397"/>
        <w:gridCol w:w="763"/>
        <w:gridCol w:w="1776"/>
      </w:tblGrid>
      <w:tr w14:paraId="7CF80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</w:trPr>
        <w:tc>
          <w:tcPr>
            <w:tcW w:w="9288" w:type="dxa"/>
            <w:gridSpan w:val="9"/>
            <w:shd w:val="clear" w:color="auto" w:fill="D7D7D7" w:themeFill="background1" w:themeFillShade="D8"/>
          </w:tcPr>
          <w:p w14:paraId="05C8A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RISCO 03</w:t>
            </w:r>
          </w:p>
        </w:tc>
      </w:tr>
      <w:tr w14:paraId="23922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gridSpan w:val="9"/>
          </w:tcPr>
          <w:p w14:paraId="526C6601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Selecionar Fornecedor inadequado para a execução do objeto</w:t>
            </w:r>
          </w:p>
        </w:tc>
      </w:tr>
      <w:tr w14:paraId="1DD4B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7" w:type="dxa"/>
            <w:gridSpan w:val="2"/>
          </w:tcPr>
          <w:p w14:paraId="38DB0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Probabilidade:</w:t>
            </w:r>
          </w:p>
        </w:tc>
        <w:tc>
          <w:tcPr>
            <w:tcW w:w="768" w:type="dxa"/>
          </w:tcPr>
          <w:p w14:paraId="45E81C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 X</w:t>
            </w:r>
          </w:p>
        </w:tc>
        <w:tc>
          <w:tcPr>
            <w:tcW w:w="1399" w:type="dxa"/>
          </w:tcPr>
          <w:p w14:paraId="7491A4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691" w:type="dxa"/>
          </w:tcPr>
          <w:p w14:paraId="125966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14" w:type="dxa"/>
            <w:gridSpan w:val="2"/>
          </w:tcPr>
          <w:p w14:paraId="0AC5F8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63" w:type="dxa"/>
          </w:tcPr>
          <w:p w14:paraId="67EABD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776" w:type="dxa"/>
          </w:tcPr>
          <w:p w14:paraId="336AA8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1E3D7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77" w:type="dxa"/>
            <w:gridSpan w:val="2"/>
          </w:tcPr>
          <w:p w14:paraId="04E9C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Impacto:</w:t>
            </w:r>
          </w:p>
        </w:tc>
        <w:tc>
          <w:tcPr>
            <w:tcW w:w="768" w:type="dxa"/>
          </w:tcPr>
          <w:p w14:paraId="174963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399" w:type="dxa"/>
          </w:tcPr>
          <w:p w14:paraId="756A2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691" w:type="dxa"/>
          </w:tcPr>
          <w:p w14:paraId="04864F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14" w:type="dxa"/>
            <w:gridSpan w:val="2"/>
          </w:tcPr>
          <w:p w14:paraId="2FB5DA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63" w:type="dxa"/>
          </w:tcPr>
          <w:p w14:paraId="6E91BC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 X</w:t>
            </w:r>
          </w:p>
        </w:tc>
        <w:tc>
          <w:tcPr>
            <w:tcW w:w="1776" w:type="dxa"/>
          </w:tcPr>
          <w:p w14:paraId="68018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48759F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</w:tcPr>
          <w:p w14:paraId="36534F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8484" w:type="dxa"/>
            <w:gridSpan w:val="8"/>
          </w:tcPr>
          <w:p w14:paraId="352ADD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Dano</w:t>
            </w:r>
          </w:p>
        </w:tc>
      </w:tr>
      <w:tr w14:paraId="684D0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637BDD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8484" w:type="dxa"/>
            <w:gridSpan w:val="8"/>
          </w:tcPr>
          <w:p w14:paraId="21EBA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Contratar empresa que não atenda plenamente todos os requisitos, conforme estabelecido no edital e seus anexos.</w:t>
            </w:r>
          </w:p>
        </w:tc>
      </w:tr>
      <w:tr w14:paraId="0FD486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6E7EA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548" w:type="dxa"/>
            <w:gridSpan w:val="5"/>
            <w:shd w:val="clear" w:color="auto" w:fill="D7D7D7" w:themeFill="background1" w:themeFillShade="D8"/>
          </w:tcPr>
          <w:p w14:paraId="0D0215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Preventiva</w:t>
            </w:r>
          </w:p>
        </w:tc>
        <w:tc>
          <w:tcPr>
            <w:tcW w:w="2936" w:type="dxa"/>
            <w:gridSpan w:val="3"/>
            <w:shd w:val="clear" w:color="auto" w:fill="D7D7D7" w:themeFill="background1" w:themeFillShade="D8"/>
          </w:tcPr>
          <w:p w14:paraId="240FDE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7925C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674B6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548" w:type="dxa"/>
            <w:gridSpan w:val="5"/>
          </w:tcPr>
          <w:p w14:paraId="5218BE49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48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Estabelecer as exigências imprescindíveis a execução do objeto, sem, contudo, estabelecer exigências ilegais.</w:t>
            </w:r>
          </w:p>
        </w:tc>
        <w:tc>
          <w:tcPr>
            <w:tcW w:w="2936" w:type="dxa"/>
            <w:gridSpan w:val="3"/>
          </w:tcPr>
          <w:p w14:paraId="1A48E2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Setor Requisitante/Setor de Licitação</w:t>
            </w:r>
          </w:p>
        </w:tc>
      </w:tr>
      <w:tr w14:paraId="05421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3A082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548" w:type="dxa"/>
            <w:gridSpan w:val="5"/>
            <w:shd w:val="clear" w:color="auto" w:fill="D7D7D7" w:themeFill="background1" w:themeFillShade="D8"/>
          </w:tcPr>
          <w:p w14:paraId="6658FE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de Contingência</w:t>
            </w:r>
          </w:p>
        </w:tc>
        <w:tc>
          <w:tcPr>
            <w:tcW w:w="2936" w:type="dxa"/>
            <w:gridSpan w:val="3"/>
            <w:shd w:val="clear" w:color="auto" w:fill="D7D7D7" w:themeFill="background1" w:themeFillShade="D8"/>
          </w:tcPr>
          <w:p w14:paraId="7F29E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587F0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52F01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548" w:type="dxa"/>
            <w:gridSpan w:val="5"/>
          </w:tcPr>
          <w:p w14:paraId="5FAAD7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Certificar-se de que a documentação anexada ao sistema pelos licitantes atende plenamente os requisitos da contratação.</w:t>
            </w:r>
          </w:p>
        </w:tc>
        <w:tc>
          <w:tcPr>
            <w:tcW w:w="2936" w:type="dxa"/>
            <w:gridSpan w:val="3"/>
          </w:tcPr>
          <w:p w14:paraId="381D56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Pregoeiro e Equipe de Apoio</w:t>
            </w:r>
          </w:p>
        </w:tc>
      </w:tr>
    </w:tbl>
    <w:p w14:paraId="3923FE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Arial" w:hAnsi="Arial" w:cs="Arial"/>
          <w:b/>
          <w:bCs/>
          <w:color w:val="2E75B6" w:themeColor="accent1" w:themeShade="BF"/>
          <w:sz w:val="22"/>
          <w:szCs w:val="22"/>
          <w:u w:val="single"/>
          <w:lang w:val="pt-BR"/>
        </w:rPr>
      </w:pP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693"/>
        <w:gridCol w:w="757"/>
        <w:gridCol w:w="1405"/>
        <w:gridCol w:w="709"/>
        <w:gridCol w:w="1006"/>
        <w:gridCol w:w="395"/>
        <w:gridCol w:w="754"/>
        <w:gridCol w:w="1765"/>
      </w:tblGrid>
      <w:tr w14:paraId="141CE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</w:trPr>
        <w:tc>
          <w:tcPr>
            <w:tcW w:w="9625" w:type="dxa"/>
            <w:gridSpan w:val="9"/>
            <w:shd w:val="clear" w:color="auto" w:fill="D7D7D7" w:themeFill="background1" w:themeFillShade="D8"/>
          </w:tcPr>
          <w:p w14:paraId="4CA294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RISCO 04</w:t>
            </w:r>
          </w:p>
        </w:tc>
      </w:tr>
      <w:tr w14:paraId="3B76D1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25" w:type="dxa"/>
            <w:gridSpan w:val="9"/>
          </w:tcPr>
          <w:p w14:paraId="3382C971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Falhas na fiscalização do contrato</w:t>
            </w:r>
          </w:p>
        </w:tc>
      </w:tr>
      <w:tr w14:paraId="03E38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61" w:type="dxa"/>
            <w:gridSpan w:val="2"/>
          </w:tcPr>
          <w:p w14:paraId="58552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Probabilidade:</w:t>
            </w:r>
          </w:p>
        </w:tc>
        <w:tc>
          <w:tcPr>
            <w:tcW w:w="791" w:type="dxa"/>
          </w:tcPr>
          <w:p w14:paraId="56FA37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 X</w:t>
            </w:r>
          </w:p>
        </w:tc>
        <w:tc>
          <w:tcPr>
            <w:tcW w:w="1459" w:type="dxa"/>
          </w:tcPr>
          <w:p w14:paraId="582D0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750" w:type="dxa"/>
          </w:tcPr>
          <w:p w14:paraId="53133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46" w:type="dxa"/>
            <w:gridSpan w:val="2"/>
          </w:tcPr>
          <w:p w14:paraId="227D12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77" w:type="dxa"/>
          </w:tcPr>
          <w:p w14:paraId="3337EB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841" w:type="dxa"/>
          </w:tcPr>
          <w:p w14:paraId="034833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370FC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61" w:type="dxa"/>
            <w:gridSpan w:val="2"/>
          </w:tcPr>
          <w:p w14:paraId="4A1A2C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Impacto:</w:t>
            </w:r>
          </w:p>
        </w:tc>
        <w:tc>
          <w:tcPr>
            <w:tcW w:w="791" w:type="dxa"/>
          </w:tcPr>
          <w:p w14:paraId="6934A2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59" w:type="dxa"/>
          </w:tcPr>
          <w:p w14:paraId="2350BF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Baixa</w:t>
            </w:r>
          </w:p>
        </w:tc>
        <w:tc>
          <w:tcPr>
            <w:tcW w:w="750" w:type="dxa"/>
          </w:tcPr>
          <w:p w14:paraId="6BCD96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</w:p>
        </w:tc>
        <w:tc>
          <w:tcPr>
            <w:tcW w:w="1446" w:type="dxa"/>
            <w:gridSpan w:val="2"/>
          </w:tcPr>
          <w:p w14:paraId="490E4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Média</w:t>
            </w:r>
          </w:p>
        </w:tc>
        <w:tc>
          <w:tcPr>
            <w:tcW w:w="777" w:type="dxa"/>
          </w:tcPr>
          <w:p w14:paraId="43491D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  X</w:t>
            </w:r>
          </w:p>
        </w:tc>
        <w:tc>
          <w:tcPr>
            <w:tcW w:w="1841" w:type="dxa"/>
          </w:tcPr>
          <w:p w14:paraId="670147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Alta</w:t>
            </w:r>
          </w:p>
        </w:tc>
      </w:tr>
      <w:tr w14:paraId="66B941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</w:tcPr>
          <w:p w14:paraId="726EB9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8821" w:type="dxa"/>
            <w:gridSpan w:val="8"/>
          </w:tcPr>
          <w:p w14:paraId="1CC90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Dano</w:t>
            </w:r>
          </w:p>
        </w:tc>
      </w:tr>
      <w:tr w14:paraId="1381F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6C1EED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8821" w:type="dxa"/>
            <w:gridSpan w:val="8"/>
          </w:tcPr>
          <w:p w14:paraId="798C3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Não acompanhar o processo devidamente, atentando para pontos importantes, como pontualidade dos Instrutores, substituição de Instrutor ausente,  cumprimento de  pagamento.</w:t>
            </w:r>
          </w:p>
        </w:tc>
      </w:tr>
      <w:tr w14:paraId="56819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7C8CFA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793" w:type="dxa"/>
            <w:gridSpan w:val="5"/>
            <w:shd w:val="clear" w:color="auto" w:fill="D7D7D7" w:themeFill="background1" w:themeFillShade="D8"/>
          </w:tcPr>
          <w:p w14:paraId="47836E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Preventiva</w:t>
            </w:r>
          </w:p>
        </w:tc>
        <w:tc>
          <w:tcPr>
            <w:tcW w:w="3028" w:type="dxa"/>
            <w:gridSpan w:val="3"/>
            <w:shd w:val="clear" w:color="auto" w:fill="D7D7D7" w:themeFill="background1" w:themeFillShade="D8"/>
          </w:tcPr>
          <w:p w14:paraId="1838CF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511DF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4482E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793" w:type="dxa"/>
            <w:gridSpan w:val="5"/>
          </w:tcPr>
          <w:p w14:paraId="6C98297B"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48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Indicar  e treinar adequadamente os fiscais para o contrato</w:t>
            </w:r>
          </w:p>
        </w:tc>
        <w:tc>
          <w:tcPr>
            <w:tcW w:w="3028" w:type="dxa"/>
            <w:gridSpan w:val="3"/>
            <w:vAlign w:val="center"/>
          </w:tcPr>
          <w:p w14:paraId="247C56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 xml:space="preserve">Setor Requisitante </w:t>
            </w:r>
          </w:p>
        </w:tc>
      </w:tr>
      <w:tr w14:paraId="6FF59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04" w:type="dxa"/>
            <w:shd w:val="clear" w:color="auto" w:fill="D7D7D7" w:themeFill="background1" w:themeFillShade="D8"/>
            <w:vAlign w:val="center"/>
          </w:tcPr>
          <w:p w14:paraId="05C16C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Id</w:t>
            </w:r>
          </w:p>
        </w:tc>
        <w:tc>
          <w:tcPr>
            <w:tcW w:w="5793" w:type="dxa"/>
            <w:gridSpan w:val="5"/>
            <w:shd w:val="clear" w:color="auto" w:fill="D7D7D7" w:themeFill="background1" w:themeFillShade="D8"/>
          </w:tcPr>
          <w:p w14:paraId="687029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Ação de Contingência</w:t>
            </w:r>
          </w:p>
        </w:tc>
        <w:tc>
          <w:tcPr>
            <w:tcW w:w="3028" w:type="dxa"/>
            <w:gridSpan w:val="3"/>
            <w:shd w:val="clear" w:color="auto" w:fill="D7D7D7" w:themeFill="background1" w:themeFillShade="D8"/>
          </w:tcPr>
          <w:p w14:paraId="31E316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Responsável</w:t>
            </w:r>
          </w:p>
        </w:tc>
      </w:tr>
      <w:tr w14:paraId="37585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4" w:type="dxa"/>
            <w:vAlign w:val="center"/>
          </w:tcPr>
          <w:p w14:paraId="3CB2F2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center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kern w:val="2"/>
                <w:sz w:val="22"/>
                <w:szCs w:val="22"/>
                <w:lang w:val="pt-BR"/>
              </w:rPr>
              <w:t>1.</w:t>
            </w:r>
          </w:p>
        </w:tc>
        <w:tc>
          <w:tcPr>
            <w:tcW w:w="5793" w:type="dxa"/>
            <w:gridSpan w:val="5"/>
          </w:tcPr>
          <w:p w14:paraId="380DE1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Acompanhar a forma como a empresa executa  as atividades. Em caso de negligência, proceder com notificação e outros.</w:t>
            </w:r>
          </w:p>
        </w:tc>
        <w:tc>
          <w:tcPr>
            <w:tcW w:w="3028" w:type="dxa"/>
            <w:gridSpan w:val="3"/>
            <w:vAlign w:val="center"/>
          </w:tcPr>
          <w:p w14:paraId="078762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Gestão de Terceirizados;</w:t>
            </w:r>
          </w:p>
          <w:p w14:paraId="6FE4BF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Gestor de Contrato;</w:t>
            </w:r>
          </w:p>
          <w:p w14:paraId="358481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81" w:beforeLines="50" w:beforeAutospacing="0" w:after="181" w:afterLines="50" w:afterAutospacing="0" w:line="240" w:lineRule="auto"/>
              <w:jc w:val="both"/>
              <w:textAlignment w:val="auto"/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color w:val="auto"/>
                <w:kern w:val="2"/>
                <w:sz w:val="22"/>
                <w:szCs w:val="22"/>
                <w:lang w:val="pt-BR"/>
              </w:rPr>
              <w:t>Fiscal do Contrato.</w:t>
            </w:r>
          </w:p>
        </w:tc>
      </w:tr>
    </w:tbl>
    <w:p w14:paraId="76B2E50B">
      <w:pPr>
        <w:numPr>
          <w:ilvl w:val="0"/>
          <w:numId w:val="0"/>
        </w:numPr>
        <w:shd w:val="clear" w:color="auto" w:fill="FFFFFF"/>
        <w:spacing w:line="360" w:lineRule="auto"/>
        <w:jc w:val="both"/>
        <w:rPr>
          <w:rFonts w:hint="default" w:ascii="Arial" w:hAnsi="Arial" w:cs="Arial"/>
          <w:sz w:val="22"/>
          <w:szCs w:val="22"/>
          <w:lang w:val="pt-BR"/>
        </w:rPr>
      </w:pPr>
    </w:p>
    <w:p w14:paraId="15D7236C">
      <w:pPr>
        <w:numPr>
          <w:ilvl w:val="0"/>
          <w:numId w:val="0"/>
        </w:numPr>
        <w:shd w:val="clear" w:color="auto" w:fill="FFFFFF"/>
        <w:spacing w:line="360" w:lineRule="auto"/>
        <w:jc w:val="both"/>
        <w:rPr>
          <w:rFonts w:hint="default" w:ascii="Arial" w:hAnsi="Arial" w:cs="Arial"/>
          <w:sz w:val="22"/>
          <w:szCs w:val="22"/>
          <w:lang w:val="pt-BR"/>
        </w:rPr>
      </w:pPr>
    </w:p>
    <w:p w14:paraId="0585B017">
      <w:pPr>
        <w:numPr>
          <w:ilvl w:val="0"/>
          <w:numId w:val="0"/>
        </w:numPr>
        <w:shd w:val="clear" w:color="auto" w:fill="FFFFFF"/>
        <w:spacing w:line="360" w:lineRule="auto"/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15A43E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240" w:lineRule="auto"/>
        <w:jc w:val="center"/>
        <w:textAlignment w:val="auto"/>
        <w:rPr>
          <w:rFonts w:hint="default" w:ascii="Arial" w:hAnsi="Arial" w:cs="Arial"/>
          <w:b w:val="0"/>
          <w:bCs w:val="0"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sz w:val="22"/>
          <w:szCs w:val="22"/>
        </w:rPr>
        <w:t>____________________________</w:t>
      </w:r>
      <w:r>
        <w:rPr>
          <w:rFonts w:hint="default" w:ascii="Arial" w:hAnsi="Arial" w:cs="Arial"/>
          <w:b w:val="0"/>
          <w:bCs w:val="0"/>
          <w:sz w:val="22"/>
          <w:szCs w:val="22"/>
          <w:lang w:val="pt-BR"/>
        </w:rPr>
        <w:t>___</w:t>
      </w:r>
    </w:p>
    <w:p w14:paraId="1EB97828">
      <w:pPr>
        <w:spacing w:line="240" w:lineRule="auto"/>
        <w:jc w:val="center"/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</w:pPr>
      <w:r>
        <w:rPr>
          <w:rFonts w:hint="default" w:ascii="Arial" w:hAnsi="Arial" w:cs="Arial"/>
          <w:i/>
          <w:iCs/>
          <w:sz w:val="22"/>
          <w:szCs w:val="22"/>
          <w:highlight w:val="none"/>
          <w:lang w:val="pt-BR"/>
        </w:rPr>
        <w:t>Pedro Henrique Valerio Quintella</w:t>
      </w:r>
    </w:p>
    <w:p w14:paraId="4C43552C">
      <w:pPr>
        <w:pStyle w:val="6"/>
        <w:tabs>
          <w:tab w:val="left" w:pos="6038"/>
        </w:tabs>
        <w:jc w:val="center"/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ang="0" w14:scaled="0"/>
            </w14:gradFill>
          </w14:textFill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>Nutricionista</w:t>
      </w:r>
    </w:p>
    <w:p w14:paraId="4E274D21">
      <w:pPr>
        <w:pStyle w:val="6"/>
        <w:tabs>
          <w:tab w:val="left" w:pos="6038"/>
        </w:tabs>
        <w:jc w:val="center"/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lang w:val="pt-BR"/>
        </w:rPr>
        <w:t xml:space="preserve">Matrícula </w:t>
      </w:r>
      <w:r>
        <w:rPr>
          <w:rFonts w:hint="default" w:ascii="Arial" w:hAnsi="Arial" w:cs="Arial"/>
          <w:i/>
          <w:iCs/>
          <w:sz w:val="22"/>
          <w:szCs w:val="22"/>
          <w:highlight w:val="none"/>
          <w:lang w:val="pt-BR"/>
        </w:rPr>
        <w:t>17732</w:t>
      </w:r>
    </w:p>
    <w:p w14:paraId="54C6C427">
      <w:pPr>
        <w:pStyle w:val="6"/>
        <w:tabs>
          <w:tab w:val="left" w:pos="6038"/>
        </w:tabs>
        <w:jc w:val="center"/>
        <w:rPr>
          <w:rFonts w:hint="default" w:ascii="Arial" w:hAnsi="Arial" w:cs="Arial"/>
          <w:b w:val="0"/>
          <w:bCs w:val="0"/>
          <w:i/>
          <w:iCs/>
          <w:sz w:val="22"/>
          <w:szCs w:val="22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</w:rPr>
        <w:t>Responsável Formação de Demanda</w:t>
      </w:r>
    </w:p>
    <w:p w14:paraId="685FEBD9">
      <w:pPr>
        <w:pStyle w:val="6"/>
        <w:tabs>
          <w:tab w:val="left" w:pos="6038"/>
        </w:tabs>
        <w:jc w:val="both"/>
        <w:rPr>
          <w:rFonts w:hint="default" w:ascii="Arial" w:hAnsi="Arial" w:cs="Arial"/>
          <w:b w:val="0"/>
          <w:bCs w:val="0"/>
          <w:i/>
          <w:iCs/>
          <w:sz w:val="22"/>
          <w:szCs w:val="22"/>
        </w:rPr>
      </w:pPr>
    </w:p>
    <w:p w14:paraId="26B2F923">
      <w:pPr>
        <w:spacing w:line="360" w:lineRule="auto"/>
        <w:jc w:val="right"/>
        <w:rPr>
          <w:rFonts w:hint="default" w:ascii="Arial" w:hAnsi="Arial" w:cs="Arial"/>
          <w:b w:val="0"/>
          <w:bCs w:val="0"/>
          <w:color w:val="000000"/>
          <w:sz w:val="22"/>
          <w:szCs w:val="22"/>
        </w:rPr>
      </w:pPr>
      <w:bookmarkStart w:id="0" w:name="_GoBack"/>
      <w:bookmarkEnd w:id="0"/>
    </w:p>
    <w:p w14:paraId="28A8A8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240" w:lineRule="auto"/>
        <w:ind w:left="2124" w:leftChars="0" w:firstLine="708"/>
        <w:jc w:val="both"/>
        <w:textAlignment w:val="auto"/>
        <w:rPr>
          <w:rFonts w:hint="default" w:ascii="Arial" w:hAnsi="Arial" w:cs="Arial"/>
          <w:b w:val="0"/>
          <w:bCs w:val="0"/>
          <w:sz w:val="22"/>
          <w:szCs w:val="22"/>
        </w:rPr>
      </w:pPr>
      <w:r>
        <w:rPr>
          <w:rFonts w:hint="default" w:ascii="Arial" w:hAnsi="Arial" w:cs="Arial"/>
          <w:b w:val="0"/>
          <w:bCs w:val="0"/>
          <w:sz w:val="22"/>
          <w:szCs w:val="22"/>
        </w:rPr>
        <w:t>____________________________</w:t>
      </w:r>
    </w:p>
    <w:p w14:paraId="151DE207">
      <w:pPr>
        <w:spacing w:line="240" w:lineRule="auto"/>
        <w:jc w:val="center"/>
        <w:rPr>
          <w:rFonts w:hint="default" w:ascii="Arial" w:hAnsi="Arial" w:cs="Arial"/>
          <w:b w:val="0"/>
          <w:bCs w:val="0"/>
          <w:i/>
          <w:iCs/>
          <w:sz w:val="22"/>
          <w:szCs w:val="22"/>
          <w:highlight w:val="none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highlight w:val="none"/>
          <w:lang w:val="pt-BR"/>
        </w:rPr>
        <w:t>Salete Vicenti Rodrigues Ieka</w:t>
      </w:r>
    </w:p>
    <w:p w14:paraId="6E27DDA3">
      <w:pPr>
        <w:spacing w:line="240" w:lineRule="auto"/>
        <w:jc w:val="center"/>
        <w:rPr>
          <w:rFonts w:hint="default" w:ascii="Arial" w:hAnsi="Arial" w:cs="Arial"/>
          <w:b w:val="0"/>
          <w:bCs w:val="0"/>
          <w:i/>
          <w:iCs/>
          <w:sz w:val="22"/>
          <w:szCs w:val="22"/>
          <w:highlight w:val="none"/>
          <w:lang w:val="pt-BR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highlight w:val="none"/>
          <w:lang w:val="pt-BR"/>
        </w:rPr>
        <w:t>Matrícula de nº 13258</w:t>
      </w:r>
    </w:p>
    <w:p w14:paraId="66818999">
      <w:pPr>
        <w:spacing w:line="240" w:lineRule="auto"/>
        <w:jc w:val="center"/>
        <w:rPr>
          <w:b w:val="0"/>
          <w:bCs w:val="0"/>
          <w:color w:val="000000"/>
          <w:highlight w:val="none"/>
        </w:rPr>
      </w:pPr>
      <w:r>
        <w:rPr>
          <w:rFonts w:hint="default" w:ascii="Arial" w:hAnsi="Arial" w:cs="Arial"/>
          <w:b w:val="0"/>
          <w:bCs w:val="0"/>
          <w:i/>
          <w:iCs/>
          <w:sz w:val="22"/>
          <w:szCs w:val="22"/>
          <w:highlight w:val="none"/>
          <w:lang w:val="pt-BR"/>
        </w:rPr>
        <w:t>Secretária Municipal de Educação</w:t>
      </w:r>
    </w:p>
    <w:p w14:paraId="0609D800">
      <w:pPr>
        <w:numPr>
          <w:ilvl w:val="0"/>
          <w:numId w:val="0"/>
        </w:numPr>
        <w:jc w:val="left"/>
        <w:rPr>
          <w:rFonts w:hint="default"/>
          <w:b w:val="0"/>
          <w:bCs w:val="0"/>
          <w:i/>
          <w:iCs/>
          <w:lang w:val="pt-BR"/>
        </w:rPr>
      </w:pPr>
    </w:p>
    <w:p w14:paraId="5F93929A">
      <w:pPr>
        <w:jc w:val="center"/>
        <w:rPr>
          <w:rFonts w:hint="default" w:ascii="Times New Roman" w:hAnsi="Times New Roman" w:cs="Times New Roman"/>
          <w:b/>
          <w:bCs w:val="0"/>
          <w:i/>
          <w:iCs/>
          <w:sz w:val="24"/>
          <w:highlight w:val="none"/>
          <w:lang w:val="pt-BR"/>
        </w:rPr>
      </w:pPr>
    </w:p>
    <w:sectPr>
      <w:headerReference r:id="rId3" w:type="default"/>
      <w:footerReference r:id="rId4" w:type="default"/>
      <w:pgSz w:w="11906" w:h="16838"/>
      <w:pgMar w:top="1700" w:right="1417" w:bottom="1219" w:left="1417" w:header="260" w:footer="0" w:gutter="0"/>
      <w:pgNumType w:fmt="decimal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udy Old Style">
    <w:panose1 w:val="02020502050305020303"/>
    <w:charset w:val="00"/>
    <w:family w:val="roman"/>
    <w:pitch w:val="default"/>
    <w:sig w:usb0="00000003" w:usb1="00000000" w:usb2="00000000" w:usb3="00000000" w:csb0="20000001" w:csb1="00000000"/>
  </w:font>
  <w:font w:name="Times-Roman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69FA4C">
    <w:pPr>
      <w:pStyle w:val="11"/>
      <w:tabs>
        <w:tab w:val="clear" w:pos="4252"/>
        <w:tab w:val="clear" w:pos="8504"/>
      </w:tabs>
      <w:jc w:val="center"/>
      <w:rPr>
        <w:b/>
      </w:rPr>
    </w:pPr>
  </w:p>
  <w:p w14:paraId="31C09D67">
    <w:pPr>
      <w:pStyle w:val="11"/>
      <w:jc w:val="center"/>
      <w:rPr>
        <w:b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6046470</wp:posOffset>
              </wp:positionH>
              <wp:positionV relativeFrom="paragraph">
                <wp:posOffset>59055</wp:posOffset>
              </wp:positionV>
              <wp:extent cx="1828800" cy="1828800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043DE4">
                          <w:pPr>
                            <w:pStyle w:val="11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6.1pt;margin-top:4.65pt;height:144pt;width:144pt;mso-position-horizontal-relative:margin;mso-wrap-style:none;z-index:251660288;mso-width-relative:page;mso-height-relative:page;" filled="f" stroked="f" coordsize="21600,21600" o:gfxdata="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pmML92AAAAAoBAAAPAAAAAAAAAAEAIAAAACIAAABkcnMvZG93bnJldi54bWxQSwECFAAUAAAA&#10;CACHTuJAgWxrbicCAABmBAAADgAAAAAAAAABACAAAAAnAQAAZHJzL2Uyb0RvYy54bWxQSwUGAAAA&#10;AAYABgBZAQAAw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043DE4">
                    <w:pPr>
                      <w:pStyle w:val="11"/>
                      <w:rPr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b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-3175</wp:posOffset>
              </wp:positionH>
              <wp:positionV relativeFrom="paragraph">
                <wp:posOffset>-92710</wp:posOffset>
              </wp:positionV>
              <wp:extent cx="5766435" cy="0"/>
              <wp:effectExtent l="0" t="19050" r="571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6435" cy="0"/>
                      </a:xfrm>
                      <a:prstGeom prst="line">
                        <a:avLst/>
                      </a:prstGeom>
                      <a:ln w="38100"/>
                    </wps:spPr>
                    <wps:style>
                      <a:lnRef idx="2">
                        <a:schemeClr val="accent4"/>
                      </a:lnRef>
                      <a:fillRef idx="0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25pt;margin-top:-7.3pt;height:0pt;width:454.05pt;mso-position-horizontal-relative:margin;z-index:251659264;mso-width-relative:page;mso-height-relative:page;" filled="f" stroked="t" coordsize="21600,21600" o:gfxdata="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sdAuB0gAAAAkBAAAPAAAAAAAAAAEAIAAAACIAAABk&#10;cnMvZG93bnJldi54bWxQSwECFAAUAAAACACHTuJA5gNUV9MBAACwAwAADgAAAAAAAAABACAAAAAh&#10;AQAAZHJzL2Uyb0RvYy54bWxQSwUGAAAAAAYABgBZAQAAZgUAAAAA&#10;">
              <v:fill on="f" focussize="0,0"/>
              <v:stroke weight="3pt" color="#FFC000 [3207]" miterlimit="8" joinstyle="miter"/>
              <v:imagedata o:title=""/>
              <o:lock v:ext="edit" aspectratio="f"/>
            </v:line>
          </w:pict>
        </mc:Fallback>
      </mc:AlternateContent>
    </w:r>
    <w:r>
      <w:rPr>
        <w:b/>
      </w:rPr>
      <w:t>Av. dos Jacarandás nº 2424, Setor Industrial Sul – Sinop – MT.</w:t>
    </w:r>
  </w:p>
  <w:p w14:paraId="0C59A007">
    <w:pPr>
      <w:pStyle w:val="11"/>
      <w:jc w:val="center"/>
      <w:rPr>
        <w:b/>
      </w:rPr>
    </w:pPr>
  </w:p>
  <w:p w14:paraId="46B7C5CA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1E7F92">
    <w:pPr>
      <w:pStyle w:val="10"/>
      <w:jc w:val="center"/>
    </w:pPr>
    <w:r>
      <w:rPr>
        <w:bCs/>
        <w:i/>
        <w:lang w:val="pt-BR"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1461135</wp:posOffset>
          </wp:positionH>
          <wp:positionV relativeFrom="paragraph">
            <wp:posOffset>127635</wp:posOffset>
          </wp:positionV>
          <wp:extent cx="2830195" cy="550545"/>
          <wp:effectExtent l="0" t="0" r="8255" b="1905"/>
          <wp:wrapThrough wrapText="bothSides">
            <wp:wrapPolygon>
              <wp:start x="0" y="0"/>
              <wp:lineTo x="0" y="20927"/>
              <wp:lineTo x="11340" y="20927"/>
              <wp:lineTo x="12940" y="20927"/>
              <wp:lineTo x="18174" y="14201"/>
              <wp:lineTo x="18174" y="11958"/>
              <wp:lineTo x="21518" y="8969"/>
              <wp:lineTo x="21518" y="4484"/>
              <wp:lineTo x="11340" y="0"/>
              <wp:lineTo x="0" y="0"/>
            </wp:wrapPolygon>
          </wp:wrapThrough>
          <wp:docPr id="989950101" name="Imagem 3" descr="Interface gráfica do usuário, Texto,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9950101" name="Imagem 3" descr="Interface gráfica do usuário, Texto, Aplicativo&#10;&#10;Descrição gerada automa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0195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368AA9"/>
    <w:multiLevelType w:val="singleLevel"/>
    <w:tmpl w:val="C9368AA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10892770"/>
    <w:multiLevelType w:val="multilevel"/>
    <w:tmpl w:val="10892770"/>
    <w:lvl w:ilvl="0" w:tentative="0">
      <w:start w:val="1"/>
      <w:numFmt w:val="decimal"/>
      <w:suff w:val="space"/>
      <w:lvlText w:val="%1."/>
      <w:lvlJc w:val="left"/>
      <w:rPr>
        <w:rFonts w:hint="default" w:ascii="Arial" w:hAnsi="Arial" w:cs="Arial"/>
        <w:b/>
        <w:bCs/>
        <w:sz w:val="24"/>
        <w:szCs w:val="24"/>
      </w:rPr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  <w:b/>
        <w:bCs/>
        <w:color w:val="auto"/>
        <w:sz w:val="24"/>
        <w:szCs w:val="24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 w:ascii="Times New Roman" w:hAnsi="Times New Roman" w:cs="Times New Roman"/>
        <w:b/>
        <w:bCs/>
        <w:i w:val="0"/>
        <w:iCs w:val="0"/>
        <w:color w:val="auto"/>
        <w:sz w:val="24"/>
        <w:szCs w:val="24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  <w:b/>
        <w:bCs/>
        <w:i w:val="0"/>
        <w:iCs w:val="0"/>
        <w:color w:val="auto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19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7724B"/>
    <w:rsid w:val="01221B9B"/>
    <w:rsid w:val="014F04FE"/>
    <w:rsid w:val="0264337C"/>
    <w:rsid w:val="035769A3"/>
    <w:rsid w:val="04430370"/>
    <w:rsid w:val="06311111"/>
    <w:rsid w:val="074D5B0C"/>
    <w:rsid w:val="0890741D"/>
    <w:rsid w:val="08CA54DC"/>
    <w:rsid w:val="09261A80"/>
    <w:rsid w:val="0B1D5DC3"/>
    <w:rsid w:val="0B811768"/>
    <w:rsid w:val="0BE3070D"/>
    <w:rsid w:val="0C87121B"/>
    <w:rsid w:val="0CDD0BB1"/>
    <w:rsid w:val="0D051AEA"/>
    <w:rsid w:val="0D3B11A7"/>
    <w:rsid w:val="0DE17AF4"/>
    <w:rsid w:val="0E463ED8"/>
    <w:rsid w:val="0F155271"/>
    <w:rsid w:val="0F8C6010"/>
    <w:rsid w:val="0FDE750E"/>
    <w:rsid w:val="10014184"/>
    <w:rsid w:val="10CF32FA"/>
    <w:rsid w:val="10E93554"/>
    <w:rsid w:val="116F149C"/>
    <w:rsid w:val="119D3F45"/>
    <w:rsid w:val="12101FEE"/>
    <w:rsid w:val="123F1D79"/>
    <w:rsid w:val="125A4A6E"/>
    <w:rsid w:val="1394348E"/>
    <w:rsid w:val="146D649E"/>
    <w:rsid w:val="155A5817"/>
    <w:rsid w:val="15EF7F09"/>
    <w:rsid w:val="16B70AB9"/>
    <w:rsid w:val="16C75478"/>
    <w:rsid w:val="17761009"/>
    <w:rsid w:val="17DC1639"/>
    <w:rsid w:val="17ED7343"/>
    <w:rsid w:val="1884417F"/>
    <w:rsid w:val="1890336F"/>
    <w:rsid w:val="18982224"/>
    <w:rsid w:val="194B494F"/>
    <w:rsid w:val="1A59270D"/>
    <w:rsid w:val="1AD353D3"/>
    <w:rsid w:val="1D147CC1"/>
    <w:rsid w:val="1D956B3E"/>
    <w:rsid w:val="1E5B0015"/>
    <w:rsid w:val="1F7F211F"/>
    <w:rsid w:val="21E42A1B"/>
    <w:rsid w:val="247D6358"/>
    <w:rsid w:val="26304003"/>
    <w:rsid w:val="267972B7"/>
    <w:rsid w:val="27FC63C5"/>
    <w:rsid w:val="28364A85"/>
    <w:rsid w:val="28CD114B"/>
    <w:rsid w:val="28EB365C"/>
    <w:rsid w:val="2A4818AB"/>
    <w:rsid w:val="2B1517CD"/>
    <w:rsid w:val="2B465E7A"/>
    <w:rsid w:val="2B761284"/>
    <w:rsid w:val="2C395244"/>
    <w:rsid w:val="2D2E332F"/>
    <w:rsid w:val="2DAA28F9"/>
    <w:rsid w:val="2E4A4884"/>
    <w:rsid w:val="2EDF0AA9"/>
    <w:rsid w:val="2F162BDB"/>
    <w:rsid w:val="2F2111E1"/>
    <w:rsid w:val="2F7E3AF9"/>
    <w:rsid w:val="30DE587B"/>
    <w:rsid w:val="31362E4A"/>
    <w:rsid w:val="31EA18EB"/>
    <w:rsid w:val="326924C4"/>
    <w:rsid w:val="335D2BE0"/>
    <w:rsid w:val="33912B1A"/>
    <w:rsid w:val="35080AA4"/>
    <w:rsid w:val="35B41300"/>
    <w:rsid w:val="36BB54E1"/>
    <w:rsid w:val="36DC2791"/>
    <w:rsid w:val="382C7C9F"/>
    <w:rsid w:val="383529C2"/>
    <w:rsid w:val="38622CF7"/>
    <w:rsid w:val="39511A25"/>
    <w:rsid w:val="3A652486"/>
    <w:rsid w:val="3A7754FB"/>
    <w:rsid w:val="3C447349"/>
    <w:rsid w:val="3C6D09EE"/>
    <w:rsid w:val="3D9A05BE"/>
    <w:rsid w:val="3D9E168C"/>
    <w:rsid w:val="3E3F716C"/>
    <w:rsid w:val="3E5541D1"/>
    <w:rsid w:val="3E833CA2"/>
    <w:rsid w:val="3EC62705"/>
    <w:rsid w:val="3F96351A"/>
    <w:rsid w:val="400A5D1A"/>
    <w:rsid w:val="402053B7"/>
    <w:rsid w:val="4110603D"/>
    <w:rsid w:val="41D80AF3"/>
    <w:rsid w:val="42F0296B"/>
    <w:rsid w:val="44634A8F"/>
    <w:rsid w:val="45E767AB"/>
    <w:rsid w:val="4620365C"/>
    <w:rsid w:val="47457496"/>
    <w:rsid w:val="47BA7D3C"/>
    <w:rsid w:val="483013B4"/>
    <w:rsid w:val="487C587B"/>
    <w:rsid w:val="48B91E5D"/>
    <w:rsid w:val="48E2521F"/>
    <w:rsid w:val="492D1E1C"/>
    <w:rsid w:val="4A377225"/>
    <w:rsid w:val="4A8527A7"/>
    <w:rsid w:val="4ABE0022"/>
    <w:rsid w:val="4B1E7ADE"/>
    <w:rsid w:val="4CA3204A"/>
    <w:rsid w:val="4CD47315"/>
    <w:rsid w:val="4D3D4EF3"/>
    <w:rsid w:val="4DCD06E5"/>
    <w:rsid w:val="4E5C1393"/>
    <w:rsid w:val="4EB46CAF"/>
    <w:rsid w:val="5045033F"/>
    <w:rsid w:val="50601F61"/>
    <w:rsid w:val="50865F59"/>
    <w:rsid w:val="50B46629"/>
    <w:rsid w:val="537D33D2"/>
    <w:rsid w:val="54221594"/>
    <w:rsid w:val="548656D1"/>
    <w:rsid w:val="54B429AD"/>
    <w:rsid w:val="552E57E0"/>
    <w:rsid w:val="557C762A"/>
    <w:rsid w:val="55841FB5"/>
    <w:rsid w:val="55E527F0"/>
    <w:rsid w:val="57052952"/>
    <w:rsid w:val="570854D9"/>
    <w:rsid w:val="585C10A0"/>
    <w:rsid w:val="590F1177"/>
    <w:rsid w:val="595D2888"/>
    <w:rsid w:val="59874BEF"/>
    <w:rsid w:val="5AE81333"/>
    <w:rsid w:val="5AFA2820"/>
    <w:rsid w:val="5B164401"/>
    <w:rsid w:val="5C393500"/>
    <w:rsid w:val="5EA401BF"/>
    <w:rsid w:val="5ED27673"/>
    <w:rsid w:val="5F7D55BA"/>
    <w:rsid w:val="5FD552B3"/>
    <w:rsid w:val="61C5059A"/>
    <w:rsid w:val="61F401C1"/>
    <w:rsid w:val="621B473F"/>
    <w:rsid w:val="62575830"/>
    <w:rsid w:val="642A28C1"/>
    <w:rsid w:val="64637710"/>
    <w:rsid w:val="64D12312"/>
    <w:rsid w:val="651B0FAB"/>
    <w:rsid w:val="652E11F0"/>
    <w:rsid w:val="65AE59DE"/>
    <w:rsid w:val="6765648E"/>
    <w:rsid w:val="684E687E"/>
    <w:rsid w:val="68C55ABD"/>
    <w:rsid w:val="690E4D4E"/>
    <w:rsid w:val="69382F8B"/>
    <w:rsid w:val="6A591C0A"/>
    <w:rsid w:val="6A5B510D"/>
    <w:rsid w:val="6AE43D6D"/>
    <w:rsid w:val="6B6A69E4"/>
    <w:rsid w:val="6C0762BF"/>
    <w:rsid w:val="6CF5256A"/>
    <w:rsid w:val="6DA04EEA"/>
    <w:rsid w:val="6DFD2990"/>
    <w:rsid w:val="6F697D59"/>
    <w:rsid w:val="6F864E0C"/>
    <w:rsid w:val="70CF2B23"/>
    <w:rsid w:val="70D54A2C"/>
    <w:rsid w:val="72C72C5E"/>
    <w:rsid w:val="73181763"/>
    <w:rsid w:val="735E4640"/>
    <w:rsid w:val="743D14F3"/>
    <w:rsid w:val="74806241"/>
    <w:rsid w:val="757C7D23"/>
    <w:rsid w:val="76CF4CF7"/>
    <w:rsid w:val="776C694F"/>
    <w:rsid w:val="77A80277"/>
    <w:rsid w:val="78A55B95"/>
    <w:rsid w:val="791A3D64"/>
    <w:rsid w:val="79533C02"/>
    <w:rsid w:val="7A554614"/>
    <w:rsid w:val="7D8923A8"/>
    <w:rsid w:val="7D9879D1"/>
    <w:rsid w:val="7DB35BED"/>
    <w:rsid w:val="7E4C41F6"/>
    <w:rsid w:val="7E932D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qFormat/>
    <w:uiPriority w:val="1"/>
    <w:pPr>
      <w:ind w:left="1041" w:right="1498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22"/>
    <w:rPr>
      <w:b/>
      <w:bCs/>
    </w:rPr>
  </w:style>
  <w:style w:type="paragraph" w:styleId="6">
    <w:name w:val="Body Text"/>
    <w:basedOn w:val="1"/>
    <w:qFormat/>
    <w:uiPriority w:val="1"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7">
    <w:name w:val="Normal (Web)"/>
    <w:basedOn w:val="1"/>
    <w:unhideWhenUsed/>
    <w:qFormat/>
    <w:uiPriority w:val="0"/>
    <w:pPr>
      <w:spacing w:before="100" w:beforeAutospacing="1" w:after="100" w:afterAutospacing="1"/>
    </w:pPr>
  </w:style>
  <w:style w:type="paragraph" w:styleId="8">
    <w:name w:val="Plain Text"/>
    <w:basedOn w:val="1"/>
    <w:qFormat/>
    <w:uiPriority w:val="0"/>
    <w:pPr>
      <w:spacing w:after="200" w:line="276" w:lineRule="auto"/>
    </w:pPr>
    <w:rPr>
      <w:rFonts w:ascii="Courier New" w:hAnsi="Courier New" w:cs="Courier New"/>
      <w:sz w:val="20"/>
      <w:szCs w:val="20"/>
    </w:rPr>
  </w:style>
  <w:style w:type="paragraph" w:styleId="9">
    <w:name w:val="Body Text 2"/>
    <w:basedOn w:val="1"/>
    <w:qFormat/>
    <w:uiPriority w:val="0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eastAsia="Times New Roman" w:cs="Goudy Old Style"/>
      <w:snapToGrid w:val="0"/>
      <w:color w:val="000000"/>
      <w:sz w:val="20"/>
      <w:szCs w:val="20"/>
    </w:rPr>
  </w:style>
  <w:style w:type="paragraph" w:styleId="10">
    <w:name w:val="header"/>
    <w:basedOn w:val="1"/>
    <w:autoRedefine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12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Table Paragraph"/>
    <w:basedOn w:val="1"/>
    <w:qFormat/>
    <w:uiPriority w:val="1"/>
    <w:pPr>
      <w:ind w:left="107"/>
    </w:pPr>
    <w:rPr>
      <w:rFonts w:ascii="Times New Roman" w:hAnsi="Times New Roman" w:eastAsia="Times New Roman" w:cs="Times New Roman"/>
      <w:lang w:val="pt-PT" w:eastAsia="en-US" w:bidi="ar-SA"/>
    </w:rPr>
  </w:style>
  <w:style w:type="paragraph" w:styleId="14">
    <w:name w:val="List Paragraph"/>
    <w:basedOn w:val="1"/>
    <w:qFormat/>
    <w:uiPriority w:val="1"/>
    <w:pPr>
      <w:ind w:left="118" w:firstLine="2834"/>
    </w:pPr>
    <w:rPr>
      <w:rFonts w:ascii="Times New Roman" w:hAnsi="Times New Roman" w:eastAsia="Times New Roman" w:cs="Times New Roman"/>
      <w:lang w:val="pt-PT" w:eastAsia="en-US"/>
    </w:rPr>
  </w:style>
  <w:style w:type="character" w:customStyle="1" w:styleId="15">
    <w:name w:val="font1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6">
    <w:name w:val="font21"/>
    <w:qFormat/>
    <w:uiPriority w:val="0"/>
    <w:rPr>
      <w:rFonts w:ascii="SimSun" w:hAnsi="SimSun" w:eastAsia="SimSun" w:cs="SimSun"/>
      <w:color w:val="000000"/>
      <w:u w:val="none"/>
    </w:rPr>
  </w:style>
  <w:style w:type="character" w:customStyle="1" w:styleId="17">
    <w:name w:val="font14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18">
    <w:name w:val="font171"/>
    <w:qFormat/>
    <w:uiPriority w:val="0"/>
    <w:rPr>
      <w:rFonts w:hint="default" w:ascii="Arial" w:hAnsi="Arial" w:cs="Arial"/>
      <w:color w:val="1E3028"/>
      <w:u w:val="none"/>
    </w:rPr>
  </w:style>
  <w:style w:type="character" w:customStyle="1" w:styleId="19">
    <w:name w:val="font10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0">
    <w:name w:val="font131"/>
    <w:qFormat/>
    <w:uiPriority w:val="0"/>
    <w:rPr>
      <w:rFonts w:hint="default" w:ascii="Arial" w:hAnsi="Arial" w:cs="Arial"/>
      <w:color w:val="000000"/>
      <w:u w:val="single"/>
    </w:rPr>
  </w:style>
  <w:style w:type="character" w:customStyle="1" w:styleId="21">
    <w:name w:val="font181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2">
    <w:name w:val="font91"/>
    <w:qFormat/>
    <w:uiPriority w:val="0"/>
    <w:rPr>
      <w:rFonts w:hint="default" w:ascii="Arial" w:hAnsi="Arial" w:cs="Arial"/>
      <w:color w:val="333333"/>
      <w:u w:val="none"/>
    </w:rPr>
  </w:style>
  <w:style w:type="character" w:customStyle="1" w:styleId="23">
    <w:name w:val="font8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4">
    <w:name w:val="font61"/>
    <w:qFormat/>
    <w:uiPriority w:val="0"/>
    <w:rPr>
      <w:rFonts w:hint="default" w:ascii="Arial" w:hAnsi="Arial" w:cs="Arial"/>
      <w:color w:val="000000"/>
      <w:u w:val="none"/>
    </w:rPr>
  </w:style>
  <w:style w:type="character" w:customStyle="1" w:styleId="25">
    <w:name w:val="font112"/>
    <w:qFormat/>
    <w:uiPriority w:val="0"/>
    <w:rPr>
      <w:rFonts w:hint="default" w:ascii="Arial" w:hAnsi="Arial" w:cs="Arial"/>
      <w:i/>
      <w:iCs/>
      <w:color w:val="000000"/>
      <w:u w:val="none"/>
    </w:rPr>
  </w:style>
  <w:style w:type="character" w:customStyle="1" w:styleId="26">
    <w:name w:val="font51"/>
    <w:qFormat/>
    <w:uiPriority w:val="0"/>
    <w:rPr>
      <w:rFonts w:hint="default" w:ascii="Arial" w:hAnsi="Arial" w:cs="Arial"/>
      <w:color w:val="333333"/>
      <w:u w:val="none"/>
    </w:rPr>
  </w:style>
  <w:style w:type="paragraph" w:styleId="27">
    <w:name w:val="No Spacing"/>
    <w:qFormat/>
    <w:uiPriority w:val="1"/>
    <w:rPr>
      <w:rFonts w:ascii="Calibri" w:hAnsi="Calibri" w:eastAsia="Calibri" w:cs="Times New Roman"/>
      <w:sz w:val="22"/>
      <w:szCs w:val="22"/>
      <w:lang w:val="pt-BR" w:eastAsia="en-US" w:bidi="ar-SA"/>
    </w:rPr>
  </w:style>
  <w:style w:type="paragraph" w:customStyle="1" w:styleId="28">
    <w:name w:val="Default"/>
    <w:qFormat/>
    <w:uiPriority w:val="0"/>
    <w:pPr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pt-BR" w:eastAsia="en-US" w:bidi="ar-SA"/>
    </w:rPr>
  </w:style>
  <w:style w:type="character" w:customStyle="1" w:styleId="29">
    <w:name w:val="markedcontent"/>
    <w:basedOn w:val="3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2024-04-24T13:04:00Z</dcterms:created>
  <dc:creator>nagela.lima</dc:creator>
  <cp:lastModifiedBy>LEONIR BAZZI DE MORAIS</cp:lastModifiedBy>
  <cp:lastPrinted>2025-11-10T20:22:29Z</cp:lastPrinted>
  <dcterms:modified xsi:type="dcterms:W3CDTF">2025-11-10T20:26:02Z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6812B9CB7140480F99EA3E9F4F063259_13</vt:lpwstr>
  </property>
</Properties>
</file>