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76E43">
      <w:pPr>
        <w:pStyle w:val="2"/>
        <w:spacing w:line="360" w:lineRule="auto"/>
        <w:ind w:left="0" w:right="304"/>
      </w:pPr>
      <w:bookmarkStart w:id="2" w:name="_GoBack"/>
      <w:bookmarkEnd w:id="2"/>
      <w:bookmarkStart w:id="0" w:name="_bookmark321"/>
      <w:bookmarkEnd w:id="0"/>
      <w:bookmarkStart w:id="1" w:name="_bookmark322"/>
      <w:bookmarkEnd w:id="1"/>
      <w:r>
        <w:t>PROJETO BÁSICO</w:t>
      </w:r>
    </w:p>
    <w:p w14:paraId="2D8DC93F">
      <w:pPr>
        <w:pStyle w:val="10"/>
        <w:spacing w:before="120" w:line="360" w:lineRule="auto"/>
        <w:jc w:val="both"/>
        <w:rPr>
          <w:b/>
        </w:rPr>
      </w:pPr>
    </w:p>
    <w:p w14:paraId="336E459D">
      <w:pPr>
        <w:tabs>
          <w:tab w:val="left" w:pos="1732"/>
          <w:tab w:val="left" w:pos="2054"/>
          <w:tab w:val="left" w:pos="3127"/>
          <w:tab w:val="left" w:pos="3446"/>
          <w:tab w:val="left" w:pos="3640"/>
          <w:tab w:val="left" w:pos="4912"/>
          <w:tab w:val="left" w:pos="5234"/>
          <w:tab w:val="left" w:pos="6220"/>
        </w:tabs>
        <w:spacing w:line="360" w:lineRule="auto"/>
        <w:ind w:right="304"/>
        <w:jc w:val="both"/>
        <w:rPr>
          <w:b/>
          <w:sz w:val="24"/>
          <w:szCs w:val="24"/>
        </w:rPr>
      </w:pPr>
      <w:r>
        <w:rPr>
          <w:b/>
          <w:sz w:val="24"/>
          <w:szCs w:val="24"/>
        </w:rPr>
        <w:t>SIGILO:</w:t>
      </w:r>
      <w:r>
        <w:rPr>
          <w:b/>
          <w:sz w:val="24"/>
          <w:szCs w:val="24"/>
        </w:rPr>
        <w:tab/>
      </w:r>
      <w:r>
        <w:rPr>
          <w:b/>
          <w:sz w:val="24"/>
          <w:szCs w:val="24"/>
        </w:rPr>
        <w:t>(</w:t>
      </w:r>
      <w:r>
        <w:rPr>
          <w:b/>
          <w:sz w:val="24"/>
          <w:szCs w:val="24"/>
        </w:rPr>
        <w:tab/>
      </w:r>
      <w:r>
        <w:rPr>
          <w:b/>
          <w:sz w:val="24"/>
          <w:szCs w:val="24"/>
        </w:rPr>
        <w:t>)</w:t>
      </w:r>
      <w:r>
        <w:rPr>
          <w:b/>
          <w:spacing w:val="-1"/>
          <w:sz w:val="24"/>
          <w:szCs w:val="24"/>
        </w:rPr>
        <w:t xml:space="preserve"> </w:t>
      </w:r>
      <w:r>
        <w:rPr>
          <w:b/>
          <w:sz w:val="24"/>
          <w:szCs w:val="24"/>
        </w:rPr>
        <w:t>SIM</w:t>
      </w:r>
      <w:r>
        <w:rPr>
          <w:b/>
          <w:sz w:val="24"/>
          <w:szCs w:val="24"/>
        </w:rPr>
        <w:tab/>
      </w:r>
      <w:r>
        <w:rPr>
          <w:b/>
          <w:sz w:val="24"/>
          <w:szCs w:val="24"/>
        </w:rPr>
        <w:t>( X ) NÃO</w:t>
      </w:r>
    </w:p>
    <w:p w14:paraId="287155B4">
      <w:pPr>
        <w:tabs>
          <w:tab w:val="left" w:pos="1732"/>
          <w:tab w:val="left" w:pos="2054"/>
          <w:tab w:val="left" w:pos="3127"/>
          <w:tab w:val="left" w:pos="3446"/>
          <w:tab w:val="left" w:pos="3640"/>
          <w:tab w:val="left" w:pos="4912"/>
          <w:tab w:val="left" w:pos="5234"/>
          <w:tab w:val="left" w:pos="6220"/>
        </w:tabs>
        <w:spacing w:line="360" w:lineRule="auto"/>
        <w:ind w:right="304"/>
        <w:jc w:val="both"/>
        <w:rPr>
          <w:b/>
          <w:sz w:val="24"/>
          <w:szCs w:val="24"/>
        </w:rPr>
      </w:pPr>
      <w:r>
        <w:rPr>
          <w:b/>
          <w:sz w:val="24"/>
          <w:szCs w:val="24"/>
        </w:rPr>
        <w:t>PREVISÃO NO PLANO DE</w:t>
      </w:r>
      <w:r>
        <w:rPr>
          <w:rFonts w:hint="default"/>
          <w:b/>
          <w:sz w:val="24"/>
          <w:szCs w:val="24"/>
          <w:lang w:val="pt-BR"/>
        </w:rPr>
        <w:t xml:space="preserve"> </w:t>
      </w:r>
      <w:r>
        <w:rPr>
          <w:b/>
          <w:spacing w:val="-57"/>
          <w:sz w:val="24"/>
          <w:szCs w:val="24"/>
        </w:rPr>
        <w:t xml:space="preserve"> </w:t>
      </w:r>
      <w:r>
        <w:rPr>
          <w:rFonts w:hint="default"/>
          <w:b/>
          <w:spacing w:val="-57"/>
          <w:sz w:val="24"/>
          <w:szCs w:val="24"/>
          <w:lang w:val="pt-BR"/>
        </w:rPr>
        <w:t xml:space="preserve">  </w:t>
      </w:r>
      <w:r>
        <w:rPr>
          <w:b/>
          <w:sz w:val="24"/>
          <w:szCs w:val="24"/>
        </w:rPr>
        <w:t>CONTRATAÇÃO</w:t>
      </w:r>
      <w:r>
        <w:rPr>
          <w:b/>
          <w:spacing w:val="-6"/>
          <w:sz w:val="24"/>
          <w:szCs w:val="24"/>
        </w:rPr>
        <w:t xml:space="preserve"> </w:t>
      </w:r>
      <w:r>
        <w:rPr>
          <w:b/>
          <w:sz w:val="24"/>
          <w:szCs w:val="24"/>
        </w:rPr>
        <w:t>ANUAL:</w:t>
      </w:r>
      <w:r>
        <w:rPr>
          <w:b/>
          <w:sz w:val="24"/>
          <w:szCs w:val="24"/>
        </w:rPr>
        <w:tab/>
      </w:r>
      <w:r>
        <w:rPr>
          <w:b/>
          <w:sz w:val="24"/>
          <w:szCs w:val="24"/>
        </w:rPr>
        <w:t>( X  )</w:t>
      </w:r>
      <w:r>
        <w:rPr>
          <w:b/>
          <w:spacing w:val="-1"/>
          <w:sz w:val="24"/>
          <w:szCs w:val="24"/>
        </w:rPr>
        <w:t xml:space="preserve"> </w:t>
      </w:r>
      <w:r>
        <w:rPr>
          <w:b/>
          <w:sz w:val="24"/>
          <w:szCs w:val="24"/>
        </w:rPr>
        <w:t>SIM     (   )</w:t>
      </w:r>
      <w:r>
        <w:rPr>
          <w:b/>
          <w:spacing w:val="-1"/>
          <w:sz w:val="24"/>
          <w:szCs w:val="24"/>
        </w:rPr>
        <w:t xml:space="preserve"> </w:t>
      </w:r>
      <w:r>
        <w:rPr>
          <w:b/>
          <w:sz w:val="24"/>
          <w:szCs w:val="24"/>
        </w:rPr>
        <w:t>NÃO</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36AD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0" w:type="dxa"/>
            <w:shd w:val="clear" w:color="auto" w:fill="D8D8D8" w:themeFill="background1" w:themeFillShade="D9"/>
          </w:tcPr>
          <w:p w14:paraId="1EF1A0AD">
            <w:pPr>
              <w:numPr>
                <w:ilvl w:val="0"/>
                <w:numId w:val="3"/>
              </w:numPr>
              <w:spacing w:line="360" w:lineRule="auto"/>
              <w:jc w:val="both"/>
              <w:rPr>
                <w:sz w:val="24"/>
                <w:szCs w:val="24"/>
              </w:rPr>
            </w:pPr>
            <w:r>
              <w:rPr>
                <w:b/>
                <w:sz w:val="24"/>
                <w:szCs w:val="24"/>
              </w:rPr>
              <w:t>ÁREA DEMANDANTE:</w:t>
            </w:r>
          </w:p>
        </w:tc>
      </w:tr>
    </w:tbl>
    <w:p w14:paraId="44E5A8BC">
      <w:pPr>
        <w:pStyle w:val="10"/>
        <w:spacing w:before="120" w:after="120" w:afterLines="50" w:line="360" w:lineRule="auto"/>
        <w:jc w:val="both"/>
        <w:rPr>
          <w:bCs/>
        </w:rPr>
      </w:pPr>
      <w:r>
        <w:rPr>
          <w:b/>
        </w:rPr>
        <w:t>Secretaria</w:t>
      </w:r>
      <w:r>
        <w:rPr>
          <w:b/>
          <w:spacing w:val="-4"/>
        </w:rPr>
        <w:t xml:space="preserve"> </w:t>
      </w:r>
      <w:r>
        <w:rPr>
          <w:b/>
        </w:rPr>
        <w:t xml:space="preserve">Demandante: </w:t>
      </w:r>
      <w:r>
        <w:rPr>
          <w:bCs/>
        </w:rPr>
        <w:t>Secretaria Municipal de Obras e Serviços Urbanos</w:t>
      </w:r>
    </w:p>
    <w:p w14:paraId="398713D5">
      <w:pPr>
        <w:pStyle w:val="10"/>
        <w:spacing w:before="120" w:after="120" w:afterLines="50" w:line="360" w:lineRule="auto"/>
        <w:jc w:val="both"/>
        <w:rPr>
          <w:bCs/>
        </w:rPr>
      </w:pPr>
      <w:r>
        <w:rPr>
          <w:b/>
        </w:rPr>
        <w:t xml:space="preserve">Secretário: </w:t>
      </w:r>
      <w:r>
        <w:rPr>
          <w:bCs/>
        </w:rPr>
        <w:t>Lindomar Ferreira Guida</w:t>
      </w:r>
    </w:p>
    <w:p w14:paraId="0E109C90">
      <w:pPr>
        <w:pStyle w:val="10"/>
        <w:spacing w:before="120" w:after="120" w:afterLines="50" w:line="360" w:lineRule="auto"/>
        <w:jc w:val="both"/>
        <w:rPr>
          <w:bCs/>
        </w:rPr>
      </w:pPr>
      <w:r>
        <w:rPr>
          <w:b/>
          <w:bCs/>
        </w:rPr>
        <w:t xml:space="preserve">Email: </w:t>
      </w:r>
      <w:r>
        <w:fldChar w:fldCharType="begin"/>
      </w:r>
      <w:r>
        <w:instrText xml:space="preserve"> HYPERLINK "mailto:seligaobras@sinop.mt.gov.br" </w:instrText>
      </w:r>
      <w:r>
        <w:fldChar w:fldCharType="separate"/>
      </w:r>
      <w:r>
        <w:rPr>
          <w:rStyle w:val="8"/>
          <w:bCs/>
          <w:color w:val="auto"/>
          <w:u w:val="none"/>
        </w:rPr>
        <w:t>seligaobras@sinop.mt.gov.br</w:t>
      </w:r>
      <w:r>
        <w:rPr>
          <w:rStyle w:val="8"/>
          <w:bCs/>
          <w:color w:val="auto"/>
          <w:u w:val="none"/>
        </w:rPr>
        <w:fldChar w:fldCharType="end"/>
      </w:r>
      <w:r>
        <w:rPr>
          <w:bCs/>
        </w:rPr>
        <w:t xml:space="preserve">                             </w:t>
      </w:r>
      <w:r>
        <w:rPr>
          <w:b/>
          <w:bCs/>
        </w:rPr>
        <w:t xml:space="preserve">Telefone : </w:t>
      </w:r>
      <w:r>
        <w:rPr>
          <w:b/>
        </w:rPr>
        <w:t>(</w:t>
      </w:r>
      <w:r>
        <w:rPr>
          <w:bCs/>
        </w:rPr>
        <w:t>66) 99998-5131</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3E5CA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2E52ED0C">
            <w:pPr>
              <w:numPr>
                <w:ilvl w:val="0"/>
                <w:numId w:val="3"/>
              </w:numPr>
              <w:spacing w:line="360" w:lineRule="auto"/>
              <w:jc w:val="both"/>
              <w:rPr>
                <w:sz w:val="24"/>
                <w:szCs w:val="24"/>
              </w:rPr>
            </w:pPr>
            <w:r>
              <w:rPr>
                <w:b/>
                <w:sz w:val="24"/>
                <w:szCs w:val="24"/>
              </w:rPr>
              <w:t>OBJETO:</w:t>
            </w:r>
          </w:p>
        </w:tc>
      </w:tr>
    </w:tbl>
    <w:p w14:paraId="03E6DE52">
      <w:pPr>
        <w:pStyle w:val="20"/>
        <w:numPr>
          <w:ilvl w:val="1"/>
          <w:numId w:val="3"/>
        </w:numPr>
        <w:tabs>
          <w:tab w:val="clear" w:pos="0"/>
        </w:tabs>
        <w:rPr>
          <w:rFonts w:eastAsia="Rawline-Medium"/>
          <w:sz w:val="24"/>
          <w:szCs w:val="24"/>
          <w:lang w:eastAsia="zh-CN" w:bidi="ar"/>
        </w:rPr>
      </w:pPr>
      <w:r>
        <w:rPr>
          <w:b/>
          <w:sz w:val="24"/>
          <w:szCs w:val="24"/>
        </w:rPr>
        <w:t>Especificação</w:t>
      </w:r>
      <w:r>
        <w:rPr>
          <w:b/>
          <w:spacing w:val="-2"/>
          <w:sz w:val="24"/>
          <w:szCs w:val="24"/>
        </w:rPr>
        <w:t xml:space="preserve"> </w:t>
      </w:r>
      <w:r>
        <w:rPr>
          <w:b/>
          <w:sz w:val="24"/>
          <w:szCs w:val="24"/>
        </w:rPr>
        <w:t>do</w:t>
      </w:r>
      <w:r>
        <w:rPr>
          <w:b/>
          <w:spacing w:val="-2"/>
          <w:sz w:val="24"/>
          <w:szCs w:val="24"/>
        </w:rPr>
        <w:t xml:space="preserve"> </w:t>
      </w:r>
      <w:r>
        <w:rPr>
          <w:b/>
          <w:sz w:val="24"/>
          <w:szCs w:val="24"/>
        </w:rPr>
        <w:t xml:space="preserve">objeto: </w:t>
      </w:r>
      <w:r>
        <w:rPr>
          <w:spacing w:val="-2"/>
          <w:sz w:val="24"/>
          <w:szCs w:val="24"/>
        </w:rPr>
        <w:t xml:space="preserve"> </w:t>
      </w:r>
      <w:r>
        <w:rPr>
          <w:sz w:val="24"/>
          <w:szCs w:val="24"/>
        </w:rPr>
        <w:t>O presente termo tem por objeto a “Contratação de Empresa de Engenharia Especializada para a Execução de Obra de Construção de Cemitério Vertical no Cemitério Municipal de Sinop/MT”.</w:t>
      </w:r>
    </w:p>
    <w:p w14:paraId="4AEB9C4C">
      <w:pPr>
        <w:pStyle w:val="20"/>
        <w:numPr>
          <w:ilvl w:val="1"/>
          <w:numId w:val="3"/>
        </w:numPr>
        <w:tabs>
          <w:tab w:val="clear" w:pos="0"/>
        </w:tabs>
        <w:rPr>
          <w:rFonts w:eastAsia="Rawline-Medium"/>
          <w:sz w:val="24"/>
          <w:szCs w:val="24"/>
          <w:lang w:eastAsia="zh-CN" w:bidi="ar"/>
        </w:rPr>
      </w:pPr>
      <w:r>
        <w:rPr>
          <w:sz w:val="24"/>
          <w:szCs w:val="24"/>
        </w:rPr>
        <w:t>Descrição e Quantidades:</w:t>
      </w:r>
    </w:p>
    <w:tbl>
      <w:tblPr>
        <w:tblStyle w:val="17"/>
        <w:tblW w:w="9605"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970"/>
        <w:gridCol w:w="2484"/>
        <w:gridCol w:w="1225"/>
        <w:gridCol w:w="387"/>
        <w:gridCol w:w="1958"/>
        <w:gridCol w:w="2008"/>
      </w:tblGrid>
      <w:tr w14:paraId="6AAE7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shd w:val="clear" w:color="auto" w:fill="D7D7D7" w:themeFill="background1" w:themeFillShade="D8"/>
          </w:tcPr>
          <w:p w14:paraId="4BD7E567">
            <w:pPr>
              <w:pStyle w:val="20"/>
              <w:rPr>
                <w:sz w:val="24"/>
                <w:szCs w:val="24"/>
              </w:rPr>
            </w:pPr>
            <w:r>
              <w:rPr>
                <w:sz w:val="24"/>
                <w:szCs w:val="24"/>
              </w:rPr>
              <w:t>I</w:t>
            </w:r>
          </w:p>
          <w:p w14:paraId="3488796F">
            <w:pPr>
              <w:pStyle w:val="20"/>
              <w:rPr>
                <w:sz w:val="24"/>
                <w:szCs w:val="24"/>
              </w:rPr>
            </w:pPr>
            <w:r>
              <w:rPr>
                <w:sz w:val="24"/>
                <w:szCs w:val="24"/>
              </w:rPr>
              <w:t>T</w:t>
            </w:r>
          </w:p>
          <w:p w14:paraId="72A76911">
            <w:pPr>
              <w:pStyle w:val="20"/>
              <w:rPr>
                <w:sz w:val="24"/>
                <w:szCs w:val="24"/>
              </w:rPr>
            </w:pPr>
            <w:r>
              <w:rPr>
                <w:sz w:val="24"/>
                <w:szCs w:val="24"/>
              </w:rPr>
              <w:t>E</w:t>
            </w:r>
          </w:p>
          <w:p w14:paraId="1B76B7E6">
            <w:pPr>
              <w:pStyle w:val="20"/>
              <w:rPr>
                <w:rFonts w:eastAsia="Rawline-Medium"/>
                <w:sz w:val="24"/>
                <w:szCs w:val="24"/>
                <w:lang w:eastAsia="zh-CN" w:bidi="ar"/>
              </w:rPr>
            </w:pPr>
            <w:r>
              <w:rPr>
                <w:sz w:val="24"/>
                <w:szCs w:val="24"/>
              </w:rPr>
              <w:t>m</w:t>
            </w:r>
          </w:p>
        </w:tc>
        <w:tc>
          <w:tcPr>
            <w:tcW w:w="970" w:type="dxa"/>
            <w:shd w:val="clear" w:color="auto" w:fill="D7D7D7" w:themeFill="background1" w:themeFillShade="D8"/>
          </w:tcPr>
          <w:p w14:paraId="3479BCCF">
            <w:pPr>
              <w:pStyle w:val="20"/>
              <w:jc w:val="center"/>
              <w:rPr>
                <w:sz w:val="24"/>
                <w:szCs w:val="24"/>
              </w:rPr>
            </w:pPr>
            <w:r>
              <w:rPr>
                <w:sz w:val="24"/>
                <w:szCs w:val="24"/>
              </w:rPr>
              <w:t>Cód.</w:t>
            </w:r>
          </w:p>
          <w:p w14:paraId="3D4D2B43">
            <w:pPr>
              <w:pStyle w:val="20"/>
              <w:jc w:val="center"/>
              <w:rPr>
                <w:sz w:val="24"/>
                <w:szCs w:val="24"/>
                <w:lang w:eastAsia="zh-CN"/>
              </w:rPr>
            </w:pPr>
            <w:r>
              <w:rPr>
                <w:sz w:val="24"/>
                <w:szCs w:val="24"/>
              </w:rPr>
              <w:t>Pref.</w:t>
            </w:r>
          </w:p>
        </w:tc>
        <w:tc>
          <w:tcPr>
            <w:tcW w:w="2484" w:type="dxa"/>
            <w:shd w:val="clear" w:color="auto" w:fill="D7D7D7" w:themeFill="background1" w:themeFillShade="D8"/>
          </w:tcPr>
          <w:p w14:paraId="54818FEA">
            <w:pPr>
              <w:pStyle w:val="20"/>
              <w:jc w:val="center"/>
              <w:rPr>
                <w:rFonts w:eastAsia="Rawline-Medium"/>
                <w:sz w:val="24"/>
                <w:szCs w:val="24"/>
                <w:lang w:eastAsia="zh-CN" w:bidi="ar"/>
              </w:rPr>
            </w:pPr>
            <w:r>
              <w:rPr>
                <w:sz w:val="24"/>
                <w:szCs w:val="24"/>
              </w:rPr>
              <w:t>Descrição e</w:t>
            </w:r>
            <w:r>
              <w:rPr>
                <w:spacing w:val="1"/>
                <w:sz w:val="24"/>
                <w:szCs w:val="24"/>
              </w:rPr>
              <w:t xml:space="preserve"> </w:t>
            </w:r>
            <w:r>
              <w:rPr>
                <w:sz w:val="24"/>
                <w:szCs w:val="24"/>
              </w:rPr>
              <w:t>especificação</w:t>
            </w:r>
          </w:p>
        </w:tc>
        <w:tc>
          <w:tcPr>
            <w:tcW w:w="1225" w:type="dxa"/>
            <w:shd w:val="clear" w:color="auto" w:fill="D7D7D7" w:themeFill="background1" w:themeFillShade="D8"/>
          </w:tcPr>
          <w:p w14:paraId="097AF767">
            <w:pPr>
              <w:pStyle w:val="20"/>
              <w:jc w:val="center"/>
              <w:rPr>
                <w:rFonts w:eastAsia="Rawline-Medium"/>
                <w:sz w:val="24"/>
                <w:szCs w:val="24"/>
                <w:lang w:eastAsia="zh-CN" w:bidi="ar"/>
              </w:rPr>
            </w:pPr>
            <w:r>
              <w:rPr>
                <w:sz w:val="24"/>
                <w:szCs w:val="24"/>
              </w:rPr>
              <w:t>Unidade</w:t>
            </w:r>
            <w:r>
              <w:rPr>
                <w:spacing w:val="1"/>
                <w:sz w:val="24"/>
                <w:szCs w:val="24"/>
              </w:rPr>
              <w:t xml:space="preserve"> </w:t>
            </w:r>
            <w:r>
              <w:rPr>
                <w:spacing w:val="-11"/>
                <w:sz w:val="24"/>
                <w:szCs w:val="24"/>
              </w:rPr>
              <w:t xml:space="preserve"> </w:t>
            </w:r>
            <w:r>
              <w:rPr>
                <w:sz w:val="24"/>
                <w:szCs w:val="24"/>
              </w:rPr>
              <w:t>medida</w:t>
            </w:r>
          </w:p>
        </w:tc>
        <w:tc>
          <w:tcPr>
            <w:tcW w:w="387" w:type="dxa"/>
            <w:shd w:val="clear" w:color="auto" w:fill="D7D7D7" w:themeFill="background1" w:themeFillShade="D8"/>
          </w:tcPr>
          <w:p w14:paraId="4D71D367">
            <w:pPr>
              <w:pStyle w:val="20"/>
              <w:ind w:left="0"/>
              <w:rPr>
                <w:rFonts w:eastAsia="Rawline-Medium"/>
                <w:sz w:val="24"/>
                <w:szCs w:val="24"/>
                <w:lang w:eastAsia="zh-CN" w:bidi="ar"/>
              </w:rPr>
            </w:pPr>
            <w:r>
              <w:rPr>
                <w:sz w:val="24"/>
                <w:szCs w:val="24"/>
              </w:rPr>
              <w:t>Qnt</w:t>
            </w:r>
          </w:p>
        </w:tc>
        <w:tc>
          <w:tcPr>
            <w:tcW w:w="1958" w:type="dxa"/>
            <w:shd w:val="clear" w:color="auto" w:fill="D7D7D7" w:themeFill="background1" w:themeFillShade="D8"/>
          </w:tcPr>
          <w:p w14:paraId="22C7FDF9">
            <w:pPr>
              <w:pStyle w:val="20"/>
              <w:rPr>
                <w:sz w:val="24"/>
                <w:szCs w:val="24"/>
              </w:rPr>
            </w:pPr>
            <w:r>
              <w:rPr>
                <w:sz w:val="24"/>
                <w:szCs w:val="24"/>
              </w:rPr>
              <w:t xml:space="preserve">Valor </w:t>
            </w:r>
          </w:p>
          <w:p w14:paraId="6D66EDFB">
            <w:pPr>
              <w:pStyle w:val="20"/>
              <w:rPr>
                <w:spacing w:val="-57"/>
                <w:sz w:val="24"/>
                <w:szCs w:val="24"/>
              </w:rPr>
            </w:pPr>
            <w:r>
              <w:rPr>
                <w:sz w:val="24"/>
                <w:szCs w:val="24"/>
              </w:rPr>
              <w:t>Unit.</w:t>
            </w:r>
            <w:r>
              <w:rPr>
                <w:spacing w:val="-57"/>
                <w:sz w:val="24"/>
                <w:szCs w:val="24"/>
              </w:rPr>
              <w:t xml:space="preserve"> </w:t>
            </w:r>
          </w:p>
          <w:p w14:paraId="20C49CB0">
            <w:pPr>
              <w:pStyle w:val="20"/>
              <w:rPr>
                <w:rFonts w:eastAsia="Rawline-Medium"/>
                <w:sz w:val="24"/>
                <w:szCs w:val="24"/>
                <w:lang w:eastAsia="zh-CN" w:bidi="ar"/>
              </w:rPr>
            </w:pPr>
            <w:r>
              <w:rPr>
                <w:sz w:val="24"/>
                <w:szCs w:val="24"/>
              </w:rPr>
              <w:t>Estimado</w:t>
            </w:r>
          </w:p>
        </w:tc>
        <w:tc>
          <w:tcPr>
            <w:tcW w:w="2008" w:type="dxa"/>
            <w:shd w:val="clear" w:color="auto" w:fill="D7D7D7" w:themeFill="background1" w:themeFillShade="D8"/>
          </w:tcPr>
          <w:p w14:paraId="31BBD1FF">
            <w:pPr>
              <w:pStyle w:val="20"/>
              <w:rPr>
                <w:sz w:val="24"/>
                <w:szCs w:val="24"/>
              </w:rPr>
            </w:pPr>
            <w:r>
              <w:rPr>
                <w:sz w:val="24"/>
                <w:szCs w:val="24"/>
              </w:rPr>
              <w:t xml:space="preserve">Valor </w:t>
            </w:r>
          </w:p>
          <w:p w14:paraId="0D73F71C">
            <w:pPr>
              <w:pStyle w:val="20"/>
              <w:rPr>
                <w:spacing w:val="-58"/>
                <w:sz w:val="24"/>
                <w:szCs w:val="24"/>
              </w:rPr>
            </w:pPr>
            <w:r>
              <w:rPr>
                <w:sz w:val="24"/>
                <w:szCs w:val="24"/>
              </w:rPr>
              <w:t>Total</w:t>
            </w:r>
            <w:r>
              <w:rPr>
                <w:spacing w:val="-58"/>
                <w:sz w:val="24"/>
                <w:szCs w:val="24"/>
              </w:rPr>
              <w:t xml:space="preserve"> </w:t>
            </w:r>
          </w:p>
          <w:p w14:paraId="34DBADFC">
            <w:pPr>
              <w:pStyle w:val="20"/>
              <w:rPr>
                <w:rFonts w:eastAsia="Rawline-Medium"/>
                <w:sz w:val="24"/>
                <w:szCs w:val="24"/>
                <w:lang w:eastAsia="zh-CN" w:bidi="ar"/>
              </w:rPr>
            </w:pPr>
            <w:r>
              <w:rPr>
                <w:sz w:val="24"/>
                <w:szCs w:val="24"/>
              </w:rPr>
              <w:t>Estimado</w:t>
            </w:r>
          </w:p>
        </w:tc>
      </w:tr>
      <w:tr w14:paraId="4048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5" w:hRule="atLeast"/>
        </w:trPr>
        <w:tc>
          <w:tcPr>
            <w:tcW w:w="573" w:type="dxa"/>
          </w:tcPr>
          <w:p w14:paraId="42AFDDBF">
            <w:pPr>
              <w:pStyle w:val="20"/>
              <w:rPr>
                <w:sz w:val="24"/>
                <w:szCs w:val="24"/>
              </w:rPr>
            </w:pPr>
            <w:r>
              <w:rPr>
                <w:sz w:val="24"/>
                <w:szCs w:val="24"/>
              </w:rPr>
              <w:t>1</w:t>
            </w:r>
          </w:p>
          <w:p w14:paraId="6FDAD2EF">
            <w:pPr>
              <w:pStyle w:val="20"/>
              <w:rPr>
                <w:sz w:val="24"/>
                <w:szCs w:val="24"/>
              </w:rPr>
            </w:pPr>
          </w:p>
          <w:p w14:paraId="38DAFFE7">
            <w:pPr>
              <w:pStyle w:val="20"/>
              <w:rPr>
                <w:sz w:val="24"/>
                <w:szCs w:val="24"/>
              </w:rPr>
            </w:pPr>
          </w:p>
          <w:p w14:paraId="44981C1B">
            <w:pPr>
              <w:pStyle w:val="20"/>
              <w:rPr>
                <w:sz w:val="24"/>
                <w:szCs w:val="24"/>
              </w:rPr>
            </w:pPr>
          </w:p>
          <w:p w14:paraId="1A7B13D3">
            <w:pPr>
              <w:pStyle w:val="20"/>
              <w:rPr>
                <w:sz w:val="24"/>
                <w:szCs w:val="24"/>
              </w:rPr>
            </w:pPr>
          </w:p>
          <w:p w14:paraId="7EB43B39">
            <w:pPr>
              <w:pStyle w:val="20"/>
              <w:rPr>
                <w:sz w:val="24"/>
                <w:szCs w:val="24"/>
              </w:rPr>
            </w:pPr>
          </w:p>
          <w:p w14:paraId="6350F50A">
            <w:pPr>
              <w:pStyle w:val="20"/>
              <w:rPr>
                <w:sz w:val="24"/>
                <w:szCs w:val="24"/>
              </w:rPr>
            </w:pPr>
          </w:p>
          <w:p w14:paraId="33D559E0">
            <w:pPr>
              <w:pStyle w:val="20"/>
              <w:rPr>
                <w:sz w:val="24"/>
                <w:szCs w:val="24"/>
              </w:rPr>
            </w:pPr>
          </w:p>
          <w:p w14:paraId="1AE5A6AB">
            <w:pPr>
              <w:pStyle w:val="20"/>
              <w:rPr>
                <w:rFonts w:eastAsia="Rawline-Medium"/>
                <w:sz w:val="24"/>
                <w:szCs w:val="24"/>
                <w:lang w:eastAsia="zh-CN" w:bidi="ar"/>
              </w:rPr>
            </w:pPr>
          </w:p>
        </w:tc>
        <w:tc>
          <w:tcPr>
            <w:tcW w:w="970" w:type="dxa"/>
          </w:tcPr>
          <w:p w14:paraId="77379BC0">
            <w:pPr>
              <w:pStyle w:val="20"/>
              <w:jc w:val="left"/>
              <w:rPr>
                <w:rFonts w:eastAsia="Rawline-Medium"/>
                <w:sz w:val="24"/>
                <w:szCs w:val="24"/>
                <w:highlight w:val="yellow"/>
                <w:lang w:eastAsia="zh-CN" w:bidi="ar"/>
              </w:rPr>
            </w:pPr>
            <w:r>
              <w:rPr>
                <w:rFonts w:eastAsia="Rawline-Medium"/>
                <w:sz w:val="20"/>
                <w:szCs w:val="20"/>
                <w:lang w:eastAsia="zh-CN" w:bidi="ar"/>
              </w:rPr>
              <w:t>408292</w:t>
            </w:r>
          </w:p>
        </w:tc>
        <w:tc>
          <w:tcPr>
            <w:tcW w:w="2484" w:type="dxa"/>
          </w:tcPr>
          <w:p w14:paraId="2B5F0658">
            <w:pPr>
              <w:pStyle w:val="20"/>
              <w:rPr>
                <w:rFonts w:eastAsia="Rawline-Medium"/>
                <w:sz w:val="21"/>
                <w:szCs w:val="21"/>
                <w:lang w:eastAsia="zh-CN" w:bidi="ar"/>
              </w:rPr>
            </w:pPr>
            <w:r>
              <w:rPr>
                <w:sz w:val="24"/>
                <w:szCs w:val="24"/>
              </w:rPr>
              <w:t>Execução de obra civil de Cemitério Vertical, contemplando blocos, infraestrutura, superestrutura, instalações e sistema de tratamento de gases, conforme projetos e memorial.</w:t>
            </w:r>
          </w:p>
        </w:tc>
        <w:tc>
          <w:tcPr>
            <w:tcW w:w="1225" w:type="dxa"/>
          </w:tcPr>
          <w:p w14:paraId="77831F87">
            <w:pPr>
              <w:pStyle w:val="20"/>
              <w:rPr>
                <w:rFonts w:eastAsia="Rawline-Medium"/>
                <w:sz w:val="24"/>
                <w:szCs w:val="24"/>
                <w:lang w:eastAsia="zh-CN" w:bidi="ar"/>
              </w:rPr>
            </w:pPr>
            <w:r>
              <w:rPr>
                <w:rFonts w:eastAsia="Rawline-Medium"/>
                <w:sz w:val="24"/>
                <w:szCs w:val="24"/>
                <w:lang w:eastAsia="zh-CN" w:bidi="ar"/>
              </w:rPr>
              <w:t>Unidade</w:t>
            </w:r>
          </w:p>
        </w:tc>
        <w:tc>
          <w:tcPr>
            <w:tcW w:w="387" w:type="dxa"/>
          </w:tcPr>
          <w:p w14:paraId="7C5D7BC5">
            <w:pPr>
              <w:pStyle w:val="20"/>
              <w:ind w:left="0"/>
              <w:rPr>
                <w:rFonts w:eastAsia="Rawline-Medium"/>
                <w:sz w:val="24"/>
                <w:szCs w:val="24"/>
                <w:lang w:eastAsia="zh-CN" w:bidi="ar"/>
              </w:rPr>
            </w:pPr>
            <w:r>
              <w:rPr>
                <w:sz w:val="24"/>
                <w:szCs w:val="24"/>
              </w:rPr>
              <w:t>1</w:t>
            </w:r>
          </w:p>
        </w:tc>
        <w:tc>
          <w:tcPr>
            <w:tcW w:w="1958" w:type="dxa"/>
          </w:tcPr>
          <w:p w14:paraId="29622CFA">
            <w:pPr>
              <w:pStyle w:val="20"/>
              <w:rPr>
                <w:rFonts w:eastAsia="Rawline-Medium"/>
                <w:sz w:val="24"/>
                <w:szCs w:val="24"/>
                <w:lang w:eastAsia="zh-CN" w:bidi="ar"/>
              </w:rPr>
            </w:pPr>
            <w:r>
              <w:rPr>
                <w:rFonts w:eastAsia="Arial-BoldMT"/>
                <w:sz w:val="24"/>
                <w:szCs w:val="24"/>
              </w:rPr>
              <w:t xml:space="preserve">R$ 4.157.059,85 </w:t>
            </w:r>
          </w:p>
        </w:tc>
        <w:tc>
          <w:tcPr>
            <w:tcW w:w="2008" w:type="dxa"/>
          </w:tcPr>
          <w:p w14:paraId="366448C4">
            <w:pPr>
              <w:pStyle w:val="20"/>
              <w:ind w:left="8" w:hanging="8"/>
              <w:jc w:val="left"/>
              <w:rPr>
                <w:rFonts w:eastAsia="Rawline-Medium"/>
                <w:sz w:val="24"/>
                <w:szCs w:val="24"/>
                <w:lang w:eastAsia="zh-CN" w:bidi="ar"/>
              </w:rPr>
            </w:pPr>
            <w:r>
              <w:rPr>
                <w:rFonts w:eastAsia="Arial-BoldMT"/>
                <w:sz w:val="24"/>
                <w:szCs w:val="24"/>
              </w:rPr>
              <w:t xml:space="preserve">R$ 4.157.059,85 </w:t>
            </w:r>
          </w:p>
        </w:tc>
      </w:tr>
    </w:tbl>
    <w:p w14:paraId="2FF70041">
      <w:pPr>
        <w:widowControl/>
        <w:autoSpaceDE/>
        <w:autoSpaceDN/>
        <w:spacing w:before="120" w:beforeLines="50" w:after="120" w:afterLines="50" w:line="360" w:lineRule="auto"/>
        <w:jc w:val="both"/>
        <w:rPr>
          <w:rFonts w:eastAsia="Rawline-Medium"/>
          <w:sz w:val="24"/>
          <w:szCs w:val="24"/>
          <w:lang w:eastAsia="zh-CN" w:bidi="a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4C032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62" w:type="dxa"/>
            <w:shd w:val="clear" w:color="auto" w:fill="D8D8D8" w:themeFill="background1" w:themeFillShade="D9"/>
          </w:tcPr>
          <w:p w14:paraId="31D1785C">
            <w:pPr>
              <w:numPr>
                <w:ilvl w:val="0"/>
                <w:numId w:val="3"/>
              </w:numPr>
              <w:spacing w:line="360" w:lineRule="auto"/>
              <w:jc w:val="both"/>
              <w:rPr>
                <w:sz w:val="24"/>
                <w:szCs w:val="24"/>
              </w:rPr>
            </w:pPr>
            <w:r>
              <w:rPr>
                <w:b/>
                <w:sz w:val="24"/>
                <w:szCs w:val="24"/>
              </w:rPr>
              <w:t>JUSTIFICATIVA/NECESSIDADE</w:t>
            </w:r>
            <w:r>
              <w:rPr>
                <w:b/>
                <w:spacing w:val="-5"/>
                <w:sz w:val="24"/>
                <w:szCs w:val="24"/>
              </w:rPr>
              <w:t xml:space="preserve"> </w:t>
            </w:r>
            <w:r>
              <w:rPr>
                <w:b/>
                <w:sz w:val="24"/>
                <w:szCs w:val="24"/>
              </w:rPr>
              <w:t>DA</w:t>
            </w:r>
            <w:r>
              <w:rPr>
                <w:b/>
                <w:spacing w:val="-3"/>
                <w:sz w:val="24"/>
                <w:szCs w:val="24"/>
              </w:rPr>
              <w:t xml:space="preserve"> </w:t>
            </w:r>
            <w:r>
              <w:rPr>
                <w:b/>
                <w:sz w:val="24"/>
                <w:szCs w:val="24"/>
              </w:rPr>
              <w:t>CONTRATAÇÃO:</w:t>
            </w:r>
          </w:p>
        </w:tc>
      </w:tr>
    </w:tbl>
    <w:p w14:paraId="2F9B7254">
      <w:pPr>
        <w:pStyle w:val="20"/>
        <w:numPr>
          <w:ilvl w:val="1"/>
          <w:numId w:val="3"/>
        </w:numPr>
        <w:rPr>
          <w:bCs/>
          <w:sz w:val="24"/>
          <w:szCs w:val="24"/>
        </w:rPr>
      </w:pPr>
      <w:r>
        <w:rPr>
          <w:bCs/>
          <w:sz w:val="24"/>
          <w:szCs w:val="24"/>
        </w:rPr>
        <w:t>A contratação é necessária para atender à crescente demanda por vagas no Cemitério Municipal, diante da escassez de espaço físico para sepultamentos tradicionais (no solo). A solução vertical é imperativa para:</w:t>
      </w:r>
    </w:p>
    <w:p w14:paraId="797DCCB7">
      <w:pPr>
        <w:pStyle w:val="20"/>
        <w:ind w:left="107"/>
        <w:rPr>
          <w:bCs/>
          <w:sz w:val="24"/>
          <w:szCs w:val="24"/>
        </w:rPr>
      </w:pPr>
    </w:p>
    <w:p w14:paraId="6A237E44">
      <w:pPr>
        <w:pStyle w:val="20"/>
        <w:ind w:left="107"/>
        <w:rPr>
          <w:bCs/>
          <w:sz w:val="24"/>
          <w:szCs w:val="24"/>
        </w:rPr>
      </w:pPr>
      <w:r>
        <w:rPr>
          <w:bCs/>
          <w:sz w:val="24"/>
          <w:szCs w:val="24"/>
        </w:rPr>
        <w:t>Otimização do Espaço: A construção de 18 blocos verticais permite acomodar 1.080 urnas em uma área compacta, maximizando a vida útil do terreno público.</w:t>
      </w:r>
    </w:p>
    <w:p w14:paraId="6EAFE538">
      <w:pPr>
        <w:pStyle w:val="20"/>
        <w:ind w:left="107"/>
        <w:rPr>
          <w:bCs/>
          <w:sz w:val="24"/>
          <w:szCs w:val="24"/>
        </w:rPr>
      </w:pPr>
    </w:p>
    <w:p w14:paraId="6CF99279">
      <w:pPr>
        <w:pStyle w:val="20"/>
        <w:ind w:left="107"/>
        <w:rPr>
          <w:bCs/>
          <w:sz w:val="24"/>
          <w:szCs w:val="24"/>
        </w:rPr>
      </w:pPr>
      <w:r>
        <w:rPr>
          <w:bCs/>
          <w:sz w:val="24"/>
          <w:szCs w:val="24"/>
        </w:rPr>
        <w:t>Adequação Ambiental: O sistema projetado conta com tecnologia de tratamento de gases (filtros de carvão ativado/antracito) e coleta de necrochorume direcionada a tanques sépticos, prevenindo a contaminação do lençol freático e odores, em estrita conformidade com a Resolução CONAMA nº 335/2003.</w:t>
      </w:r>
    </w:p>
    <w:p w14:paraId="3D7512FC">
      <w:pPr>
        <w:pStyle w:val="20"/>
        <w:ind w:left="107"/>
        <w:rPr>
          <w:bCs/>
          <w:sz w:val="24"/>
          <w:szCs w:val="24"/>
        </w:rPr>
      </w:pPr>
    </w:p>
    <w:p w14:paraId="4F661E18">
      <w:pPr>
        <w:pStyle w:val="20"/>
        <w:rPr>
          <w:bCs/>
          <w:sz w:val="24"/>
          <w:szCs w:val="24"/>
        </w:rPr>
      </w:pPr>
      <w:r>
        <w:rPr>
          <w:bCs/>
          <w:sz w:val="24"/>
          <w:szCs w:val="24"/>
        </w:rPr>
        <w:t>Saúde Pública e Urbanismo: A estrutura moderna e impermeabilizada oferece maior segurança sanitária e valorização estética do espaço urbano, eliminando os problemas recorrentes dos cemitérios tradicionais.</w:t>
      </w:r>
    </w:p>
    <w:p w14:paraId="1B9D62AD">
      <w:pPr>
        <w:pStyle w:val="20"/>
        <w:rPr>
          <w:bCs/>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3393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shd w:val="clear" w:color="auto" w:fill="D8D8D8" w:themeFill="background1" w:themeFillShade="D9"/>
          </w:tcPr>
          <w:p w14:paraId="7FDF4629">
            <w:pPr>
              <w:numPr>
                <w:ilvl w:val="0"/>
                <w:numId w:val="3"/>
              </w:numPr>
              <w:spacing w:line="360" w:lineRule="auto"/>
              <w:jc w:val="both"/>
              <w:rPr>
                <w:sz w:val="24"/>
                <w:szCs w:val="24"/>
              </w:rPr>
            </w:pPr>
            <w:r>
              <w:rPr>
                <w:b/>
                <w:sz w:val="24"/>
                <w:szCs w:val="24"/>
              </w:rPr>
              <w:t>DESCRIÇÃO</w:t>
            </w:r>
            <w:r>
              <w:rPr>
                <w:b/>
                <w:spacing w:val="-3"/>
                <w:sz w:val="24"/>
                <w:szCs w:val="24"/>
              </w:rPr>
              <w:t xml:space="preserve"> </w:t>
            </w:r>
            <w:r>
              <w:rPr>
                <w:b/>
                <w:sz w:val="24"/>
                <w:szCs w:val="24"/>
              </w:rPr>
              <w:t>DA</w:t>
            </w:r>
            <w:r>
              <w:rPr>
                <w:b/>
                <w:spacing w:val="-3"/>
                <w:sz w:val="24"/>
                <w:szCs w:val="24"/>
              </w:rPr>
              <w:t xml:space="preserve"> </w:t>
            </w:r>
            <w:r>
              <w:rPr>
                <w:b/>
                <w:sz w:val="24"/>
                <w:szCs w:val="24"/>
              </w:rPr>
              <w:t>SOLUÇÃO</w:t>
            </w:r>
            <w:r>
              <w:rPr>
                <w:b/>
                <w:spacing w:val="-5"/>
                <w:sz w:val="24"/>
                <w:szCs w:val="24"/>
              </w:rPr>
              <w:t xml:space="preserve"> </w:t>
            </w:r>
            <w:r>
              <w:rPr>
                <w:b/>
                <w:sz w:val="24"/>
                <w:szCs w:val="24"/>
              </w:rPr>
              <w:t>(QUANDO APLICÁVEL):</w:t>
            </w:r>
          </w:p>
        </w:tc>
      </w:tr>
    </w:tbl>
    <w:p w14:paraId="3C8AF9C4">
      <w:pPr>
        <w:widowControl/>
        <w:autoSpaceDE/>
        <w:autoSpaceDN/>
        <w:spacing w:before="120" w:beforeAutospacing="1" w:after="100" w:afterAutospacing="1" w:line="360" w:lineRule="auto"/>
        <w:jc w:val="both"/>
        <w:rPr>
          <w:sz w:val="24"/>
          <w:szCs w:val="24"/>
          <w:lang w:eastAsia="pt-BR"/>
        </w:rPr>
      </w:pPr>
      <w:r>
        <w:rPr>
          <w:sz w:val="24"/>
          <w:szCs w:val="24"/>
          <w:lang w:eastAsia="pt-BR"/>
        </w:rPr>
        <w:t xml:space="preserve">A solução definida consiste na Contratação de Empresa de Engenharia Especializada para a Execução de Obra de Construção de Cemitério Vertical no Cemitério Municipal de Sinop/MT”. </w:t>
      </w:r>
    </w:p>
    <w:p w14:paraId="3A9CB742">
      <w:pPr>
        <w:widowControl/>
        <w:autoSpaceDE/>
        <w:autoSpaceDN/>
        <w:spacing w:before="120" w:beforeAutospacing="1" w:after="100" w:afterAutospacing="1" w:line="360" w:lineRule="auto"/>
        <w:jc w:val="both"/>
        <w:rPr>
          <w:sz w:val="24"/>
          <w:szCs w:val="24"/>
          <w:lang w:eastAsia="pt-BR"/>
        </w:rPr>
      </w:pPr>
      <w:r>
        <w:rPr>
          <w:sz w:val="24"/>
          <w:szCs w:val="24"/>
          <w:lang w:eastAsia="pt-BR"/>
        </w:rPr>
        <w:t xml:space="preserve"> A obra consiste na construção de um complexo de sepultamento vertical contendo:</w:t>
      </w:r>
    </w:p>
    <w:p w14:paraId="292F3DC3">
      <w:pPr>
        <w:widowControl/>
        <w:autoSpaceDE/>
        <w:autoSpaceDN/>
        <w:spacing w:before="120" w:beforeAutospacing="1" w:after="100" w:afterAutospacing="1" w:line="360" w:lineRule="auto"/>
        <w:jc w:val="both"/>
        <w:rPr>
          <w:sz w:val="24"/>
          <w:szCs w:val="24"/>
          <w:lang w:eastAsia="pt-BR"/>
        </w:rPr>
      </w:pPr>
      <w:r>
        <w:rPr>
          <w:sz w:val="24"/>
          <w:szCs w:val="24"/>
          <w:lang w:eastAsia="pt-BR"/>
        </w:rPr>
        <w:t>Estrutura: 18 blocos independentes, com fundações, pilares, vigas e lajes em concreto armado.</w:t>
      </w:r>
    </w:p>
    <w:p w14:paraId="14613311">
      <w:pPr>
        <w:widowControl/>
        <w:autoSpaceDE/>
        <w:autoSpaceDN/>
        <w:spacing w:before="120" w:beforeAutospacing="1" w:after="100" w:afterAutospacing="1" w:line="360" w:lineRule="auto"/>
        <w:jc w:val="both"/>
        <w:rPr>
          <w:sz w:val="24"/>
          <w:szCs w:val="24"/>
          <w:lang w:eastAsia="pt-BR"/>
        </w:rPr>
      </w:pPr>
      <w:r>
        <w:rPr>
          <w:sz w:val="24"/>
          <w:szCs w:val="24"/>
          <w:lang w:eastAsia="pt-BR"/>
        </w:rPr>
        <w:t>Gavetas: 1.080 lóculos (60 por bloco), com vedação em tampas de granito e sistema de exaustão.</w:t>
      </w:r>
    </w:p>
    <w:p w14:paraId="6FF0C2C1">
      <w:pPr>
        <w:widowControl/>
        <w:autoSpaceDE/>
        <w:autoSpaceDN/>
        <w:spacing w:before="120" w:beforeAutospacing="1" w:after="100" w:afterAutospacing="1" w:line="360" w:lineRule="auto"/>
        <w:jc w:val="both"/>
        <w:rPr>
          <w:sz w:val="24"/>
          <w:szCs w:val="24"/>
          <w:lang w:eastAsia="pt-BR"/>
        </w:rPr>
      </w:pPr>
      <w:r>
        <w:rPr>
          <w:sz w:val="24"/>
          <w:szCs w:val="24"/>
          <w:lang w:eastAsia="pt-BR"/>
        </w:rPr>
        <w:t>Sistema de Tratamento: Instalação de tubulação de PVC para condução de gases a filtros de carvão ativado localizados na cobertura, e condução de necrochorume para tanques sépticos.</w:t>
      </w:r>
    </w:p>
    <w:p w14:paraId="026C4D12">
      <w:pPr>
        <w:widowControl/>
        <w:autoSpaceDE/>
        <w:autoSpaceDN/>
        <w:spacing w:before="120" w:beforeAutospacing="1" w:after="100" w:afterAutospacing="1" w:line="360" w:lineRule="auto"/>
        <w:jc w:val="both"/>
        <w:rPr>
          <w:sz w:val="24"/>
          <w:szCs w:val="24"/>
          <w:lang w:eastAsia="pt-BR"/>
        </w:rPr>
      </w:pPr>
      <w:r>
        <w:rPr>
          <w:sz w:val="24"/>
          <w:szCs w:val="24"/>
          <w:lang w:eastAsia="pt-BR"/>
        </w:rPr>
        <w:t>Acabamentos: Reboco, pintura, impermeabilização de lajes e calçadas de acesso</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053E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0FD54ED5">
            <w:pPr>
              <w:numPr>
                <w:ilvl w:val="0"/>
                <w:numId w:val="3"/>
              </w:numPr>
              <w:spacing w:line="360" w:lineRule="auto"/>
              <w:jc w:val="both"/>
              <w:rPr>
                <w:sz w:val="24"/>
                <w:szCs w:val="24"/>
              </w:rPr>
            </w:pPr>
            <w:r>
              <w:rPr>
                <w:b/>
                <w:bCs/>
                <w:sz w:val="24"/>
                <w:szCs w:val="24"/>
              </w:rPr>
              <w:t>GERENCIAMENTO DE RISCOS</w:t>
            </w:r>
            <w:r>
              <w:rPr>
                <w:b/>
                <w:sz w:val="24"/>
                <w:szCs w:val="24"/>
              </w:rPr>
              <w:t>:</w:t>
            </w:r>
          </w:p>
        </w:tc>
      </w:tr>
    </w:tbl>
    <w:p w14:paraId="3814D9A3">
      <w:pPr>
        <w:widowControl/>
        <w:numPr>
          <w:ilvl w:val="1"/>
          <w:numId w:val="3"/>
        </w:numPr>
        <w:tabs>
          <w:tab w:val="left" w:pos="9240"/>
          <w:tab w:val="clear" w:pos="0"/>
        </w:tabs>
        <w:autoSpaceDE/>
        <w:autoSpaceDN/>
        <w:spacing w:before="120" w:beforeLines="50" w:after="120" w:line="360" w:lineRule="auto"/>
        <w:ind w:right="304" w:rightChars="138"/>
        <w:jc w:val="both"/>
        <w:rPr>
          <w:sz w:val="24"/>
          <w:szCs w:val="24"/>
        </w:rPr>
      </w:pPr>
      <w:r>
        <w:rPr>
          <w:sz w:val="24"/>
          <w:szCs w:val="24"/>
        </w:rPr>
        <w:t>Justificativa de não adoção de matriz de risco:</w:t>
      </w:r>
    </w:p>
    <w:p w14:paraId="12EE032E">
      <w:pPr>
        <w:widowControl/>
        <w:tabs>
          <w:tab w:val="left" w:pos="9240"/>
        </w:tabs>
        <w:autoSpaceDE/>
        <w:autoSpaceDN/>
        <w:spacing w:before="120" w:beforeLines="50" w:after="120" w:line="360" w:lineRule="auto"/>
        <w:ind w:right="304" w:rightChars="138"/>
        <w:jc w:val="both"/>
        <w:rPr>
          <w:sz w:val="24"/>
          <w:szCs w:val="24"/>
        </w:rPr>
      </w:pPr>
      <w:r>
        <w:rPr>
          <w:sz w:val="24"/>
          <w:szCs w:val="24"/>
        </w:rPr>
        <w:t xml:space="preserve">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 </w:t>
      </w:r>
    </w:p>
    <w:p w14:paraId="4FFCC1B1">
      <w:pPr>
        <w:widowControl/>
        <w:tabs>
          <w:tab w:val="left" w:pos="9240"/>
        </w:tabs>
        <w:autoSpaceDE/>
        <w:autoSpaceDN/>
        <w:spacing w:before="120" w:beforeLines="50" w:after="120" w:line="360" w:lineRule="auto"/>
        <w:ind w:left="3960" w:leftChars="1800" w:right="304" w:rightChars="138"/>
        <w:jc w:val="both"/>
        <w:rPr>
          <w:sz w:val="24"/>
          <w:szCs w:val="24"/>
        </w:rPr>
      </w:pPr>
      <w:r>
        <w:rPr>
          <w:sz w:val="24"/>
          <w:szCs w:val="24"/>
        </w:rPr>
        <w:t xml:space="preserve">Art. 22, § 3° Quando a contratação se referir a obras e serviços de grande vulto ou forem adotados os regimes de contratação integrada e semi- integrada, o edital obrigatoriamente contemplará matriz de alocação de riscos entre o contratante e o contratado. Art. 6°, Inciso XXII - obras, serviços e fornecimentos de grande vulto: aqueles cujo valor estimado supera R$ 200.000.000,00 (duzentos milhões de reais). Sendo assim, vê-se que não é o caso da contratação em trâmite, de forma que o referido documento não constará neste processo. </w:t>
      </w:r>
    </w:p>
    <w:p w14:paraId="2E9F962B">
      <w:pPr>
        <w:widowControl/>
        <w:numPr>
          <w:ilvl w:val="1"/>
          <w:numId w:val="3"/>
        </w:numPr>
        <w:tabs>
          <w:tab w:val="left" w:pos="9240"/>
        </w:tabs>
        <w:autoSpaceDE/>
        <w:autoSpaceDN/>
        <w:spacing w:before="120" w:beforeLines="50" w:after="120" w:line="360" w:lineRule="auto"/>
        <w:ind w:right="304" w:rightChars="138"/>
        <w:jc w:val="both"/>
        <w:rPr>
          <w:rFonts w:eastAsia="SimSun"/>
          <w:sz w:val="24"/>
          <w:szCs w:val="24"/>
        </w:rPr>
      </w:pPr>
      <w:r>
        <w:rPr>
          <w:b/>
          <w:bCs/>
          <w:sz w:val="24"/>
          <w:szCs w:val="24"/>
        </w:rPr>
        <w:t>J</w:t>
      </w:r>
      <w:r>
        <w:rPr>
          <w:rFonts w:eastAsia="SimSun"/>
          <w:b/>
          <w:bCs/>
          <w:sz w:val="24"/>
          <w:szCs w:val="24"/>
        </w:rPr>
        <w:t xml:space="preserve">ustificativa da não confecção de mapa/gerenciamento de risco: </w:t>
      </w:r>
      <w:r>
        <w:rPr>
          <w:rFonts w:eastAsia="SimSun"/>
          <w:sz w:val="24"/>
          <w:szCs w:val="24"/>
        </w:rPr>
        <w:t>Em atendimento aos princípios da eficiência e da racionalidade administrativa, justifica-se a não elaboração de um Mapa/Plano de Gerenciamento de Riscos em documento apartado para a presente contratação, embasando-se nos seguintes aspectos técnicos e administrativos:</w:t>
      </w:r>
    </w:p>
    <w:p w14:paraId="3B50B48E">
      <w:pPr>
        <w:widowControl/>
        <w:tabs>
          <w:tab w:val="left" w:pos="9240"/>
        </w:tabs>
        <w:autoSpaceDE/>
        <w:autoSpaceDN/>
        <w:spacing w:before="120" w:beforeLines="50" w:after="120" w:line="360" w:lineRule="auto"/>
        <w:ind w:right="304" w:rightChars="138"/>
        <w:jc w:val="both"/>
        <w:rPr>
          <w:rFonts w:eastAsia="SimSun"/>
          <w:sz w:val="24"/>
          <w:szCs w:val="24"/>
        </w:rPr>
      </w:pPr>
      <w:r>
        <w:rPr>
          <w:rFonts w:eastAsia="SimSun"/>
          <w:sz w:val="24"/>
          <w:szCs w:val="24"/>
        </w:rPr>
        <w:t>1. Mitigação Nativa nos Instrumentos de Planejamento: &gt; Os principais riscos inerentes a obras públicas (atrasos cronológicos, inexecução e falhas técnicas) já possuem suas medidas mitigadoras e de contingência estabelecidas diretamente no Projeto Básico e nos anexos do edital, notadamente através:</w:t>
      </w:r>
    </w:p>
    <w:p w14:paraId="222B89A0">
      <w:pPr>
        <w:pStyle w:val="19"/>
        <w:rPr>
          <w:rFonts w:eastAsia="SimSun"/>
        </w:rPr>
      </w:pPr>
      <w:r>
        <w:rPr>
          <w:rFonts w:eastAsia="SimSun"/>
        </w:rPr>
        <w:t>Da exigência de Atestados de Capacidade Técnica rigorosos para as parcelas de maior relevância (estrutura e instalações);</w:t>
      </w:r>
    </w:p>
    <w:p w14:paraId="7B4B7106">
      <w:pPr>
        <w:pStyle w:val="19"/>
        <w:rPr>
          <w:rFonts w:eastAsia="SimSun"/>
        </w:rPr>
      </w:pPr>
      <w:r>
        <w:rPr>
          <w:rFonts w:eastAsia="SimSun"/>
        </w:rPr>
        <w:t>Da exigência de Garantia Contratual percentual sobre o valor da obra, resguardando o erário em caso de inexecução;</w:t>
      </w:r>
    </w:p>
    <w:p w14:paraId="183BF256">
      <w:pPr>
        <w:pStyle w:val="19"/>
        <w:rPr>
          <w:rFonts w:eastAsia="SimSun"/>
        </w:rPr>
      </w:pPr>
      <w:r>
        <w:rPr>
          <w:rFonts w:eastAsia="SimSun"/>
        </w:rPr>
        <w:t>Do acompanhamento, medição e fiscalização contínua pela equipe técnica da Secretaria Municipal de Obras e Serviços Públicos.</w:t>
      </w:r>
    </w:p>
    <w:p w14:paraId="4ECC8A29">
      <w:pPr>
        <w:widowControl/>
        <w:tabs>
          <w:tab w:val="left" w:pos="9240"/>
        </w:tabs>
        <w:autoSpaceDE/>
        <w:autoSpaceDN/>
        <w:spacing w:before="120" w:beforeLines="50" w:after="120" w:line="360" w:lineRule="auto"/>
        <w:ind w:right="304" w:rightChars="138"/>
        <w:jc w:val="both"/>
        <w:rPr>
          <w:rFonts w:eastAsia="SimSun"/>
          <w:sz w:val="24"/>
          <w:szCs w:val="24"/>
        </w:rPr>
      </w:pPr>
      <w:r>
        <w:rPr>
          <w:rFonts w:eastAsia="SimSun"/>
          <w:sz w:val="24"/>
          <w:szCs w:val="24"/>
        </w:rPr>
        <w:t>2. Riscos Ambientais Absorvidos:</w:t>
      </w:r>
    </w:p>
    <w:p w14:paraId="17DD1439">
      <w:pPr>
        <w:widowControl/>
        <w:tabs>
          <w:tab w:val="left" w:pos="9240"/>
        </w:tabs>
        <w:autoSpaceDE/>
        <w:autoSpaceDN/>
        <w:spacing w:before="120" w:beforeLines="50" w:after="120" w:line="360" w:lineRule="auto"/>
        <w:ind w:right="304" w:rightChars="138"/>
        <w:jc w:val="both"/>
        <w:rPr>
          <w:rFonts w:eastAsia="SimSun"/>
          <w:sz w:val="24"/>
          <w:szCs w:val="24"/>
        </w:rPr>
      </w:pPr>
      <w:r>
        <w:rPr>
          <w:rFonts w:eastAsia="SimSun"/>
          <w:sz w:val="24"/>
          <w:szCs w:val="24"/>
        </w:rPr>
        <w:t>Os potenciais impactos inerentes à implantação do cemitério já estão previstos, mapeados e contidos no Plano de Controle de Impactos Ambientais e nas condicionantes das licenças expedidas pelo órgão ambiental competente.</w:t>
      </w:r>
    </w:p>
    <w:p w14:paraId="175D9392">
      <w:pPr>
        <w:widowControl/>
        <w:tabs>
          <w:tab w:val="left" w:pos="9240"/>
        </w:tabs>
        <w:autoSpaceDE/>
        <w:autoSpaceDN/>
        <w:spacing w:before="120" w:beforeLines="50" w:after="120" w:line="360" w:lineRule="auto"/>
        <w:ind w:right="304" w:rightChars="138"/>
        <w:jc w:val="both"/>
        <w:rPr>
          <w:sz w:val="24"/>
          <w:szCs w:val="24"/>
        </w:rPr>
      </w:pPr>
      <w:r>
        <w:rPr>
          <w:rFonts w:eastAsia="SimSun"/>
          <w:sz w:val="24"/>
          <w:szCs w:val="24"/>
        </w:rPr>
        <w:t>Diante do exposto, entende-se que a matriz de riscos desta contratação encontra-se intrinsecamente diluída e tratada pelos robustos artefatos de planejamento já anexados aos autos (Projetos, Orçamento, Memorial Descritivo e ETP), restando dispensável a geração de um artefato gerencial redundante.</w:t>
      </w:r>
    </w:p>
    <w:p w14:paraId="7BF2F8BD">
      <w:pPr>
        <w:widowControl/>
        <w:tabs>
          <w:tab w:val="left" w:pos="9240"/>
        </w:tabs>
        <w:autoSpaceDE/>
        <w:autoSpaceDN/>
        <w:spacing w:before="120" w:beforeLines="50" w:after="120" w:line="360" w:lineRule="auto"/>
        <w:ind w:right="304" w:rightChars="138"/>
        <w:jc w:val="both"/>
        <w:rPr>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569B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33D6D69">
            <w:pPr>
              <w:numPr>
                <w:ilvl w:val="0"/>
                <w:numId w:val="3"/>
              </w:numPr>
              <w:spacing w:line="360" w:lineRule="auto"/>
              <w:jc w:val="both"/>
              <w:rPr>
                <w:sz w:val="24"/>
                <w:szCs w:val="24"/>
              </w:rPr>
            </w:pPr>
            <w:r>
              <w:rPr>
                <w:b/>
                <w:sz w:val="24"/>
                <w:szCs w:val="24"/>
              </w:rPr>
              <w:t>REQUISITOS</w:t>
            </w:r>
            <w:r>
              <w:rPr>
                <w:b/>
                <w:spacing w:val="-4"/>
                <w:sz w:val="24"/>
                <w:szCs w:val="24"/>
              </w:rPr>
              <w:t xml:space="preserve"> </w:t>
            </w:r>
            <w:r>
              <w:rPr>
                <w:b/>
                <w:sz w:val="24"/>
                <w:szCs w:val="24"/>
              </w:rPr>
              <w:t>DO</w:t>
            </w:r>
            <w:r>
              <w:rPr>
                <w:b/>
                <w:spacing w:val="-2"/>
                <w:sz w:val="24"/>
                <w:szCs w:val="24"/>
              </w:rPr>
              <w:t xml:space="preserve"> </w:t>
            </w:r>
            <w:r>
              <w:rPr>
                <w:b/>
                <w:sz w:val="24"/>
                <w:szCs w:val="24"/>
              </w:rPr>
              <w:t>OBJETO</w:t>
            </w:r>
            <w:r>
              <w:rPr>
                <w:b/>
                <w:spacing w:val="-1"/>
                <w:sz w:val="24"/>
                <w:szCs w:val="24"/>
              </w:rPr>
              <w:t xml:space="preserve"> </w:t>
            </w:r>
            <w:r>
              <w:rPr>
                <w:b/>
                <w:sz w:val="24"/>
                <w:szCs w:val="24"/>
              </w:rPr>
              <w:t>DA</w:t>
            </w:r>
            <w:r>
              <w:rPr>
                <w:b/>
                <w:spacing w:val="-3"/>
                <w:sz w:val="24"/>
                <w:szCs w:val="24"/>
              </w:rPr>
              <w:t xml:space="preserve"> </w:t>
            </w:r>
            <w:r>
              <w:rPr>
                <w:b/>
                <w:sz w:val="24"/>
                <w:szCs w:val="24"/>
              </w:rPr>
              <w:t>CONTRATAÇÃO:</w:t>
            </w:r>
          </w:p>
        </w:tc>
      </w:tr>
    </w:tbl>
    <w:p w14:paraId="1A328D8D">
      <w:pPr>
        <w:pStyle w:val="20"/>
        <w:numPr>
          <w:ilvl w:val="0"/>
          <w:numId w:val="4"/>
        </w:numPr>
        <w:tabs>
          <w:tab w:val="left" w:pos="0"/>
          <w:tab w:val="clear" w:pos="425"/>
        </w:tabs>
        <w:ind w:left="0" w:firstLine="0"/>
        <w:rPr>
          <w:iCs/>
          <w:sz w:val="24"/>
          <w:szCs w:val="24"/>
        </w:rPr>
      </w:pPr>
      <w:r>
        <w:rPr>
          <w:iCs/>
          <w:sz w:val="24"/>
          <w:szCs w:val="24"/>
        </w:rPr>
        <w:t>Os serviços de projeto e execução da obra natureza de serviços de engenharia, tendo em vista que, por sua alta complexidade, não podem ser descritos como comuns, nos termos do art. 6º, inciso XII , da Lei Federal nº 14.133/2021.</w:t>
      </w:r>
    </w:p>
    <w:p w14:paraId="206D0AB4">
      <w:pPr>
        <w:pStyle w:val="20"/>
        <w:numPr>
          <w:ilvl w:val="0"/>
          <w:numId w:val="4"/>
        </w:numPr>
        <w:tabs>
          <w:tab w:val="left" w:pos="0"/>
          <w:tab w:val="clear" w:pos="425"/>
        </w:tabs>
        <w:ind w:left="0" w:firstLine="0"/>
        <w:rPr>
          <w:iCs/>
          <w:sz w:val="24"/>
          <w:szCs w:val="24"/>
        </w:rPr>
      </w:pPr>
      <w:r>
        <w:rPr>
          <w:iCs/>
          <w:sz w:val="24"/>
          <w:szCs w:val="24"/>
        </w:rPr>
        <w:t xml:space="preserve">Seleção de empresas com aporte financeiro para efetuar a execução de uma obra de engenharia do porte do objeto proposto, conforme o valor expressivo do processo (VIDE PROJETO BÁSICO). </w:t>
      </w:r>
    </w:p>
    <w:p w14:paraId="124062E0">
      <w:pPr>
        <w:pStyle w:val="20"/>
        <w:numPr>
          <w:ilvl w:val="0"/>
          <w:numId w:val="4"/>
        </w:numPr>
        <w:tabs>
          <w:tab w:val="left" w:pos="0"/>
          <w:tab w:val="clear" w:pos="425"/>
        </w:tabs>
        <w:ind w:left="0" w:firstLine="0"/>
        <w:rPr>
          <w:iCs/>
          <w:sz w:val="24"/>
          <w:szCs w:val="24"/>
        </w:rPr>
      </w:pPr>
      <w:r>
        <w:rPr>
          <w:iCs/>
          <w:sz w:val="24"/>
          <w:szCs w:val="24"/>
        </w:rPr>
        <w:t>A contratação será realizada preferencialmente por meio de licitação, na modalidade Concorrência, na sua forma eletrônica.</w:t>
      </w:r>
    </w:p>
    <w:p w14:paraId="4B1DE9CA">
      <w:pPr>
        <w:pStyle w:val="20"/>
        <w:numPr>
          <w:ilvl w:val="0"/>
          <w:numId w:val="4"/>
        </w:numPr>
        <w:tabs>
          <w:tab w:val="left" w:pos="0"/>
          <w:tab w:val="clear" w:pos="425"/>
        </w:tabs>
        <w:ind w:left="0" w:firstLine="0"/>
        <w:rPr>
          <w:iCs/>
          <w:sz w:val="24"/>
          <w:szCs w:val="24"/>
        </w:rPr>
      </w:pPr>
      <w:r>
        <w:rPr>
          <w:iCs/>
          <w:sz w:val="24"/>
          <w:szCs w:val="24"/>
        </w:rPr>
        <w:t>Para fornecimento e prestação dos serviços pretendidos os eventuais interessados deverão comprovar que atuam em ramo de atividade compatível com o objeto da licitação, bem como apresentar todos os documentos a serem exigidos a título de habilitação.</w:t>
      </w:r>
    </w:p>
    <w:p w14:paraId="559ECFFC">
      <w:pPr>
        <w:pStyle w:val="20"/>
        <w:numPr>
          <w:ilvl w:val="0"/>
          <w:numId w:val="4"/>
        </w:numPr>
        <w:tabs>
          <w:tab w:val="left" w:pos="0"/>
          <w:tab w:val="clear" w:pos="425"/>
        </w:tabs>
        <w:ind w:left="0" w:firstLine="0"/>
        <w:rPr>
          <w:iCs/>
          <w:sz w:val="24"/>
          <w:szCs w:val="24"/>
        </w:rPr>
      </w:pPr>
      <w:r>
        <w:rPr>
          <w:iCs/>
          <w:sz w:val="24"/>
          <w:szCs w:val="24"/>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489DDC13">
      <w:pPr>
        <w:pStyle w:val="20"/>
        <w:numPr>
          <w:ilvl w:val="0"/>
          <w:numId w:val="4"/>
        </w:numPr>
        <w:tabs>
          <w:tab w:val="left" w:pos="0"/>
          <w:tab w:val="clear" w:pos="425"/>
        </w:tabs>
        <w:ind w:left="0" w:firstLine="0"/>
        <w:rPr>
          <w:iCs/>
          <w:sz w:val="24"/>
          <w:szCs w:val="24"/>
        </w:rPr>
      </w:pPr>
      <w:r>
        <w:rPr>
          <w:iCs/>
          <w:sz w:val="24"/>
          <w:szCs w:val="24"/>
        </w:rPr>
        <w:t>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6B10A376">
      <w:pPr>
        <w:pStyle w:val="20"/>
        <w:numPr>
          <w:ilvl w:val="0"/>
          <w:numId w:val="4"/>
        </w:numPr>
        <w:tabs>
          <w:tab w:val="left" w:pos="0"/>
          <w:tab w:val="clear" w:pos="425"/>
        </w:tabs>
        <w:ind w:left="0" w:firstLine="0"/>
        <w:rPr>
          <w:iCs/>
          <w:sz w:val="24"/>
          <w:szCs w:val="24"/>
        </w:rPr>
      </w:pPr>
      <w:r>
        <w:rPr>
          <w:iCs/>
          <w:sz w:val="24"/>
          <w:szCs w:val="24"/>
        </w:rPr>
        <w:t>É facultado à licitante interessada em participar desta Concorrência, mediante prévio agendamento junto à Secretaria Municipal de Obras e Serviços Urbanos – SOSU, da Prefeitura Municipal de Sinop, realizar vistoria técnica para avaliação prévia do(s) local(is) de execução.</w:t>
      </w:r>
    </w:p>
    <w:p w14:paraId="785BC88B">
      <w:pPr>
        <w:pStyle w:val="20"/>
        <w:numPr>
          <w:ilvl w:val="0"/>
          <w:numId w:val="4"/>
        </w:numPr>
        <w:tabs>
          <w:tab w:val="left" w:pos="0"/>
          <w:tab w:val="clear" w:pos="425"/>
        </w:tabs>
        <w:ind w:left="0" w:firstLine="0"/>
        <w:rPr>
          <w:iCs/>
          <w:sz w:val="24"/>
          <w:szCs w:val="24"/>
        </w:rPr>
      </w:pPr>
      <w:r>
        <w:rPr>
          <w:iCs/>
          <w:sz w:val="24"/>
          <w:szCs w:val="24"/>
        </w:rPr>
        <w:t>A solicitação de agendamento de vistoria no(s) local(is) de execução das obras, será permitida das 08h às14h (horário de Brasília-DF) de segunda a sexta-feira, devendo ser marcada na Secretaria Municipal de Obras e Serviços Urbanos, no endereço Rua das Mangueiras, 832, Bairro Jardim Celeste, Sinop-MT, CEP 78.556-662, com o Eng. Civil Sr. Higor Gustavo Pereira de Mattos, ou por meio dos telefones (66) 3520-7362 / 99998-5131 / (66) 99638-2360</w:t>
      </w:r>
    </w:p>
    <w:p w14:paraId="7429853D">
      <w:pPr>
        <w:pStyle w:val="20"/>
        <w:numPr>
          <w:ilvl w:val="0"/>
          <w:numId w:val="4"/>
        </w:numPr>
        <w:tabs>
          <w:tab w:val="left" w:pos="0"/>
          <w:tab w:val="clear" w:pos="425"/>
        </w:tabs>
        <w:ind w:left="0" w:firstLine="0"/>
        <w:rPr>
          <w:iCs/>
          <w:sz w:val="24"/>
          <w:szCs w:val="24"/>
        </w:rPr>
      </w:pPr>
      <w:r>
        <w:rPr>
          <w:iCs/>
          <w:sz w:val="24"/>
          <w:szCs w:val="24"/>
        </w:rPr>
        <w:t>A vistoria será realizada de segunda a sexta-feira, exceto feriados, no período entre 8h e 14h (horário de Brasília-DF), sendo que o último horário será o das 14h (horário de Brasília-DF) do dia útil anterior à abertura do certame.</w:t>
      </w:r>
    </w:p>
    <w:p w14:paraId="77E96207">
      <w:pPr>
        <w:pStyle w:val="20"/>
        <w:numPr>
          <w:ilvl w:val="0"/>
          <w:numId w:val="4"/>
        </w:numPr>
        <w:tabs>
          <w:tab w:val="left" w:pos="0"/>
          <w:tab w:val="clear" w:pos="425"/>
        </w:tabs>
        <w:ind w:left="0" w:firstLine="0"/>
        <w:rPr>
          <w:iCs/>
          <w:sz w:val="24"/>
          <w:szCs w:val="24"/>
        </w:rPr>
      </w:pPr>
      <w:r>
        <w:rPr>
          <w:iCs/>
          <w:sz w:val="24"/>
          <w:szCs w:val="24"/>
        </w:rPr>
        <w:t>Não será realizada vistoria sem prévio agendamento ou fora do prazo estabelecido.</w:t>
      </w:r>
    </w:p>
    <w:p w14:paraId="4F62A3E6">
      <w:pPr>
        <w:pStyle w:val="20"/>
        <w:numPr>
          <w:ilvl w:val="0"/>
          <w:numId w:val="4"/>
        </w:numPr>
        <w:tabs>
          <w:tab w:val="left" w:pos="0"/>
          <w:tab w:val="clear" w:pos="425"/>
        </w:tabs>
        <w:ind w:left="0" w:firstLine="0"/>
        <w:rPr>
          <w:iCs/>
          <w:sz w:val="24"/>
          <w:szCs w:val="24"/>
        </w:rPr>
      </w:pPr>
      <w:r>
        <w:rPr>
          <w:iCs/>
          <w:sz w:val="24"/>
          <w:szCs w:val="24"/>
        </w:rPr>
        <w:t>A vistoria poderá ser realizada por responsável técnico ou representante da pessoa jurídica interessada em participar da licitação, que deverá comparecer municiado de identificação pessoal e do comprovante de vínculo com a empresa ou de procuração, sob pena de não ser executada a vistoria.</w:t>
      </w:r>
    </w:p>
    <w:p w14:paraId="1636840D">
      <w:pPr>
        <w:pStyle w:val="20"/>
        <w:numPr>
          <w:ilvl w:val="0"/>
          <w:numId w:val="4"/>
        </w:numPr>
        <w:tabs>
          <w:tab w:val="left" w:pos="0"/>
          <w:tab w:val="clear" w:pos="425"/>
        </w:tabs>
        <w:ind w:left="0" w:firstLine="0"/>
        <w:rPr>
          <w:iCs/>
          <w:sz w:val="24"/>
          <w:szCs w:val="24"/>
        </w:rPr>
      </w:pPr>
      <w:r>
        <w:rPr>
          <w:iCs/>
          <w:sz w:val="24"/>
          <w:szCs w:val="24"/>
        </w:rPr>
        <w:t>A comprovação do vínculo poderá ser feita por meio de contrato de trabalho, contrato provisório de trabalho, contrato de prestação de serviço ou contrato social da empresa (no caso de sócio ou gerente).</w:t>
      </w:r>
    </w:p>
    <w:p w14:paraId="4474A3DD">
      <w:pPr>
        <w:pStyle w:val="20"/>
        <w:numPr>
          <w:ilvl w:val="0"/>
          <w:numId w:val="4"/>
        </w:numPr>
        <w:tabs>
          <w:tab w:val="left" w:pos="0"/>
          <w:tab w:val="clear" w:pos="425"/>
        </w:tabs>
        <w:ind w:left="0" w:firstLine="0"/>
        <w:rPr>
          <w:iCs/>
          <w:sz w:val="24"/>
          <w:szCs w:val="24"/>
        </w:rPr>
      </w:pPr>
      <w:r>
        <w:rPr>
          <w:iCs/>
          <w:sz w:val="24"/>
          <w:szCs w:val="24"/>
        </w:rPr>
        <w:t>Realizada a vistoria, a licitante receberá o Termo de Vistoria emitido pela Secretaria Municipal de Obras e Serviços Urbanos – SOSU.</w:t>
      </w:r>
    </w:p>
    <w:p w14:paraId="49BF3784">
      <w:pPr>
        <w:pStyle w:val="20"/>
        <w:numPr>
          <w:ilvl w:val="0"/>
          <w:numId w:val="4"/>
        </w:numPr>
        <w:tabs>
          <w:tab w:val="left" w:pos="0"/>
          <w:tab w:val="clear" w:pos="425"/>
        </w:tabs>
        <w:ind w:left="0" w:firstLine="0"/>
        <w:rPr>
          <w:iCs/>
          <w:sz w:val="24"/>
          <w:szCs w:val="24"/>
        </w:rPr>
      </w:pPr>
      <w:r>
        <w:rPr>
          <w:iCs/>
          <w:sz w:val="24"/>
          <w:szCs w:val="24"/>
        </w:rPr>
        <w:t>Caso a interessada opte por não realizar vistoria prévia, firmará Declaração de Dispensa de Vistoria, assinada pelo responsável da licitante, na qual atestará o conhecimento pleno do local e das condições e peculiaridades da contratação, assumindo todo e qualquer risco por sua decisão e se comprometendo a prestar fielmente o serviço nos termos de sua proposta e do presente edital.</w:t>
      </w:r>
    </w:p>
    <w:p w14:paraId="47C1A1D0">
      <w:pPr>
        <w:pStyle w:val="20"/>
        <w:numPr>
          <w:ilvl w:val="0"/>
          <w:numId w:val="4"/>
        </w:numPr>
        <w:tabs>
          <w:tab w:val="left" w:pos="0"/>
          <w:tab w:val="clear" w:pos="425"/>
        </w:tabs>
        <w:ind w:left="0" w:firstLine="0"/>
        <w:rPr>
          <w:sz w:val="24"/>
          <w:szCs w:val="24"/>
        </w:rPr>
      </w:pPr>
      <w:r>
        <w:rPr>
          <w:iCs/>
          <w:sz w:val="24"/>
          <w:szCs w:val="24"/>
        </w:rPr>
        <w:t>O Termo de Vistoria ou a Declaração de Dispensa de Vistoria deverá ser apresentado(a) junto com a documentação de habilitação. A não apresentação dos mencionados documentos implica aceitação geral e irrestrita por parte da licitante das especificações e condições do objeto licitado e de sua plena execução.</w:t>
      </w:r>
    </w:p>
    <w:p w14:paraId="6A6980C0">
      <w:pPr>
        <w:pStyle w:val="20"/>
        <w:numPr>
          <w:ilvl w:val="0"/>
          <w:numId w:val="4"/>
        </w:numPr>
        <w:tabs>
          <w:tab w:val="left" w:pos="0"/>
          <w:tab w:val="clear" w:pos="425"/>
        </w:tabs>
        <w:ind w:left="0" w:firstLine="0"/>
        <w:rPr>
          <w:sz w:val="24"/>
          <w:szCs w:val="24"/>
        </w:rPr>
      </w:pPr>
      <w:r>
        <w:rPr>
          <w:sz w:val="24"/>
          <w:szCs w:val="24"/>
        </w:rPr>
        <w:t>Deverá ser apresentado comprovação de aptidão técnica, consistente, pela apresentação de uma ou mais certidões de acervo técnico expedidas pelo CREA / CAU, em nome dos profissionais que exercerão a função de responsáveis técnicos, comprovando a execução dos serviços com características similares ao objeto a ser contratado, mediante apresentação de Atestado de Capacidade Técnico Profissional;</w:t>
      </w:r>
    </w:p>
    <w:p w14:paraId="6C7D3DEF">
      <w:pPr>
        <w:pStyle w:val="20"/>
        <w:numPr>
          <w:ilvl w:val="0"/>
          <w:numId w:val="4"/>
        </w:numPr>
        <w:tabs>
          <w:tab w:val="left" w:pos="0"/>
          <w:tab w:val="clear" w:pos="425"/>
        </w:tabs>
        <w:ind w:left="0" w:firstLine="0"/>
        <w:rPr>
          <w:sz w:val="24"/>
          <w:szCs w:val="24"/>
        </w:rPr>
      </w:pPr>
      <w:r>
        <w:rPr>
          <w:sz w:val="24"/>
          <w:szCs w:val="24"/>
        </w:rPr>
        <w:t>Deverá ser apresentado, por parte da contratada, atestado de Capacidade Técnico Operacional, comprovando a realização dos serviços com características similares ao objeto a ser contratado;</w:t>
      </w:r>
    </w:p>
    <w:p w14:paraId="1BBDE127">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sz w:val="24"/>
          <w:szCs w:val="24"/>
        </w:rPr>
        <w:t>Para efeito de Capacidade Técnico Profissional, serão exigidos itens de serviços idênticos àqueles pontuados para a Capacidade Técnico Operacional, vedadas as exigências de quantidades mínimas ou prazos máximos. (IN nº 58/DNIT SEDE, Art. 2º “Para efeito de capacidade técnico-profissional, devem ser exigidos itens de serviços idênticos àqueles pontuados para a capacidade técnico-operacional, vedadas as exigências de quantidades mínimas ou prazos máximos, exceto para as licitações de Operação e Manutenção de Instalações Portuárias, definidas no artigo 26”.</w:t>
      </w:r>
    </w:p>
    <w:p w14:paraId="5E735B39">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No momento da apresentação da proposta, conforme o Artigo 58 da Lei 14.133/2021, os interessados deverão apresentar comprovante de recolhimento no valor de 1% do valor estimado da presente contratação à título de garantia da proposta, que poderá ser prestada nas modalidades do artigo 96 da Lei 14.133/2021. </w:t>
      </w:r>
    </w:p>
    <w:p w14:paraId="0A7F938B">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garantia da proposta deve ser juntada como anexo à proposta.</w:t>
      </w:r>
    </w:p>
    <w:p w14:paraId="5B4BFC4F">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O licitante que apresentar garantia de proposta com valor inferior ao exigido no edital será desclassificado sem prejuízo das sanções cabíveis.</w:t>
      </w:r>
    </w:p>
    <w:p w14:paraId="0D1B411D">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O valor recolhido será devolvido aos licitantes que participaram do certame no prazo de 10 (dez) dias úteis, contados da assinatura do contrato ou da data em que for declarada fracassada a licitação.</w:t>
      </w:r>
    </w:p>
    <w:p w14:paraId="699DA3EA">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O valor integral referente à garantia da proposta será executado no caso de recusa em assinar o contrato ou não apresentação dos documentos para a contratação e/ou licitação.</w:t>
      </w:r>
    </w:p>
    <w:p w14:paraId="5FA6328E">
      <w:pPr>
        <w:pStyle w:val="20"/>
        <w:numPr>
          <w:ilvl w:val="0"/>
          <w:numId w:val="4"/>
        </w:numPr>
        <w:tabs>
          <w:tab w:val="left" w:pos="0"/>
          <w:tab w:val="clear" w:pos="425"/>
        </w:tabs>
        <w:ind w:left="0" w:firstLine="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A não apresentação da garantia da proposta configura ausência de requisito de participação, com a consequente desclassificação da proposta e exclusão do licitante do certame.</w:t>
      </w:r>
    </w:p>
    <w:p w14:paraId="05EE56AB">
      <w:pPr>
        <w:pStyle w:val="20"/>
        <w:numPr>
          <w:ilvl w:val="0"/>
          <w:numId w:val="4"/>
        </w:numPr>
        <w:tabs>
          <w:tab w:val="left" w:pos="0"/>
          <w:tab w:val="clear" w:pos="425"/>
        </w:tabs>
        <w:ind w:left="0" w:firstLine="0"/>
        <w:rPr>
          <w:iCs/>
          <w:sz w:val="24"/>
          <w:szCs w:val="24"/>
        </w:rPr>
      </w:pPr>
      <w:r>
        <w:rPr>
          <w:color w:val="000000" w:themeColor="text1"/>
          <w:sz w:val="24"/>
          <w:szCs w:val="24"/>
          <w14:textFill>
            <w14:solidFill>
              <w14:schemeClr w14:val="tx1"/>
            </w14:solidFill>
          </w14:textFill>
        </w:rPr>
        <w:t xml:space="preserve"> Os documentos relativos à garantia da proposta deverão ser anexados em arquivo de até 29MB (vinte e nove megabytes);</w:t>
      </w:r>
    </w:p>
    <w:p w14:paraId="237F92DF">
      <w:pPr>
        <w:pStyle w:val="20"/>
        <w:tabs>
          <w:tab w:val="left" w:pos="0"/>
        </w:tabs>
        <w:ind w:left="0"/>
        <w:rPr>
          <w:iCs/>
          <w:sz w:val="24"/>
          <w:szCs w:val="24"/>
        </w:rPr>
      </w:pPr>
    </w:p>
    <w:p w14:paraId="70324A0D">
      <w:pPr>
        <w:pStyle w:val="20"/>
        <w:numPr>
          <w:ilvl w:val="0"/>
          <w:numId w:val="4"/>
        </w:numPr>
        <w:tabs>
          <w:tab w:val="left" w:pos="0"/>
          <w:tab w:val="clear" w:pos="425"/>
        </w:tabs>
        <w:ind w:left="0" w:firstLine="0"/>
        <w:rPr>
          <w:iCs/>
          <w:sz w:val="24"/>
          <w:szCs w:val="24"/>
        </w:rPr>
      </w:pPr>
      <w:r>
        <w:rPr>
          <w:b/>
          <w:bCs/>
          <w:iCs/>
          <w:sz w:val="24"/>
          <w:szCs w:val="24"/>
        </w:rPr>
        <w:t>A exigência de Capacidade Técnica Operacional se restringe</w:t>
      </w:r>
      <w:r>
        <w:rPr>
          <w:iCs/>
          <w:sz w:val="24"/>
          <w:szCs w:val="24"/>
        </w:rPr>
        <w:t>:</w:t>
      </w:r>
    </w:p>
    <w:p w14:paraId="544FDB25">
      <w:pPr>
        <w:pStyle w:val="20"/>
        <w:numPr>
          <w:ilvl w:val="0"/>
          <w:numId w:val="5"/>
        </w:numPr>
        <w:tabs>
          <w:tab w:val="left" w:pos="415"/>
        </w:tabs>
        <w:rPr>
          <w:iCs/>
          <w:color w:val="FF0000"/>
          <w:sz w:val="24"/>
          <w:szCs w:val="24"/>
        </w:rPr>
      </w:pPr>
      <w:r>
        <w:rPr>
          <w:iCs/>
          <w:sz w:val="24"/>
          <w:szCs w:val="24"/>
        </w:rPr>
        <w:t xml:space="preserve"> Ao item de maior relevância global (são aqueles que constituem o escopo da licitação, representando o “objeto final licitado” ou a “obra em sua totalidade”, tais com a “extensão total pavimentada" e “comprimento de OAE e vão livre mínimo” - IN nº 58/DNIT SEDE, Art. 4º § 1º)/ Decreto Municipal nº 359/2023.</w:t>
      </w:r>
    </w:p>
    <w:p w14:paraId="1696EF30">
      <w:pPr>
        <w:pStyle w:val="20"/>
        <w:tabs>
          <w:tab w:val="left" w:pos="415"/>
        </w:tabs>
        <w:rPr>
          <w:iCs/>
          <w:color w:val="FF0000"/>
          <w:sz w:val="24"/>
          <w:szCs w:val="24"/>
        </w:rPr>
      </w:pPr>
    </w:p>
    <w:p w14:paraId="3762C8A0">
      <w:pPr>
        <w:pStyle w:val="20"/>
        <w:numPr>
          <w:ilvl w:val="0"/>
          <w:numId w:val="5"/>
        </w:numPr>
        <w:tabs>
          <w:tab w:val="left" w:pos="415"/>
        </w:tabs>
        <w:rPr>
          <w:iCs/>
          <w:color w:val="FF0000"/>
          <w:sz w:val="24"/>
          <w:szCs w:val="24"/>
        </w:rPr>
      </w:pPr>
      <w:r>
        <w:rPr>
          <w:iCs/>
          <w:sz w:val="24"/>
          <w:szCs w:val="24"/>
        </w:rPr>
        <w:t>Os itens de serviço de maior relevância técnica e financeira são aqueles que constem do objeto licitado em valor igual ou superior a 4% (quatro por cento) do orçamento total do objeto.</w:t>
      </w:r>
    </w:p>
    <w:p w14:paraId="63B760D7">
      <w:pPr>
        <w:pStyle w:val="20"/>
        <w:tabs>
          <w:tab w:val="left" w:pos="415"/>
        </w:tabs>
        <w:rPr>
          <w:iCs/>
          <w:color w:val="FF0000"/>
          <w:sz w:val="24"/>
          <w:szCs w:val="24"/>
        </w:rPr>
      </w:pPr>
    </w:p>
    <w:p w14:paraId="0D0AF339">
      <w:pPr>
        <w:pStyle w:val="20"/>
        <w:numPr>
          <w:ilvl w:val="0"/>
          <w:numId w:val="5"/>
        </w:numPr>
        <w:tabs>
          <w:tab w:val="left" w:pos="415"/>
        </w:tabs>
        <w:rPr>
          <w:iCs/>
          <w:color w:val="FF0000"/>
          <w:sz w:val="24"/>
          <w:szCs w:val="24"/>
        </w:rPr>
      </w:pPr>
      <w:r>
        <w:rPr>
          <w:iCs/>
          <w:sz w:val="24"/>
          <w:szCs w:val="24"/>
        </w:rPr>
        <w:t>Aos itens de maior relevância técnica e financeira contidas no objeto a ser licitado (curva ABC), em número máximo de 8 (oito) itens, e não superior a 50% (cinquenta por cento) das quantidades licitadas para o serviço específico.</w:t>
      </w:r>
    </w:p>
    <w:p w14:paraId="78218062">
      <w:pPr>
        <w:pStyle w:val="20"/>
        <w:tabs>
          <w:tab w:val="left" w:pos="415"/>
        </w:tabs>
        <w:rPr>
          <w:iCs/>
          <w:color w:val="FF0000"/>
          <w:sz w:val="24"/>
          <w:szCs w:val="24"/>
        </w:rPr>
      </w:pPr>
    </w:p>
    <w:p w14:paraId="38473606">
      <w:pPr>
        <w:pStyle w:val="20"/>
        <w:numPr>
          <w:ilvl w:val="0"/>
          <w:numId w:val="5"/>
        </w:numPr>
        <w:tabs>
          <w:tab w:val="left" w:pos="415"/>
        </w:tabs>
        <w:rPr>
          <w:color w:val="FF0000"/>
          <w:sz w:val="24"/>
          <w:szCs w:val="24"/>
        </w:rPr>
      </w:pPr>
      <w:r>
        <w:rPr>
          <w:iCs/>
          <w:sz w:val="24"/>
          <w:szCs w:val="24"/>
        </w:rPr>
        <w:t>Será permitido o somatório de atestados, para o atendimento dos itens de “maior relevância global” e / ou aos de “maior relevância técnica contidas no objeto a ser licitado”.</w:t>
      </w:r>
    </w:p>
    <w:p w14:paraId="1EF058ED">
      <w:pPr>
        <w:pStyle w:val="2"/>
        <w:numPr>
          <w:ilvl w:val="0"/>
          <w:numId w:val="6"/>
        </w:numPr>
        <w:tabs>
          <w:tab w:val="left" w:pos="0"/>
          <w:tab w:val="left" w:pos="1578"/>
          <w:tab w:val="left" w:pos="1579"/>
          <w:tab w:val="clear" w:pos="425"/>
        </w:tabs>
        <w:spacing w:before="120" w:line="360" w:lineRule="auto"/>
        <w:ind w:left="5" w:right="304" w:hanging="5"/>
        <w:jc w:val="both"/>
      </w:pPr>
      <w:r>
        <w:t>Exigência</w:t>
      </w:r>
      <w:r>
        <w:rPr>
          <w:spacing w:val="-4"/>
        </w:rPr>
        <w:t xml:space="preserve"> </w:t>
      </w:r>
      <w:r>
        <w:t>de</w:t>
      </w:r>
      <w:r>
        <w:rPr>
          <w:spacing w:val="-3"/>
        </w:rPr>
        <w:t xml:space="preserve"> </w:t>
      </w:r>
      <w:r>
        <w:t>Capacidade</w:t>
      </w:r>
      <w:r>
        <w:rPr>
          <w:spacing w:val="-3"/>
        </w:rPr>
        <w:t xml:space="preserve"> </w:t>
      </w:r>
      <w:r>
        <w:t>Técnica</w:t>
      </w:r>
      <w:r>
        <w:rPr>
          <w:spacing w:val="-3"/>
        </w:rPr>
        <w:t xml:space="preserve"> </w:t>
      </w:r>
      <w:r>
        <w:t>Operacional</w:t>
      </w:r>
    </w:p>
    <w:p w14:paraId="05904049">
      <w:pPr>
        <w:pStyle w:val="10"/>
        <w:spacing w:before="120" w:line="360" w:lineRule="auto"/>
      </w:pPr>
      <w:r>
        <w:t>Item</w:t>
      </w:r>
      <w:r>
        <w:rPr>
          <w:spacing w:val="-2"/>
        </w:rPr>
        <w:t xml:space="preserve"> </w:t>
      </w:r>
      <w:r>
        <w:t>I -</w:t>
      </w:r>
      <w:r>
        <w:rPr>
          <w:spacing w:val="-3"/>
        </w:rPr>
        <w:t xml:space="preserve"> </w:t>
      </w:r>
      <w:r>
        <w:rPr>
          <w:u w:val="single"/>
        </w:rPr>
        <w:t>Maior</w:t>
      </w:r>
      <w:r>
        <w:rPr>
          <w:spacing w:val="-4"/>
          <w:u w:val="single"/>
        </w:rPr>
        <w:t xml:space="preserve"> </w:t>
      </w:r>
      <w:r>
        <w:rPr>
          <w:u w:val="single"/>
        </w:rPr>
        <w:t>relevância</w:t>
      </w:r>
      <w:r>
        <w:rPr>
          <w:spacing w:val="-3"/>
          <w:u w:val="single"/>
        </w:rPr>
        <w:t xml:space="preserve"> </w:t>
      </w:r>
      <w:r>
        <w:rPr>
          <w:u w:val="single"/>
        </w:rPr>
        <w:t>global</w:t>
      </w:r>
      <w:r>
        <w:rPr>
          <w:spacing w:val="-2"/>
          <w:u w:val="single"/>
        </w:rPr>
        <w:t xml:space="preserve"> </w:t>
      </w:r>
      <w:r>
        <w:rPr>
          <w:u w:val="single"/>
        </w:rPr>
        <w:t>mínimo</w:t>
      </w:r>
      <w:r>
        <w:rPr>
          <w:spacing w:val="2"/>
          <w:u w:val="single"/>
        </w:rPr>
        <w:t xml:space="preserve"> </w:t>
      </w:r>
      <w:r>
        <w:rPr>
          <w:u w:val="single"/>
        </w:rPr>
        <w:t>a</w:t>
      </w:r>
      <w:r>
        <w:rPr>
          <w:spacing w:val="-3"/>
          <w:u w:val="single"/>
        </w:rPr>
        <w:t xml:space="preserve"> </w:t>
      </w:r>
      <w:r>
        <w:rPr>
          <w:u w:val="single"/>
        </w:rPr>
        <w:t>ser comprovada (subitem</w:t>
      </w:r>
      <w:r>
        <w:rPr>
          <w:spacing w:val="-2"/>
          <w:u w:val="single"/>
        </w:rPr>
        <w:t xml:space="preserve"> </w:t>
      </w:r>
      <w:r>
        <w:rPr>
          <w:u w:val="single"/>
        </w:rPr>
        <w:t>“I”</w:t>
      </w:r>
      <w:r>
        <w:rPr>
          <w:spacing w:val="-2"/>
          <w:u w:val="single"/>
        </w:rPr>
        <w:t xml:space="preserve"> </w:t>
      </w:r>
      <w:r>
        <w:rPr>
          <w:u w:val="single"/>
        </w:rPr>
        <w:t>e</w:t>
      </w:r>
      <w:r>
        <w:rPr>
          <w:spacing w:val="-2"/>
          <w:u w:val="single"/>
        </w:rPr>
        <w:t xml:space="preserve"> </w:t>
      </w:r>
      <w:r>
        <w:rPr>
          <w:u w:val="single"/>
        </w:rPr>
        <w:t>“II”)</w:t>
      </w:r>
      <w:r>
        <w:t>:</w:t>
      </w:r>
    </w:p>
    <w:tbl>
      <w:tblPr>
        <w:tblStyle w:val="17"/>
        <w:tblpPr w:leftFromText="180" w:rightFromText="180" w:vertAnchor="text" w:horzAnchor="page" w:tblpX="1533" w:tblpY="195"/>
        <w:tblOverlap w:val="never"/>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8"/>
        <w:gridCol w:w="1687"/>
        <w:gridCol w:w="1700"/>
      </w:tblGrid>
      <w:tr w14:paraId="7001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shd w:val="clear" w:color="auto" w:fill="FBD4B4" w:themeFill="accent6" w:themeFillTint="66"/>
          </w:tcPr>
          <w:p w14:paraId="09FEEF3D">
            <w:pPr>
              <w:pStyle w:val="20"/>
              <w:spacing w:before="120"/>
              <w:ind w:left="18" w:right="304"/>
              <w:jc w:val="center"/>
              <w:rPr>
                <w:sz w:val="20"/>
                <w:szCs w:val="20"/>
              </w:rPr>
            </w:pPr>
            <w:r>
              <w:rPr>
                <w:b/>
                <w:spacing w:val="-2"/>
                <w:sz w:val="20"/>
                <w:szCs w:val="20"/>
              </w:rPr>
              <w:t>Descritivo/Material/Serviço</w:t>
            </w:r>
          </w:p>
        </w:tc>
        <w:tc>
          <w:tcPr>
            <w:tcW w:w="1687" w:type="dxa"/>
            <w:shd w:val="clear" w:color="auto" w:fill="FBD4B4" w:themeFill="accent6" w:themeFillTint="66"/>
          </w:tcPr>
          <w:p w14:paraId="142CABEA">
            <w:pPr>
              <w:pStyle w:val="20"/>
              <w:spacing w:line="248" w:lineRule="exact"/>
              <w:ind w:left="14"/>
              <w:jc w:val="center"/>
              <w:rPr>
                <w:b/>
                <w:sz w:val="20"/>
                <w:szCs w:val="20"/>
              </w:rPr>
            </w:pPr>
            <w:r>
              <w:rPr>
                <w:b/>
                <w:spacing w:val="-2"/>
                <w:sz w:val="20"/>
                <w:szCs w:val="20"/>
              </w:rPr>
              <w:t>Quantidade</w:t>
            </w:r>
            <w:r>
              <w:rPr>
                <w:b/>
                <w:spacing w:val="6"/>
                <w:sz w:val="20"/>
                <w:szCs w:val="20"/>
              </w:rPr>
              <w:t xml:space="preserve"> </w:t>
            </w:r>
            <w:r>
              <w:rPr>
                <w:b/>
                <w:spacing w:val="-5"/>
                <w:sz w:val="20"/>
                <w:szCs w:val="20"/>
              </w:rPr>
              <w:t>no</w:t>
            </w:r>
          </w:p>
          <w:p w14:paraId="10CBDEB1">
            <w:pPr>
              <w:pStyle w:val="20"/>
              <w:spacing w:before="120"/>
              <w:ind w:left="14"/>
              <w:jc w:val="center"/>
              <w:rPr>
                <w:sz w:val="20"/>
                <w:szCs w:val="20"/>
              </w:rPr>
            </w:pPr>
            <w:r>
              <w:rPr>
                <w:b/>
                <w:spacing w:val="-2"/>
                <w:sz w:val="20"/>
                <w:szCs w:val="20"/>
              </w:rPr>
              <w:t>projeto</w:t>
            </w:r>
          </w:p>
        </w:tc>
        <w:tc>
          <w:tcPr>
            <w:tcW w:w="1700" w:type="dxa"/>
            <w:shd w:val="clear" w:color="auto" w:fill="FBD4B4" w:themeFill="accent6" w:themeFillTint="66"/>
          </w:tcPr>
          <w:p w14:paraId="782AE5FE">
            <w:pPr>
              <w:pStyle w:val="20"/>
              <w:spacing w:line="248" w:lineRule="exact"/>
              <w:ind w:left="342"/>
              <w:jc w:val="center"/>
              <w:rPr>
                <w:b/>
                <w:spacing w:val="3"/>
                <w:sz w:val="20"/>
                <w:szCs w:val="20"/>
              </w:rPr>
            </w:pPr>
            <w:r>
              <w:rPr>
                <w:b/>
                <w:spacing w:val="-2"/>
                <w:sz w:val="20"/>
                <w:szCs w:val="20"/>
              </w:rPr>
              <w:t>Quantidade</w:t>
            </w:r>
            <w:r>
              <w:rPr>
                <w:b/>
                <w:spacing w:val="3"/>
                <w:sz w:val="20"/>
                <w:szCs w:val="20"/>
              </w:rPr>
              <w:t xml:space="preserve"> </w:t>
            </w:r>
          </w:p>
          <w:p w14:paraId="20C63C3C">
            <w:pPr>
              <w:pStyle w:val="20"/>
              <w:spacing w:line="248" w:lineRule="exact"/>
              <w:ind w:left="342"/>
              <w:jc w:val="center"/>
              <w:rPr>
                <w:sz w:val="20"/>
                <w:szCs w:val="20"/>
              </w:rPr>
            </w:pPr>
            <w:r>
              <w:rPr>
                <w:b/>
                <w:spacing w:val="-12"/>
                <w:sz w:val="20"/>
                <w:szCs w:val="20"/>
              </w:rPr>
              <w:t xml:space="preserve">a </w:t>
            </w:r>
            <w:r>
              <w:rPr>
                <w:b/>
                <w:sz w:val="20"/>
                <w:szCs w:val="20"/>
              </w:rPr>
              <w:t>ser</w:t>
            </w:r>
            <w:r>
              <w:rPr>
                <w:b/>
                <w:spacing w:val="-8"/>
                <w:sz w:val="20"/>
                <w:szCs w:val="20"/>
              </w:rPr>
              <w:t xml:space="preserve"> </w:t>
            </w:r>
            <w:r>
              <w:rPr>
                <w:b/>
                <w:spacing w:val="-2"/>
                <w:sz w:val="20"/>
                <w:szCs w:val="20"/>
              </w:rPr>
              <w:t>comprovada</w:t>
            </w:r>
          </w:p>
        </w:tc>
      </w:tr>
      <w:tr w14:paraId="0292B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8" w:type="dxa"/>
          </w:tcPr>
          <w:p w14:paraId="049CF331">
            <w:pPr>
              <w:pStyle w:val="20"/>
              <w:ind w:left="18" w:right="304"/>
              <w:jc w:val="center"/>
              <w:rPr>
                <w:sz w:val="18"/>
                <w:szCs w:val="18"/>
              </w:rPr>
            </w:pPr>
            <w:r>
              <w:rPr>
                <w:sz w:val="18"/>
                <w:szCs w:val="18"/>
              </w:rPr>
              <w:t>CONSTRUÇÃO DE TÚMULOS VERTICAIS</w:t>
            </w:r>
          </w:p>
        </w:tc>
        <w:tc>
          <w:tcPr>
            <w:tcW w:w="1687" w:type="dxa"/>
          </w:tcPr>
          <w:p w14:paraId="142A4EAF">
            <w:pPr>
              <w:pStyle w:val="20"/>
              <w:ind w:left="14" w:right="304"/>
              <w:jc w:val="center"/>
              <w:rPr>
                <w:sz w:val="20"/>
                <w:szCs w:val="20"/>
              </w:rPr>
            </w:pPr>
            <w:r>
              <w:rPr>
                <w:sz w:val="20"/>
                <w:szCs w:val="20"/>
              </w:rPr>
              <w:t>2.707,38 m²</w:t>
            </w:r>
          </w:p>
        </w:tc>
        <w:tc>
          <w:tcPr>
            <w:tcW w:w="1700" w:type="dxa"/>
          </w:tcPr>
          <w:p w14:paraId="361945AC">
            <w:pPr>
              <w:pStyle w:val="20"/>
              <w:ind w:left="13"/>
              <w:jc w:val="center"/>
              <w:rPr>
                <w:sz w:val="20"/>
                <w:szCs w:val="20"/>
              </w:rPr>
            </w:pPr>
            <w:r>
              <w:rPr>
                <w:sz w:val="20"/>
                <w:szCs w:val="20"/>
              </w:rPr>
              <w:t>1.353,69 m²</w:t>
            </w:r>
          </w:p>
        </w:tc>
      </w:tr>
      <w:tr w14:paraId="4940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8" w:type="dxa"/>
          </w:tcPr>
          <w:p w14:paraId="517E4541">
            <w:pPr>
              <w:pStyle w:val="20"/>
              <w:ind w:left="18" w:right="304"/>
              <w:jc w:val="center"/>
              <w:rPr>
                <w:sz w:val="18"/>
                <w:szCs w:val="18"/>
              </w:rPr>
            </w:pPr>
            <w:r>
              <w:rPr>
                <w:sz w:val="18"/>
                <w:szCs w:val="18"/>
              </w:rPr>
              <w:t>FORNECIMENTO E INSTALAÇÃO DE TAMPO DE GRANITO CINZA ANDORINHA - 2,5 CM ESPESSURA</w:t>
            </w:r>
          </w:p>
        </w:tc>
        <w:tc>
          <w:tcPr>
            <w:tcW w:w="1687" w:type="dxa"/>
          </w:tcPr>
          <w:p w14:paraId="7433A9F3">
            <w:pPr>
              <w:pStyle w:val="20"/>
              <w:ind w:left="14" w:right="304"/>
              <w:jc w:val="center"/>
              <w:rPr>
                <w:sz w:val="20"/>
                <w:szCs w:val="20"/>
              </w:rPr>
            </w:pPr>
            <w:r>
              <w:rPr>
                <w:sz w:val="20"/>
                <w:szCs w:val="20"/>
              </w:rPr>
              <w:t>680,4 m²</w:t>
            </w:r>
          </w:p>
        </w:tc>
        <w:tc>
          <w:tcPr>
            <w:tcW w:w="1700" w:type="dxa"/>
          </w:tcPr>
          <w:p w14:paraId="7D0BD03A">
            <w:pPr>
              <w:pStyle w:val="20"/>
              <w:ind w:left="13"/>
              <w:jc w:val="center"/>
              <w:rPr>
                <w:sz w:val="20"/>
                <w:szCs w:val="20"/>
              </w:rPr>
            </w:pPr>
            <w:r>
              <w:rPr>
                <w:sz w:val="20"/>
                <w:szCs w:val="20"/>
              </w:rPr>
              <w:t>340,2 m²</w:t>
            </w:r>
          </w:p>
        </w:tc>
      </w:tr>
      <w:tr w14:paraId="6C2F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tcPr>
          <w:p w14:paraId="3ED0464D">
            <w:pPr>
              <w:pStyle w:val="20"/>
              <w:spacing w:line="253" w:lineRule="exact"/>
              <w:ind w:left="18"/>
              <w:jc w:val="center"/>
              <w:rPr>
                <w:sz w:val="18"/>
                <w:szCs w:val="18"/>
              </w:rPr>
            </w:pPr>
            <w:r>
              <w:rPr>
                <w:sz w:val="18"/>
                <w:szCs w:val="18"/>
              </w:rPr>
              <w:t>CONCRETAGEM DE VIGAS E LAJES, FCK=25 MPA, PARA LAJES MACIÇAS OU NERVURADAS COM USO DE BOMBA - LANÇAMENTO, ADENSAMENTO E ACABAMENTO. AF_02/2022_PS</w:t>
            </w:r>
          </w:p>
        </w:tc>
        <w:tc>
          <w:tcPr>
            <w:tcW w:w="1687" w:type="dxa"/>
          </w:tcPr>
          <w:p w14:paraId="5725CCCA">
            <w:pPr>
              <w:pStyle w:val="20"/>
              <w:spacing w:line="253" w:lineRule="exact"/>
              <w:ind w:left="14" w:right="304"/>
              <w:jc w:val="center"/>
              <w:rPr>
                <w:sz w:val="20"/>
                <w:szCs w:val="20"/>
              </w:rPr>
            </w:pPr>
            <w:r>
              <w:rPr>
                <w:sz w:val="20"/>
                <w:szCs w:val="20"/>
              </w:rPr>
              <w:t>309,87 m²</w:t>
            </w:r>
          </w:p>
        </w:tc>
        <w:tc>
          <w:tcPr>
            <w:tcW w:w="1700" w:type="dxa"/>
          </w:tcPr>
          <w:p w14:paraId="602E52E6">
            <w:pPr>
              <w:pStyle w:val="20"/>
              <w:spacing w:line="253" w:lineRule="exact"/>
              <w:ind w:left="13" w:right="304"/>
              <w:jc w:val="center"/>
              <w:rPr>
                <w:sz w:val="20"/>
                <w:szCs w:val="20"/>
              </w:rPr>
            </w:pPr>
            <w:r>
              <w:rPr>
                <w:sz w:val="20"/>
                <w:szCs w:val="20"/>
              </w:rPr>
              <w:t>154,94 m²</w:t>
            </w:r>
          </w:p>
        </w:tc>
      </w:tr>
      <w:tr w14:paraId="61E5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tcPr>
          <w:p w14:paraId="674BD713">
            <w:pPr>
              <w:pStyle w:val="20"/>
              <w:ind w:left="18" w:right="304"/>
              <w:jc w:val="center"/>
              <w:rPr>
                <w:sz w:val="18"/>
                <w:szCs w:val="18"/>
              </w:rPr>
            </w:pPr>
            <w:r>
              <w:rPr>
                <w:sz w:val="18"/>
                <w:szCs w:val="18"/>
              </w:rPr>
              <w:t>FABRICAÇÃO DE FÔRMA PARA LAJES, EM MADEIRA SERRADA, E=25 MM. AF_09/2020</w:t>
            </w:r>
          </w:p>
        </w:tc>
        <w:tc>
          <w:tcPr>
            <w:tcW w:w="1687" w:type="dxa"/>
          </w:tcPr>
          <w:p w14:paraId="6386EBDC">
            <w:pPr>
              <w:pStyle w:val="20"/>
              <w:ind w:left="14" w:right="304"/>
              <w:jc w:val="center"/>
              <w:rPr>
                <w:sz w:val="20"/>
                <w:szCs w:val="20"/>
              </w:rPr>
            </w:pPr>
            <w:r>
              <w:rPr>
                <w:sz w:val="20"/>
                <w:szCs w:val="20"/>
              </w:rPr>
              <w:t xml:space="preserve"> 2.763,72 m²</w:t>
            </w:r>
          </w:p>
        </w:tc>
        <w:tc>
          <w:tcPr>
            <w:tcW w:w="1700" w:type="dxa"/>
          </w:tcPr>
          <w:p w14:paraId="4A134FB5">
            <w:pPr>
              <w:pStyle w:val="20"/>
              <w:ind w:left="13" w:right="304"/>
              <w:jc w:val="center"/>
              <w:rPr>
                <w:sz w:val="20"/>
                <w:szCs w:val="20"/>
              </w:rPr>
            </w:pPr>
            <w:r>
              <w:rPr>
                <w:sz w:val="20"/>
                <w:szCs w:val="20"/>
              </w:rPr>
              <w:t>1.381,86 m²</w:t>
            </w:r>
          </w:p>
        </w:tc>
      </w:tr>
      <w:tr w14:paraId="7D73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tcPr>
          <w:p w14:paraId="41FBA1D3">
            <w:pPr>
              <w:pStyle w:val="20"/>
              <w:spacing w:line="254" w:lineRule="exact"/>
              <w:ind w:left="18" w:right="304"/>
              <w:jc w:val="center"/>
              <w:rPr>
                <w:sz w:val="18"/>
                <w:szCs w:val="18"/>
              </w:rPr>
            </w:pPr>
            <w:r>
              <w:rPr>
                <w:sz w:val="18"/>
                <w:szCs w:val="18"/>
              </w:rPr>
              <w:t>ALVENARIA DE VEDAÇÃO DE BLOCOS CERÂMICOS FURADOS NA HORIZONTAL DE 11,5X19X19 CM (ESPESSURA 11,5 CM) E ARGAMASSA DE ASSENTAMENTO COM PREPARO EM BETONEIRA. AF_12/2021</w:t>
            </w:r>
          </w:p>
        </w:tc>
        <w:tc>
          <w:tcPr>
            <w:tcW w:w="1687" w:type="dxa"/>
          </w:tcPr>
          <w:p w14:paraId="6D7BEB26">
            <w:pPr>
              <w:pStyle w:val="20"/>
              <w:spacing w:line="254" w:lineRule="exact"/>
              <w:ind w:left="14" w:right="304"/>
              <w:jc w:val="center"/>
              <w:rPr>
                <w:sz w:val="20"/>
                <w:szCs w:val="20"/>
              </w:rPr>
            </w:pPr>
            <w:r>
              <w:rPr>
                <w:sz w:val="20"/>
                <w:szCs w:val="20"/>
              </w:rPr>
              <w:t xml:space="preserve"> 2.290,03 m²</w:t>
            </w:r>
          </w:p>
        </w:tc>
        <w:tc>
          <w:tcPr>
            <w:tcW w:w="1700" w:type="dxa"/>
          </w:tcPr>
          <w:p w14:paraId="45F9064B">
            <w:pPr>
              <w:pStyle w:val="20"/>
              <w:spacing w:line="254" w:lineRule="exact"/>
              <w:ind w:left="13"/>
              <w:jc w:val="center"/>
              <w:rPr>
                <w:sz w:val="20"/>
                <w:szCs w:val="20"/>
              </w:rPr>
            </w:pPr>
            <w:r>
              <w:rPr>
                <w:sz w:val="20"/>
                <w:szCs w:val="20"/>
              </w:rPr>
              <w:t>1.145,02 m²</w:t>
            </w:r>
          </w:p>
        </w:tc>
      </w:tr>
      <w:tr w14:paraId="0A37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38" w:type="dxa"/>
          </w:tcPr>
          <w:p w14:paraId="491A3B14">
            <w:pPr>
              <w:pStyle w:val="20"/>
              <w:ind w:left="18"/>
              <w:jc w:val="center"/>
              <w:rPr>
                <w:sz w:val="18"/>
                <w:szCs w:val="18"/>
              </w:rPr>
            </w:pPr>
            <w:r>
              <w:rPr>
                <w:sz w:val="18"/>
                <w:szCs w:val="18"/>
              </w:rPr>
              <w:t>ARMAÇÃO DE LAJE DE ESTRUTURA CONVENCIONAL DE CONCRETO ARMADO UTILIZANDO AÇO CA-50 DE 8,0 MM - MONTAGEM. AF_06/2022</w:t>
            </w:r>
          </w:p>
        </w:tc>
        <w:tc>
          <w:tcPr>
            <w:tcW w:w="1687" w:type="dxa"/>
          </w:tcPr>
          <w:p w14:paraId="0E5953CC">
            <w:pPr>
              <w:pStyle w:val="20"/>
              <w:ind w:left="14" w:right="304"/>
              <w:jc w:val="center"/>
              <w:rPr>
                <w:sz w:val="20"/>
                <w:szCs w:val="20"/>
              </w:rPr>
            </w:pPr>
            <w:r>
              <w:rPr>
                <w:sz w:val="20"/>
                <w:szCs w:val="20"/>
              </w:rPr>
              <w:t xml:space="preserve">   13.240,8 KG</w:t>
            </w:r>
          </w:p>
        </w:tc>
        <w:tc>
          <w:tcPr>
            <w:tcW w:w="1700" w:type="dxa"/>
          </w:tcPr>
          <w:p w14:paraId="13F0714F">
            <w:pPr>
              <w:pStyle w:val="20"/>
              <w:ind w:left="13" w:right="304"/>
              <w:jc w:val="center"/>
              <w:rPr>
                <w:sz w:val="20"/>
                <w:szCs w:val="20"/>
              </w:rPr>
            </w:pPr>
            <w:r>
              <w:rPr>
                <w:sz w:val="20"/>
                <w:szCs w:val="20"/>
              </w:rPr>
              <w:t>6.620,4 KG</w:t>
            </w:r>
          </w:p>
        </w:tc>
      </w:tr>
      <w:tr w14:paraId="17CD1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38" w:type="dxa"/>
          </w:tcPr>
          <w:p w14:paraId="13029BC3">
            <w:pPr>
              <w:pStyle w:val="20"/>
              <w:ind w:left="18"/>
              <w:jc w:val="center"/>
              <w:rPr>
                <w:sz w:val="18"/>
                <w:szCs w:val="18"/>
              </w:rPr>
            </w:pPr>
            <w:r>
              <w:rPr>
                <w:sz w:val="18"/>
                <w:szCs w:val="18"/>
              </w:rPr>
              <w:t>IMPERMEABILIZAÇÃO DE SUPERFÍCIE COM ARGAMASSA POLIMÉRICA / MEMBRANA ACRÍLICA, 3 DEMÃOS. AF_09/2023</w:t>
            </w:r>
          </w:p>
        </w:tc>
        <w:tc>
          <w:tcPr>
            <w:tcW w:w="1687" w:type="dxa"/>
          </w:tcPr>
          <w:p w14:paraId="661E474D">
            <w:pPr>
              <w:pStyle w:val="20"/>
              <w:ind w:left="14" w:right="304"/>
              <w:jc w:val="center"/>
              <w:rPr>
                <w:sz w:val="20"/>
                <w:szCs w:val="20"/>
              </w:rPr>
            </w:pPr>
            <w:r>
              <w:rPr>
                <w:sz w:val="20"/>
                <w:szCs w:val="20"/>
              </w:rPr>
              <w:t xml:space="preserve">   4.873,5 m²</w:t>
            </w:r>
          </w:p>
        </w:tc>
        <w:tc>
          <w:tcPr>
            <w:tcW w:w="1700" w:type="dxa"/>
          </w:tcPr>
          <w:p w14:paraId="32A24F68">
            <w:pPr>
              <w:pStyle w:val="20"/>
              <w:ind w:left="13" w:right="304"/>
              <w:jc w:val="center"/>
              <w:rPr>
                <w:sz w:val="20"/>
                <w:szCs w:val="20"/>
              </w:rPr>
            </w:pPr>
            <w:r>
              <w:rPr>
                <w:sz w:val="20"/>
                <w:szCs w:val="20"/>
              </w:rPr>
              <w:t>2.436,75 m²</w:t>
            </w:r>
          </w:p>
        </w:tc>
      </w:tr>
    </w:tbl>
    <w:p w14:paraId="3290CCA0">
      <w:pPr>
        <w:pStyle w:val="20"/>
        <w:tabs>
          <w:tab w:val="left" w:pos="415"/>
        </w:tabs>
        <w:rPr>
          <w:color w:val="FF0000"/>
          <w:sz w:val="24"/>
          <w:szCs w:val="24"/>
        </w:rPr>
      </w:pPr>
    </w:p>
    <w:p w14:paraId="7806EDDD">
      <w:pPr>
        <w:pStyle w:val="10"/>
        <w:spacing w:line="360" w:lineRule="auto"/>
        <w:rPr>
          <w:color w:val="FF0000"/>
        </w:rPr>
      </w:pPr>
      <w:r>
        <w:t>Item</w:t>
      </w:r>
      <w:r>
        <w:rPr>
          <w:spacing w:val="-1"/>
        </w:rPr>
        <w:t xml:space="preserve"> </w:t>
      </w:r>
      <w:r>
        <w:t>II –</w:t>
      </w:r>
      <w:r>
        <w:rPr>
          <w:spacing w:val="-2"/>
        </w:rPr>
        <w:t xml:space="preserve"> </w:t>
      </w:r>
      <w:r>
        <w:rPr>
          <w:u w:val="single"/>
        </w:rPr>
        <w:t>Parcelas de</w:t>
      </w:r>
      <w:r>
        <w:rPr>
          <w:spacing w:val="-3"/>
          <w:u w:val="single"/>
        </w:rPr>
        <w:t xml:space="preserve"> </w:t>
      </w:r>
      <w:r>
        <w:rPr>
          <w:u w:val="single"/>
        </w:rPr>
        <w:t>maior</w:t>
      </w:r>
      <w:r>
        <w:rPr>
          <w:spacing w:val="-1"/>
          <w:u w:val="single"/>
        </w:rPr>
        <w:t xml:space="preserve"> </w:t>
      </w:r>
      <w:r>
        <w:rPr>
          <w:u w:val="single"/>
        </w:rPr>
        <w:t>relevância técnica a</w:t>
      </w:r>
      <w:r>
        <w:rPr>
          <w:spacing w:val="-3"/>
          <w:u w:val="single"/>
        </w:rPr>
        <w:t xml:space="preserve"> </w:t>
      </w:r>
      <w:r>
        <w:rPr>
          <w:u w:val="single"/>
        </w:rPr>
        <w:t>ser</w:t>
      </w:r>
      <w:r>
        <w:rPr>
          <w:spacing w:val="-2"/>
          <w:u w:val="single"/>
        </w:rPr>
        <w:t xml:space="preserve"> </w:t>
      </w:r>
      <w:r>
        <w:rPr>
          <w:u w:val="single"/>
        </w:rPr>
        <w:t>comprovada</w:t>
      </w:r>
      <w:r>
        <w:t>:</w:t>
      </w:r>
    </w:p>
    <w:tbl>
      <w:tblPr>
        <w:tblStyle w:val="5"/>
        <w:tblpPr w:leftFromText="180" w:rightFromText="180" w:vertAnchor="text" w:horzAnchor="page" w:tblpX="1450" w:tblpY="206"/>
        <w:tblOverlap w:val="never"/>
        <w:tblW w:w="91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88"/>
        <w:gridCol w:w="1662"/>
        <w:gridCol w:w="1646"/>
      </w:tblGrid>
      <w:tr w14:paraId="7A55A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5888" w:type="dxa"/>
            <w:shd w:val="clear" w:color="auto" w:fill="FBD4B4" w:themeFill="accent6" w:themeFillTint="66"/>
          </w:tcPr>
          <w:p w14:paraId="3CE02C06">
            <w:pPr>
              <w:pStyle w:val="20"/>
              <w:spacing w:before="120"/>
              <w:ind w:right="304"/>
              <w:jc w:val="center"/>
              <w:rPr>
                <w:b/>
                <w:sz w:val="20"/>
                <w:szCs w:val="20"/>
              </w:rPr>
            </w:pPr>
            <w:r>
              <w:rPr>
                <w:b/>
                <w:spacing w:val="-2"/>
                <w:sz w:val="20"/>
                <w:szCs w:val="20"/>
              </w:rPr>
              <w:t>Descritivo/Material/Serviço</w:t>
            </w:r>
          </w:p>
        </w:tc>
        <w:tc>
          <w:tcPr>
            <w:tcW w:w="1662" w:type="dxa"/>
            <w:shd w:val="clear" w:color="auto" w:fill="FBD4B4" w:themeFill="accent6" w:themeFillTint="66"/>
          </w:tcPr>
          <w:p w14:paraId="7F05BC04">
            <w:pPr>
              <w:pStyle w:val="20"/>
              <w:spacing w:line="247" w:lineRule="exact"/>
              <w:ind w:left="14"/>
              <w:jc w:val="center"/>
              <w:rPr>
                <w:b/>
                <w:sz w:val="20"/>
                <w:szCs w:val="20"/>
              </w:rPr>
            </w:pPr>
            <w:r>
              <w:rPr>
                <w:b/>
                <w:spacing w:val="-2"/>
                <w:sz w:val="20"/>
                <w:szCs w:val="20"/>
              </w:rPr>
              <w:t>Quantidade</w:t>
            </w:r>
            <w:r>
              <w:rPr>
                <w:b/>
                <w:spacing w:val="6"/>
                <w:sz w:val="20"/>
                <w:szCs w:val="20"/>
              </w:rPr>
              <w:t xml:space="preserve"> </w:t>
            </w:r>
            <w:r>
              <w:rPr>
                <w:b/>
                <w:spacing w:val="-5"/>
                <w:sz w:val="20"/>
                <w:szCs w:val="20"/>
              </w:rPr>
              <w:t>no</w:t>
            </w:r>
          </w:p>
          <w:p w14:paraId="1A0ADD7E">
            <w:pPr>
              <w:pStyle w:val="20"/>
              <w:spacing w:before="120"/>
              <w:ind w:left="14"/>
              <w:jc w:val="center"/>
              <w:rPr>
                <w:b/>
                <w:sz w:val="20"/>
                <w:szCs w:val="20"/>
              </w:rPr>
            </w:pPr>
            <w:r>
              <w:rPr>
                <w:b/>
                <w:spacing w:val="-2"/>
                <w:sz w:val="20"/>
                <w:szCs w:val="20"/>
              </w:rPr>
              <w:t>projeto</w:t>
            </w:r>
          </w:p>
        </w:tc>
        <w:tc>
          <w:tcPr>
            <w:tcW w:w="1646" w:type="dxa"/>
            <w:shd w:val="clear" w:color="auto" w:fill="FBD4B4" w:themeFill="accent6" w:themeFillTint="66"/>
          </w:tcPr>
          <w:p w14:paraId="2DDFDDF3">
            <w:pPr>
              <w:pStyle w:val="20"/>
              <w:spacing w:line="247" w:lineRule="exact"/>
              <w:ind w:left="342"/>
              <w:jc w:val="center"/>
              <w:rPr>
                <w:b/>
                <w:sz w:val="20"/>
                <w:szCs w:val="20"/>
              </w:rPr>
            </w:pPr>
            <w:r>
              <w:rPr>
                <w:b/>
                <w:spacing w:val="-2"/>
                <w:sz w:val="20"/>
                <w:szCs w:val="20"/>
              </w:rPr>
              <w:t>Quantidade</w:t>
            </w:r>
            <w:r>
              <w:rPr>
                <w:b/>
                <w:spacing w:val="3"/>
                <w:sz w:val="20"/>
                <w:szCs w:val="20"/>
              </w:rPr>
              <w:t xml:space="preserve"> </w:t>
            </w:r>
            <w:r>
              <w:rPr>
                <w:b/>
                <w:spacing w:val="-12"/>
                <w:sz w:val="20"/>
                <w:szCs w:val="20"/>
              </w:rPr>
              <w:t>a</w:t>
            </w:r>
          </w:p>
          <w:p w14:paraId="00528F71">
            <w:pPr>
              <w:pStyle w:val="20"/>
              <w:spacing w:before="120"/>
              <w:ind w:left="241"/>
              <w:jc w:val="center"/>
              <w:rPr>
                <w:b/>
                <w:sz w:val="20"/>
                <w:szCs w:val="20"/>
              </w:rPr>
            </w:pPr>
            <w:r>
              <w:rPr>
                <w:b/>
                <w:sz w:val="20"/>
                <w:szCs w:val="20"/>
              </w:rPr>
              <w:t>ser</w:t>
            </w:r>
            <w:r>
              <w:rPr>
                <w:b/>
                <w:spacing w:val="-8"/>
                <w:sz w:val="20"/>
                <w:szCs w:val="20"/>
              </w:rPr>
              <w:t xml:space="preserve"> </w:t>
            </w:r>
            <w:r>
              <w:rPr>
                <w:b/>
                <w:spacing w:val="-2"/>
                <w:sz w:val="20"/>
                <w:szCs w:val="20"/>
              </w:rPr>
              <w:t>comprovada</w:t>
            </w:r>
          </w:p>
        </w:tc>
      </w:tr>
      <w:tr w14:paraId="4B002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888" w:type="dxa"/>
          </w:tcPr>
          <w:p w14:paraId="42BD520A">
            <w:pPr>
              <w:pStyle w:val="20"/>
              <w:spacing w:line="253" w:lineRule="exact"/>
              <w:ind w:right="304"/>
              <w:jc w:val="center"/>
              <w:rPr>
                <w:sz w:val="20"/>
                <w:szCs w:val="20"/>
              </w:rPr>
            </w:pPr>
            <w:r>
              <w:rPr>
                <w:sz w:val="20"/>
                <w:szCs w:val="20"/>
              </w:rPr>
              <w:t>CONSTRUÇÃO DE TÚMULOS VERTICAIS</w:t>
            </w:r>
          </w:p>
        </w:tc>
        <w:tc>
          <w:tcPr>
            <w:tcW w:w="1662" w:type="dxa"/>
          </w:tcPr>
          <w:p w14:paraId="740131DB">
            <w:pPr>
              <w:pStyle w:val="20"/>
              <w:spacing w:line="253" w:lineRule="exact"/>
              <w:ind w:left="0" w:firstLine="100" w:firstLineChars="50"/>
              <w:jc w:val="left"/>
              <w:rPr>
                <w:sz w:val="20"/>
                <w:szCs w:val="20"/>
              </w:rPr>
            </w:pPr>
            <w:r>
              <w:rPr>
                <w:sz w:val="20"/>
                <w:szCs w:val="20"/>
              </w:rPr>
              <w:t xml:space="preserve">     2.707,38 m²</w:t>
            </w:r>
          </w:p>
        </w:tc>
        <w:tc>
          <w:tcPr>
            <w:tcW w:w="1646" w:type="dxa"/>
          </w:tcPr>
          <w:p w14:paraId="6CE291CC">
            <w:pPr>
              <w:pStyle w:val="20"/>
              <w:spacing w:line="253" w:lineRule="exact"/>
              <w:ind w:left="13"/>
              <w:jc w:val="center"/>
              <w:rPr>
                <w:sz w:val="20"/>
                <w:szCs w:val="20"/>
              </w:rPr>
            </w:pPr>
            <w:r>
              <w:rPr>
                <w:sz w:val="20"/>
                <w:szCs w:val="20"/>
              </w:rPr>
              <w:t>1.353,69 m²</w:t>
            </w:r>
          </w:p>
        </w:tc>
      </w:tr>
      <w:tr w14:paraId="26BCE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888" w:type="dxa"/>
          </w:tcPr>
          <w:p w14:paraId="5FE65BB6">
            <w:pPr>
              <w:pStyle w:val="20"/>
              <w:spacing w:line="253" w:lineRule="exact"/>
              <w:ind w:right="304"/>
              <w:jc w:val="center"/>
              <w:rPr>
                <w:sz w:val="20"/>
                <w:szCs w:val="20"/>
              </w:rPr>
            </w:pPr>
            <w:r>
              <w:rPr>
                <w:sz w:val="20"/>
                <w:szCs w:val="20"/>
              </w:rPr>
              <w:t>FORNECIMENTO E INSTALAÇÃO DE TAMPO DE GRANITO CINZA ANDORINHA -  2,5 CM ESPESSURA</w:t>
            </w:r>
          </w:p>
        </w:tc>
        <w:tc>
          <w:tcPr>
            <w:tcW w:w="1662" w:type="dxa"/>
          </w:tcPr>
          <w:p w14:paraId="23592DFC">
            <w:pPr>
              <w:pStyle w:val="20"/>
              <w:spacing w:line="253" w:lineRule="exact"/>
              <w:jc w:val="left"/>
              <w:rPr>
                <w:sz w:val="20"/>
                <w:szCs w:val="20"/>
              </w:rPr>
            </w:pPr>
            <w:r>
              <w:rPr>
                <w:sz w:val="20"/>
                <w:szCs w:val="20"/>
              </w:rPr>
              <w:t xml:space="preserve">        680,4 m²</w:t>
            </w:r>
          </w:p>
        </w:tc>
        <w:tc>
          <w:tcPr>
            <w:tcW w:w="1646" w:type="dxa"/>
          </w:tcPr>
          <w:p w14:paraId="2F45E05C">
            <w:pPr>
              <w:pStyle w:val="20"/>
              <w:spacing w:line="253" w:lineRule="exact"/>
              <w:ind w:left="13"/>
              <w:jc w:val="center"/>
              <w:rPr>
                <w:sz w:val="20"/>
                <w:szCs w:val="20"/>
              </w:rPr>
            </w:pPr>
            <w:r>
              <w:rPr>
                <w:sz w:val="20"/>
                <w:szCs w:val="20"/>
              </w:rPr>
              <w:t>340,2 m²</w:t>
            </w:r>
          </w:p>
        </w:tc>
      </w:tr>
      <w:tr w14:paraId="76EAE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888" w:type="dxa"/>
          </w:tcPr>
          <w:p w14:paraId="38A97BC0">
            <w:pPr>
              <w:pStyle w:val="20"/>
              <w:jc w:val="center"/>
              <w:rPr>
                <w:sz w:val="20"/>
                <w:szCs w:val="20"/>
              </w:rPr>
            </w:pPr>
            <w:r>
              <w:rPr>
                <w:sz w:val="20"/>
                <w:szCs w:val="20"/>
              </w:rPr>
              <w:t>CONCRETAGEM DE VIGAS E LAJES, FCK=25 MPA, PARA LAJES MACIÇAS OU NERVURADAS COM USO DE BOMBA - LANÇAMENTO, ADENSAMENTO E ACABAMENTO. AF_02/2022_PS</w:t>
            </w:r>
          </w:p>
        </w:tc>
        <w:tc>
          <w:tcPr>
            <w:tcW w:w="1662" w:type="dxa"/>
          </w:tcPr>
          <w:p w14:paraId="58FD47EB">
            <w:pPr>
              <w:pStyle w:val="20"/>
              <w:jc w:val="left"/>
              <w:rPr>
                <w:sz w:val="20"/>
                <w:szCs w:val="20"/>
              </w:rPr>
            </w:pPr>
            <w:r>
              <w:rPr>
                <w:sz w:val="20"/>
                <w:szCs w:val="20"/>
              </w:rPr>
              <w:t xml:space="preserve">       309,87 m²</w:t>
            </w:r>
          </w:p>
        </w:tc>
        <w:tc>
          <w:tcPr>
            <w:tcW w:w="1646" w:type="dxa"/>
          </w:tcPr>
          <w:p w14:paraId="07BCF40B">
            <w:pPr>
              <w:pStyle w:val="20"/>
              <w:ind w:left="13" w:right="304"/>
              <w:jc w:val="center"/>
              <w:rPr>
                <w:sz w:val="20"/>
                <w:szCs w:val="20"/>
              </w:rPr>
            </w:pPr>
            <w:r>
              <w:rPr>
                <w:sz w:val="20"/>
                <w:szCs w:val="20"/>
              </w:rPr>
              <w:t xml:space="preserve">      154,94 m²</w:t>
            </w:r>
          </w:p>
        </w:tc>
      </w:tr>
      <w:tr w14:paraId="78ED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888" w:type="dxa"/>
          </w:tcPr>
          <w:p w14:paraId="2D72DA81">
            <w:pPr>
              <w:pStyle w:val="20"/>
              <w:spacing w:line="253" w:lineRule="exact"/>
              <w:ind w:right="304"/>
              <w:jc w:val="center"/>
              <w:rPr>
                <w:sz w:val="20"/>
                <w:szCs w:val="20"/>
              </w:rPr>
            </w:pPr>
            <w:r>
              <w:rPr>
                <w:sz w:val="20"/>
                <w:szCs w:val="20"/>
              </w:rPr>
              <w:t>FABRICAÇÃO DE FÔRMA PARA LAJES, EM MADEIRA SERRADA, E=25 MM. AF_09/2020</w:t>
            </w:r>
          </w:p>
        </w:tc>
        <w:tc>
          <w:tcPr>
            <w:tcW w:w="1662" w:type="dxa"/>
          </w:tcPr>
          <w:p w14:paraId="2A355936">
            <w:pPr>
              <w:pStyle w:val="20"/>
              <w:spacing w:line="253" w:lineRule="exact"/>
              <w:ind w:left="0" w:firstLine="100" w:firstLineChars="50"/>
              <w:rPr>
                <w:sz w:val="20"/>
                <w:szCs w:val="20"/>
              </w:rPr>
            </w:pPr>
            <w:r>
              <w:rPr>
                <w:sz w:val="20"/>
                <w:szCs w:val="20"/>
              </w:rPr>
              <w:t xml:space="preserve">     2.763,72 m²</w:t>
            </w:r>
          </w:p>
        </w:tc>
        <w:tc>
          <w:tcPr>
            <w:tcW w:w="1646" w:type="dxa"/>
          </w:tcPr>
          <w:p w14:paraId="5BAC37FE">
            <w:pPr>
              <w:pStyle w:val="20"/>
              <w:spacing w:line="253" w:lineRule="exact"/>
              <w:ind w:left="13" w:right="304"/>
              <w:jc w:val="center"/>
              <w:rPr>
                <w:sz w:val="20"/>
                <w:szCs w:val="20"/>
              </w:rPr>
            </w:pPr>
            <w:r>
              <w:rPr>
                <w:sz w:val="20"/>
                <w:szCs w:val="20"/>
              </w:rPr>
              <w:t xml:space="preserve">      1.381,86 m²</w:t>
            </w:r>
          </w:p>
        </w:tc>
      </w:tr>
      <w:tr w14:paraId="4304A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888" w:type="dxa"/>
          </w:tcPr>
          <w:p w14:paraId="37516AD7">
            <w:pPr>
              <w:pStyle w:val="20"/>
              <w:spacing w:line="253" w:lineRule="exact"/>
              <w:ind w:right="304"/>
              <w:jc w:val="center"/>
              <w:rPr>
                <w:sz w:val="20"/>
                <w:szCs w:val="20"/>
              </w:rPr>
            </w:pPr>
            <w:r>
              <w:rPr>
                <w:sz w:val="20"/>
                <w:szCs w:val="20"/>
              </w:rPr>
              <w:t>ALVENARIA DE VEDAÇÃO DE BLOCOS CERÂMICOS FURADOS NA HORIZONTAL DE 11,5X19X19 CM (ESPESSURA 11,5 CM) E ARGAMASSA DE ASSENTAMENTO COM PREPARO EM BETONEIRA. AF_12/2021</w:t>
            </w:r>
          </w:p>
        </w:tc>
        <w:tc>
          <w:tcPr>
            <w:tcW w:w="1662" w:type="dxa"/>
          </w:tcPr>
          <w:p w14:paraId="497C8CC0">
            <w:pPr>
              <w:pStyle w:val="20"/>
              <w:spacing w:line="253" w:lineRule="exact"/>
              <w:ind w:left="0" w:firstLine="200" w:firstLineChars="100"/>
              <w:rPr>
                <w:sz w:val="20"/>
                <w:szCs w:val="20"/>
              </w:rPr>
            </w:pPr>
            <w:r>
              <w:rPr>
                <w:sz w:val="20"/>
                <w:szCs w:val="20"/>
              </w:rPr>
              <w:t xml:space="preserve">   2.290,03 m²</w:t>
            </w:r>
          </w:p>
        </w:tc>
        <w:tc>
          <w:tcPr>
            <w:tcW w:w="1646" w:type="dxa"/>
          </w:tcPr>
          <w:p w14:paraId="4A308900">
            <w:pPr>
              <w:pStyle w:val="20"/>
              <w:spacing w:line="253" w:lineRule="exact"/>
              <w:ind w:left="13"/>
              <w:jc w:val="center"/>
              <w:rPr>
                <w:sz w:val="20"/>
                <w:szCs w:val="20"/>
              </w:rPr>
            </w:pPr>
            <w:r>
              <w:rPr>
                <w:sz w:val="20"/>
                <w:szCs w:val="20"/>
              </w:rPr>
              <w:t>1.145,02 m²</w:t>
            </w:r>
          </w:p>
        </w:tc>
      </w:tr>
      <w:tr w14:paraId="1E240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888" w:type="dxa"/>
          </w:tcPr>
          <w:p w14:paraId="25091BDD">
            <w:pPr>
              <w:pStyle w:val="20"/>
              <w:spacing w:line="254" w:lineRule="exact"/>
              <w:jc w:val="center"/>
              <w:rPr>
                <w:sz w:val="20"/>
                <w:szCs w:val="20"/>
              </w:rPr>
            </w:pPr>
            <w:r>
              <w:rPr>
                <w:sz w:val="20"/>
                <w:szCs w:val="20"/>
              </w:rPr>
              <w:t>ARMAÇÃO DE LAJE DE ESTRUTURA CONVENCIONAL DE CONCRETO ARMADO UTILIZANDO AÇO CA-50 DE 8,0 MM - MONTAGEM. AF_06/2022</w:t>
            </w:r>
          </w:p>
        </w:tc>
        <w:tc>
          <w:tcPr>
            <w:tcW w:w="1662" w:type="dxa"/>
          </w:tcPr>
          <w:p w14:paraId="697EB1D8">
            <w:pPr>
              <w:pStyle w:val="20"/>
              <w:spacing w:line="254" w:lineRule="exact"/>
              <w:ind w:right="304"/>
              <w:rPr>
                <w:sz w:val="20"/>
                <w:szCs w:val="20"/>
              </w:rPr>
            </w:pPr>
            <w:r>
              <w:rPr>
                <w:sz w:val="20"/>
                <w:szCs w:val="20"/>
              </w:rPr>
              <w:t xml:space="preserve">    13.240,8 KG</w:t>
            </w:r>
          </w:p>
        </w:tc>
        <w:tc>
          <w:tcPr>
            <w:tcW w:w="1646" w:type="dxa"/>
          </w:tcPr>
          <w:p w14:paraId="3C798D07">
            <w:pPr>
              <w:pStyle w:val="20"/>
              <w:spacing w:line="254" w:lineRule="exact"/>
              <w:ind w:left="13" w:right="304"/>
              <w:jc w:val="center"/>
              <w:rPr>
                <w:sz w:val="20"/>
                <w:szCs w:val="20"/>
              </w:rPr>
            </w:pPr>
            <w:r>
              <w:rPr>
                <w:sz w:val="20"/>
                <w:szCs w:val="20"/>
              </w:rPr>
              <w:t xml:space="preserve">     6.620,4 KG</w:t>
            </w:r>
          </w:p>
        </w:tc>
      </w:tr>
      <w:tr w14:paraId="63994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888" w:type="dxa"/>
          </w:tcPr>
          <w:p w14:paraId="67EF25A3">
            <w:pPr>
              <w:pStyle w:val="20"/>
              <w:ind w:right="304"/>
              <w:jc w:val="center"/>
              <w:rPr>
                <w:sz w:val="20"/>
                <w:szCs w:val="20"/>
              </w:rPr>
            </w:pPr>
            <w:r>
              <w:rPr>
                <w:sz w:val="20"/>
                <w:szCs w:val="20"/>
              </w:rPr>
              <w:t>IMPERMEABILIZAÇÃO DE SUPERFÍCIE COM ARGAMASSA POLIMÉRICA / MEMBRANA ACRÍLICA, 3 DEMÃOS. AF_09/2023</w:t>
            </w:r>
          </w:p>
        </w:tc>
        <w:tc>
          <w:tcPr>
            <w:tcW w:w="1662" w:type="dxa"/>
          </w:tcPr>
          <w:p w14:paraId="5C83D307">
            <w:pPr>
              <w:pStyle w:val="20"/>
              <w:ind w:left="0" w:firstLine="200" w:firstLineChars="100"/>
              <w:rPr>
                <w:sz w:val="20"/>
                <w:szCs w:val="20"/>
              </w:rPr>
            </w:pPr>
            <w:r>
              <w:rPr>
                <w:sz w:val="20"/>
                <w:szCs w:val="20"/>
              </w:rPr>
              <w:t xml:space="preserve">   4.873,5 m²</w:t>
            </w:r>
          </w:p>
        </w:tc>
        <w:tc>
          <w:tcPr>
            <w:tcW w:w="1646" w:type="dxa"/>
          </w:tcPr>
          <w:p w14:paraId="48439433">
            <w:pPr>
              <w:pStyle w:val="20"/>
              <w:ind w:left="13"/>
              <w:jc w:val="center"/>
              <w:rPr>
                <w:sz w:val="20"/>
                <w:szCs w:val="20"/>
              </w:rPr>
            </w:pPr>
            <w:r>
              <w:rPr>
                <w:sz w:val="20"/>
                <w:szCs w:val="20"/>
              </w:rPr>
              <w:t>2.436,75 m²</w:t>
            </w:r>
          </w:p>
        </w:tc>
      </w:tr>
    </w:tbl>
    <w:p w14:paraId="0B658CDF">
      <w:pPr>
        <w:pStyle w:val="20"/>
        <w:tabs>
          <w:tab w:val="left" w:pos="415"/>
        </w:tabs>
        <w:ind w:left="0"/>
        <w:rPr>
          <w:b/>
          <w:bCs/>
          <w:iCs/>
          <w:sz w:val="24"/>
          <w:szCs w:val="24"/>
        </w:rPr>
      </w:pPr>
    </w:p>
    <w:p w14:paraId="51DA10F7">
      <w:pPr>
        <w:pStyle w:val="20"/>
        <w:numPr>
          <w:ilvl w:val="0"/>
          <w:numId w:val="7"/>
        </w:numPr>
        <w:tabs>
          <w:tab w:val="left" w:pos="415"/>
          <w:tab w:val="clear" w:pos="425"/>
        </w:tabs>
        <w:rPr>
          <w:iCs/>
          <w:sz w:val="24"/>
          <w:szCs w:val="24"/>
        </w:rPr>
      </w:pPr>
      <w:r>
        <w:rPr>
          <w:b/>
          <w:bCs/>
          <w:iCs/>
          <w:sz w:val="24"/>
          <w:szCs w:val="24"/>
        </w:rPr>
        <w:t>Comprovação de Acervo:</w:t>
      </w:r>
    </w:p>
    <w:p w14:paraId="35C9B849">
      <w:pPr>
        <w:pStyle w:val="20"/>
        <w:numPr>
          <w:ilvl w:val="0"/>
          <w:numId w:val="8"/>
        </w:numPr>
        <w:tabs>
          <w:tab w:val="clear" w:pos="425"/>
        </w:tabs>
        <w:ind w:left="5" w:hanging="5"/>
        <w:rPr>
          <w:iCs/>
          <w:sz w:val="24"/>
          <w:szCs w:val="24"/>
        </w:rPr>
      </w:pPr>
      <w:r>
        <w:rPr>
          <w:iCs/>
          <w:sz w:val="24"/>
          <w:szCs w:val="24"/>
        </w:rPr>
        <w:t>Certidão de Registro ou inscrição de pessoa jurídica no Conselho Regional de Engenharia e Agronomia (CREA) ou Conselho de Arquitetura e Urbanismo (CAU) em nome da licitante, emitida pelo CREA da jurisdição da sede da licitante.</w:t>
      </w:r>
    </w:p>
    <w:p w14:paraId="16AF9938">
      <w:pPr>
        <w:pStyle w:val="20"/>
        <w:numPr>
          <w:ilvl w:val="0"/>
          <w:numId w:val="8"/>
        </w:numPr>
        <w:tabs>
          <w:tab w:val="clear" w:pos="425"/>
        </w:tabs>
        <w:ind w:left="5" w:hanging="5"/>
        <w:rPr>
          <w:iCs/>
          <w:sz w:val="24"/>
          <w:szCs w:val="24"/>
        </w:rPr>
      </w:pPr>
      <w:r>
        <w:rPr>
          <w:iCs/>
          <w:sz w:val="24"/>
          <w:szCs w:val="24"/>
        </w:rPr>
        <w:t>Apresentação de pelo menos 01 (um) atestado de capacidade técnica e respectiva Certidão de Acervo Técnico – CAT, registrados no CREA, em nome dos profissionais vinculados aos referidos atestados, como forma de conferir autenticidade e veracidade às informações constantes nos documentos emitidos em nome das licitantes (Acórdão 3298/2022 Segunda Câmara – TCU), onde fique comprovada a execução de obra/serviços com características semelhantes ao objeto da licitação por parte dos responsáveis técnicos da empresa, os quais precisam constar nos atestados as parcelas de maior relevância, a saber:</w:t>
      </w:r>
    </w:p>
    <w:p w14:paraId="6995C4DF">
      <w:pPr>
        <w:pStyle w:val="20"/>
        <w:numPr>
          <w:ilvl w:val="0"/>
          <w:numId w:val="8"/>
        </w:numPr>
        <w:tabs>
          <w:tab w:val="clear" w:pos="425"/>
        </w:tabs>
        <w:ind w:left="5" w:hanging="5"/>
        <w:rPr>
          <w:iCs/>
          <w:sz w:val="24"/>
          <w:szCs w:val="24"/>
        </w:rPr>
      </w:pPr>
      <w:r>
        <w:rPr>
          <w:iCs/>
          <w:sz w:val="24"/>
          <w:szCs w:val="24"/>
        </w:rPr>
        <w:t xml:space="preserve">Comprovar acervo de 50% das quantidades conforme curva ABC do projeto. </w:t>
      </w:r>
    </w:p>
    <w:p w14:paraId="31AE7C73">
      <w:pPr>
        <w:pStyle w:val="20"/>
        <w:numPr>
          <w:ilvl w:val="0"/>
          <w:numId w:val="8"/>
        </w:numPr>
        <w:tabs>
          <w:tab w:val="clear" w:pos="425"/>
        </w:tabs>
        <w:ind w:left="5" w:hanging="5"/>
        <w:rPr>
          <w:iCs/>
          <w:sz w:val="24"/>
          <w:szCs w:val="24"/>
        </w:rPr>
      </w:pPr>
      <w:r>
        <w:rPr>
          <w:iCs/>
          <w:sz w:val="24"/>
          <w:szCs w:val="24"/>
        </w:rPr>
        <w:t>Obedecer a eventual necessidade de</w:t>
      </w:r>
      <w:r>
        <w:rPr>
          <w:iCs/>
          <w:spacing w:val="-2"/>
          <w:sz w:val="24"/>
          <w:szCs w:val="24"/>
        </w:rPr>
        <w:t xml:space="preserve"> </w:t>
      </w:r>
      <w:r>
        <w:rPr>
          <w:iCs/>
          <w:sz w:val="24"/>
          <w:szCs w:val="24"/>
        </w:rPr>
        <w:t>registros</w:t>
      </w:r>
      <w:r>
        <w:rPr>
          <w:iCs/>
          <w:spacing w:val="-1"/>
          <w:sz w:val="24"/>
          <w:szCs w:val="24"/>
        </w:rPr>
        <w:t xml:space="preserve"> </w:t>
      </w:r>
      <w:r>
        <w:rPr>
          <w:iCs/>
          <w:sz w:val="24"/>
          <w:szCs w:val="24"/>
        </w:rPr>
        <w:t>e</w:t>
      </w:r>
      <w:r>
        <w:rPr>
          <w:iCs/>
          <w:spacing w:val="-1"/>
          <w:sz w:val="24"/>
          <w:szCs w:val="24"/>
        </w:rPr>
        <w:t xml:space="preserve"> </w:t>
      </w:r>
      <w:r>
        <w:rPr>
          <w:iCs/>
          <w:sz w:val="24"/>
          <w:szCs w:val="24"/>
        </w:rPr>
        <w:t>Licenças obrigatório</w:t>
      </w:r>
      <w:r>
        <w:rPr>
          <w:iCs/>
          <w:spacing w:val="-1"/>
          <w:sz w:val="24"/>
          <w:szCs w:val="24"/>
        </w:rPr>
        <w:t xml:space="preserve"> </w:t>
      </w:r>
      <w:r>
        <w:rPr>
          <w:iCs/>
          <w:sz w:val="24"/>
          <w:szCs w:val="24"/>
        </w:rPr>
        <w:t>por</w:t>
      </w:r>
      <w:r>
        <w:rPr>
          <w:iCs/>
          <w:spacing w:val="-1"/>
          <w:sz w:val="24"/>
          <w:szCs w:val="24"/>
        </w:rPr>
        <w:t xml:space="preserve"> </w:t>
      </w:r>
      <w:r>
        <w:rPr>
          <w:iCs/>
          <w:sz w:val="24"/>
          <w:szCs w:val="24"/>
        </w:rPr>
        <w:t>lei para o objeto a ser contratado;</w:t>
      </w:r>
    </w:p>
    <w:p w14:paraId="0DE90EAA">
      <w:pPr>
        <w:pStyle w:val="20"/>
        <w:numPr>
          <w:ilvl w:val="0"/>
          <w:numId w:val="8"/>
        </w:numPr>
        <w:tabs>
          <w:tab w:val="clear" w:pos="425"/>
        </w:tabs>
        <w:ind w:left="5" w:hanging="5"/>
        <w:rPr>
          <w:iCs/>
          <w:sz w:val="24"/>
          <w:szCs w:val="24"/>
        </w:rPr>
      </w:pPr>
      <w:r>
        <w:rPr>
          <w:iCs/>
          <w:sz w:val="24"/>
          <w:szCs w:val="24"/>
        </w:rPr>
        <w:t>Obter todas as licenças, aprovações e franquias necessárias aos serviços que contratar, pagando os respectivos emolumentos e as taxas e obedecendo às leis, aos regulamentos e às posturas referentes aos serviços e à segurança pública. É obrigada, também, a cumprir quaisquer formalidades e a pagar, à sua custa, as multas porventura impostas por esses órgãos;</w:t>
      </w:r>
    </w:p>
    <w:p w14:paraId="40E43CCA">
      <w:pPr>
        <w:pStyle w:val="20"/>
        <w:tabs>
          <w:tab w:val="left" w:pos="430"/>
        </w:tabs>
        <w:spacing w:before="120"/>
        <w:ind w:left="0" w:right="304"/>
        <w:rPr>
          <w:iCs/>
          <w:sz w:val="24"/>
          <w:szCs w:val="24"/>
        </w:rPr>
      </w:pPr>
    </w:p>
    <w:p w14:paraId="0EFCF198">
      <w:pPr>
        <w:pStyle w:val="20"/>
        <w:numPr>
          <w:ilvl w:val="0"/>
          <w:numId w:val="9"/>
        </w:numPr>
        <w:tabs>
          <w:tab w:val="left" w:pos="430"/>
          <w:tab w:val="clear" w:pos="425"/>
        </w:tabs>
        <w:spacing w:before="120"/>
        <w:ind w:right="304"/>
        <w:rPr>
          <w:b/>
          <w:bCs/>
          <w:iCs/>
          <w:sz w:val="24"/>
          <w:szCs w:val="24"/>
        </w:rPr>
      </w:pPr>
      <w:r>
        <w:rPr>
          <w:b/>
          <w:bCs/>
          <w:iCs/>
          <w:sz w:val="24"/>
          <w:szCs w:val="24"/>
        </w:rPr>
        <w:t>Subcontratação:</w:t>
      </w:r>
    </w:p>
    <w:p w14:paraId="18CD1064">
      <w:pPr>
        <w:pStyle w:val="20"/>
        <w:numPr>
          <w:ilvl w:val="0"/>
          <w:numId w:val="10"/>
        </w:numPr>
        <w:tabs>
          <w:tab w:val="left" w:pos="0"/>
          <w:tab w:val="clear" w:pos="425"/>
        </w:tabs>
        <w:spacing w:before="1"/>
        <w:ind w:left="5" w:right="100" w:hanging="5"/>
        <w:rPr>
          <w:iCs/>
          <w:sz w:val="24"/>
          <w:szCs w:val="24"/>
        </w:rPr>
      </w:pPr>
      <w:r>
        <w:rPr>
          <w:iCs/>
          <w:sz w:val="24"/>
          <w:szCs w:val="24"/>
        </w:rPr>
        <w:t>Para as atividades que não constituam o escopo principal do objeto será permitida a subcontratação, até o limite de 30% (trinta por cento) do valor do contrato. A subcontratação se justifica por se tratar de uma obra que contemplam serviços complementares às atividades de implantação, tais como: Amarração das ferragens, corte e armação das formas de caixarias, concretagens, etc. A subcontratação também pode trazer celeridade na execução, diminuindo transtornos à população, desde que observadas na Lei 14.133/2021 e Decreto Municipal 359/2023;</w:t>
      </w:r>
    </w:p>
    <w:p w14:paraId="0DFA7A56">
      <w:pPr>
        <w:pStyle w:val="20"/>
        <w:numPr>
          <w:ilvl w:val="0"/>
          <w:numId w:val="10"/>
        </w:numPr>
        <w:tabs>
          <w:tab w:val="left" w:pos="0"/>
          <w:tab w:val="clear" w:pos="425"/>
        </w:tabs>
        <w:spacing w:before="1"/>
        <w:ind w:left="5" w:right="100" w:hanging="5"/>
        <w:rPr>
          <w:iCs/>
          <w:sz w:val="24"/>
          <w:szCs w:val="24"/>
        </w:rPr>
      </w:pPr>
      <w:r>
        <w:rPr>
          <w:iCs/>
          <w:sz w:val="24"/>
          <w:szCs w:val="24"/>
        </w:rPr>
        <w:t xml:space="preserve">É recomendado ao licitante realizar a vistoria </w:t>
      </w:r>
      <w:r>
        <w:rPr>
          <w:i/>
          <w:sz w:val="24"/>
          <w:szCs w:val="24"/>
        </w:rPr>
        <w:t>“in loco”</w:t>
      </w:r>
      <w:r>
        <w:rPr>
          <w:iCs/>
          <w:sz w:val="24"/>
          <w:szCs w:val="24"/>
        </w:rPr>
        <w:t xml:space="preserve"> antes da elaboração da proposta para conferir as medidas e condições para execução dos serviços, com o objetivo de inteirar-se das condições e grau de dificuldade existentes, mediante prévio agendamento de horário junto à Secretaria de Obras;</w:t>
      </w:r>
    </w:p>
    <w:p w14:paraId="5D33FCF2">
      <w:pPr>
        <w:pStyle w:val="20"/>
        <w:numPr>
          <w:ilvl w:val="0"/>
          <w:numId w:val="10"/>
        </w:numPr>
        <w:tabs>
          <w:tab w:val="left" w:pos="0"/>
          <w:tab w:val="clear" w:pos="425"/>
        </w:tabs>
        <w:spacing w:before="1"/>
        <w:ind w:left="5" w:right="100" w:hanging="5"/>
        <w:rPr>
          <w:iCs/>
          <w:sz w:val="24"/>
          <w:szCs w:val="24"/>
        </w:rPr>
      </w:pPr>
      <w:r>
        <w:rPr>
          <w:iCs/>
          <w:sz w:val="24"/>
          <w:szCs w:val="24"/>
        </w:rPr>
        <w:t>Visando não configurar burla ao processo licitatório, as possíveis críticas ou dúvidas quanto as soluções do anteprojeto deverão ser registradas durante a fase externa do certame licitatório e previamente a apresentação das propostas. Qualquer crítica às soluções de anteprojeto em fase contratual, será considerada intempestiva;</w:t>
      </w:r>
    </w:p>
    <w:p w14:paraId="2E7BC999">
      <w:pPr>
        <w:pStyle w:val="20"/>
        <w:numPr>
          <w:ilvl w:val="0"/>
          <w:numId w:val="10"/>
        </w:numPr>
        <w:tabs>
          <w:tab w:val="left" w:pos="0"/>
          <w:tab w:val="clear" w:pos="425"/>
        </w:tabs>
        <w:spacing w:before="1"/>
        <w:ind w:left="5" w:right="100" w:hanging="5"/>
        <w:rPr>
          <w:iCs/>
          <w:sz w:val="24"/>
          <w:szCs w:val="24"/>
        </w:rPr>
      </w:pPr>
      <w:r>
        <w:rPr>
          <w:iCs/>
          <w:sz w:val="24"/>
          <w:szCs w:val="24"/>
        </w:rPr>
        <w:t>A licitante deverá ter pleno conhecimento do Anteprojeto prescrito para execução da obra. O licitante suportará os encargos e custos decorrentes da alteração de prazo e das alterações e ou adequação no escopo do anteprojeto em pauta;</w:t>
      </w:r>
    </w:p>
    <w:p w14:paraId="5DF1CBD2">
      <w:pPr>
        <w:pStyle w:val="20"/>
        <w:numPr>
          <w:ilvl w:val="0"/>
          <w:numId w:val="10"/>
        </w:numPr>
        <w:tabs>
          <w:tab w:val="left" w:pos="0"/>
          <w:tab w:val="clear" w:pos="425"/>
        </w:tabs>
        <w:spacing w:before="1"/>
        <w:ind w:left="5" w:right="100" w:hanging="5"/>
        <w:rPr>
          <w:iCs/>
          <w:sz w:val="24"/>
          <w:szCs w:val="24"/>
        </w:rPr>
      </w:pPr>
      <w:r>
        <w:rPr>
          <w:iCs/>
          <w:sz w:val="24"/>
          <w:szCs w:val="24"/>
        </w:rPr>
        <w:t>As comunicações entre o órgão ou entidade e a contratada devem ser realizadas por escrito sempre que o ato exigir tal formalidade, admitindo-se o uso de mensagem eletrônica para esse fim.</w:t>
      </w:r>
    </w:p>
    <w:p w14:paraId="20251DF1">
      <w:pPr>
        <w:pStyle w:val="20"/>
        <w:ind w:left="240" w:leftChars="109"/>
        <w:rPr>
          <w:iCs/>
          <w:sz w:val="24"/>
          <w:szCs w:val="24"/>
        </w:rPr>
      </w:pPr>
    </w:p>
    <w:p w14:paraId="4AFA7A8C">
      <w:pPr>
        <w:pStyle w:val="20"/>
        <w:numPr>
          <w:ilvl w:val="0"/>
          <w:numId w:val="11"/>
        </w:numPr>
        <w:tabs>
          <w:tab w:val="left" w:pos="430"/>
          <w:tab w:val="clear" w:pos="425"/>
        </w:tabs>
        <w:spacing w:before="120"/>
        <w:ind w:right="304"/>
        <w:rPr>
          <w:b/>
          <w:bCs/>
          <w:iCs/>
          <w:sz w:val="24"/>
          <w:szCs w:val="24"/>
        </w:rPr>
      </w:pPr>
      <w:r>
        <w:rPr>
          <w:b/>
          <w:bCs/>
          <w:iCs/>
          <w:sz w:val="24"/>
          <w:szCs w:val="24"/>
        </w:rPr>
        <w:t xml:space="preserve">Sustentabilidade:  </w:t>
      </w:r>
    </w:p>
    <w:p w14:paraId="063C1817">
      <w:pPr>
        <w:pStyle w:val="20"/>
        <w:numPr>
          <w:ilvl w:val="0"/>
          <w:numId w:val="12"/>
        </w:numPr>
        <w:tabs>
          <w:tab w:val="left" w:pos="0"/>
          <w:tab w:val="clear" w:pos="425"/>
        </w:tabs>
        <w:spacing w:before="120"/>
        <w:ind w:left="5" w:right="304" w:hanging="5"/>
        <w:rPr>
          <w:iCs/>
          <w:sz w:val="24"/>
          <w:szCs w:val="24"/>
        </w:rPr>
      </w:pPr>
      <w:r>
        <w:rPr>
          <w:iCs/>
          <w:sz w:val="24"/>
          <w:szCs w:val="24"/>
        </w:rPr>
        <w:t>A CONTRATADA deverá observar e atender os planos, programas e as condicionantes impostas no Licenciamento Ambiental, sendo o responsável por qualquer omissão do não atendimento quanto as questões ambientais.</w:t>
      </w:r>
    </w:p>
    <w:p w14:paraId="4A74EBEB">
      <w:pPr>
        <w:pStyle w:val="20"/>
        <w:numPr>
          <w:ilvl w:val="0"/>
          <w:numId w:val="12"/>
        </w:numPr>
        <w:tabs>
          <w:tab w:val="left" w:pos="0"/>
          <w:tab w:val="clear" w:pos="425"/>
        </w:tabs>
        <w:spacing w:before="120"/>
        <w:ind w:left="5" w:right="304" w:hanging="5"/>
        <w:rPr>
          <w:iCs/>
          <w:sz w:val="24"/>
          <w:szCs w:val="24"/>
        </w:rPr>
      </w:pPr>
      <w:r>
        <w:rPr>
          <w:iCs/>
          <w:sz w:val="24"/>
          <w:szCs w:val="24"/>
        </w:rPr>
        <w:t xml:space="preserve"> Ficará a cargo da contratada a obtenção das licenças de jazidas e das áreas de apoio.</w:t>
      </w:r>
    </w:p>
    <w:p w14:paraId="028B6DBE">
      <w:pPr>
        <w:pStyle w:val="20"/>
        <w:numPr>
          <w:ilvl w:val="0"/>
          <w:numId w:val="12"/>
        </w:numPr>
        <w:tabs>
          <w:tab w:val="left" w:pos="0"/>
          <w:tab w:val="clear" w:pos="425"/>
        </w:tabs>
        <w:spacing w:before="120"/>
        <w:ind w:left="5" w:right="304" w:hanging="5"/>
        <w:rPr>
          <w:iCs/>
          <w:sz w:val="24"/>
          <w:szCs w:val="24"/>
        </w:rPr>
      </w:pPr>
      <w:r>
        <w:rPr>
          <w:iCs/>
          <w:sz w:val="24"/>
          <w:szCs w:val="24"/>
        </w:rPr>
        <w:t>A empresa contratada deverá utilizar na execução da obra as boas práticas de sustentabilidade ambiental, respeitando-se os critérios de sustentabilidade ambiental indicados abaixo:</w:t>
      </w:r>
    </w:p>
    <w:p w14:paraId="39FDBD8F">
      <w:pPr>
        <w:pStyle w:val="20"/>
        <w:numPr>
          <w:ilvl w:val="0"/>
          <w:numId w:val="12"/>
        </w:numPr>
        <w:tabs>
          <w:tab w:val="left" w:pos="0"/>
          <w:tab w:val="clear" w:pos="425"/>
        </w:tabs>
        <w:spacing w:before="120"/>
        <w:ind w:left="5" w:right="304" w:hanging="5"/>
        <w:rPr>
          <w:iCs/>
          <w:sz w:val="24"/>
          <w:szCs w:val="24"/>
        </w:rPr>
      </w:pPr>
      <w:r>
        <w:rPr>
          <w:iCs/>
          <w:sz w:val="24"/>
          <w:szCs w:val="24"/>
        </w:rPr>
        <w:t>Uso produtos de limpeza e conservação de superfícies e objetos inanimados que obedeçam às classificações e especificações da ANVISA.</w:t>
      </w:r>
    </w:p>
    <w:p w14:paraId="565DDEE2">
      <w:pPr>
        <w:pStyle w:val="20"/>
        <w:numPr>
          <w:ilvl w:val="0"/>
          <w:numId w:val="12"/>
        </w:numPr>
        <w:tabs>
          <w:tab w:val="left" w:pos="0"/>
          <w:tab w:val="clear" w:pos="425"/>
        </w:tabs>
        <w:spacing w:before="120"/>
        <w:ind w:left="5" w:right="304" w:hanging="5"/>
        <w:rPr>
          <w:b/>
          <w:bCs/>
          <w:sz w:val="24"/>
          <w:szCs w:val="24"/>
        </w:rPr>
      </w:pPr>
      <w:r>
        <w:rPr>
          <w:iCs/>
          <w:sz w:val="24"/>
          <w:szCs w:val="24"/>
        </w:rPr>
        <w:t xml:space="preserve"> Adoção de práticas que evitem desperdícios de água potável.</w:t>
      </w:r>
    </w:p>
    <w:p w14:paraId="6A3C5CF7">
      <w:pPr>
        <w:pStyle w:val="20"/>
        <w:numPr>
          <w:ilvl w:val="0"/>
          <w:numId w:val="12"/>
        </w:numPr>
        <w:tabs>
          <w:tab w:val="left" w:pos="0"/>
          <w:tab w:val="clear" w:pos="425"/>
        </w:tabs>
        <w:spacing w:before="120"/>
        <w:ind w:left="5" w:right="304" w:hanging="5"/>
        <w:rPr>
          <w:b/>
          <w:bCs/>
          <w:sz w:val="24"/>
          <w:szCs w:val="24"/>
        </w:rPr>
      </w:pPr>
      <w:r>
        <w:rPr>
          <w:iCs/>
          <w:sz w:val="24"/>
          <w:szCs w:val="24"/>
        </w:rPr>
        <w:t>A</w:t>
      </w:r>
      <w:r>
        <w:rPr>
          <w:sz w:val="24"/>
          <w:szCs w:val="24"/>
        </w:rPr>
        <w:t>pós a conclusão das obras a empresa responsável pela execução deverá apresentar RELATÓRIO TÉCNICO consolidado de conformidade executivas da obra, com a devida ART – Anotação de Responsabilidade Técnica do CREA, na modalidade de execução.</w:t>
      </w:r>
      <w:r>
        <w:rPr>
          <w:b/>
          <w:bCs/>
          <w:sz w:val="24"/>
          <w:szCs w:val="24"/>
        </w:rPr>
        <w:t xml:space="preserve"> </w:t>
      </w:r>
    </w:p>
    <w:p w14:paraId="28C759E8">
      <w:pPr>
        <w:pStyle w:val="20"/>
        <w:numPr>
          <w:ilvl w:val="0"/>
          <w:numId w:val="12"/>
        </w:numPr>
        <w:tabs>
          <w:tab w:val="left" w:pos="0"/>
          <w:tab w:val="clear" w:pos="425"/>
        </w:tabs>
        <w:spacing w:before="120"/>
        <w:ind w:left="5" w:right="304" w:hanging="5"/>
        <w:rPr>
          <w:iCs/>
          <w:sz w:val="24"/>
          <w:szCs w:val="24"/>
        </w:rPr>
      </w:pPr>
      <w:r>
        <w:rPr>
          <w:sz w:val="24"/>
          <w:szCs w:val="24"/>
        </w:rPr>
        <w:t>O RELATÓRIO TÉCNICO descrito no ITEM V, deverá atestar que a execução foi realizada de acordo com o projeto executivo, bem como que houve o cumprimento das normas técnicas e da legislação ambiental, para que o município o utilize para elaborar a solicitação da Licença de Operação (LO), junto ao órgão ambiental.</w:t>
      </w:r>
      <w:r>
        <w:rPr>
          <w:b/>
          <w:bCs/>
          <w:sz w:val="24"/>
          <w:szCs w:val="24"/>
        </w:rPr>
        <w:t xml:space="preserve">  </w:t>
      </w:r>
    </w:p>
    <w:p w14:paraId="02D0DB86">
      <w:pPr>
        <w:pStyle w:val="20"/>
        <w:numPr>
          <w:ilvl w:val="0"/>
          <w:numId w:val="12"/>
        </w:numPr>
        <w:tabs>
          <w:tab w:val="left" w:pos="0"/>
          <w:tab w:val="clear" w:pos="425"/>
        </w:tabs>
        <w:spacing w:before="120"/>
        <w:ind w:left="5" w:right="304" w:hanging="5"/>
        <w:rPr>
          <w:iCs/>
          <w:sz w:val="24"/>
          <w:szCs w:val="24"/>
        </w:rPr>
      </w:pPr>
      <w:r>
        <w:rPr>
          <w:iCs/>
          <w:sz w:val="24"/>
          <w:szCs w:val="24"/>
        </w:rPr>
        <w:t xml:space="preserve"> Implementação de um programa de treinamento de seus empregados visando o uso racional de consumo de energia elétrica e água, bem como redução de resíduos sólidos.</w:t>
      </w:r>
    </w:p>
    <w:p w14:paraId="218246AC">
      <w:pPr>
        <w:pStyle w:val="20"/>
        <w:numPr>
          <w:ilvl w:val="0"/>
          <w:numId w:val="12"/>
        </w:numPr>
        <w:tabs>
          <w:tab w:val="left" w:pos="0"/>
          <w:tab w:val="clear" w:pos="425"/>
        </w:tabs>
        <w:spacing w:before="120"/>
        <w:ind w:left="5" w:right="304" w:hanging="5"/>
        <w:rPr>
          <w:rStyle w:val="8"/>
          <w:iCs/>
          <w:color w:val="auto"/>
          <w:sz w:val="24"/>
          <w:szCs w:val="24"/>
        </w:rPr>
      </w:pPr>
      <w:r>
        <w:rPr>
          <w:iCs/>
          <w:sz w:val="24"/>
          <w:szCs w:val="24"/>
        </w:rPr>
        <w:t>Classificação e destinação adequada dos resíduos recicláveis produzidos durante a execução dos serviços. Especificamente para papéis e latas de alumínio deve-se contratar as Associações e/ou Cooperativas locais de catadores de materiais recicláveis.</w:t>
      </w:r>
    </w:p>
    <w:p w14:paraId="1DDE07A9">
      <w:pPr>
        <w:pStyle w:val="20"/>
        <w:numPr>
          <w:ilvl w:val="0"/>
          <w:numId w:val="12"/>
        </w:numPr>
        <w:tabs>
          <w:tab w:val="left" w:pos="0"/>
          <w:tab w:val="clear" w:pos="425"/>
        </w:tabs>
        <w:spacing w:before="120"/>
        <w:ind w:left="5" w:right="304" w:hanging="5"/>
        <w:rPr>
          <w:iCs/>
          <w:sz w:val="24"/>
          <w:szCs w:val="24"/>
        </w:rPr>
      </w:pPr>
      <w:r>
        <w:rPr>
          <w:iCs/>
          <w:sz w:val="24"/>
          <w:szCs w:val="24"/>
        </w:rPr>
        <w:t xml:space="preserve">Práticas de redução de consumo de papel, utilizando o padrão frente-verso na impressão de relatórios e outros documentos, bem como utilize a fonte ecológica recomendada pela Advocacia Geral de União, disponível no endereço eletrônico: </w:t>
      </w:r>
      <w:r>
        <w:fldChar w:fldCharType="begin"/>
      </w:r>
      <w:r>
        <w:instrText xml:space="preserve"> HYPERLINK "http://www.agu.gov.br/econfont." </w:instrText>
      </w:r>
      <w:r>
        <w:fldChar w:fldCharType="separate"/>
      </w:r>
      <w:r>
        <w:rPr>
          <w:rStyle w:val="8"/>
          <w:iCs/>
          <w:color w:val="auto"/>
          <w:sz w:val="24"/>
          <w:szCs w:val="24"/>
        </w:rPr>
        <w:t>www.agu.gov.br/econfont.</w:t>
      </w:r>
      <w:r>
        <w:rPr>
          <w:rStyle w:val="8"/>
          <w:iCs/>
          <w:color w:val="auto"/>
          <w:sz w:val="24"/>
          <w:szCs w:val="24"/>
        </w:rPr>
        <w:fldChar w:fldCharType="end"/>
      </w:r>
    </w:p>
    <w:p w14:paraId="69D89A56">
      <w:pPr>
        <w:pStyle w:val="20"/>
        <w:numPr>
          <w:ilvl w:val="0"/>
          <w:numId w:val="12"/>
        </w:numPr>
        <w:tabs>
          <w:tab w:val="left" w:pos="0"/>
          <w:tab w:val="clear" w:pos="425"/>
        </w:tabs>
        <w:spacing w:before="120"/>
        <w:ind w:left="5" w:right="304" w:hanging="5"/>
        <w:rPr>
          <w:iCs/>
          <w:sz w:val="24"/>
          <w:szCs w:val="24"/>
        </w:rPr>
      </w:pPr>
      <w:r>
        <w:rPr>
          <w:iCs/>
          <w:sz w:val="24"/>
          <w:szCs w:val="24"/>
        </w:rPr>
        <w:t>Adoção de uso preferencialmente de papel não clorado na impressão de documentos e relatórios.</w:t>
      </w:r>
    </w:p>
    <w:p w14:paraId="35A5BB12">
      <w:pPr>
        <w:pStyle w:val="20"/>
        <w:numPr>
          <w:ilvl w:val="0"/>
          <w:numId w:val="12"/>
        </w:numPr>
        <w:tabs>
          <w:tab w:val="left" w:pos="0"/>
          <w:tab w:val="clear" w:pos="425"/>
        </w:tabs>
        <w:spacing w:before="120"/>
        <w:ind w:left="5" w:right="304" w:hanging="5"/>
        <w:rPr>
          <w:iCs/>
          <w:sz w:val="24"/>
          <w:szCs w:val="24"/>
        </w:rPr>
      </w:pPr>
      <w:r>
        <w:rPr>
          <w:iCs/>
          <w:sz w:val="24"/>
          <w:szCs w:val="24"/>
        </w:rPr>
        <w:t>Adoção de práticas de substituição de copos descartáveis por copos definitivos.</w:t>
      </w:r>
    </w:p>
    <w:p w14:paraId="3206759C">
      <w:pPr>
        <w:pStyle w:val="20"/>
        <w:numPr>
          <w:ilvl w:val="0"/>
          <w:numId w:val="12"/>
        </w:numPr>
        <w:tabs>
          <w:tab w:val="left" w:pos="0"/>
          <w:tab w:val="clear" w:pos="425"/>
        </w:tabs>
        <w:spacing w:before="120"/>
        <w:ind w:left="5" w:right="304" w:hanging="5"/>
        <w:rPr>
          <w:iCs/>
          <w:sz w:val="24"/>
          <w:szCs w:val="24"/>
        </w:rPr>
      </w:pPr>
      <w:r>
        <w:rPr>
          <w:iCs/>
          <w:sz w:val="24"/>
          <w:szCs w:val="24"/>
        </w:rPr>
        <w:t>Adoção de prática de destinação final das pilhas e baterias usadas ou inservíveis, segundo a Resolução CONAMA Nº 257/1999.</w:t>
      </w:r>
    </w:p>
    <w:p w14:paraId="3CDAB3DE">
      <w:pPr>
        <w:pStyle w:val="20"/>
        <w:numPr>
          <w:ilvl w:val="0"/>
          <w:numId w:val="12"/>
        </w:numPr>
        <w:tabs>
          <w:tab w:val="left" w:pos="0"/>
          <w:tab w:val="clear" w:pos="425"/>
        </w:tabs>
        <w:spacing w:before="120"/>
        <w:ind w:left="5" w:right="304" w:hanging="5"/>
        <w:rPr>
          <w:iCs/>
          <w:sz w:val="24"/>
          <w:szCs w:val="24"/>
        </w:rPr>
      </w:pPr>
      <w:r>
        <w:rPr>
          <w:iCs/>
          <w:sz w:val="24"/>
          <w:szCs w:val="24"/>
        </w:rPr>
        <w:t>Atendimento aos padrões indicados pela Resolução CONAMA Nº 20/1994 quando da aquisição e utilização de equipamentos de limpeza que gerem ruídos em seu funcionamento.</w:t>
      </w:r>
    </w:p>
    <w:p w14:paraId="2D332F74">
      <w:pPr>
        <w:pStyle w:val="20"/>
        <w:numPr>
          <w:ilvl w:val="0"/>
          <w:numId w:val="12"/>
        </w:numPr>
        <w:tabs>
          <w:tab w:val="left" w:pos="0"/>
          <w:tab w:val="clear" w:pos="425"/>
        </w:tabs>
        <w:spacing w:before="120"/>
        <w:ind w:left="5" w:right="304" w:hanging="5"/>
        <w:rPr>
          <w:iCs/>
          <w:sz w:val="24"/>
          <w:szCs w:val="24"/>
        </w:rPr>
      </w:pPr>
      <w:r>
        <w:rPr>
          <w:iCs/>
          <w:sz w:val="24"/>
          <w:szCs w:val="24"/>
        </w:rPr>
        <w:t>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os mesmos cumpram as normas e procedimentos destinados à preservação de suas integridades físicas.</w:t>
      </w:r>
    </w:p>
    <w:p w14:paraId="1FB04CE2">
      <w:pPr>
        <w:pStyle w:val="20"/>
        <w:numPr>
          <w:ilvl w:val="0"/>
          <w:numId w:val="12"/>
        </w:numPr>
        <w:tabs>
          <w:tab w:val="left" w:pos="0"/>
          <w:tab w:val="clear" w:pos="425"/>
        </w:tabs>
        <w:spacing w:before="120"/>
        <w:ind w:left="5" w:right="304" w:hanging="5"/>
        <w:rPr>
          <w:iCs/>
          <w:sz w:val="24"/>
          <w:szCs w:val="24"/>
        </w:rPr>
      </w:pPr>
      <w:r>
        <w:rPr>
          <w:iCs/>
          <w:sz w:val="24"/>
          <w:szCs w:val="24"/>
        </w:rPr>
        <w:t>Consideração nas pesquisas de preços para aquisições e serviços contemplados no escopo da contratação empresas que tenham certificação ambiental.</w:t>
      </w:r>
    </w:p>
    <w:p w14:paraId="4982487A">
      <w:pPr>
        <w:pStyle w:val="20"/>
        <w:numPr>
          <w:ilvl w:val="0"/>
          <w:numId w:val="12"/>
        </w:numPr>
        <w:tabs>
          <w:tab w:val="left" w:pos="0"/>
          <w:tab w:val="clear" w:pos="425"/>
        </w:tabs>
        <w:spacing w:before="120"/>
        <w:ind w:left="5" w:right="304" w:hanging="5"/>
        <w:rPr>
          <w:iCs/>
          <w:sz w:val="24"/>
          <w:szCs w:val="24"/>
        </w:rPr>
      </w:pPr>
      <w:r>
        <w:rPr>
          <w:iCs/>
          <w:sz w:val="24"/>
          <w:szCs w:val="24"/>
        </w:rPr>
        <w:t>Estímulo à troca de informações entre as equipes envolvidas por meio de ferramentas digitais e/ou virtuais.</w:t>
      </w:r>
    </w:p>
    <w:p w14:paraId="26234A03">
      <w:pPr>
        <w:pStyle w:val="20"/>
        <w:rPr>
          <w:iCs/>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1A54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2DB18D3">
            <w:pPr>
              <w:numPr>
                <w:ilvl w:val="0"/>
                <w:numId w:val="3"/>
              </w:numPr>
              <w:spacing w:line="360" w:lineRule="auto"/>
              <w:jc w:val="both"/>
              <w:rPr>
                <w:sz w:val="24"/>
                <w:szCs w:val="24"/>
              </w:rPr>
            </w:pPr>
            <w:r>
              <w:rPr>
                <w:b/>
                <w:sz w:val="24"/>
                <w:szCs w:val="24"/>
              </w:rPr>
              <w:t>EXECUÇÃO</w:t>
            </w:r>
            <w:r>
              <w:rPr>
                <w:b/>
                <w:spacing w:val="-2"/>
                <w:sz w:val="24"/>
                <w:szCs w:val="24"/>
              </w:rPr>
              <w:t xml:space="preserve"> </w:t>
            </w:r>
            <w:r>
              <w:rPr>
                <w:b/>
                <w:sz w:val="24"/>
                <w:szCs w:val="24"/>
              </w:rPr>
              <w:t>DO</w:t>
            </w:r>
            <w:r>
              <w:rPr>
                <w:b/>
                <w:spacing w:val="-2"/>
                <w:sz w:val="24"/>
                <w:szCs w:val="24"/>
              </w:rPr>
              <w:t xml:space="preserve"> </w:t>
            </w:r>
            <w:r>
              <w:rPr>
                <w:b/>
                <w:sz w:val="24"/>
                <w:szCs w:val="24"/>
              </w:rPr>
              <w:t>OBJETO</w:t>
            </w:r>
            <w:r>
              <w:rPr>
                <w:b/>
                <w:spacing w:val="-1"/>
                <w:sz w:val="24"/>
                <w:szCs w:val="24"/>
              </w:rPr>
              <w:t xml:space="preserve"> </w:t>
            </w:r>
            <w:r>
              <w:rPr>
                <w:b/>
                <w:sz w:val="24"/>
                <w:szCs w:val="24"/>
              </w:rPr>
              <w:t>DO</w:t>
            </w:r>
            <w:r>
              <w:rPr>
                <w:b/>
                <w:spacing w:val="-2"/>
                <w:sz w:val="24"/>
                <w:szCs w:val="24"/>
              </w:rPr>
              <w:t xml:space="preserve"> </w:t>
            </w:r>
            <w:r>
              <w:rPr>
                <w:b/>
                <w:sz w:val="24"/>
                <w:szCs w:val="24"/>
              </w:rPr>
              <w:t>CONTRATO:</w:t>
            </w:r>
          </w:p>
        </w:tc>
      </w:tr>
    </w:tbl>
    <w:p w14:paraId="2C0015FF">
      <w:pPr>
        <w:pStyle w:val="20"/>
        <w:numPr>
          <w:ilvl w:val="1"/>
          <w:numId w:val="3"/>
        </w:numPr>
        <w:tabs>
          <w:tab w:val="clear" w:pos="0"/>
        </w:tabs>
        <w:rPr>
          <w:sz w:val="24"/>
          <w:szCs w:val="24"/>
        </w:rPr>
      </w:pPr>
      <w:r>
        <w:rPr>
          <w:sz w:val="24"/>
          <w:szCs w:val="24"/>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14.133; Art. 63; § 2º).</w:t>
      </w:r>
    </w:p>
    <w:p w14:paraId="1A58AA6F">
      <w:pPr>
        <w:pStyle w:val="20"/>
        <w:ind w:left="0"/>
        <w:rPr>
          <w:sz w:val="24"/>
          <w:szCs w:val="24"/>
        </w:rPr>
      </w:pPr>
    </w:p>
    <w:p w14:paraId="568F3326">
      <w:pPr>
        <w:pStyle w:val="20"/>
        <w:numPr>
          <w:ilvl w:val="1"/>
          <w:numId w:val="3"/>
        </w:numPr>
        <w:tabs>
          <w:tab w:val="clear" w:pos="0"/>
        </w:tabs>
        <w:rPr>
          <w:b/>
          <w:bCs/>
          <w:sz w:val="24"/>
          <w:szCs w:val="24"/>
        </w:rPr>
      </w:pPr>
      <w:r>
        <w:rPr>
          <w:b/>
          <w:bCs/>
          <w:sz w:val="24"/>
          <w:szCs w:val="24"/>
        </w:rPr>
        <w:t>A empresa contratada deverá:</w:t>
      </w:r>
    </w:p>
    <w:p w14:paraId="4EAA15F1">
      <w:pPr>
        <w:pStyle w:val="20"/>
        <w:numPr>
          <w:ilvl w:val="2"/>
          <w:numId w:val="3"/>
        </w:numPr>
        <w:rPr>
          <w:sz w:val="24"/>
          <w:szCs w:val="24"/>
        </w:rPr>
      </w:pPr>
      <w:r>
        <w:rPr>
          <w:sz w:val="24"/>
          <w:szCs w:val="24"/>
        </w:rPr>
        <w:t>Observar as diretrizes quanto a execução da obra de engenharia, bem como obedecer às normas correlatas relacionadas ao objeto da contratação;</w:t>
      </w:r>
    </w:p>
    <w:p w14:paraId="6E188FEC">
      <w:pPr>
        <w:pStyle w:val="20"/>
        <w:numPr>
          <w:ilvl w:val="2"/>
          <w:numId w:val="3"/>
        </w:numPr>
        <w:rPr>
          <w:sz w:val="24"/>
          <w:szCs w:val="24"/>
        </w:rPr>
      </w:pPr>
      <w:r>
        <w:rPr>
          <w:sz w:val="24"/>
          <w:szCs w:val="24"/>
        </w:rPr>
        <w:t>Executar o contrato conforme as especificações contidas no Projeto Básico e seus anexos, assim como seguir os termos de sua proposta;</w:t>
      </w:r>
    </w:p>
    <w:p w14:paraId="3F56349D">
      <w:pPr>
        <w:pStyle w:val="20"/>
        <w:numPr>
          <w:ilvl w:val="2"/>
          <w:numId w:val="3"/>
        </w:numPr>
        <w:rPr>
          <w:sz w:val="24"/>
          <w:szCs w:val="24"/>
        </w:rPr>
      </w:pPr>
      <w:r>
        <w:rPr>
          <w:sz w:val="24"/>
          <w:szCs w:val="24"/>
        </w:rPr>
        <w:t>Comunicar ao Fiscal do Contrato qualquer ocorrência irregular que se verifique no local dos serviços;</w:t>
      </w:r>
    </w:p>
    <w:p w14:paraId="692D49D1">
      <w:pPr>
        <w:pStyle w:val="20"/>
        <w:numPr>
          <w:ilvl w:val="2"/>
          <w:numId w:val="3"/>
        </w:numPr>
        <w:rPr>
          <w:sz w:val="24"/>
          <w:szCs w:val="24"/>
        </w:rPr>
      </w:pPr>
      <w:r>
        <w:rPr>
          <w:sz w:val="24"/>
          <w:szCs w:val="24"/>
        </w:rPr>
        <w:t>Prestar esclarecimentos ou informação quando solicitado pela CONTRATANTE;</w:t>
      </w:r>
    </w:p>
    <w:p w14:paraId="0975CE84">
      <w:pPr>
        <w:pStyle w:val="20"/>
        <w:numPr>
          <w:ilvl w:val="2"/>
          <w:numId w:val="3"/>
        </w:numPr>
        <w:rPr>
          <w:sz w:val="24"/>
          <w:szCs w:val="24"/>
        </w:rPr>
      </w:pPr>
      <w:r>
        <w:rPr>
          <w:sz w:val="24"/>
          <w:szCs w:val="24"/>
        </w:rPr>
        <w:t>A contratada deverá conceder LIVRE ACESSO aos seus documentos e registros contábeis, referentes ao objeto da licitação, para os servidores ou empregados do órgão;</w:t>
      </w:r>
    </w:p>
    <w:p w14:paraId="07804D89">
      <w:pPr>
        <w:pStyle w:val="20"/>
        <w:numPr>
          <w:ilvl w:val="2"/>
          <w:numId w:val="3"/>
        </w:numPr>
        <w:rPr>
          <w:sz w:val="24"/>
          <w:szCs w:val="24"/>
        </w:rPr>
      </w:pPr>
      <w:r>
        <w:rPr>
          <w:sz w:val="24"/>
          <w:szCs w:val="24"/>
        </w:rPr>
        <w:t>Do contrato, regulado pelas instruções constantes deste Edital e seus anexos decorrem obrigações, direitos e responsabilidades das partes relativas aos serviços objeto desta licitação;</w:t>
      </w:r>
    </w:p>
    <w:p w14:paraId="602B415B">
      <w:pPr>
        <w:pStyle w:val="20"/>
        <w:numPr>
          <w:ilvl w:val="2"/>
          <w:numId w:val="3"/>
        </w:numPr>
        <w:rPr>
          <w:sz w:val="24"/>
          <w:szCs w:val="24"/>
        </w:rPr>
      </w:pPr>
      <w:r>
        <w:rPr>
          <w:sz w:val="24"/>
          <w:szCs w:val="24"/>
        </w:rPr>
        <w:t>A CONTRATADA deverá manter as condições de habilitação, inclusive o recolhimento do ISSQN ao Município do local da prestação do serviço, durante a execução do contrato, observando a legislação tributária vigente;</w:t>
      </w:r>
    </w:p>
    <w:p w14:paraId="76772FEC">
      <w:pPr>
        <w:pStyle w:val="20"/>
        <w:numPr>
          <w:ilvl w:val="2"/>
          <w:numId w:val="3"/>
        </w:numPr>
        <w:rPr>
          <w:color w:val="000000" w:themeColor="text1"/>
          <w:sz w:val="24"/>
          <w:szCs w:val="24"/>
          <w14:textFill>
            <w14:solidFill>
              <w14:schemeClr w14:val="tx1"/>
            </w14:solidFill>
          </w14:textFill>
        </w:rPr>
      </w:pPr>
      <w:r>
        <w:rPr>
          <w:sz w:val="24"/>
          <w:szCs w:val="24"/>
        </w:rPr>
        <w:t>O contrato compreenderá a totalidade dos serviços, baseado na relação de preços propostos pela Licitante, considerados finais e incluindo todos os encargos, taxas e bonificações;</w:t>
      </w:r>
    </w:p>
    <w:p w14:paraId="55767834">
      <w:pPr>
        <w:pStyle w:val="20"/>
        <w:numPr>
          <w:ilvl w:val="2"/>
          <w:numId w:val="3"/>
        </w:numPr>
        <w:rPr>
          <w:color w:val="000000" w:themeColor="text1"/>
          <w:sz w:val="24"/>
          <w:szCs w:val="24"/>
          <w14:textFill>
            <w14:solidFill>
              <w14:schemeClr w14:val="tx1"/>
            </w14:solidFill>
          </w14:textFill>
        </w:rPr>
      </w:pPr>
      <w:r>
        <w:rPr>
          <w:sz w:val="24"/>
          <w:szCs w:val="24"/>
        </w:rPr>
        <w:t>A empresa contratada deverá colocar e manter placas indicativas do empreendimento de acordo com os modelos adotados (indicado pelo fiscal conforme as normas do município obedecendo ao projeto), que deverão ser fixados em local apropriado, enquanto durar a execução dos serviços;</w:t>
      </w:r>
    </w:p>
    <w:p w14:paraId="3CEE4C51">
      <w:pPr>
        <w:pStyle w:val="20"/>
        <w:numPr>
          <w:ilvl w:val="2"/>
          <w:numId w:val="3"/>
        </w:numPr>
        <w:rPr>
          <w:sz w:val="24"/>
          <w:szCs w:val="24"/>
        </w:rPr>
      </w:pPr>
      <w:r>
        <w:rPr>
          <w:sz w:val="24"/>
          <w:szCs w:val="24"/>
        </w:rPr>
        <w:t>Comunicar por escrito ao Fiscal do Contrato a conclusão da obra e indicar preposto para acompanhar as vistorias para recebimento provisório e definitivo da obra;</w:t>
      </w:r>
    </w:p>
    <w:p w14:paraId="1CF288B5">
      <w:pPr>
        <w:pStyle w:val="20"/>
        <w:numPr>
          <w:ilvl w:val="2"/>
          <w:numId w:val="3"/>
        </w:numPr>
        <w:rPr>
          <w:sz w:val="24"/>
          <w:szCs w:val="24"/>
        </w:rPr>
      </w:pPr>
      <w:r>
        <w:rPr>
          <w:sz w:val="24"/>
          <w:szCs w:val="24"/>
        </w:rPr>
        <w:t>Obter Certidão Negativa de Débitos junto ao INSS, pagando os respectivos emolumentos e as taxas;</w:t>
      </w:r>
    </w:p>
    <w:p w14:paraId="1F7353F5">
      <w:pPr>
        <w:pStyle w:val="20"/>
        <w:numPr>
          <w:ilvl w:val="2"/>
          <w:numId w:val="3"/>
        </w:numPr>
        <w:rPr>
          <w:sz w:val="24"/>
          <w:szCs w:val="24"/>
        </w:rPr>
      </w:pPr>
      <w:r>
        <w:rPr>
          <w:sz w:val="24"/>
          <w:szCs w:val="24"/>
        </w:rPr>
        <w:t>Entregar ao Fiscal do Contrato, ao término da obra e antes do recebimento provisório, os seguintes documentos:</w:t>
      </w:r>
    </w:p>
    <w:p w14:paraId="2668AD6E">
      <w:pPr>
        <w:pStyle w:val="20"/>
        <w:numPr>
          <w:ilvl w:val="3"/>
          <w:numId w:val="3"/>
        </w:numPr>
        <w:rPr>
          <w:sz w:val="24"/>
          <w:szCs w:val="24"/>
        </w:rPr>
      </w:pPr>
      <w:r>
        <w:rPr>
          <w:sz w:val="24"/>
          <w:szCs w:val="24"/>
        </w:rPr>
        <w:t>Aprovação nos órgãos competentes, quando exigível, dos projetos que sofreram modificações no decorrer da obra;</w:t>
      </w:r>
    </w:p>
    <w:p w14:paraId="18D21D1F">
      <w:pPr>
        <w:pStyle w:val="20"/>
        <w:numPr>
          <w:ilvl w:val="3"/>
          <w:numId w:val="3"/>
        </w:numPr>
        <w:rPr>
          <w:sz w:val="24"/>
          <w:szCs w:val="24"/>
        </w:rPr>
      </w:pPr>
      <w:r>
        <w:rPr>
          <w:sz w:val="24"/>
          <w:szCs w:val="24"/>
        </w:rPr>
        <w:t>- Aprovação da obra pelos concessionários públicos (quando aplicável);</w:t>
      </w:r>
    </w:p>
    <w:p w14:paraId="4FB3DEAA">
      <w:pPr>
        <w:pStyle w:val="20"/>
        <w:numPr>
          <w:ilvl w:val="3"/>
          <w:numId w:val="3"/>
        </w:numPr>
        <w:rPr>
          <w:sz w:val="24"/>
          <w:szCs w:val="24"/>
        </w:rPr>
      </w:pPr>
      <w:r>
        <w:rPr>
          <w:sz w:val="24"/>
          <w:szCs w:val="24"/>
        </w:rPr>
        <w:t>- Documentos de garantia e manuais completos de instrução (instalação, manutenção, operação e outros que sejam necessários) dos equipamentos instalados na obra;</w:t>
      </w:r>
    </w:p>
    <w:p w14:paraId="427206A2">
      <w:pPr>
        <w:pStyle w:val="20"/>
        <w:numPr>
          <w:ilvl w:val="3"/>
          <w:numId w:val="3"/>
        </w:numPr>
        <w:rPr>
          <w:sz w:val="24"/>
          <w:szCs w:val="24"/>
        </w:rPr>
      </w:pPr>
      <w:r>
        <w:rPr>
          <w:sz w:val="24"/>
          <w:szCs w:val="24"/>
        </w:rPr>
        <w:t>- Os projetos atualizados com as alterações eventualmente ocorridas no decorrer da obra (desenhos Como Construído - “as built”), em meio magnético e uma via impressa assinada pelos respectivos responsáveis técnicos pelas execuções;</w:t>
      </w:r>
    </w:p>
    <w:p w14:paraId="2B755DC1">
      <w:pPr>
        <w:pStyle w:val="20"/>
        <w:ind w:left="220"/>
        <w:rPr>
          <w:sz w:val="24"/>
          <w:szCs w:val="24"/>
        </w:rPr>
      </w:pPr>
    </w:p>
    <w:p w14:paraId="509A73FA">
      <w:pPr>
        <w:pStyle w:val="20"/>
        <w:numPr>
          <w:ilvl w:val="1"/>
          <w:numId w:val="3"/>
        </w:numPr>
        <w:tabs>
          <w:tab w:val="clear" w:pos="0"/>
        </w:tabs>
        <w:rPr>
          <w:b/>
          <w:bCs/>
          <w:sz w:val="24"/>
          <w:szCs w:val="24"/>
        </w:rPr>
      </w:pPr>
      <w:r>
        <w:rPr>
          <w:b/>
          <w:bCs/>
          <w:sz w:val="24"/>
          <w:szCs w:val="24"/>
        </w:rPr>
        <w:t>Cronograma de execução:</w:t>
      </w:r>
    </w:p>
    <w:p w14:paraId="506026DE">
      <w:pPr>
        <w:pStyle w:val="20"/>
        <w:numPr>
          <w:ilvl w:val="2"/>
          <w:numId w:val="3"/>
        </w:numPr>
        <w:rPr>
          <w:sz w:val="24"/>
          <w:szCs w:val="24"/>
        </w:rPr>
      </w:pPr>
      <w:r>
        <w:rPr>
          <w:sz w:val="24"/>
          <w:szCs w:val="24"/>
        </w:rPr>
        <w:t>O cronograma de execução da obra deverá ser de 420 (quatrocentos e vinte) dias a contar do recebimento da ordem de serviços, conforme cronograma físico financeiro que será disposto nos anexos do projeto;</w:t>
      </w:r>
    </w:p>
    <w:p w14:paraId="13C005D1">
      <w:pPr>
        <w:pStyle w:val="20"/>
        <w:numPr>
          <w:ilvl w:val="2"/>
          <w:numId w:val="3"/>
        </w:numPr>
        <w:rPr>
          <w:sz w:val="24"/>
          <w:szCs w:val="24"/>
        </w:rPr>
      </w:pPr>
      <w:r>
        <w:rPr>
          <w:sz w:val="24"/>
          <w:szCs w:val="24"/>
        </w:rPr>
        <w:t>Em caso de impedimento, ordem de paralisação ou suspensão do contrato, o cronograma de execução será prorrogado automaticamente pelo tempo correspondente, anotadas tais circunstâncias mediante simples apostilamento.</w:t>
      </w:r>
    </w:p>
    <w:p w14:paraId="48ABDD5F">
      <w:pPr>
        <w:pStyle w:val="20"/>
        <w:ind w:left="220"/>
        <w:rPr>
          <w:sz w:val="24"/>
          <w:szCs w:val="24"/>
        </w:rPr>
      </w:pPr>
    </w:p>
    <w:p w14:paraId="04585311">
      <w:pPr>
        <w:pStyle w:val="20"/>
        <w:numPr>
          <w:ilvl w:val="1"/>
          <w:numId w:val="3"/>
        </w:numPr>
        <w:tabs>
          <w:tab w:val="clear" w:pos="0"/>
        </w:tabs>
        <w:rPr>
          <w:b/>
          <w:bCs/>
          <w:sz w:val="24"/>
          <w:szCs w:val="24"/>
        </w:rPr>
      </w:pPr>
      <w:r>
        <w:rPr>
          <w:b/>
          <w:bCs/>
          <w:sz w:val="24"/>
          <w:szCs w:val="24"/>
        </w:rPr>
        <w:t>Mobilização</w:t>
      </w:r>
      <w:r>
        <w:rPr>
          <w:b/>
          <w:bCs/>
          <w:spacing w:val="3"/>
          <w:sz w:val="24"/>
          <w:szCs w:val="24"/>
        </w:rPr>
        <w:t xml:space="preserve"> </w:t>
      </w:r>
      <w:r>
        <w:rPr>
          <w:b/>
          <w:bCs/>
          <w:sz w:val="24"/>
          <w:szCs w:val="24"/>
        </w:rPr>
        <w:t>e</w:t>
      </w:r>
      <w:r>
        <w:rPr>
          <w:b/>
          <w:bCs/>
          <w:spacing w:val="4"/>
          <w:sz w:val="24"/>
          <w:szCs w:val="24"/>
        </w:rPr>
        <w:t xml:space="preserve"> </w:t>
      </w:r>
      <w:r>
        <w:rPr>
          <w:b/>
          <w:bCs/>
          <w:sz w:val="24"/>
          <w:szCs w:val="24"/>
        </w:rPr>
        <w:t>desmobilização</w:t>
      </w:r>
      <w:r>
        <w:rPr>
          <w:b/>
          <w:bCs/>
          <w:spacing w:val="4"/>
          <w:sz w:val="24"/>
          <w:szCs w:val="24"/>
        </w:rPr>
        <w:t xml:space="preserve"> </w:t>
      </w:r>
      <w:r>
        <w:rPr>
          <w:b/>
          <w:bCs/>
          <w:sz w:val="24"/>
          <w:szCs w:val="24"/>
        </w:rPr>
        <w:t>do</w:t>
      </w:r>
      <w:r>
        <w:rPr>
          <w:b/>
          <w:bCs/>
          <w:spacing w:val="3"/>
          <w:sz w:val="24"/>
          <w:szCs w:val="24"/>
        </w:rPr>
        <w:t xml:space="preserve"> </w:t>
      </w:r>
      <w:r>
        <w:rPr>
          <w:b/>
          <w:bCs/>
          <w:sz w:val="24"/>
          <w:szCs w:val="24"/>
        </w:rPr>
        <w:t>canteiro</w:t>
      </w:r>
      <w:r>
        <w:rPr>
          <w:b/>
          <w:bCs/>
          <w:spacing w:val="3"/>
          <w:sz w:val="24"/>
          <w:szCs w:val="24"/>
        </w:rPr>
        <w:t xml:space="preserve"> </w:t>
      </w:r>
      <w:r>
        <w:rPr>
          <w:b/>
          <w:bCs/>
          <w:sz w:val="24"/>
          <w:szCs w:val="24"/>
        </w:rPr>
        <w:t>de</w:t>
      </w:r>
      <w:r>
        <w:rPr>
          <w:b/>
          <w:bCs/>
          <w:spacing w:val="6"/>
          <w:sz w:val="24"/>
          <w:szCs w:val="24"/>
        </w:rPr>
        <w:t xml:space="preserve"> </w:t>
      </w:r>
      <w:r>
        <w:rPr>
          <w:b/>
          <w:bCs/>
          <w:sz w:val="24"/>
          <w:szCs w:val="24"/>
        </w:rPr>
        <w:t>obras:</w:t>
      </w:r>
    </w:p>
    <w:p w14:paraId="4B776694">
      <w:pPr>
        <w:pStyle w:val="20"/>
        <w:numPr>
          <w:ilvl w:val="2"/>
          <w:numId w:val="3"/>
        </w:numPr>
        <w:rPr>
          <w:sz w:val="24"/>
          <w:szCs w:val="24"/>
        </w:rPr>
      </w:pPr>
      <w:r>
        <w:rPr>
          <w:sz w:val="24"/>
          <w:szCs w:val="24"/>
        </w:rPr>
        <w:t>O canteiro de obras, com demarcação do local e seu respectivo isolamento serão de responsabilidade da CONTRATADA.</w:t>
      </w:r>
    </w:p>
    <w:p w14:paraId="3EA70678">
      <w:pPr>
        <w:pStyle w:val="20"/>
        <w:numPr>
          <w:ilvl w:val="2"/>
          <w:numId w:val="3"/>
        </w:numPr>
        <w:rPr>
          <w:sz w:val="24"/>
          <w:szCs w:val="24"/>
        </w:rPr>
      </w:pPr>
      <w:r>
        <w:rPr>
          <w:sz w:val="24"/>
          <w:szCs w:val="24"/>
        </w:rPr>
        <w:t>A empresa contratada deverá instalar e manter no canteiro de obras, e sem ônus para a CONTRATANTE, um escritório com área compatível, além dos meios necessários ao exercício da fiscalização das medições dos serviços por parte da Secretaria de Obras Municipal.</w:t>
      </w:r>
    </w:p>
    <w:p w14:paraId="28B0071B">
      <w:pPr>
        <w:pStyle w:val="20"/>
        <w:numPr>
          <w:ilvl w:val="2"/>
          <w:numId w:val="3"/>
        </w:numPr>
        <w:rPr>
          <w:sz w:val="24"/>
          <w:szCs w:val="24"/>
        </w:rPr>
      </w:pPr>
      <w:r>
        <w:rPr>
          <w:sz w:val="24"/>
          <w:szCs w:val="24"/>
        </w:rPr>
        <w:t>O canteiro de obras deverá ser devidamente preparado de acordo com as recomendações da NR18, levando-se em consideração o número máximo de funcionários por turno, de forma a garantir aos funcionários da CONTRATADA saúde, segurança e conforto.</w:t>
      </w:r>
    </w:p>
    <w:p w14:paraId="040D64AA">
      <w:pPr>
        <w:pStyle w:val="20"/>
        <w:numPr>
          <w:ilvl w:val="2"/>
          <w:numId w:val="3"/>
        </w:numPr>
        <w:rPr>
          <w:sz w:val="24"/>
          <w:szCs w:val="24"/>
        </w:rPr>
      </w:pPr>
      <w:r>
        <w:rPr>
          <w:sz w:val="24"/>
          <w:szCs w:val="24"/>
        </w:rPr>
        <w:t>Os custos de mobilização e desmobilização compõem as planilhas anexas ao projeto.</w:t>
      </w:r>
    </w:p>
    <w:p w14:paraId="10DB76AC">
      <w:pPr>
        <w:pStyle w:val="20"/>
        <w:numPr>
          <w:ilvl w:val="2"/>
          <w:numId w:val="3"/>
        </w:numPr>
        <w:rPr>
          <w:sz w:val="24"/>
          <w:szCs w:val="24"/>
        </w:rPr>
      </w:pPr>
      <w:r>
        <w:rPr>
          <w:sz w:val="24"/>
          <w:szCs w:val="24"/>
        </w:rPr>
        <w:t>A limpeza dos locais de instalação e/ou remoção de entulhos é por conta da CONTRATADA respeitando as normas e legislações pertinentes específicas ao objeto contratado;</w:t>
      </w:r>
    </w:p>
    <w:p w14:paraId="4E645EB4">
      <w:pPr>
        <w:pStyle w:val="20"/>
        <w:ind w:left="220"/>
        <w:rPr>
          <w:sz w:val="24"/>
          <w:szCs w:val="24"/>
        </w:rPr>
      </w:pPr>
    </w:p>
    <w:p w14:paraId="7B91FE65">
      <w:pPr>
        <w:pStyle w:val="20"/>
        <w:numPr>
          <w:ilvl w:val="2"/>
          <w:numId w:val="3"/>
        </w:numPr>
        <w:rPr>
          <w:b/>
          <w:bCs/>
          <w:sz w:val="24"/>
          <w:szCs w:val="24"/>
        </w:rPr>
      </w:pPr>
      <w:r>
        <w:rPr>
          <w:b/>
          <w:bCs/>
          <w:sz w:val="24"/>
          <w:szCs w:val="24"/>
        </w:rPr>
        <w:t>Do diário de obras:</w:t>
      </w:r>
    </w:p>
    <w:p w14:paraId="2AD9752F">
      <w:pPr>
        <w:pStyle w:val="20"/>
        <w:numPr>
          <w:ilvl w:val="0"/>
          <w:numId w:val="13"/>
        </w:numPr>
        <w:rPr>
          <w:sz w:val="24"/>
          <w:szCs w:val="24"/>
        </w:rPr>
      </w:pPr>
      <w:r>
        <w:rPr>
          <w:sz w:val="24"/>
          <w:szCs w:val="24"/>
        </w:rPr>
        <w:t>Caberá à CONTRATADA o fornecimento e manutenção de "Diário de Obras" devidamente</w:t>
      </w:r>
    </w:p>
    <w:p w14:paraId="737155BA">
      <w:pPr>
        <w:pStyle w:val="20"/>
        <w:rPr>
          <w:sz w:val="24"/>
          <w:szCs w:val="24"/>
        </w:rPr>
      </w:pPr>
      <w:r>
        <w:rPr>
          <w:sz w:val="24"/>
          <w:szCs w:val="24"/>
        </w:rPr>
        <w:t>numerado e rubricado pela FISCALIZAÇÃO e pela CONTRATADA diariamente, que permanecerá disponível para escrituração no local da obra e terá as seguintes características:</w:t>
      </w:r>
    </w:p>
    <w:p w14:paraId="5DF2AF9D">
      <w:pPr>
        <w:pStyle w:val="20"/>
        <w:rPr>
          <w:sz w:val="24"/>
          <w:szCs w:val="24"/>
        </w:rPr>
      </w:pPr>
      <w:r>
        <w:rPr>
          <w:sz w:val="24"/>
          <w:szCs w:val="24"/>
        </w:rPr>
        <w:t>I. Será único, com páginas numeradas tipograficamente, em 02 vias, sendo a primeira da CONTRATANTE e a segunda da CONTRATADA;</w:t>
      </w:r>
    </w:p>
    <w:p w14:paraId="4247FB5E">
      <w:pPr>
        <w:pStyle w:val="20"/>
        <w:rPr>
          <w:sz w:val="24"/>
          <w:szCs w:val="24"/>
        </w:rPr>
      </w:pPr>
      <w:r>
        <w:rPr>
          <w:sz w:val="24"/>
          <w:szCs w:val="24"/>
        </w:rPr>
        <w:t>II. Todas as folhas do Diário de Obras deverão ser assinadas por um representante da FISCALIZAÇÃO e do RESPONSÁVEL TÉCNICO da CONTRATADA, no máximo, um dia após a referida data de entrada de dados.</w:t>
      </w:r>
    </w:p>
    <w:p w14:paraId="5E831D1D">
      <w:pPr>
        <w:pStyle w:val="20"/>
        <w:rPr>
          <w:sz w:val="24"/>
          <w:szCs w:val="24"/>
        </w:rPr>
      </w:pPr>
      <w:r>
        <w:rPr>
          <w:sz w:val="24"/>
          <w:szCs w:val="24"/>
        </w:rPr>
        <w:t>III. Deverá, a qualquer tempo, permitir a reconstituição dos fatos relevantes ocorridos na obra e que tenham influenciado de alguma forma seu andamento ou execução, contendo, no mínimo, os seguintes campos: nome da contratada, nome do contratante, data, prazo contratual, prazo decorrido, prazo restante, condições do tempo, máquinas e equipamentos, número e categoria de empregados, campo de ocorrências, campo para assinaturas do CONTRATADO e do CONTRATANTE.</w:t>
      </w:r>
    </w:p>
    <w:p w14:paraId="6700C4D0">
      <w:pPr>
        <w:pStyle w:val="20"/>
        <w:numPr>
          <w:ilvl w:val="0"/>
          <w:numId w:val="13"/>
        </w:numPr>
        <w:rPr>
          <w:sz w:val="24"/>
          <w:szCs w:val="24"/>
        </w:rPr>
      </w:pPr>
      <w:r>
        <w:rPr>
          <w:sz w:val="24"/>
          <w:szCs w:val="24"/>
        </w:rPr>
        <w:t>Serão obrigatoriamente registrados no "Diário de Obras", pela CONTRATADA:</w:t>
      </w:r>
    </w:p>
    <w:p w14:paraId="238B5341">
      <w:pPr>
        <w:pStyle w:val="20"/>
        <w:rPr>
          <w:sz w:val="24"/>
          <w:szCs w:val="24"/>
        </w:rPr>
      </w:pPr>
      <w:r>
        <w:rPr>
          <w:sz w:val="24"/>
          <w:szCs w:val="24"/>
        </w:rPr>
        <w:t>I. Falhas nos serviços de terceiros não sujeitos à sua ingerência;</w:t>
      </w:r>
    </w:p>
    <w:p w14:paraId="3305A979">
      <w:pPr>
        <w:pStyle w:val="20"/>
        <w:rPr>
          <w:sz w:val="24"/>
          <w:szCs w:val="24"/>
        </w:rPr>
      </w:pPr>
      <w:r>
        <w:rPr>
          <w:sz w:val="24"/>
          <w:szCs w:val="24"/>
        </w:rPr>
        <w:t>II. Consultas à FISCALIZAÇÃO;</w:t>
      </w:r>
    </w:p>
    <w:p w14:paraId="7B435E05">
      <w:pPr>
        <w:pStyle w:val="20"/>
        <w:rPr>
          <w:sz w:val="24"/>
          <w:szCs w:val="24"/>
        </w:rPr>
      </w:pPr>
      <w:r>
        <w:rPr>
          <w:sz w:val="24"/>
          <w:szCs w:val="24"/>
        </w:rPr>
        <w:t>III. Datas de conclusão de etapas caracterizadas, de acordo com o cronograma aprovado;</w:t>
      </w:r>
    </w:p>
    <w:p w14:paraId="627AE891">
      <w:pPr>
        <w:pStyle w:val="20"/>
        <w:rPr>
          <w:sz w:val="24"/>
          <w:szCs w:val="24"/>
        </w:rPr>
      </w:pPr>
      <w:r>
        <w:rPr>
          <w:sz w:val="24"/>
          <w:szCs w:val="24"/>
        </w:rPr>
        <w:t>IV. Acidentes ocorridos no decurso dos trabalhos;</w:t>
      </w:r>
    </w:p>
    <w:p w14:paraId="2038DB2B">
      <w:pPr>
        <w:pStyle w:val="20"/>
        <w:rPr>
          <w:sz w:val="24"/>
          <w:szCs w:val="24"/>
        </w:rPr>
      </w:pPr>
      <w:r>
        <w:rPr>
          <w:sz w:val="24"/>
          <w:szCs w:val="24"/>
        </w:rPr>
        <w:t>V. Respostas às interpelações da FISCALIZAÇÃO;</w:t>
      </w:r>
    </w:p>
    <w:p w14:paraId="403CC7F4">
      <w:pPr>
        <w:pStyle w:val="20"/>
        <w:rPr>
          <w:sz w:val="24"/>
          <w:szCs w:val="24"/>
        </w:rPr>
      </w:pPr>
      <w:r>
        <w:rPr>
          <w:sz w:val="24"/>
          <w:szCs w:val="24"/>
        </w:rPr>
        <w:t>VI. Eventual escassez de material que resulte em dificuldade para a obra ou serviço;</w:t>
      </w:r>
    </w:p>
    <w:p w14:paraId="76CFB27B">
      <w:pPr>
        <w:pStyle w:val="20"/>
        <w:rPr>
          <w:sz w:val="24"/>
          <w:szCs w:val="24"/>
        </w:rPr>
      </w:pPr>
      <w:r>
        <w:rPr>
          <w:sz w:val="24"/>
          <w:szCs w:val="24"/>
        </w:rPr>
        <w:t>VII. Outros fatos que, a juízo da CONTRATADA, devem ser objeto de registro.</w:t>
      </w:r>
    </w:p>
    <w:p w14:paraId="18FF0688">
      <w:pPr>
        <w:pStyle w:val="20"/>
        <w:numPr>
          <w:ilvl w:val="0"/>
          <w:numId w:val="13"/>
        </w:numPr>
        <w:rPr>
          <w:sz w:val="24"/>
          <w:szCs w:val="24"/>
        </w:rPr>
      </w:pPr>
      <w:r>
        <w:rPr>
          <w:sz w:val="24"/>
          <w:szCs w:val="24"/>
        </w:rPr>
        <w:t>Será objeto de registro no "Diário de Obras" pela FISCALIZAÇÃO:</w:t>
      </w:r>
    </w:p>
    <w:p w14:paraId="0AAA4DFA">
      <w:pPr>
        <w:pStyle w:val="20"/>
        <w:rPr>
          <w:sz w:val="24"/>
          <w:szCs w:val="24"/>
        </w:rPr>
      </w:pPr>
      <w:r>
        <w:rPr>
          <w:sz w:val="24"/>
          <w:szCs w:val="24"/>
        </w:rPr>
        <w:t>I. Observações cabíveis a propósito dos lançamentos da CONTRATADA no "Diário de Obras";</w:t>
      </w:r>
    </w:p>
    <w:p w14:paraId="427E16A2">
      <w:pPr>
        <w:pStyle w:val="20"/>
        <w:rPr>
          <w:sz w:val="24"/>
          <w:szCs w:val="24"/>
        </w:rPr>
      </w:pPr>
      <w:r>
        <w:rPr>
          <w:sz w:val="24"/>
          <w:szCs w:val="24"/>
        </w:rPr>
        <w:t>II. Observações sobre o andamento da obra ou serviço, tendo em vista as especificações, prazos e cronogramas;</w:t>
      </w:r>
    </w:p>
    <w:p w14:paraId="7A372222">
      <w:pPr>
        <w:pStyle w:val="20"/>
        <w:rPr>
          <w:sz w:val="24"/>
          <w:szCs w:val="24"/>
        </w:rPr>
      </w:pPr>
      <w:r>
        <w:rPr>
          <w:sz w:val="24"/>
          <w:szCs w:val="24"/>
        </w:rPr>
        <w:t>III. Soluções às consultas, lançadas ou formuladas pela CONTRATADA, com correspondência simultânea para autoridade superior, quando for o caso;</w:t>
      </w:r>
    </w:p>
    <w:p w14:paraId="30257806">
      <w:pPr>
        <w:pStyle w:val="20"/>
        <w:rPr>
          <w:sz w:val="24"/>
          <w:szCs w:val="24"/>
        </w:rPr>
      </w:pPr>
      <w:r>
        <w:rPr>
          <w:sz w:val="24"/>
          <w:szCs w:val="24"/>
        </w:rPr>
        <w:t>IV. Restrições que lhe pareçam cabíveis a respeito do andamento dos trabalhos ou do desempenho da CONTRATADA, seus prepostos e sua equipe;</w:t>
      </w:r>
    </w:p>
    <w:p w14:paraId="287A59D2">
      <w:pPr>
        <w:pStyle w:val="20"/>
        <w:rPr>
          <w:sz w:val="24"/>
          <w:szCs w:val="24"/>
        </w:rPr>
      </w:pPr>
      <w:r>
        <w:rPr>
          <w:sz w:val="24"/>
          <w:szCs w:val="24"/>
        </w:rPr>
        <w:t>V. Determinação de providências para o cumprimento do objeto e especificações;</w:t>
      </w:r>
    </w:p>
    <w:p w14:paraId="78D48662">
      <w:pPr>
        <w:pStyle w:val="20"/>
        <w:rPr>
          <w:sz w:val="24"/>
          <w:szCs w:val="24"/>
        </w:rPr>
      </w:pPr>
      <w:r>
        <w:rPr>
          <w:sz w:val="24"/>
          <w:szCs w:val="24"/>
        </w:rPr>
        <w:t>VI. Outros fatos que, a juízo da FISCALIZAÇÃO, devem ser objeto de registro.</w:t>
      </w:r>
    </w:p>
    <w:p w14:paraId="0C34472E">
      <w:pPr>
        <w:pStyle w:val="20"/>
        <w:rPr>
          <w:sz w:val="24"/>
          <w:szCs w:val="24"/>
        </w:rPr>
      </w:pPr>
    </w:p>
    <w:p w14:paraId="4C9B60A4">
      <w:pPr>
        <w:pStyle w:val="20"/>
        <w:ind w:left="0"/>
        <w:rPr>
          <w:b/>
          <w:bCs/>
          <w:sz w:val="24"/>
          <w:szCs w:val="24"/>
        </w:rPr>
      </w:pPr>
      <w:r>
        <w:rPr>
          <w:b/>
          <w:bCs/>
          <w:sz w:val="24"/>
          <w:szCs w:val="24"/>
        </w:rPr>
        <w:t>7.5. Reajuste/Repactuação:</w:t>
      </w:r>
    </w:p>
    <w:p w14:paraId="7FD73E81">
      <w:pPr>
        <w:pStyle w:val="20"/>
        <w:rPr>
          <w:sz w:val="24"/>
          <w:szCs w:val="24"/>
        </w:rPr>
      </w:pPr>
      <w:r>
        <w:rPr>
          <w:b/>
          <w:bCs/>
          <w:sz w:val="24"/>
          <w:szCs w:val="24"/>
        </w:rPr>
        <w:t>7.5.1.</w:t>
      </w:r>
      <w:r>
        <w:rPr>
          <w:b/>
          <w:bCs/>
          <w:sz w:val="24"/>
          <w:szCs w:val="24"/>
        </w:rPr>
        <w:tab/>
      </w:r>
      <w:r>
        <w:rPr>
          <w:sz w:val="24"/>
          <w:szCs w:val="24"/>
        </w:rPr>
        <w:t>Durante a vigência do contrato poderá ser realizada a revisão, reajuste ou repactuação dos preços para manter o equilíbrio econômico – financeiro obtido na licitação, mediante a comprovação dos fatos previstos no art.124, inciso II, alínea “d”, da lei n.14.133/2021, inclusive com demonstração em planilhas de custos, conforme art.265 do Decreto Estadual n.1.525/2022 e Decreto Municipal 359/2023;</w:t>
      </w:r>
    </w:p>
    <w:p w14:paraId="7F85CD46">
      <w:pPr>
        <w:pStyle w:val="20"/>
        <w:rPr>
          <w:sz w:val="24"/>
          <w:szCs w:val="24"/>
        </w:rPr>
      </w:pPr>
      <w:r>
        <w:rPr>
          <w:b/>
          <w:bCs/>
          <w:sz w:val="24"/>
          <w:szCs w:val="24"/>
        </w:rPr>
        <w:t>7.5.2.</w:t>
      </w:r>
      <w:r>
        <w:rPr>
          <w:b/>
          <w:bCs/>
          <w:sz w:val="24"/>
          <w:szCs w:val="24"/>
        </w:rPr>
        <w:tab/>
      </w:r>
      <w:r>
        <w:rPr>
          <w:sz w:val="24"/>
          <w:szCs w:val="24"/>
        </w:rPr>
        <w:t>Critério de reajuste, com a indicação do(s) índice(s) adotado(s), aplicável somente depois de 12 (doze) meses da data limite de apresentação da proposta, do orçamento base, da assinatura do contrato ou do último reajuste, quando for o caso;(Decreto Municipal 359/2023).</w:t>
      </w:r>
    </w:p>
    <w:p w14:paraId="4B2104B8">
      <w:pPr>
        <w:pStyle w:val="20"/>
        <w:rPr>
          <w:sz w:val="24"/>
          <w:szCs w:val="24"/>
        </w:rPr>
      </w:pPr>
      <w:r>
        <w:rPr>
          <w:sz w:val="24"/>
          <w:szCs w:val="24"/>
        </w:rPr>
        <w:t>O reajustamento será devido do primeiro dia do mês do ano seguinte ao do orçamento da administração/Secretaria de Obras e Serviços Públicos (OT 028/2015/CGE e Acórdão TCU 1.707/2013) e Decreto Municipal nº 359/2023;</w:t>
      </w:r>
    </w:p>
    <w:p w14:paraId="4CBEDE49">
      <w:pPr>
        <w:pStyle w:val="20"/>
        <w:rPr>
          <w:sz w:val="24"/>
          <w:szCs w:val="24"/>
        </w:rPr>
      </w:pPr>
    </w:p>
    <w:p w14:paraId="51626F62">
      <w:pPr>
        <w:pStyle w:val="20"/>
        <w:ind w:left="0"/>
        <w:rPr>
          <w:b/>
          <w:bCs/>
          <w:sz w:val="24"/>
          <w:szCs w:val="24"/>
        </w:rPr>
      </w:pPr>
      <w:r>
        <w:rPr>
          <w:b/>
          <w:bCs/>
          <w:sz w:val="24"/>
          <w:szCs w:val="24"/>
        </w:rPr>
        <w:t>7.6 Garantia Contratual:</w:t>
      </w:r>
    </w:p>
    <w:p w14:paraId="4857ECC6">
      <w:pPr>
        <w:pStyle w:val="20"/>
        <w:ind w:left="0"/>
        <w:rPr>
          <w:sz w:val="24"/>
          <w:szCs w:val="24"/>
        </w:rPr>
      </w:pPr>
      <w:r>
        <w:rPr>
          <w:b/>
          <w:bCs/>
          <w:sz w:val="24"/>
          <w:szCs w:val="24"/>
        </w:rPr>
        <w:t xml:space="preserve">7.6.1. </w:t>
      </w:r>
      <w:r>
        <w:rPr>
          <w:sz w:val="24"/>
          <w:szCs w:val="24"/>
        </w:rPr>
        <w:t xml:space="preserve"> Prazo de garantia para os serviços executados e materiais utilizados de, no mínimo, 60  (sessenta) meses, contados do término da execução contratual.</w:t>
      </w:r>
    </w:p>
    <w:p w14:paraId="70235087">
      <w:pPr>
        <w:pStyle w:val="20"/>
        <w:ind w:left="0"/>
        <w:rPr>
          <w:sz w:val="24"/>
          <w:szCs w:val="24"/>
        </w:rPr>
      </w:pPr>
      <w:r>
        <w:rPr>
          <w:b/>
          <w:bCs/>
          <w:sz w:val="24"/>
          <w:szCs w:val="24"/>
        </w:rPr>
        <w:t>7.6.2.</w:t>
      </w:r>
      <w:r>
        <w:rPr>
          <w:sz w:val="24"/>
          <w:szCs w:val="24"/>
        </w:rPr>
        <w:t>.A CONTRATADA prestará garantia destinada a assegurar a plena execução do contrato, correspondente a 5% (cinco por cento) do valor deste contrato, nos termos do art. 96 da Lei nº 14.133/2021, acrescido da diferença entre o valor do contrato e 85% do valor orçado pela CONTRATANTE na fase preparatória do certame que culminou na celebração do presente ajuste, nos termos do disposto no art. 59, § 5º, da Lei nº 14.133/2021, a qual poderá ser apresentada em uma das seguintes modalidades:</w:t>
      </w:r>
    </w:p>
    <w:p w14:paraId="15D53AC4">
      <w:pPr>
        <w:pStyle w:val="20"/>
        <w:ind w:left="0"/>
        <w:rPr>
          <w:sz w:val="24"/>
          <w:szCs w:val="24"/>
        </w:rPr>
      </w:pPr>
      <w:r>
        <w:rPr>
          <w:sz w:val="24"/>
          <w:szCs w:val="24"/>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303C1E16">
      <w:pPr>
        <w:pStyle w:val="20"/>
        <w:ind w:left="0"/>
        <w:rPr>
          <w:sz w:val="24"/>
          <w:szCs w:val="24"/>
        </w:rPr>
      </w:pPr>
      <w:r>
        <w:rPr>
          <w:sz w:val="24"/>
          <w:szCs w:val="24"/>
        </w:rPr>
        <w:t>II – seguro-garantia; ou</w:t>
      </w:r>
    </w:p>
    <w:p w14:paraId="0D5B0444">
      <w:pPr>
        <w:pStyle w:val="20"/>
        <w:ind w:left="0"/>
        <w:rPr>
          <w:sz w:val="24"/>
          <w:szCs w:val="24"/>
        </w:rPr>
      </w:pPr>
      <w:r>
        <w:rPr>
          <w:sz w:val="24"/>
          <w:szCs w:val="24"/>
        </w:rPr>
        <w:t>III – fiança bancária emitida por banco ou instituição financeira devidamente autorizada a operar no País pelo Banco Central do Brasil.</w:t>
      </w:r>
    </w:p>
    <w:p w14:paraId="77BF691C">
      <w:pPr>
        <w:pStyle w:val="20"/>
        <w:ind w:left="0"/>
        <w:rPr>
          <w:sz w:val="24"/>
          <w:szCs w:val="24"/>
        </w:rPr>
      </w:pPr>
      <w:r>
        <w:rPr>
          <w:sz w:val="24"/>
          <w:szCs w:val="24"/>
        </w:rPr>
        <w:t xml:space="preserve"> </w:t>
      </w:r>
      <w:r>
        <w:rPr>
          <w:b/>
          <w:bCs/>
          <w:sz w:val="24"/>
          <w:szCs w:val="24"/>
        </w:rPr>
        <w:t xml:space="preserve">7.6.3. </w:t>
      </w:r>
      <w:r>
        <w:rPr>
          <w:sz w:val="24"/>
          <w:szCs w:val="24"/>
        </w:rPr>
        <w:t>A CONTRATADA deverá efetivar a prestação da garantia e formalizar a entrega do comprovante respectivo, exclusivamente por meio de registro no Serviço de Protocolo Administrativo da Prefeitura Municipal de Sinop endereçado ao Gestor do contrato, no prazo máximo de 10 (dez) dias úteis contados do início da vigência contratual, podendo esse prazo ser prorrogado por igual período, mediante justificativa a ser apreciada pela Administração.</w:t>
      </w:r>
    </w:p>
    <w:p w14:paraId="05305129">
      <w:pPr>
        <w:pStyle w:val="20"/>
        <w:ind w:left="0"/>
        <w:rPr>
          <w:sz w:val="24"/>
          <w:szCs w:val="24"/>
        </w:rPr>
      </w:pPr>
      <w:r>
        <w:rPr>
          <w:b/>
          <w:bCs/>
          <w:sz w:val="24"/>
          <w:szCs w:val="24"/>
        </w:rPr>
        <w:t>7.6.4.</w:t>
      </w:r>
      <w:r>
        <w:rPr>
          <w:sz w:val="24"/>
          <w:szCs w:val="24"/>
        </w:rPr>
        <w:t xml:space="preserve"> Quando a CONTRATADA optar pela modalidade prevista no inciso II do caput, o prazo para apresentação da garantia será de 1 (um) mês, contado da data da homologação da licitação.</w:t>
      </w:r>
    </w:p>
    <w:p w14:paraId="29A63A48">
      <w:pPr>
        <w:pStyle w:val="20"/>
        <w:ind w:left="0"/>
        <w:rPr>
          <w:sz w:val="24"/>
          <w:szCs w:val="24"/>
        </w:rPr>
      </w:pPr>
      <w:r>
        <w:rPr>
          <w:b/>
          <w:bCs/>
          <w:sz w:val="24"/>
          <w:szCs w:val="24"/>
        </w:rPr>
        <w:t>7.6.5.</w:t>
      </w:r>
      <w:r>
        <w:rPr>
          <w:sz w:val="24"/>
          <w:szCs w:val="24"/>
        </w:rPr>
        <w:t xml:space="preserve"> O seguro-garantia e suas condições gerais deverão atender a CIRCULAR SUSEP n.661, de 11 de abril de 2022 e seus anexos;</w:t>
      </w:r>
    </w:p>
    <w:p w14:paraId="6916B252">
      <w:pPr>
        <w:pStyle w:val="20"/>
        <w:ind w:left="0"/>
        <w:rPr>
          <w:sz w:val="24"/>
          <w:szCs w:val="24"/>
        </w:rPr>
      </w:pPr>
      <w:r>
        <w:rPr>
          <w:b/>
          <w:bCs/>
          <w:sz w:val="24"/>
          <w:szCs w:val="24"/>
        </w:rPr>
        <w:t>7.6.6.</w:t>
      </w:r>
      <w:r>
        <w:rPr>
          <w:sz w:val="24"/>
          <w:szCs w:val="24"/>
        </w:rPr>
        <w:t xml:space="preserve"> A apólice terá sua validade confirmada pelo segurado por meio da consulta ao site </w:t>
      </w:r>
      <w:r>
        <w:fldChar w:fldCharType="begin"/>
      </w:r>
      <w:r>
        <w:instrText xml:space="preserve"> HYPERLINK "https://www2.susep.gov.br/safe/menumercado/regapolices/pesquisa.asp" </w:instrText>
      </w:r>
      <w:r>
        <w:fldChar w:fldCharType="separate"/>
      </w:r>
      <w:r>
        <w:rPr>
          <w:sz w:val="24"/>
          <w:szCs w:val="24"/>
        </w:rPr>
        <w:t>https://www2.susep.gov.br/safe/menumercado/regapolices/pesquisa.asp</w:t>
      </w:r>
      <w:r>
        <w:rPr>
          <w:sz w:val="24"/>
          <w:szCs w:val="24"/>
        </w:rPr>
        <w:fldChar w:fldCharType="end"/>
      </w:r>
      <w:r>
        <w:rPr>
          <w:sz w:val="24"/>
          <w:szCs w:val="24"/>
        </w:rPr>
        <w:t>.</w:t>
      </w:r>
    </w:p>
    <w:p w14:paraId="26C3EFA6">
      <w:pPr>
        <w:pStyle w:val="20"/>
        <w:ind w:left="0"/>
        <w:rPr>
          <w:sz w:val="24"/>
          <w:szCs w:val="24"/>
        </w:rPr>
      </w:pPr>
      <w:r>
        <w:rPr>
          <w:b/>
          <w:bCs/>
          <w:sz w:val="24"/>
          <w:szCs w:val="24"/>
        </w:rPr>
        <w:t>7.6.7.</w:t>
      </w:r>
      <w:r>
        <w:rPr>
          <w:sz w:val="24"/>
          <w:szCs w:val="24"/>
        </w:rPr>
        <w:t xml:space="preserve"> O seguro-garantia continuará em vigor mesmo se o contratado não tiver pago o prêmio nas datas convencionadas;</w:t>
      </w:r>
    </w:p>
    <w:p w14:paraId="45CD7072">
      <w:pPr>
        <w:pStyle w:val="20"/>
        <w:ind w:left="0"/>
        <w:rPr>
          <w:sz w:val="24"/>
          <w:szCs w:val="24"/>
        </w:rPr>
      </w:pPr>
      <w:r>
        <w:rPr>
          <w:b/>
          <w:bCs/>
          <w:sz w:val="24"/>
          <w:szCs w:val="24"/>
        </w:rPr>
        <w:t>7.6.8.</w:t>
      </w:r>
      <w:r>
        <w:rPr>
          <w:sz w:val="24"/>
          <w:szCs w:val="24"/>
        </w:rPr>
        <w:t xml:space="preserve"> A garantia em dinheiro (caução) será efetuada, mediante depósito em conta específica da CONTRATANTE, com correção monetária a crédito da CONTRATADA;</w:t>
      </w:r>
    </w:p>
    <w:p w14:paraId="755FA7A4">
      <w:pPr>
        <w:pStyle w:val="20"/>
        <w:ind w:left="0"/>
        <w:rPr>
          <w:sz w:val="24"/>
          <w:szCs w:val="24"/>
        </w:rPr>
      </w:pPr>
      <w:r>
        <w:rPr>
          <w:sz w:val="24"/>
          <w:szCs w:val="24"/>
        </w:rPr>
        <w:t>VI - A inobservância do prazo fixado para apresentação da garantia acarretará a aplicação de multa de 0,5% (cinco décimos por cento) do valor do contrato por dia de atraso, observado o máximo de 2% (dois por cento);</w:t>
      </w:r>
    </w:p>
    <w:p w14:paraId="71AF43CC">
      <w:pPr>
        <w:pStyle w:val="20"/>
        <w:ind w:left="0"/>
        <w:rPr>
          <w:sz w:val="24"/>
          <w:szCs w:val="24"/>
        </w:rPr>
      </w:pPr>
      <w:r>
        <w:rPr>
          <w:b/>
          <w:bCs/>
          <w:sz w:val="24"/>
          <w:szCs w:val="24"/>
        </w:rPr>
        <w:t>7.6.9.</w:t>
      </w:r>
      <w:r>
        <w:rPr>
          <w:sz w:val="24"/>
          <w:szCs w:val="24"/>
        </w:rPr>
        <w:t xml:space="preserve"> O atraso superior a 20 (vinte) dias autoriza a CONTRATANTE a promover a extinção do contrato por descumprimento ou cumprimento irregular de suas cláusulas, conforme dispõe o inciso I do art.137 da Lei n.14.133/2021;</w:t>
      </w:r>
    </w:p>
    <w:p w14:paraId="6BC8E7D0">
      <w:pPr>
        <w:pStyle w:val="20"/>
        <w:ind w:left="0"/>
        <w:rPr>
          <w:sz w:val="24"/>
          <w:szCs w:val="24"/>
        </w:rPr>
      </w:pPr>
      <w:r>
        <w:rPr>
          <w:b/>
          <w:bCs/>
          <w:sz w:val="24"/>
          <w:szCs w:val="24"/>
        </w:rPr>
        <w:t>7.6.10.</w:t>
      </w:r>
      <w:r>
        <w:rPr>
          <w:sz w:val="24"/>
          <w:szCs w:val="24"/>
        </w:rPr>
        <w:t xml:space="preserve"> Caso a opção seja por utilizar título da dívida pública como garantia, este deverá conter valor de mercado correspondente ao valor garantido e ser reconhecido pela Prefeitura Municipal, constando entre aqueles previstos em legislação especifica. Além disso, deverá estar devidamente escriturado em sistema centralizado de liquidação e custódia, nos termos do art.61 da Lei complementar n.101 de 04 de maio de 2000, podendo a CONTRATANTE recusar o título ofertado, caso verifique a ausência desses requisitos;</w:t>
      </w:r>
    </w:p>
    <w:p w14:paraId="1571F666">
      <w:pPr>
        <w:pStyle w:val="20"/>
        <w:ind w:left="0"/>
        <w:rPr>
          <w:sz w:val="24"/>
          <w:szCs w:val="24"/>
        </w:rPr>
      </w:pPr>
      <w:r>
        <w:rPr>
          <w:b/>
          <w:bCs/>
          <w:sz w:val="24"/>
          <w:szCs w:val="24"/>
        </w:rPr>
        <w:t>7.6.11.</w:t>
      </w:r>
      <w:r>
        <w:rPr>
          <w:sz w:val="24"/>
          <w:szCs w:val="24"/>
        </w:rPr>
        <w:t xml:space="preserve"> No caso de garantia na modalidade de carta fiança, deverá constar da mesma expressa renúncia pelo fiador, aos benefícios do art.827 do Código Civil de 2002;</w:t>
      </w:r>
    </w:p>
    <w:p w14:paraId="500666D1">
      <w:pPr>
        <w:pStyle w:val="20"/>
        <w:ind w:left="0"/>
        <w:rPr>
          <w:sz w:val="24"/>
          <w:szCs w:val="24"/>
        </w:rPr>
      </w:pPr>
      <w:r>
        <w:rPr>
          <w:b/>
          <w:bCs/>
          <w:sz w:val="24"/>
          <w:szCs w:val="24"/>
        </w:rPr>
        <w:t>7.6.12.</w:t>
      </w:r>
      <w:r>
        <w:rPr>
          <w:sz w:val="24"/>
          <w:szCs w:val="24"/>
        </w:rPr>
        <w:t xml:space="preserve"> Se o valor da garantia for utilizado total ou parcialmente em pagamento de qualquer obrigação, a CONTRATADA obriga-se a fazer a respectiva reposição no prazo máximo de 10 (dez) dias úteis, contados da data em que for notificada;</w:t>
      </w:r>
    </w:p>
    <w:p w14:paraId="20A34FDF">
      <w:pPr>
        <w:pStyle w:val="20"/>
        <w:ind w:left="0"/>
        <w:rPr>
          <w:sz w:val="24"/>
          <w:szCs w:val="24"/>
        </w:rPr>
      </w:pPr>
      <w:r>
        <w:rPr>
          <w:b/>
          <w:bCs/>
          <w:sz w:val="24"/>
          <w:szCs w:val="24"/>
        </w:rPr>
        <w:t>7.6.13.</w:t>
      </w:r>
      <w:r>
        <w:rPr>
          <w:sz w:val="24"/>
          <w:szCs w:val="24"/>
        </w:rPr>
        <w:t xml:space="preserve"> A garantia prestada pelo contratado será liberada ou restituída após a fiel execução do contrato ou após a sua extinção por culpa exclusiva da Administração e, quando em dinheiro, atualizada monetariamente;</w:t>
      </w:r>
    </w:p>
    <w:p w14:paraId="343BDFBA">
      <w:pPr>
        <w:pStyle w:val="20"/>
        <w:ind w:left="0"/>
        <w:rPr>
          <w:sz w:val="24"/>
          <w:szCs w:val="24"/>
        </w:rPr>
      </w:pPr>
      <w:r>
        <w:rPr>
          <w:b/>
          <w:bCs/>
          <w:sz w:val="24"/>
          <w:szCs w:val="24"/>
        </w:rPr>
        <w:t>7.6.14.</w:t>
      </w:r>
      <w:r>
        <w:rPr>
          <w:sz w:val="24"/>
          <w:szCs w:val="24"/>
        </w:rPr>
        <w:t xml:space="preserve"> A garantia será recalculada, nas mesmas condições e proporções, sempre que ocorrer modificação no valor deste contrato.</w:t>
      </w:r>
    </w:p>
    <w:p w14:paraId="7802A182">
      <w:pPr>
        <w:pStyle w:val="20"/>
        <w:ind w:left="0"/>
        <w:rPr>
          <w:sz w:val="24"/>
          <w:szCs w:val="24"/>
        </w:rPr>
      </w:pPr>
      <w:r>
        <w:rPr>
          <w:b/>
          <w:bCs/>
          <w:sz w:val="24"/>
          <w:szCs w:val="24"/>
        </w:rPr>
        <w:t xml:space="preserve">7.6.15. </w:t>
      </w:r>
      <w:r>
        <w:rPr>
          <w:sz w:val="24"/>
          <w:szCs w:val="24"/>
        </w:rPr>
        <w:t>A garantia será liberada após a execução plena do contrato no prazo de até 5 (cinco) dias úteis, de acordo com a legislação em vigor.</w:t>
      </w:r>
    </w:p>
    <w:p w14:paraId="17FAE83F">
      <w:pPr>
        <w:pStyle w:val="20"/>
        <w:ind w:left="0"/>
        <w:rPr>
          <w:sz w:val="24"/>
          <w:szCs w:val="24"/>
        </w:rPr>
      </w:pPr>
      <w:r>
        <w:rPr>
          <w:sz w:val="24"/>
          <w:szCs w:val="24"/>
        </w:rPr>
        <w:t xml:space="preserve"> </w:t>
      </w:r>
      <w:r>
        <w:rPr>
          <w:b/>
          <w:bCs/>
          <w:sz w:val="24"/>
          <w:szCs w:val="24"/>
        </w:rPr>
        <w:t xml:space="preserve">7.6.16. </w:t>
      </w:r>
      <w:r>
        <w:rPr>
          <w:sz w:val="24"/>
          <w:szCs w:val="24"/>
        </w:rPr>
        <w:t>A garantia a que se refere terá vigência durante todo o prazo de execução do contrato.</w:t>
      </w:r>
    </w:p>
    <w:p w14:paraId="0FAC81A5">
      <w:pPr>
        <w:pStyle w:val="20"/>
        <w:ind w:left="0"/>
        <w:rPr>
          <w:sz w:val="24"/>
          <w:szCs w:val="24"/>
        </w:rPr>
      </w:pPr>
      <w:r>
        <w:rPr>
          <w:sz w:val="24"/>
          <w:szCs w:val="24"/>
        </w:rPr>
        <w:t xml:space="preserve"> </w:t>
      </w:r>
      <w:r>
        <w:rPr>
          <w:b/>
          <w:bCs/>
          <w:sz w:val="24"/>
          <w:szCs w:val="24"/>
        </w:rPr>
        <w:t xml:space="preserve">7.6.17. </w:t>
      </w:r>
      <w:r>
        <w:rPr>
          <w:sz w:val="24"/>
          <w:szCs w:val="24"/>
        </w:rPr>
        <w:t>O valor da garantia não poderá ser decrescente em função da execução gradual do contrato, nem poderá a garantia estar condicionada a elementos externos à relação entre a CONTRATANTE e a CONTRATADA.</w:t>
      </w:r>
    </w:p>
    <w:p w14:paraId="67F658BA">
      <w:pPr>
        <w:pStyle w:val="20"/>
        <w:ind w:left="0"/>
        <w:rPr>
          <w:sz w:val="24"/>
          <w:szCs w:val="24"/>
        </w:rPr>
      </w:pPr>
      <w:r>
        <w:rPr>
          <w:b/>
          <w:bCs/>
          <w:sz w:val="24"/>
          <w:szCs w:val="24"/>
        </w:rPr>
        <w:t>7.6.18.</w:t>
      </w:r>
      <w:r>
        <w:rPr>
          <w:sz w:val="24"/>
          <w:szCs w:val="24"/>
        </w:rPr>
        <w:t xml:space="preserve"> A garantia, inclusive na modalidade seguro-garantia, deverá assegurar ressarcimento, indenização e pagamento de, no mínimo:</w:t>
      </w:r>
    </w:p>
    <w:p w14:paraId="70B6C3D7">
      <w:pPr>
        <w:pStyle w:val="20"/>
        <w:ind w:left="0"/>
        <w:rPr>
          <w:sz w:val="24"/>
          <w:szCs w:val="24"/>
        </w:rPr>
      </w:pPr>
      <w:r>
        <w:rPr>
          <w:sz w:val="24"/>
          <w:szCs w:val="24"/>
        </w:rPr>
        <w:t>I – prejuízos advindos do não cumprimento do contrato;</w:t>
      </w:r>
    </w:p>
    <w:p w14:paraId="2E83FB01">
      <w:pPr>
        <w:pStyle w:val="20"/>
        <w:ind w:left="0"/>
        <w:rPr>
          <w:sz w:val="24"/>
          <w:szCs w:val="24"/>
        </w:rPr>
      </w:pPr>
      <w:r>
        <w:rPr>
          <w:sz w:val="24"/>
          <w:szCs w:val="24"/>
        </w:rPr>
        <w:t>II – multas aplicadas pela CONTRATANTE à CONTRATADA;</w:t>
      </w:r>
    </w:p>
    <w:p w14:paraId="18411E6C">
      <w:pPr>
        <w:pStyle w:val="20"/>
        <w:ind w:left="0"/>
        <w:rPr>
          <w:sz w:val="24"/>
          <w:szCs w:val="24"/>
        </w:rPr>
      </w:pPr>
      <w:r>
        <w:rPr>
          <w:sz w:val="24"/>
          <w:szCs w:val="24"/>
        </w:rPr>
        <w:t>III – prejuízos diretos causados a CONTRATANTE decorrentes de culpa ou dolo da CONTRATADA durante a execução do contrato.</w:t>
      </w:r>
    </w:p>
    <w:p w14:paraId="1538CC89">
      <w:pPr>
        <w:pStyle w:val="20"/>
        <w:ind w:left="0"/>
        <w:rPr>
          <w:sz w:val="24"/>
          <w:szCs w:val="24"/>
        </w:rPr>
      </w:pPr>
      <w:r>
        <w:rPr>
          <w:sz w:val="24"/>
          <w:szCs w:val="24"/>
        </w:rPr>
        <w:t>IV - multas contratuais contemplando Cobertura Adicional de Ações Trabalhistas e Previdenciárias do CONTRATADO (TOMADOR) em relação à obra</w:t>
      </w:r>
    </w:p>
    <w:p w14:paraId="3F0B5932">
      <w:pPr>
        <w:pStyle w:val="20"/>
        <w:ind w:left="0"/>
        <w:rPr>
          <w:sz w:val="24"/>
          <w:szCs w:val="24"/>
        </w:rPr>
      </w:pPr>
      <w:r>
        <w:rPr>
          <w:b/>
          <w:bCs/>
          <w:sz w:val="24"/>
          <w:szCs w:val="24"/>
        </w:rPr>
        <w:t xml:space="preserve">7.6.19. </w:t>
      </w:r>
      <w:r>
        <w:rPr>
          <w:sz w:val="24"/>
          <w:szCs w:val="24"/>
        </w:rPr>
        <w:t>Havendo alteração contratual, a CONTRATADA deverá comunicar o fato e encaminhar à seguradora o respectivo documento que formalize a alteração para fins de emissão do respectivo endosso, devendo a CONTRATADA apresentar a CONTRATANTE, no prazo máximo do 10 (dez) dias úteis a contar da formalização da alteração contratual, a comprovação da referida comunicação e a anuência da seguradora, sob pena de multa diária de 0,1% (um décimo por cento) sobre o valor total remanescente deste contrato até o limite de 20 (vinte) dias, após o qual será aplicada, cumulativamente, multa de 1% (um por cento) sobre o valor total da contratação.</w:t>
      </w:r>
    </w:p>
    <w:p w14:paraId="31699A33">
      <w:pPr>
        <w:pStyle w:val="20"/>
        <w:ind w:left="0"/>
        <w:rPr>
          <w:sz w:val="24"/>
          <w:szCs w:val="24"/>
        </w:rPr>
      </w:pPr>
      <w:r>
        <w:rPr>
          <w:sz w:val="24"/>
          <w:szCs w:val="24"/>
        </w:rPr>
        <w:t xml:space="preserve"> </w:t>
      </w:r>
      <w:r>
        <w:rPr>
          <w:b/>
          <w:bCs/>
          <w:sz w:val="24"/>
          <w:szCs w:val="24"/>
        </w:rPr>
        <w:t xml:space="preserve">7.6.20. </w:t>
      </w:r>
      <w:r>
        <w:rPr>
          <w:sz w:val="24"/>
          <w:szCs w:val="24"/>
        </w:rPr>
        <w:t>Quando da abertura de processos para eventual aplicação de penalidade, para fins de configuração de “expectativa de sinistro”, a CONTRATANTE deverá comunicar o fato à seguradora e/ou fiadora tão logo ocorra a instauração do processo administrativo sancionatório.</w:t>
      </w:r>
    </w:p>
    <w:p w14:paraId="3B4D517F">
      <w:pPr>
        <w:pStyle w:val="20"/>
        <w:ind w:left="0"/>
        <w:rPr>
          <w:sz w:val="24"/>
          <w:szCs w:val="24"/>
        </w:rPr>
      </w:pPr>
      <w:r>
        <w:rPr>
          <w:b/>
          <w:bCs/>
          <w:sz w:val="24"/>
          <w:szCs w:val="24"/>
        </w:rPr>
        <w:t>7.6.21.</w:t>
      </w:r>
      <w:r>
        <w:rPr>
          <w:sz w:val="24"/>
          <w:szCs w:val="24"/>
        </w:rPr>
        <w:t xml:space="preserve"> O garantidor não é parte interessada para figurar em processo administrativo instaurado pela CONTRATANTE com o objetivo de apurar prejuízos e/ou aplicar sanções à CONTRATADA.</w:t>
      </w:r>
    </w:p>
    <w:p w14:paraId="203C4D1B">
      <w:pPr>
        <w:pStyle w:val="20"/>
        <w:ind w:left="0"/>
        <w:rPr>
          <w:sz w:val="24"/>
          <w:szCs w:val="24"/>
        </w:rPr>
      </w:pPr>
    </w:p>
    <w:p w14:paraId="4466C1BA">
      <w:pPr>
        <w:pStyle w:val="20"/>
        <w:ind w:left="0"/>
        <w:rPr>
          <w:b/>
          <w:bCs/>
          <w:sz w:val="24"/>
          <w:szCs w:val="24"/>
        </w:rPr>
      </w:pPr>
      <w:r>
        <w:rPr>
          <w:b/>
          <w:bCs/>
          <w:sz w:val="24"/>
          <w:szCs w:val="24"/>
        </w:rPr>
        <w:t>7.7. Garantia dos Serviços:</w:t>
      </w:r>
    </w:p>
    <w:p w14:paraId="3522C9E6">
      <w:pPr>
        <w:pStyle w:val="20"/>
        <w:ind w:left="0"/>
        <w:rPr>
          <w:sz w:val="24"/>
          <w:szCs w:val="24"/>
        </w:rPr>
      </w:pPr>
      <w:r>
        <w:rPr>
          <w:b/>
          <w:bCs/>
          <w:sz w:val="24"/>
          <w:szCs w:val="24"/>
        </w:rPr>
        <w:t xml:space="preserve">7.7.1. </w:t>
      </w:r>
      <w:r>
        <w:rPr>
          <w:sz w:val="24"/>
          <w:szCs w:val="24"/>
        </w:rPr>
        <w:t xml:space="preserve"> CONTRATADA deverá dar garantia contratual dos serviços pelo prazo de 05(cinco) anos, a contar a partir do primeiro dia útil subsequente à data do recebimento definitivo do objeto;</w:t>
      </w:r>
    </w:p>
    <w:p w14:paraId="12A8416B">
      <w:pPr>
        <w:pStyle w:val="20"/>
        <w:ind w:left="0"/>
        <w:rPr>
          <w:sz w:val="24"/>
          <w:szCs w:val="24"/>
        </w:rPr>
      </w:pPr>
      <w:r>
        <w:rPr>
          <w:b/>
          <w:bCs/>
          <w:sz w:val="24"/>
          <w:szCs w:val="24"/>
        </w:rPr>
        <w:t xml:space="preserve">7.7.2. </w:t>
      </w:r>
      <w:r>
        <w:rPr>
          <w:sz w:val="24"/>
          <w:szCs w:val="24"/>
        </w:rPr>
        <w:t>- A garantia será prestada com vistas a manter os serviços em perfeitas condições de uso, sem qualquer ônus ou custo operacional para a CONTRATANTE;</w:t>
      </w:r>
    </w:p>
    <w:p w14:paraId="5BE25693">
      <w:pPr>
        <w:pStyle w:val="20"/>
        <w:ind w:left="0"/>
        <w:rPr>
          <w:sz w:val="24"/>
          <w:szCs w:val="24"/>
        </w:rPr>
      </w:pPr>
      <w:r>
        <w:rPr>
          <w:b/>
          <w:bCs/>
          <w:sz w:val="24"/>
          <w:szCs w:val="24"/>
        </w:rPr>
        <w:t xml:space="preserve">7.7.3. </w:t>
      </w:r>
      <w:r>
        <w:rPr>
          <w:sz w:val="24"/>
          <w:szCs w:val="24"/>
        </w:rPr>
        <w:t xml:space="preserve">  A garantia abrange, INCLUSIVE, a realização da manutenção corretiva dos serviços pela própria CONTRATADA;</w:t>
      </w:r>
    </w:p>
    <w:p w14:paraId="152021CB">
      <w:pPr>
        <w:pStyle w:val="20"/>
        <w:ind w:left="0"/>
        <w:rPr>
          <w:sz w:val="24"/>
          <w:szCs w:val="24"/>
        </w:rPr>
      </w:pPr>
      <w:r>
        <w:rPr>
          <w:b/>
          <w:bCs/>
          <w:sz w:val="24"/>
          <w:szCs w:val="24"/>
        </w:rPr>
        <w:t xml:space="preserve">7.7.4. </w:t>
      </w:r>
      <w:r>
        <w:rPr>
          <w:sz w:val="24"/>
          <w:szCs w:val="24"/>
        </w:rPr>
        <w:t xml:space="preserve"> Entende-se por manutenção corretiva aquela destinada a corrigir os defeitos apresentados pelos serviços prestados, compreendendo a realização de ajustes, reparos e correções necessárias;</w:t>
      </w:r>
    </w:p>
    <w:p w14:paraId="0CBD1ACD">
      <w:pPr>
        <w:pStyle w:val="20"/>
        <w:ind w:left="0"/>
        <w:rPr>
          <w:sz w:val="24"/>
          <w:szCs w:val="24"/>
        </w:rPr>
      </w:pPr>
      <w:r>
        <w:rPr>
          <w:b/>
          <w:bCs/>
          <w:sz w:val="24"/>
          <w:szCs w:val="24"/>
        </w:rPr>
        <w:t xml:space="preserve">7.7.5. </w:t>
      </w:r>
      <w:r>
        <w:rPr>
          <w:sz w:val="24"/>
          <w:szCs w:val="24"/>
        </w:rPr>
        <w:t xml:space="preserve"> Uma vez notificada, a CONTRATADA realizará a reparação ou substituição dos serviços que apresentarem vício ou defeito, devendo iniciar a reparação ou substituição em até 05 (cinco) dias, contados a partir do recebimento da notificação;</w:t>
      </w:r>
    </w:p>
    <w:p w14:paraId="4DB9EAD6">
      <w:pPr>
        <w:pStyle w:val="20"/>
        <w:ind w:left="0"/>
        <w:rPr>
          <w:sz w:val="24"/>
          <w:szCs w:val="24"/>
        </w:rPr>
      </w:pPr>
    </w:p>
    <w:p w14:paraId="7072EEB4">
      <w:pPr>
        <w:pStyle w:val="20"/>
        <w:ind w:left="0"/>
        <w:rPr>
          <w:b/>
          <w:bCs/>
          <w:sz w:val="24"/>
          <w:szCs w:val="24"/>
        </w:rPr>
      </w:pPr>
      <w:r>
        <w:rPr>
          <w:b/>
          <w:bCs/>
          <w:sz w:val="24"/>
          <w:szCs w:val="24"/>
        </w:rPr>
        <w:t>7.8. Sanções por descumprimento das obrigações pactuadas:</w:t>
      </w:r>
    </w:p>
    <w:p w14:paraId="043C5CDD">
      <w:pPr>
        <w:pStyle w:val="20"/>
        <w:ind w:left="0"/>
        <w:rPr>
          <w:sz w:val="24"/>
          <w:szCs w:val="24"/>
        </w:rPr>
      </w:pPr>
      <w:r>
        <w:rPr>
          <w:b/>
          <w:bCs/>
          <w:sz w:val="24"/>
          <w:szCs w:val="24"/>
        </w:rPr>
        <w:t>7.8.1</w:t>
      </w:r>
      <w:r>
        <w:rPr>
          <w:sz w:val="24"/>
          <w:szCs w:val="24"/>
        </w:rPr>
        <w:t>. Comete infração administrativa o fornecedor que cometer quaisquer das infrações previstas no art. 155 da Lei nº 14.133, de 2021, quais sejam:</w:t>
      </w:r>
    </w:p>
    <w:p w14:paraId="1AC34C4D">
      <w:pPr>
        <w:pStyle w:val="20"/>
        <w:ind w:left="220"/>
        <w:rPr>
          <w:sz w:val="24"/>
          <w:szCs w:val="24"/>
        </w:rPr>
      </w:pPr>
      <w:r>
        <w:rPr>
          <w:b/>
          <w:bCs/>
          <w:sz w:val="24"/>
          <w:szCs w:val="24"/>
        </w:rPr>
        <w:t>7.8.1.1.</w:t>
      </w:r>
      <w:r>
        <w:rPr>
          <w:sz w:val="24"/>
          <w:szCs w:val="24"/>
        </w:rPr>
        <w:t xml:space="preserve">  Dar causa à inexecução parcial do contrato;</w:t>
      </w:r>
    </w:p>
    <w:p w14:paraId="5152DA6C">
      <w:pPr>
        <w:pStyle w:val="20"/>
        <w:ind w:left="220"/>
        <w:rPr>
          <w:sz w:val="24"/>
          <w:szCs w:val="24"/>
        </w:rPr>
      </w:pPr>
      <w:r>
        <w:rPr>
          <w:b/>
          <w:bCs/>
          <w:sz w:val="24"/>
          <w:szCs w:val="24"/>
        </w:rPr>
        <w:t>7.8.1.2.</w:t>
      </w:r>
      <w:r>
        <w:rPr>
          <w:sz w:val="24"/>
          <w:szCs w:val="24"/>
        </w:rPr>
        <w:t xml:space="preserve"> Dar causa à inexecução parcial do contrato que cause grave dano à Administração, ao funcionamento dos serviços públicos ou ao interesse coletivo;</w:t>
      </w:r>
    </w:p>
    <w:p w14:paraId="729240C4">
      <w:pPr>
        <w:pStyle w:val="20"/>
        <w:ind w:left="220"/>
        <w:rPr>
          <w:sz w:val="24"/>
          <w:szCs w:val="24"/>
        </w:rPr>
      </w:pPr>
      <w:r>
        <w:rPr>
          <w:b/>
          <w:bCs/>
          <w:sz w:val="24"/>
          <w:szCs w:val="24"/>
        </w:rPr>
        <w:t>7.8.1.3.</w:t>
      </w:r>
      <w:r>
        <w:rPr>
          <w:sz w:val="24"/>
          <w:szCs w:val="24"/>
        </w:rPr>
        <w:t xml:space="preserve"> Dar causa à inexecução total do contrato;</w:t>
      </w:r>
    </w:p>
    <w:p w14:paraId="6FCB8FBE">
      <w:pPr>
        <w:pStyle w:val="20"/>
        <w:ind w:left="220"/>
        <w:rPr>
          <w:sz w:val="24"/>
          <w:szCs w:val="24"/>
        </w:rPr>
      </w:pPr>
      <w:r>
        <w:rPr>
          <w:b/>
          <w:bCs/>
          <w:sz w:val="24"/>
          <w:szCs w:val="24"/>
        </w:rPr>
        <w:t>7.8.1.4.</w:t>
      </w:r>
      <w:r>
        <w:rPr>
          <w:sz w:val="24"/>
          <w:szCs w:val="24"/>
        </w:rPr>
        <w:t xml:space="preserve"> Deixar de entregar a documentação exigida para o certame;</w:t>
      </w:r>
    </w:p>
    <w:p w14:paraId="6F5665A1">
      <w:pPr>
        <w:pStyle w:val="20"/>
        <w:ind w:left="220"/>
        <w:rPr>
          <w:sz w:val="24"/>
          <w:szCs w:val="24"/>
        </w:rPr>
      </w:pPr>
      <w:r>
        <w:rPr>
          <w:b/>
          <w:bCs/>
          <w:sz w:val="24"/>
          <w:szCs w:val="24"/>
        </w:rPr>
        <w:t>7.8.1.5.</w:t>
      </w:r>
      <w:r>
        <w:rPr>
          <w:sz w:val="24"/>
          <w:szCs w:val="24"/>
        </w:rPr>
        <w:t xml:space="preserve"> Não manter a proposta, salvo em decorrência de fato superveniente devidamente justificado;</w:t>
      </w:r>
    </w:p>
    <w:p w14:paraId="6085CA32">
      <w:pPr>
        <w:pStyle w:val="20"/>
        <w:ind w:left="220"/>
        <w:rPr>
          <w:sz w:val="24"/>
          <w:szCs w:val="24"/>
        </w:rPr>
      </w:pPr>
      <w:r>
        <w:rPr>
          <w:b/>
          <w:bCs/>
          <w:sz w:val="24"/>
          <w:szCs w:val="24"/>
        </w:rPr>
        <w:t>7.8.1.6.</w:t>
      </w:r>
      <w:r>
        <w:rPr>
          <w:sz w:val="24"/>
          <w:szCs w:val="24"/>
        </w:rPr>
        <w:t xml:space="preserve"> Não celebrar o contrato ou não entregar a documentação exigida para a contratação, quando convocado dentro do prazo de validade de sua proposta;</w:t>
      </w:r>
    </w:p>
    <w:p w14:paraId="07AAD1FC">
      <w:pPr>
        <w:pStyle w:val="20"/>
        <w:ind w:left="220"/>
        <w:rPr>
          <w:sz w:val="24"/>
          <w:szCs w:val="24"/>
        </w:rPr>
      </w:pPr>
      <w:r>
        <w:rPr>
          <w:b/>
          <w:bCs/>
          <w:sz w:val="24"/>
          <w:szCs w:val="24"/>
        </w:rPr>
        <w:t>7.8.1.7.</w:t>
      </w:r>
      <w:r>
        <w:rPr>
          <w:sz w:val="24"/>
          <w:szCs w:val="24"/>
        </w:rPr>
        <w:t>- Ensejar o retardamento da execução ou da entrega do objeto da licitação sem motivo justificado;</w:t>
      </w:r>
    </w:p>
    <w:p w14:paraId="3F4660A7">
      <w:pPr>
        <w:pStyle w:val="20"/>
        <w:ind w:left="220"/>
        <w:rPr>
          <w:sz w:val="24"/>
          <w:szCs w:val="24"/>
        </w:rPr>
      </w:pPr>
      <w:r>
        <w:rPr>
          <w:b/>
          <w:bCs/>
          <w:sz w:val="24"/>
          <w:szCs w:val="24"/>
        </w:rPr>
        <w:t>7.8.1.8.</w:t>
      </w:r>
      <w:r>
        <w:rPr>
          <w:sz w:val="24"/>
          <w:szCs w:val="24"/>
        </w:rPr>
        <w:t>- Apresentar declaração ou documentação falsa exigida para o certame ou prestar declaração falsa durante a dispensa eletrônica ou a execução do contrato;</w:t>
      </w:r>
    </w:p>
    <w:p w14:paraId="09F6B1AD">
      <w:pPr>
        <w:pStyle w:val="20"/>
        <w:ind w:left="220"/>
        <w:rPr>
          <w:sz w:val="24"/>
          <w:szCs w:val="24"/>
        </w:rPr>
      </w:pPr>
      <w:r>
        <w:rPr>
          <w:b/>
          <w:bCs/>
          <w:sz w:val="24"/>
          <w:szCs w:val="24"/>
        </w:rPr>
        <w:t>7.8.1.9.</w:t>
      </w:r>
      <w:r>
        <w:rPr>
          <w:sz w:val="24"/>
          <w:szCs w:val="24"/>
        </w:rPr>
        <w:t>- Fraudar a dispensa eletrônica ou praticar ato fraudulento na execução do contrato;</w:t>
      </w:r>
    </w:p>
    <w:p w14:paraId="580AE681">
      <w:pPr>
        <w:pStyle w:val="20"/>
        <w:ind w:left="220"/>
        <w:rPr>
          <w:sz w:val="24"/>
          <w:szCs w:val="24"/>
        </w:rPr>
      </w:pPr>
      <w:r>
        <w:rPr>
          <w:b/>
          <w:bCs/>
          <w:sz w:val="24"/>
          <w:szCs w:val="24"/>
        </w:rPr>
        <w:t>7.8.1.10.</w:t>
      </w:r>
      <w:r>
        <w:rPr>
          <w:sz w:val="24"/>
          <w:szCs w:val="24"/>
        </w:rPr>
        <w:t>- Comportar-se de modo inidôneo ou cometer fraude de qualquer natureza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39C698">
      <w:pPr>
        <w:pStyle w:val="20"/>
        <w:ind w:left="220"/>
        <w:rPr>
          <w:sz w:val="24"/>
          <w:szCs w:val="24"/>
        </w:rPr>
      </w:pPr>
      <w:r>
        <w:rPr>
          <w:b/>
          <w:bCs/>
          <w:sz w:val="24"/>
          <w:szCs w:val="24"/>
        </w:rPr>
        <w:t>7.8.1.11.</w:t>
      </w:r>
      <w:r>
        <w:rPr>
          <w:sz w:val="24"/>
          <w:szCs w:val="24"/>
        </w:rPr>
        <w:t>- Praticar atos ilícitos com vistas a frustrar os objetivos deste certame;</w:t>
      </w:r>
    </w:p>
    <w:p w14:paraId="048485FF">
      <w:pPr>
        <w:pStyle w:val="20"/>
        <w:ind w:left="220"/>
        <w:rPr>
          <w:sz w:val="24"/>
          <w:szCs w:val="24"/>
        </w:rPr>
      </w:pPr>
      <w:r>
        <w:rPr>
          <w:b/>
          <w:bCs/>
          <w:sz w:val="24"/>
          <w:szCs w:val="24"/>
        </w:rPr>
        <w:t>7.8.1.12.</w:t>
      </w:r>
      <w:r>
        <w:rPr>
          <w:sz w:val="24"/>
          <w:szCs w:val="24"/>
        </w:rPr>
        <w:t>- Praticar ato lesivo previsto no art. 5º da Lei nº 12.846, de 1º de agosto de 2013;</w:t>
      </w:r>
    </w:p>
    <w:p w14:paraId="6B1533C4">
      <w:pPr>
        <w:pStyle w:val="20"/>
        <w:ind w:left="220"/>
        <w:rPr>
          <w:sz w:val="24"/>
          <w:szCs w:val="24"/>
        </w:rPr>
      </w:pPr>
      <w:r>
        <w:rPr>
          <w:b/>
          <w:bCs/>
          <w:sz w:val="24"/>
          <w:szCs w:val="24"/>
        </w:rPr>
        <w:t>7.8.1.13.</w:t>
      </w:r>
      <w:r>
        <w:rPr>
          <w:sz w:val="24"/>
          <w:szCs w:val="24"/>
        </w:rPr>
        <w:t>- O fornecedor que cometer qualquer das infrações discriminadas nos sub-itens anteriores ficará sujeito, sem prejuízo da responsabilidade civil e criminal, às seguintes sanções:</w:t>
      </w:r>
    </w:p>
    <w:p w14:paraId="276FE5E2">
      <w:pPr>
        <w:pStyle w:val="20"/>
        <w:ind w:left="440" w:leftChars="200"/>
        <w:rPr>
          <w:sz w:val="24"/>
          <w:szCs w:val="24"/>
        </w:rPr>
      </w:pPr>
      <w:r>
        <w:rPr>
          <w:sz w:val="24"/>
          <w:szCs w:val="24"/>
        </w:rPr>
        <w:t>I- Advertência pela falta do cumprimento das obrigações da contratada, deste projeto básico, quando não se justificar a imposição de penalidade mais grave;</w:t>
      </w:r>
    </w:p>
    <w:p w14:paraId="0AD2D65D">
      <w:pPr>
        <w:pStyle w:val="20"/>
        <w:ind w:left="440" w:leftChars="200"/>
        <w:rPr>
          <w:sz w:val="24"/>
          <w:szCs w:val="24"/>
        </w:rPr>
      </w:pPr>
      <w:r>
        <w:rPr>
          <w:sz w:val="24"/>
          <w:szCs w:val="24"/>
        </w:rPr>
        <w:t xml:space="preserve">II-Multa de (0,5% (cinco décimos por cento) a 30% (trinta por cento) sobre o valor do contrato, conforme previsões do Art.9º do </w:t>
      </w:r>
      <w:r>
        <w:rPr>
          <w:color w:val="000000" w:themeColor="text1"/>
          <w:sz w:val="24"/>
          <w:szCs w:val="24"/>
          <w14:textFill>
            <w14:solidFill>
              <w14:schemeClr w14:val="tx1"/>
            </w14:solidFill>
          </w14:textFill>
        </w:rPr>
        <w:t>Decreto Municipal n° 3</w:t>
      </w:r>
      <w:r>
        <w:rPr>
          <w:rFonts w:hint="default"/>
          <w:color w:val="000000" w:themeColor="text1"/>
          <w:sz w:val="24"/>
          <w:szCs w:val="24"/>
          <w:lang w:val="pt-BR"/>
          <w14:textFill>
            <w14:solidFill>
              <w14:schemeClr w14:val="tx1"/>
            </w14:solidFill>
          </w14:textFill>
        </w:rPr>
        <w:t>60</w:t>
      </w:r>
      <w:r>
        <w:rPr>
          <w:color w:val="000000" w:themeColor="text1"/>
          <w:sz w:val="24"/>
          <w:szCs w:val="24"/>
          <w14:textFill>
            <w14:solidFill>
              <w14:schemeClr w14:val="tx1"/>
            </w14:solidFill>
          </w14:textFill>
        </w:rPr>
        <w:t>/202</w:t>
      </w:r>
      <w:r>
        <w:rPr>
          <w:rFonts w:hint="default"/>
          <w:color w:val="000000" w:themeColor="text1"/>
          <w:sz w:val="24"/>
          <w:szCs w:val="24"/>
          <w:lang w:val="pt-BR"/>
          <w14:textFill>
            <w14:solidFill>
              <w14:schemeClr w14:val="tx1"/>
            </w14:solidFill>
          </w14:textFill>
        </w:rPr>
        <w:t>3</w:t>
      </w:r>
      <w:r>
        <w:rPr>
          <w:sz w:val="24"/>
          <w:szCs w:val="24"/>
        </w:rPr>
        <w:t>, a ser aplicada após a decisão fundamentada, referente às infrações previstas;</w:t>
      </w:r>
    </w:p>
    <w:p w14:paraId="5576574B">
      <w:pPr>
        <w:pStyle w:val="20"/>
        <w:ind w:left="440" w:leftChars="200"/>
        <w:rPr>
          <w:sz w:val="24"/>
          <w:szCs w:val="24"/>
        </w:rPr>
      </w:pPr>
      <w:r>
        <w:rPr>
          <w:sz w:val="24"/>
          <w:szCs w:val="24"/>
        </w:rPr>
        <w:t>III- Impedimento de licitar e contratar no âmbito da Administração Pública direta e indireta do ente federativo que tiver aplicado a sanção, pelo prazo máximo de 3 (três) anos, nos casos   previstos deste projeto básico, quando não se justificar a imposição de penalidade mais grave;</w:t>
      </w:r>
    </w:p>
    <w:p w14:paraId="37FFCA36">
      <w:pPr>
        <w:pStyle w:val="20"/>
        <w:ind w:left="440" w:leftChars="200"/>
        <w:rPr>
          <w:sz w:val="24"/>
          <w:szCs w:val="24"/>
        </w:rPr>
      </w:pPr>
      <w:r>
        <w:rPr>
          <w:sz w:val="24"/>
          <w:szCs w:val="24"/>
        </w:rPr>
        <w:t>IV- Declaração de inidoneidade para licitar ou contratar, que impedirá o responsável de licitar ou contratar no âmbito da Administração Pública direta e indireta de todos os entes federativos, pelo prazo mínimo de 3 (três) anos e máximo de 6 (seis) anos, nos casos que justifiquem a imposição da penalidade mais grave;</w:t>
      </w:r>
    </w:p>
    <w:p w14:paraId="6AFD5E05">
      <w:pPr>
        <w:pStyle w:val="20"/>
        <w:ind w:left="440" w:leftChars="200"/>
        <w:rPr>
          <w:sz w:val="24"/>
          <w:szCs w:val="24"/>
        </w:rPr>
      </w:pPr>
    </w:p>
    <w:p w14:paraId="150CCEF2">
      <w:pPr>
        <w:pStyle w:val="20"/>
        <w:tabs>
          <w:tab w:val="left" w:pos="220"/>
        </w:tabs>
        <w:ind w:left="220" w:leftChars="100"/>
        <w:rPr>
          <w:b/>
          <w:bCs/>
          <w:sz w:val="24"/>
          <w:szCs w:val="24"/>
        </w:rPr>
      </w:pPr>
      <w:r>
        <w:rPr>
          <w:b/>
          <w:bCs/>
          <w:sz w:val="24"/>
          <w:szCs w:val="24"/>
        </w:rPr>
        <w:t>7.9. Na aplicação das sanções serão considerados:</w:t>
      </w:r>
    </w:p>
    <w:p w14:paraId="276BC766">
      <w:pPr>
        <w:pStyle w:val="20"/>
        <w:ind w:left="220" w:leftChars="100"/>
        <w:rPr>
          <w:sz w:val="24"/>
          <w:szCs w:val="24"/>
        </w:rPr>
      </w:pPr>
      <w:r>
        <w:rPr>
          <w:b/>
          <w:bCs/>
          <w:sz w:val="24"/>
          <w:szCs w:val="24"/>
        </w:rPr>
        <w:t xml:space="preserve">7.9.1 </w:t>
      </w:r>
      <w:r>
        <w:rPr>
          <w:sz w:val="24"/>
          <w:szCs w:val="24"/>
        </w:rPr>
        <w:t>A natureza e a gravidade da infração cometida.</w:t>
      </w:r>
    </w:p>
    <w:p w14:paraId="6CCD5158">
      <w:pPr>
        <w:pStyle w:val="20"/>
        <w:ind w:left="220" w:leftChars="100"/>
        <w:rPr>
          <w:sz w:val="24"/>
          <w:szCs w:val="24"/>
        </w:rPr>
      </w:pPr>
      <w:r>
        <w:rPr>
          <w:b/>
          <w:bCs/>
          <w:sz w:val="24"/>
          <w:szCs w:val="24"/>
        </w:rPr>
        <w:t xml:space="preserve">7.9.2. </w:t>
      </w:r>
      <w:r>
        <w:rPr>
          <w:sz w:val="24"/>
          <w:szCs w:val="24"/>
        </w:rPr>
        <w:t xml:space="preserve"> As peculiaridades do caso concreto.</w:t>
      </w:r>
    </w:p>
    <w:p w14:paraId="1BB68D24">
      <w:pPr>
        <w:pStyle w:val="20"/>
        <w:ind w:left="220" w:leftChars="100"/>
        <w:rPr>
          <w:sz w:val="24"/>
          <w:szCs w:val="24"/>
        </w:rPr>
      </w:pPr>
      <w:r>
        <w:rPr>
          <w:b/>
          <w:bCs/>
          <w:sz w:val="24"/>
          <w:szCs w:val="24"/>
        </w:rPr>
        <w:t>7.9.3.</w:t>
      </w:r>
      <w:r>
        <w:rPr>
          <w:sz w:val="24"/>
          <w:szCs w:val="24"/>
        </w:rPr>
        <w:t xml:space="preserve"> As circunstâncias agravantes ou atenuantes.</w:t>
      </w:r>
    </w:p>
    <w:p w14:paraId="45514E68">
      <w:pPr>
        <w:pStyle w:val="20"/>
        <w:ind w:left="220"/>
        <w:rPr>
          <w:sz w:val="24"/>
          <w:szCs w:val="24"/>
        </w:rPr>
      </w:pPr>
      <w:r>
        <w:rPr>
          <w:b/>
          <w:bCs/>
          <w:sz w:val="24"/>
          <w:szCs w:val="24"/>
        </w:rPr>
        <w:t xml:space="preserve">7.9.4. </w:t>
      </w:r>
      <w:r>
        <w:rPr>
          <w:sz w:val="24"/>
          <w:szCs w:val="24"/>
        </w:rPr>
        <w:t xml:space="preserve"> Os danos que dela provierem para a Administração Pública.</w:t>
      </w:r>
    </w:p>
    <w:p w14:paraId="5B39CBB0">
      <w:pPr>
        <w:pStyle w:val="20"/>
        <w:ind w:left="220"/>
        <w:rPr>
          <w:sz w:val="24"/>
          <w:szCs w:val="24"/>
        </w:rPr>
      </w:pPr>
      <w:r>
        <w:rPr>
          <w:b/>
          <w:bCs/>
          <w:sz w:val="24"/>
          <w:szCs w:val="24"/>
        </w:rPr>
        <w:t>7.9.5.</w:t>
      </w:r>
      <w:r>
        <w:rPr>
          <w:sz w:val="24"/>
          <w:szCs w:val="24"/>
        </w:rPr>
        <w:t xml:space="preserve">  Implantação ou o aperfeiçoamento de programa de integridade, conforme normas e orientações dos órgãos de controle.</w:t>
      </w:r>
    </w:p>
    <w:p w14:paraId="53480BF5">
      <w:pPr>
        <w:pStyle w:val="20"/>
        <w:ind w:left="220"/>
        <w:rPr>
          <w:sz w:val="24"/>
          <w:szCs w:val="24"/>
        </w:rPr>
      </w:pPr>
      <w:r>
        <w:rPr>
          <w:b/>
          <w:bCs/>
          <w:sz w:val="24"/>
          <w:szCs w:val="24"/>
        </w:rPr>
        <w:t>7.9.6.</w:t>
      </w:r>
      <w:r>
        <w:rPr>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DFF9ADC">
      <w:pPr>
        <w:pStyle w:val="20"/>
        <w:ind w:left="220"/>
        <w:rPr>
          <w:sz w:val="24"/>
          <w:szCs w:val="24"/>
        </w:rPr>
      </w:pPr>
      <w:r>
        <w:rPr>
          <w:b/>
          <w:bCs/>
          <w:sz w:val="24"/>
          <w:szCs w:val="24"/>
        </w:rPr>
        <w:t>7.9.7.</w:t>
      </w:r>
      <w:r>
        <w:rPr>
          <w:sz w:val="24"/>
          <w:szCs w:val="24"/>
        </w:rPr>
        <w:t xml:space="preserve"> A aplicação das sanções previstas neste projeto básico não exclui, em hipótese alguma, a obrigação de reparação integral do dano causado à Administração Pública.</w:t>
      </w:r>
    </w:p>
    <w:p w14:paraId="21E4B022">
      <w:pPr>
        <w:pStyle w:val="20"/>
        <w:ind w:left="220"/>
        <w:rPr>
          <w:sz w:val="24"/>
          <w:szCs w:val="24"/>
        </w:rPr>
      </w:pPr>
      <w:r>
        <w:rPr>
          <w:b/>
          <w:bCs/>
          <w:sz w:val="24"/>
          <w:szCs w:val="24"/>
        </w:rPr>
        <w:t>7.9.8.</w:t>
      </w:r>
      <w:r>
        <w:rPr>
          <w:sz w:val="24"/>
          <w:szCs w:val="24"/>
        </w:rPr>
        <w:t xml:space="preserve">  A penalidade de multa pode ser aplicada cumulativamente com as demais sanções.</w:t>
      </w:r>
    </w:p>
    <w:p w14:paraId="5D45C365">
      <w:pPr>
        <w:pStyle w:val="20"/>
        <w:ind w:left="220"/>
        <w:rPr>
          <w:sz w:val="24"/>
          <w:szCs w:val="24"/>
        </w:rPr>
      </w:pPr>
      <w:r>
        <w:rPr>
          <w:b/>
          <w:bCs/>
          <w:sz w:val="24"/>
          <w:szCs w:val="24"/>
        </w:rPr>
        <w:t xml:space="preserve">7.9.9. </w:t>
      </w:r>
      <w:r>
        <w:rPr>
          <w:sz w:val="24"/>
          <w:szCs w:val="24"/>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865D8A0">
      <w:pPr>
        <w:pStyle w:val="20"/>
        <w:ind w:left="220" w:leftChars="100"/>
        <w:rPr>
          <w:sz w:val="24"/>
          <w:szCs w:val="24"/>
        </w:rPr>
      </w:pPr>
      <w:r>
        <w:rPr>
          <w:b/>
          <w:bCs/>
          <w:sz w:val="24"/>
          <w:szCs w:val="24"/>
        </w:rPr>
        <w:t xml:space="preserve">7.9.10. </w:t>
      </w:r>
      <w:r>
        <w:rPr>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345148">
      <w:pPr>
        <w:pStyle w:val="20"/>
        <w:ind w:left="220"/>
        <w:rPr>
          <w:sz w:val="24"/>
          <w:szCs w:val="24"/>
        </w:rPr>
      </w:pPr>
      <w:r>
        <w:rPr>
          <w:b/>
          <w:bCs/>
          <w:sz w:val="24"/>
          <w:szCs w:val="24"/>
        </w:rPr>
        <w:t xml:space="preserve">7.9.11.  </w:t>
      </w:r>
      <w:r>
        <w:rPr>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01F2B39">
      <w:pPr>
        <w:pStyle w:val="20"/>
        <w:ind w:left="220"/>
        <w:rPr>
          <w:sz w:val="24"/>
          <w:szCs w:val="24"/>
        </w:rPr>
      </w:pPr>
    </w:p>
    <w:tbl>
      <w:tblPr>
        <w:tblStyle w:val="17"/>
        <w:tblpPr w:leftFromText="180" w:rightFromText="180" w:vertAnchor="text" w:horzAnchor="page" w:tblpX="1444" w:tblpY="2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456"/>
      </w:tblGrid>
      <w:tr w14:paraId="7B4AE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56"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14:paraId="36C9EB0C">
            <w:pPr>
              <w:numPr>
                <w:ilvl w:val="0"/>
                <w:numId w:val="3"/>
              </w:numPr>
              <w:spacing w:line="360" w:lineRule="auto"/>
              <w:jc w:val="both"/>
              <w:rPr>
                <w:sz w:val="24"/>
                <w:szCs w:val="24"/>
                <w:highlight w:val="yellow"/>
              </w:rPr>
            </w:pPr>
            <w:r>
              <w:rPr>
                <w:b/>
                <w:sz w:val="24"/>
                <w:szCs w:val="24"/>
              </w:rPr>
              <w:t>GESTÃO DO CONTRATO:</w:t>
            </w:r>
          </w:p>
        </w:tc>
      </w:tr>
      <w:tr w14:paraId="0F8F9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56" w:type="dxa"/>
            <w:tcBorders>
              <w:top w:val="single" w:color="auto" w:sz="4" w:space="0"/>
            </w:tcBorders>
          </w:tcPr>
          <w:p w14:paraId="04926F8E">
            <w:pPr>
              <w:pStyle w:val="20"/>
              <w:jc w:val="center"/>
              <w:rPr>
                <w:sz w:val="24"/>
                <w:szCs w:val="24"/>
              </w:rPr>
            </w:pPr>
          </w:p>
          <w:p w14:paraId="00CE3B2F">
            <w:pPr>
              <w:pStyle w:val="20"/>
              <w:jc w:val="center"/>
              <w:rPr>
                <w:sz w:val="24"/>
                <w:szCs w:val="24"/>
              </w:rPr>
            </w:pPr>
          </w:p>
          <w:p w14:paraId="02C12E14">
            <w:pPr>
              <w:pStyle w:val="20"/>
              <w:jc w:val="center"/>
              <w:rPr>
                <w:sz w:val="24"/>
                <w:szCs w:val="24"/>
              </w:rPr>
            </w:pPr>
            <w:r>
              <w:rPr>
                <w:sz w:val="24"/>
                <w:szCs w:val="24"/>
              </w:rPr>
              <w:t>Ariel Nikolak Correia</w:t>
            </w:r>
          </w:p>
          <w:p w14:paraId="48116AFD">
            <w:pPr>
              <w:pStyle w:val="20"/>
              <w:jc w:val="center"/>
              <w:rPr>
                <w:b/>
                <w:bCs/>
                <w:sz w:val="24"/>
                <w:szCs w:val="24"/>
              </w:rPr>
            </w:pPr>
            <w:r>
              <w:rPr>
                <w:b/>
                <w:bCs/>
                <w:sz w:val="24"/>
                <w:szCs w:val="24"/>
              </w:rPr>
              <w:t>Fiscal Técnico do Contrato</w:t>
            </w:r>
          </w:p>
          <w:p w14:paraId="5F425A50">
            <w:pPr>
              <w:pStyle w:val="20"/>
              <w:ind w:left="0"/>
              <w:jc w:val="center"/>
              <w:rPr>
                <w:sz w:val="24"/>
                <w:szCs w:val="24"/>
              </w:rPr>
            </w:pPr>
            <w:r>
              <w:rPr>
                <w:sz w:val="24"/>
                <w:szCs w:val="24"/>
              </w:rPr>
              <w:t>Matrícula 17171</w:t>
            </w:r>
          </w:p>
        </w:tc>
      </w:tr>
      <w:tr w14:paraId="1DDD0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56" w:type="dxa"/>
          </w:tcPr>
          <w:p w14:paraId="13AB9341">
            <w:pPr>
              <w:pStyle w:val="20"/>
              <w:jc w:val="center"/>
              <w:rPr>
                <w:sz w:val="24"/>
                <w:szCs w:val="24"/>
              </w:rPr>
            </w:pPr>
          </w:p>
          <w:p w14:paraId="383CD086">
            <w:pPr>
              <w:pStyle w:val="20"/>
              <w:jc w:val="center"/>
              <w:rPr>
                <w:sz w:val="24"/>
                <w:szCs w:val="24"/>
              </w:rPr>
            </w:pPr>
          </w:p>
          <w:p w14:paraId="10186918">
            <w:pPr>
              <w:pStyle w:val="20"/>
              <w:jc w:val="center"/>
              <w:rPr>
                <w:sz w:val="24"/>
                <w:szCs w:val="24"/>
              </w:rPr>
            </w:pPr>
            <w:r>
              <w:rPr>
                <w:sz w:val="24"/>
                <w:szCs w:val="24"/>
              </w:rPr>
              <w:t>Jaison Andrey Segat</w:t>
            </w:r>
          </w:p>
          <w:p w14:paraId="13846AFA">
            <w:pPr>
              <w:pStyle w:val="20"/>
              <w:jc w:val="center"/>
              <w:rPr>
                <w:b/>
                <w:bCs/>
                <w:sz w:val="24"/>
                <w:szCs w:val="24"/>
              </w:rPr>
            </w:pPr>
            <w:r>
              <w:rPr>
                <w:b/>
                <w:bCs/>
                <w:sz w:val="24"/>
                <w:szCs w:val="24"/>
              </w:rPr>
              <w:t>Suplente Fiscal Técnico do Contrato</w:t>
            </w:r>
          </w:p>
          <w:p w14:paraId="5A08C792">
            <w:pPr>
              <w:pStyle w:val="20"/>
              <w:jc w:val="center"/>
              <w:rPr>
                <w:sz w:val="24"/>
                <w:szCs w:val="24"/>
              </w:rPr>
            </w:pPr>
            <w:r>
              <w:rPr>
                <w:sz w:val="24"/>
                <w:szCs w:val="24"/>
              </w:rPr>
              <w:t>Matrícula 15428</w:t>
            </w:r>
          </w:p>
        </w:tc>
      </w:tr>
      <w:tr w14:paraId="761BA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56" w:type="dxa"/>
          </w:tcPr>
          <w:p w14:paraId="42AA80BF">
            <w:pPr>
              <w:pStyle w:val="20"/>
              <w:jc w:val="center"/>
              <w:rPr>
                <w:sz w:val="24"/>
                <w:szCs w:val="24"/>
              </w:rPr>
            </w:pPr>
          </w:p>
          <w:p w14:paraId="221A02E5">
            <w:pPr>
              <w:pStyle w:val="20"/>
              <w:jc w:val="center"/>
              <w:rPr>
                <w:sz w:val="24"/>
                <w:szCs w:val="24"/>
              </w:rPr>
            </w:pPr>
          </w:p>
          <w:p w14:paraId="5AEDC70F">
            <w:pPr>
              <w:pStyle w:val="20"/>
              <w:jc w:val="center"/>
              <w:rPr>
                <w:sz w:val="24"/>
                <w:szCs w:val="24"/>
              </w:rPr>
            </w:pPr>
            <w:r>
              <w:rPr>
                <w:rFonts w:ascii="sans-serif" w:hAnsi="sans-serif" w:eastAsia="sans-serif" w:cs="sans-serif"/>
                <w:caps/>
                <w:color w:val="333333"/>
                <w:sz w:val="16"/>
                <w:szCs w:val="16"/>
              </w:rPr>
              <w:t> </w:t>
            </w:r>
            <w:r>
              <w:rPr>
                <w:sz w:val="24"/>
                <w:szCs w:val="24"/>
              </w:rPr>
              <w:t>Higor Gustavo Pereira de Mattos</w:t>
            </w:r>
          </w:p>
          <w:p w14:paraId="6EFA694E">
            <w:pPr>
              <w:pStyle w:val="20"/>
              <w:jc w:val="center"/>
              <w:rPr>
                <w:b/>
                <w:bCs/>
                <w:sz w:val="24"/>
                <w:szCs w:val="24"/>
              </w:rPr>
            </w:pPr>
            <w:r>
              <w:rPr>
                <w:b/>
                <w:bCs/>
                <w:sz w:val="24"/>
                <w:szCs w:val="24"/>
              </w:rPr>
              <w:t>Gestor do  Contrato</w:t>
            </w:r>
          </w:p>
          <w:p w14:paraId="17A6D3E5">
            <w:pPr>
              <w:pStyle w:val="20"/>
              <w:jc w:val="center"/>
              <w:rPr>
                <w:sz w:val="24"/>
                <w:szCs w:val="24"/>
              </w:rPr>
            </w:pPr>
            <w:r>
              <w:rPr>
                <w:sz w:val="24"/>
                <w:szCs w:val="24"/>
              </w:rPr>
              <w:t>Matrícula 17852</w:t>
            </w:r>
          </w:p>
        </w:tc>
      </w:tr>
    </w:tbl>
    <w:p w14:paraId="1D64DE81">
      <w:pPr>
        <w:pStyle w:val="20"/>
        <w:numPr>
          <w:ilvl w:val="1"/>
          <w:numId w:val="3"/>
        </w:numPr>
        <w:tabs>
          <w:tab w:val="clear" w:pos="0"/>
        </w:tabs>
        <w:rPr>
          <w:sz w:val="24"/>
          <w:szCs w:val="24"/>
        </w:rPr>
      </w:pPr>
      <w:r>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B8BCBA">
      <w:pPr>
        <w:pStyle w:val="20"/>
        <w:numPr>
          <w:ilvl w:val="1"/>
          <w:numId w:val="3"/>
        </w:numPr>
        <w:tabs>
          <w:tab w:val="clear" w:pos="0"/>
        </w:tabs>
        <w:rPr>
          <w:sz w:val="24"/>
          <w:szCs w:val="24"/>
        </w:rPr>
      </w:pPr>
      <w:r>
        <w:rPr>
          <w:sz w:val="24"/>
          <w:szCs w:val="24"/>
        </w:rPr>
        <w:t>As comunicações entre o órgão ou entidade e a contratada devem ser realizadas por escrito sempre que o ato exigir tal formalidade, admitindo-se o uso de mensagem eletrônica para esse fim. A execução do contrato deverá ser acompanhada e fiscalizada pelo(s) fiscal(is) do contrato, ou pelos respectivos substitutos (Lei nº 14.133, de 2021, art. 117, caput).</w:t>
      </w:r>
    </w:p>
    <w:p w14:paraId="672CF872">
      <w:pPr>
        <w:pStyle w:val="20"/>
        <w:numPr>
          <w:ilvl w:val="1"/>
          <w:numId w:val="3"/>
        </w:numPr>
        <w:tabs>
          <w:tab w:val="clear" w:pos="0"/>
        </w:tabs>
        <w:rPr>
          <w:sz w:val="24"/>
          <w:szCs w:val="24"/>
        </w:rPr>
      </w:pPr>
      <w:r>
        <w:rPr>
          <w:sz w:val="24"/>
          <w:szCs w:val="24"/>
        </w:rPr>
        <w:t xml:space="preserve">O </w:t>
      </w:r>
      <w:r>
        <w:rPr>
          <w:b/>
          <w:sz w:val="24"/>
          <w:szCs w:val="24"/>
        </w:rPr>
        <w:t>fiscal técnico do contrato</w:t>
      </w:r>
      <w:r>
        <w:rPr>
          <w:sz w:val="24"/>
          <w:szCs w:val="24"/>
        </w:rPr>
        <w:t xml:space="preserve"> acompanhará a execução do contrato, para que sejam cumpridas todas as condições estabelecidas no contrato, de modo a assegurar os melhores resultados para a Administração. </w:t>
      </w:r>
    </w:p>
    <w:p w14:paraId="43441531">
      <w:pPr>
        <w:pStyle w:val="20"/>
        <w:numPr>
          <w:ilvl w:val="1"/>
          <w:numId w:val="3"/>
        </w:numPr>
        <w:tabs>
          <w:tab w:val="clear" w:pos="0"/>
        </w:tabs>
        <w:rPr>
          <w:sz w:val="24"/>
          <w:szCs w:val="24"/>
        </w:rPr>
      </w:pPr>
      <w:r>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25EDC23C">
      <w:pPr>
        <w:pStyle w:val="20"/>
        <w:numPr>
          <w:ilvl w:val="1"/>
          <w:numId w:val="3"/>
        </w:numPr>
        <w:tabs>
          <w:tab w:val="clear" w:pos="0"/>
        </w:tabs>
        <w:rPr>
          <w:sz w:val="24"/>
          <w:szCs w:val="24"/>
        </w:rPr>
      </w:pPr>
      <w:r>
        <w:rPr>
          <w:sz w:val="24"/>
          <w:szCs w:val="24"/>
        </w:rPr>
        <w:t>Identificada qualquer inexatidão ou irregularidade, o fiscal técnico do contrato emitirá notificações para a correção da execução do contrato, determinando prazo para a correção ( Decreto 359/2023).</w:t>
      </w:r>
    </w:p>
    <w:p w14:paraId="2D412B93">
      <w:pPr>
        <w:pStyle w:val="20"/>
        <w:numPr>
          <w:ilvl w:val="1"/>
          <w:numId w:val="3"/>
        </w:numPr>
        <w:tabs>
          <w:tab w:val="clear" w:pos="0"/>
        </w:tabs>
        <w:rPr>
          <w:sz w:val="24"/>
          <w:szCs w:val="24"/>
        </w:rPr>
      </w:pPr>
      <w:r>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nº 359/2023).</w:t>
      </w:r>
    </w:p>
    <w:p w14:paraId="38316D96">
      <w:pPr>
        <w:pStyle w:val="20"/>
        <w:numPr>
          <w:ilvl w:val="1"/>
          <w:numId w:val="3"/>
        </w:numPr>
        <w:tabs>
          <w:tab w:val="clear" w:pos="0"/>
        </w:tabs>
        <w:rPr>
          <w:sz w:val="24"/>
          <w:szCs w:val="24"/>
        </w:rPr>
      </w:pPr>
      <w:r>
        <w:rPr>
          <w:sz w:val="24"/>
          <w:szCs w:val="24"/>
        </w:rPr>
        <w:t>No caso de ocorrências que possam inviabilizar a execução do contrato nas datas aprazadas, o fiscal técnico do contrato comunicará o fato imediatamente ao gestor do contrato (Decreto nº 359/2023 e suas atualizações).</w:t>
      </w:r>
    </w:p>
    <w:p w14:paraId="5B45DC65">
      <w:pPr>
        <w:pStyle w:val="20"/>
        <w:numPr>
          <w:ilvl w:val="1"/>
          <w:numId w:val="3"/>
        </w:numPr>
        <w:tabs>
          <w:tab w:val="clear" w:pos="0"/>
        </w:tabs>
        <w:rPr>
          <w:sz w:val="24"/>
          <w:szCs w:val="24"/>
        </w:rPr>
      </w:pPr>
      <w:r>
        <w:rPr>
          <w:sz w:val="24"/>
          <w:szCs w:val="24"/>
        </w:rPr>
        <w:t>O fiscal técnico do contrato comunicará ao gestor do contrato, em tempo hábil, o término do contrato sob sua responsabilidade, com vistas à tempestiva renovação ou à prorrogação contratual (Decreto Federal nº 359/2023 e suas atualizações).</w:t>
      </w:r>
    </w:p>
    <w:p w14:paraId="222504C8">
      <w:pPr>
        <w:pStyle w:val="20"/>
        <w:numPr>
          <w:ilvl w:val="1"/>
          <w:numId w:val="3"/>
        </w:numPr>
        <w:tabs>
          <w:tab w:val="clear" w:pos="0"/>
        </w:tabs>
        <w:rPr>
          <w:sz w:val="24"/>
          <w:szCs w:val="24"/>
        </w:rPr>
      </w:pPr>
      <w:r>
        <w:rPr>
          <w:sz w:val="24"/>
          <w:szCs w:val="24"/>
        </w:rPr>
        <w:t xml:space="preserve">O </w:t>
      </w:r>
      <w:r>
        <w:rPr>
          <w:b/>
          <w:sz w:val="24"/>
          <w:szCs w:val="24"/>
        </w:rPr>
        <w:t>fiscal administrativo</w:t>
      </w:r>
      <w:r>
        <w:rPr>
          <w:sz w:val="24"/>
          <w:szCs w:val="24"/>
        </w:rPr>
        <w:t xml:space="preserve">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359/2023 e suas atualizações).</w:t>
      </w:r>
    </w:p>
    <w:p w14:paraId="01352A54">
      <w:pPr>
        <w:pStyle w:val="20"/>
        <w:numPr>
          <w:ilvl w:val="1"/>
          <w:numId w:val="3"/>
        </w:numPr>
        <w:tabs>
          <w:tab w:val="clear" w:pos="0"/>
        </w:tabs>
        <w:rPr>
          <w:sz w:val="24"/>
          <w:szCs w:val="24"/>
        </w:rPr>
      </w:pPr>
      <w:r>
        <w:rPr>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(Decreto nº 359/2023  e suas atualizações).</w:t>
      </w:r>
    </w:p>
    <w:p w14:paraId="6FA5786F">
      <w:pPr>
        <w:pStyle w:val="20"/>
        <w:numPr>
          <w:ilvl w:val="1"/>
          <w:numId w:val="3"/>
        </w:numPr>
        <w:tabs>
          <w:tab w:val="clear" w:pos="0"/>
        </w:tabs>
        <w:rPr>
          <w:sz w:val="24"/>
          <w:szCs w:val="24"/>
        </w:rPr>
      </w:pPr>
      <w:r>
        <w:rPr>
          <w:sz w:val="24"/>
          <w:szCs w:val="24"/>
        </w:rPr>
        <w:t>O fiscal administrativo do contrato comunicará ao gestor do contrato, em tempo hábil, o término do contrato sob sua responsabilidade, com vistas à tempestiva renovação ou prorrogação contratual (Decreto nº 359/2023 e suas atualizações).</w:t>
      </w:r>
    </w:p>
    <w:p w14:paraId="3A0A22B4">
      <w:pPr>
        <w:pStyle w:val="20"/>
        <w:numPr>
          <w:ilvl w:val="1"/>
          <w:numId w:val="3"/>
        </w:numPr>
        <w:tabs>
          <w:tab w:val="clear" w:pos="0"/>
        </w:tabs>
        <w:rPr>
          <w:b/>
          <w:bCs/>
          <w:sz w:val="24"/>
          <w:szCs w:val="24"/>
        </w:rPr>
      </w:pPr>
      <w:r>
        <w:rPr>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r>
        <w:rPr>
          <w:b/>
          <w:bCs/>
          <w:sz w:val="24"/>
          <w:szCs w:val="24"/>
        </w:rPr>
        <w:t>.</w:t>
      </w:r>
    </w:p>
    <w:p w14:paraId="31E21375">
      <w:pPr>
        <w:pStyle w:val="20"/>
        <w:ind w:left="0"/>
        <w:rPr>
          <w:b/>
          <w:bCs/>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3335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49112E98">
            <w:pPr>
              <w:numPr>
                <w:ilvl w:val="0"/>
                <w:numId w:val="3"/>
              </w:numPr>
              <w:spacing w:line="360" w:lineRule="auto"/>
              <w:jc w:val="both"/>
              <w:rPr>
                <w:sz w:val="24"/>
                <w:szCs w:val="24"/>
                <w:highlight w:val="yellow"/>
              </w:rPr>
            </w:pPr>
            <w:r>
              <w:rPr>
                <w:b/>
                <w:sz w:val="24"/>
                <w:szCs w:val="24"/>
              </w:rPr>
              <w:t>MEDIÇÃO</w:t>
            </w:r>
            <w:r>
              <w:rPr>
                <w:b/>
                <w:spacing w:val="-2"/>
                <w:sz w:val="24"/>
                <w:szCs w:val="24"/>
              </w:rPr>
              <w:t xml:space="preserve"> </w:t>
            </w:r>
            <w:r>
              <w:rPr>
                <w:b/>
                <w:sz w:val="24"/>
                <w:szCs w:val="24"/>
              </w:rPr>
              <w:t>E</w:t>
            </w:r>
            <w:r>
              <w:rPr>
                <w:b/>
                <w:spacing w:val="-1"/>
                <w:sz w:val="24"/>
                <w:szCs w:val="24"/>
              </w:rPr>
              <w:t xml:space="preserve"> </w:t>
            </w:r>
            <w:r>
              <w:rPr>
                <w:b/>
                <w:sz w:val="24"/>
                <w:szCs w:val="24"/>
              </w:rPr>
              <w:t>PAGAMENTO:</w:t>
            </w:r>
          </w:p>
        </w:tc>
      </w:tr>
    </w:tbl>
    <w:p w14:paraId="20037001">
      <w:pPr>
        <w:pStyle w:val="20"/>
        <w:numPr>
          <w:ilvl w:val="1"/>
          <w:numId w:val="3"/>
        </w:numPr>
        <w:tabs>
          <w:tab w:val="clear" w:pos="0"/>
        </w:tabs>
        <w:rPr>
          <w:b/>
          <w:bCs/>
          <w:sz w:val="24"/>
          <w:szCs w:val="24"/>
        </w:rPr>
      </w:pPr>
      <w:r>
        <w:rPr>
          <w:b/>
          <w:bCs/>
          <w:sz w:val="24"/>
          <w:szCs w:val="24"/>
        </w:rPr>
        <w:t>Medições:</w:t>
      </w:r>
    </w:p>
    <w:p w14:paraId="3EEC91EF">
      <w:pPr>
        <w:pStyle w:val="20"/>
        <w:numPr>
          <w:ilvl w:val="2"/>
          <w:numId w:val="3"/>
        </w:numPr>
        <w:rPr>
          <w:sz w:val="24"/>
          <w:szCs w:val="24"/>
        </w:rPr>
      </w:pPr>
      <w:r>
        <w:rPr>
          <w:sz w:val="24"/>
          <w:szCs w:val="24"/>
        </w:rPr>
        <w:t>As medições seguirão o cronograma físico financeiro da obra, sendo efetuadas preferencialmente a cada 30 dias conforme cronograma (anexo ao processo).</w:t>
      </w:r>
    </w:p>
    <w:p w14:paraId="14A740D0">
      <w:pPr>
        <w:pStyle w:val="20"/>
        <w:rPr>
          <w:sz w:val="24"/>
          <w:szCs w:val="24"/>
        </w:rPr>
      </w:pPr>
      <w:r>
        <w:rPr>
          <w:sz w:val="24"/>
          <w:szCs w:val="24"/>
        </w:rPr>
        <w:t>A medição apenas será concluída e a nota emitida após aferição e aceite do fiscal da obra nomeado pela Prefeitura Municipal de Sinop-MT.</w:t>
      </w:r>
    </w:p>
    <w:p w14:paraId="6F6E2DDF">
      <w:pPr>
        <w:pStyle w:val="20"/>
        <w:rPr>
          <w:sz w:val="24"/>
          <w:szCs w:val="24"/>
        </w:rPr>
      </w:pPr>
    </w:p>
    <w:p w14:paraId="70E2BAB2">
      <w:pPr>
        <w:pStyle w:val="20"/>
        <w:numPr>
          <w:ilvl w:val="1"/>
          <w:numId w:val="3"/>
        </w:numPr>
        <w:tabs>
          <w:tab w:val="clear" w:pos="0"/>
        </w:tabs>
        <w:rPr>
          <w:b/>
          <w:bCs/>
          <w:sz w:val="24"/>
          <w:szCs w:val="24"/>
        </w:rPr>
      </w:pPr>
      <w:r>
        <w:rPr>
          <w:b/>
          <w:bCs/>
          <w:sz w:val="24"/>
          <w:szCs w:val="24"/>
        </w:rPr>
        <w:t>Pagamento:</w:t>
      </w:r>
    </w:p>
    <w:p w14:paraId="45213414">
      <w:pPr>
        <w:numPr>
          <w:ilvl w:val="2"/>
          <w:numId w:val="3"/>
        </w:numPr>
        <w:spacing w:line="360" w:lineRule="auto"/>
        <w:jc w:val="both"/>
        <w:rPr>
          <w:sz w:val="24"/>
          <w:szCs w:val="24"/>
        </w:rPr>
      </w:pPr>
      <w:r>
        <w:rPr>
          <w:sz w:val="24"/>
          <w:szCs w:val="24"/>
        </w:rPr>
        <w:t>Após autorizada a nota pelo fiscal da obra, a medição juntamente com a nota será encaminhada ao portal do fornecedor.</w:t>
      </w:r>
    </w:p>
    <w:p w14:paraId="25D7AF05">
      <w:pPr>
        <w:numPr>
          <w:ilvl w:val="2"/>
          <w:numId w:val="3"/>
        </w:numPr>
        <w:spacing w:line="360" w:lineRule="auto"/>
        <w:jc w:val="both"/>
        <w:rPr>
          <w:sz w:val="24"/>
          <w:szCs w:val="24"/>
        </w:rPr>
      </w:pPr>
      <w:r>
        <w:rPr>
          <w:sz w:val="24"/>
          <w:szCs w:val="24"/>
        </w:rPr>
        <w:t>O recebimento da nota fiscal e certidões pelo departamento de compras apenas será efetuado quando a medição vir acompanhada das devidas certidões e demais documentos que o processo de pagamento requer, conforme normativas federais, estaduais e municipais para liquidação das despesas.</w:t>
      </w:r>
    </w:p>
    <w:p w14:paraId="5E621ECB">
      <w:pPr>
        <w:numPr>
          <w:ilvl w:val="2"/>
          <w:numId w:val="3"/>
        </w:numPr>
        <w:spacing w:line="360" w:lineRule="auto"/>
        <w:jc w:val="both"/>
        <w:rPr>
          <w:sz w:val="24"/>
          <w:szCs w:val="24"/>
        </w:rPr>
      </w:pPr>
      <w:r>
        <w:rPr>
          <w:sz w:val="24"/>
          <w:szCs w:val="24"/>
        </w:rPr>
        <w:t xml:space="preserve">Será observada a versão mais atualizada da Instrução Normativa Municipal Nº 038/2009 disposta no sítio eletrônico </w:t>
      </w:r>
      <w:r>
        <w:fldChar w:fldCharType="begin"/>
      </w:r>
      <w:r>
        <w:instrText xml:space="preserve"> HYPERLINK "http://www.sinop.mt.gov.br" </w:instrText>
      </w:r>
      <w:r>
        <w:fldChar w:fldCharType="separate"/>
      </w:r>
      <w:r>
        <w:rPr>
          <w:rStyle w:val="8"/>
          <w:sz w:val="24"/>
          <w:szCs w:val="24"/>
        </w:rPr>
        <w:t>www.sinop.mt.gov.br</w:t>
      </w:r>
      <w:r>
        <w:rPr>
          <w:rStyle w:val="8"/>
          <w:sz w:val="24"/>
          <w:szCs w:val="24"/>
        </w:rPr>
        <w:fldChar w:fldCharType="end"/>
      </w:r>
      <w:r>
        <w:rPr>
          <w:sz w:val="24"/>
          <w:szCs w:val="24"/>
        </w:rPr>
        <w:t xml:space="preserve"> para liquidação e pagamento das despesas conforme a natureza da despesa, e demais legislações fiscais e tributárias de âmbito Municipal, Estadual e Federal e demais órgãos de controle.</w:t>
      </w:r>
    </w:p>
    <w:p w14:paraId="754432A0">
      <w:pPr>
        <w:numPr>
          <w:ilvl w:val="2"/>
          <w:numId w:val="3"/>
        </w:numPr>
        <w:spacing w:line="360" w:lineRule="auto"/>
        <w:jc w:val="both"/>
        <w:rPr>
          <w:sz w:val="24"/>
          <w:szCs w:val="24"/>
        </w:rPr>
      </w:pPr>
      <w:r>
        <w:rPr>
          <w:sz w:val="24"/>
          <w:szCs w:val="24"/>
        </w:rPr>
        <w:t>Somente na Primeira Medição, caso ainda não tenha sido entregue:</w:t>
      </w:r>
    </w:p>
    <w:p w14:paraId="54571F02">
      <w:pPr>
        <w:numPr>
          <w:ilvl w:val="3"/>
          <w:numId w:val="3"/>
        </w:numPr>
        <w:spacing w:line="360" w:lineRule="auto"/>
        <w:jc w:val="both"/>
        <w:rPr>
          <w:sz w:val="24"/>
          <w:szCs w:val="24"/>
        </w:rPr>
      </w:pPr>
      <w:r>
        <w:rPr>
          <w:sz w:val="24"/>
          <w:szCs w:val="24"/>
        </w:rPr>
        <w:t>ART – Anotação de Responsabilidade Técnica do CREA ou RRT – Registro de Responsabilidade Técnica do CAU, da execução do projeto;</w:t>
      </w:r>
    </w:p>
    <w:p w14:paraId="2D4D655F">
      <w:pPr>
        <w:numPr>
          <w:ilvl w:val="3"/>
          <w:numId w:val="3"/>
        </w:numPr>
        <w:spacing w:line="360" w:lineRule="auto"/>
        <w:jc w:val="both"/>
        <w:rPr>
          <w:sz w:val="24"/>
          <w:szCs w:val="24"/>
        </w:rPr>
      </w:pPr>
      <w:r>
        <w:rPr>
          <w:sz w:val="24"/>
          <w:szCs w:val="24"/>
        </w:rPr>
        <w:t>Alvará de Construção (quando aplicável);</w:t>
      </w:r>
    </w:p>
    <w:p w14:paraId="0D36B898">
      <w:pPr>
        <w:numPr>
          <w:ilvl w:val="3"/>
          <w:numId w:val="3"/>
        </w:numPr>
        <w:spacing w:line="360" w:lineRule="auto"/>
        <w:jc w:val="both"/>
        <w:rPr>
          <w:sz w:val="24"/>
          <w:szCs w:val="24"/>
        </w:rPr>
      </w:pPr>
      <w:r>
        <w:rPr>
          <w:sz w:val="24"/>
          <w:szCs w:val="24"/>
        </w:rPr>
        <w:t>Matrícula/Cadastro específico da obra de construção civil (CEI) no INSS (quando aplicável);</w:t>
      </w:r>
    </w:p>
    <w:p w14:paraId="075452D9">
      <w:pPr>
        <w:numPr>
          <w:ilvl w:val="1"/>
          <w:numId w:val="3"/>
        </w:numPr>
        <w:tabs>
          <w:tab w:val="clear" w:pos="0"/>
        </w:tabs>
        <w:spacing w:line="360" w:lineRule="auto"/>
        <w:jc w:val="both"/>
        <w:rPr>
          <w:sz w:val="24"/>
          <w:szCs w:val="24"/>
        </w:rPr>
      </w:pPr>
      <w:r>
        <w:rPr>
          <w:sz w:val="24"/>
          <w:szCs w:val="24"/>
        </w:rPr>
        <w:t>Observar e cumprir a Tabela de Retenção estabelecida no Anexo I da Instrução Normativa RFB nº1.234, de 11 de janeiro de 2012, e alterações posteriores e destacar obrigatoriamente a retenção do Imposto de Renda Retido na Fonte (IRRF) nos documentos fiscais emitidos para o município e observar o enquadramento legal de incidência, sob pena de não aceitação do documento apresentado ou de retenção no valor total do documento fiscal.</w:t>
      </w:r>
    </w:p>
    <w:p w14:paraId="48FB0814">
      <w:pPr>
        <w:numPr>
          <w:ilvl w:val="1"/>
          <w:numId w:val="3"/>
        </w:numPr>
        <w:tabs>
          <w:tab w:val="clear" w:pos="0"/>
        </w:tabs>
        <w:spacing w:line="360" w:lineRule="auto"/>
        <w:jc w:val="both"/>
        <w:rPr>
          <w:sz w:val="24"/>
          <w:szCs w:val="24"/>
        </w:rPr>
      </w:pPr>
      <w:r>
        <w:rPr>
          <w:sz w:val="24"/>
          <w:szCs w:val="24"/>
        </w:rPr>
        <w:t>A nota fiscal recebida, tramitará conforme normativas municipais de pagamento de despesas, seguindo a ordem cronológica de recebimento conforme Decreto municipal nº 359/2023.</w:t>
      </w:r>
    </w:p>
    <w:p w14:paraId="6171B869">
      <w:pPr>
        <w:numPr>
          <w:ilvl w:val="1"/>
          <w:numId w:val="3"/>
        </w:numPr>
        <w:tabs>
          <w:tab w:val="clear" w:pos="0"/>
        </w:tabs>
        <w:spacing w:line="360" w:lineRule="auto"/>
        <w:jc w:val="both"/>
        <w:rPr>
          <w:sz w:val="24"/>
          <w:szCs w:val="24"/>
        </w:rPr>
      </w:pPr>
      <w:r>
        <w:rPr>
          <w:sz w:val="24"/>
          <w:szCs w:val="24"/>
        </w:rPr>
        <w:t>Estar em dia com o e-Social, apresentar os eventos: S-1000, S-1070, S-1020</w:t>
      </w:r>
      <w:r>
        <w:rPr>
          <w:b/>
          <w:bCs/>
          <w:sz w:val="24"/>
          <w:szCs w:val="24"/>
        </w:rPr>
        <w:t xml:space="preserve"> </w:t>
      </w:r>
      <w:r>
        <w:rPr>
          <w:sz w:val="24"/>
          <w:szCs w:val="24"/>
        </w:rPr>
        <w:t>(lotação tributária), S-1200 (folha), S-1210, DCTFWEB, S-2200, S-2206, S-2210, S-2220, S-2240, LGPD (Apresentar o Projeto de Tratamento e Proteção de Dados (com o comprovante de conscientização datado e assinado, por colaborador), CND (Apresentar a CND trabalhista, previdenciária e fiscal).</w:t>
      </w:r>
    </w:p>
    <w:p w14:paraId="62BC897B">
      <w:pPr>
        <w:spacing w:line="360" w:lineRule="auto"/>
        <w:jc w:val="both"/>
        <w:rPr>
          <w:sz w:val="24"/>
          <w:szCs w:val="24"/>
        </w:rPr>
      </w:pPr>
    </w:p>
    <w:p w14:paraId="75F31EC1">
      <w:pPr>
        <w:pStyle w:val="27"/>
        <w:widowControl w:val="0"/>
        <w:autoSpaceDE w:val="0"/>
        <w:autoSpaceDN w:val="0"/>
        <w:spacing w:line="360" w:lineRule="auto"/>
        <w:jc w:val="both"/>
        <w:rPr>
          <w:rFonts w:ascii="Times New Roman" w:hAnsi="Times New Roman" w:cs="Times New Roman"/>
          <w:b/>
          <w:bCs/>
        </w:rPr>
      </w:pPr>
      <w:r>
        <w:rPr>
          <w:rFonts w:ascii="Times New Roman" w:hAnsi="Times New Roman" w:cs="Times New Roman"/>
          <w:b/>
          <w:bCs/>
        </w:rPr>
        <w:t xml:space="preserve">Eventos do e-Social e Relatórios a serem apresentados( considerar as últimas atualizações da legislação): </w:t>
      </w:r>
    </w:p>
    <w:p w14:paraId="0AEFC19C">
      <w:pPr>
        <w:pStyle w:val="27"/>
        <w:widowControl w:val="0"/>
        <w:numPr>
          <w:ilvl w:val="0"/>
          <w:numId w:val="14"/>
        </w:numPr>
        <w:tabs>
          <w:tab w:val="clear" w:pos="425"/>
        </w:tabs>
        <w:autoSpaceDE w:val="0"/>
        <w:autoSpaceDN w:val="0"/>
        <w:spacing w:line="360" w:lineRule="auto"/>
        <w:jc w:val="both"/>
        <w:rPr>
          <w:rFonts w:ascii="Times New Roman" w:hAnsi="Times New Roman" w:cs="Times New Roman"/>
        </w:rPr>
      </w:pPr>
      <w:r>
        <w:rPr>
          <w:rFonts w:ascii="Times New Roman" w:hAnsi="Times New Roman" w:cs="Times New Roman"/>
          <w:b/>
          <w:bCs/>
        </w:rPr>
        <w:t>S-1000</w:t>
      </w:r>
      <w:r>
        <w:rPr>
          <w:rFonts w:ascii="Times New Roman" w:hAnsi="Times New Roman" w:cs="Times New Roman"/>
        </w:rPr>
        <w:t xml:space="preserve"> - Cadastro da empresa no eSocial.</w:t>
      </w:r>
    </w:p>
    <w:p w14:paraId="2AE33BF0">
      <w:pPr>
        <w:pStyle w:val="27"/>
        <w:widowControl w:val="0"/>
        <w:numPr>
          <w:ilvl w:val="0"/>
          <w:numId w:val="14"/>
        </w:numPr>
        <w:tabs>
          <w:tab w:val="clear" w:pos="425"/>
        </w:tabs>
        <w:autoSpaceDE w:val="0"/>
        <w:autoSpaceDN w:val="0"/>
        <w:spacing w:line="360" w:lineRule="auto"/>
        <w:jc w:val="both"/>
        <w:rPr>
          <w:rFonts w:ascii="Times New Roman" w:hAnsi="Times New Roman" w:cs="Times New Roman"/>
        </w:rPr>
      </w:pPr>
      <w:r>
        <w:rPr>
          <w:rFonts w:ascii="Times New Roman" w:hAnsi="Times New Roman" w:cs="Times New Roman"/>
          <w:b/>
          <w:bCs/>
        </w:rPr>
        <w:t>S-1070</w:t>
      </w:r>
      <w:r>
        <w:rPr>
          <w:rFonts w:ascii="Times New Roman" w:hAnsi="Times New Roman" w:cs="Times New Roman"/>
        </w:rPr>
        <w:t xml:space="preserve"> -  (processo trabalhista ou judicial) Caso tenha Processo Administrativo ou Judicial favorável para não incidência de FGTS, INSS ou Imposto de Renda, deve apresentar o relatório:</w:t>
      </w:r>
    </w:p>
    <w:p w14:paraId="6A7F3DDA">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Cadastro do favorecido no eSocial.</w:t>
      </w:r>
    </w:p>
    <w:p w14:paraId="2E74C1F7">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S-1020</w:t>
      </w:r>
      <w:r>
        <w:rPr>
          <w:rFonts w:ascii="Times New Roman" w:hAnsi="Times New Roman" w:cs="Times New Roman"/>
        </w:rPr>
        <w:t xml:space="preserve"> - (lotação tributária)</w:t>
      </w:r>
    </w:p>
    <w:p w14:paraId="5041FE8A">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Cadastro de lotação.</w:t>
      </w:r>
    </w:p>
    <w:p w14:paraId="0ECEDDDC">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S-1200</w:t>
      </w:r>
      <w:r>
        <w:rPr>
          <w:rFonts w:ascii="Times New Roman" w:hAnsi="Times New Roman" w:cs="Times New Roman"/>
        </w:rPr>
        <w:t xml:space="preserve"> - (folha)</w:t>
      </w:r>
    </w:p>
    <w:p w14:paraId="3121FFB7">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Relatório analítico da remuneração dos trabalhadores (últimos 3 meses...).</w:t>
      </w:r>
    </w:p>
    <w:p w14:paraId="005BCB34">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S-1210</w:t>
      </w:r>
      <w:r>
        <w:rPr>
          <w:rFonts w:ascii="Times New Roman" w:hAnsi="Times New Roman" w:cs="Times New Roman"/>
        </w:rPr>
        <w:t xml:space="preserve"> - (pagamento)</w:t>
      </w:r>
    </w:p>
    <w:p w14:paraId="5C8F3473">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Pagamentos dos Trabalhadores.</w:t>
      </w:r>
    </w:p>
    <w:p w14:paraId="7CDC0035">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 xml:space="preserve">DCTFWEB </w:t>
      </w:r>
      <w:r>
        <w:rPr>
          <w:rFonts w:ascii="Times New Roman" w:hAnsi="Times New Roman" w:cs="Times New Roman"/>
        </w:rPr>
        <w:t>- (Declaração de Débitos e Créditos Tributários)</w:t>
      </w:r>
    </w:p>
    <w:p w14:paraId="1F00F714">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Relatório de cálculos da DCTFWEB.</w:t>
      </w:r>
    </w:p>
    <w:p w14:paraId="03137DA1">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S-2200</w:t>
      </w:r>
      <w:r>
        <w:rPr>
          <w:rFonts w:ascii="Times New Roman" w:hAnsi="Times New Roman" w:cs="Times New Roman"/>
        </w:rPr>
        <w:t xml:space="preserve"> - (admissão)</w:t>
      </w:r>
    </w:p>
    <w:p w14:paraId="1DC74848">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Cadastros dos funcionários.</w:t>
      </w:r>
    </w:p>
    <w:p w14:paraId="012CADE1">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S-2206</w:t>
      </w:r>
      <w:r>
        <w:rPr>
          <w:rFonts w:ascii="Times New Roman" w:hAnsi="Times New Roman" w:cs="Times New Roman"/>
        </w:rPr>
        <w:t xml:space="preserve">  - (alt. Contratual)</w:t>
      </w:r>
    </w:p>
    <w:p w14:paraId="2A17524D">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Alterações em Contratos.</w:t>
      </w:r>
    </w:p>
    <w:p w14:paraId="5BBD2B57">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S-2210</w:t>
      </w:r>
      <w:r>
        <w:rPr>
          <w:rFonts w:ascii="Times New Roman" w:hAnsi="Times New Roman" w:cs="Times New Roman"/>
        </w:rPr>
        <w:t xml:space="preserve">  - (CAT)</w:t>
      </w:r>
    </w:p>
    <w:p w14:paraId="03348602">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CAT (enviada por doença ocupacional), dos supostos trabalhadores que iriam laborar nas dependências do Órgão em questão.</w:t>
      </w:r>
    </w:p>
    <w:p w14:paraId="1105AAFC">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S-2220</w:t>
      </w:r>
      <w:r>
        <w:rPr>
          <w:rFonts w:ascii="Times New Roman" w:hAnsi="Times New Roman" w:cs="Times New Roman"/>
        </w:rPr>
        <w:t xml:space="preserve"> - Monitoramento da saúde do trabalhador</w:t>
      </w:r>
    </w:p>
    <w:p w14:paraId="217D3821">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Apresentar o PCMSO (programa de controle médico e saúde ocupacional) juntamente com o relatório deste evento enviado ao eSocial;</w:t>
      </w:r>
    </w:p>
    <w:p w14:paraId="5BDF0568">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Apresentar o relatório deste evento com as informações do Médico coordenador do PCMSO e Médico examinador dos ASOs e exames.</w:t>
      </w:r>
    </w:p>
    <w:p w14:paraId="15DF4232">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S-2240</w:t>
      </w:r>
      <w:r>
        <w:rPr>
          <w:rFonts w:ascii="Times New Roman" w:hAnsi="Times New Roman" w:cs="Times New Roman"/>
        </w:rPr>
        <w:t xml:space="preserve">  - (riscos, EPIs)</w:t>
      </w:r>
    </w:p>
    <w:p w14:paraId="30FB42B8">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Apresentar o relatório enviado ao eSocial neste evento;</w:t>
      </w:r>
    </w:p>
    <w:p w14:paraId="323B5C6B">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Apresentar o relatório das descrições das funções;</w:t>
      </w:r>
    </w:p>
    <w:p w14:paraId="2A554AF7">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Registros dos profissionais de Saúde e Segurança do trabalho – SST, no eSocial;</w:t>
      </w:r>
    </w:p>
    <w:p w14:paraId="2529B442">
      <w:pPr>
        <w:pStyle w:val="27"/>
        <w:widowControl w:val="0"/>
        <w:autoSpaceDE w:val="0"/>
        <w:autoSpaceDN w:val="0"/>
        <w:spacing w:line="360" w:lineRule="auto"/>
        <w:jc w:val="both"/>
        <w:rPr>
          <w:rFonts w:ascii="Times New Roman" w:hAnsi="Times New Roman" w:cs="Times New Roman"/>
        </w:rPr>
      </w:pPr>
      <w:r>
        <w:rPr>
          <w:rFonts w:ascii="Times New Roman" w:hAnsi="Times New Roman" w:cs="Times New Roman"/>
        </w:rPr>
        <w:t>• Relatório dos EPIs utilizados X enviados neste evento.</w:t>
      </w:r>
    </w:p>
    <w:p w14:paraId="4BF5093D">
      <w:pPr>
        <w:pStyle w:val="27"/>
        <w:widowControl w:val="0"/>
        <w:numPr>
          <w:ilvl w:val="0"/>
          <w:numId w:val="14"/>
        </w:numPr>
        <w:autoSpaceDE w:val="0"/>
        <w:autoSpaceDN w:val="0"/>
        <w:spacing w:line="360" w:lineRule="auto"/>
        <w:jc w:val="both"/>
        <w:rPr>
          <w:rFonts w:ascii="Times New Roman" w:hAnsi="Times New Roman" w:cs="Times New Roman"/>
        </w:rPr>
      </w:pPr>
      <w:r>
        <w:rPr>
          <w:rFonts w:ascii="Times New Roman" w:hAnsi="Times New Roman" w:cs="Times New Roman"/>
          <w:b/>
          <w:bCs/>
        </w:rPr>
        <w:t xml:space="preserve">LGPD </w:t>
      </w:r>
      <w:r>
        <w:rPr>
          <w:rFonts w:ascii="Times New Roman" w:hAnsi="Times New Roman" w:cs="Times New Roman"/>
        </w:rPr>
        <w:t>– Lei Geral de Proteção de Dados (Lei nº 13.709, 08/2018) • Apresentar o Projeto de Tratamento e Proteção de Dados (com o comprovante de conscientização datado e assinado, por colaborador).</w:t>
      </w:r>
    </w:p>
    <w:p w14:paraId="12704B05">
      <w:pPr>
        <w:pStyle w:val="27"/>
        <w:numPr>
          <w:ilvl w:val="0"/>
          <w:numId w:val="14"/>
        </w:numPr>
        <w:spacing w:line="360" w:lineRule="auto"/>
        <w:jc w:val="both"/>
        <w:rPr>
          <w:rFonts w:ascii="Times New Roman" w:hAnsi="Times New Roman" w:cs="Times New Roman"/>
        </w:rPr>
      </w:pPr>
      <w:r>
        <w:rPr>
          <w:rFonts w:ascii="Times New Roman" w:hAnsi="Times New Roman" w:cs="Times New Roman"/>
          <w:b/>
          <w:bCs/>
        </w:rPr>
        <w:t>CND</w:t>
      </w:r>
      <w:r>
        <w:rPr>
          <w:rFonts w:ascii="Times New Roman" w:hAnsi="Times New Roman" w:cs="Times New Roman"/>
        </w:rPr>
        <w:t xml:space="preserve"> - (certidão negativa de débito) • Apresentar a CND trabalhista, previdenciária e fiscal.</w:t>
      </w:r>
    </w:p>
    <w:p w14:paraId="78FABAD5">
      <w:pPr>
        <w:pStyle w:val="27"/>
        <w:spacing w:line="360" w:lineRule="auto"/>
        <w:jc w:val="both"/>
        <w:rPr>
          <w:rFonts w:ascii="Times New Roman" w:hAnsi="Times New Roman" w:cs="Times New Roman"/>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009C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shd w:val="clear" w:color="auto" w:fill="D8D8D8" w:themeFill="background1" w:themeFillShade="D9"/>
          </w:tcPr>
          <w:p w14:paraId="45DE6A2D">
            <w:pPr>
              <w:numPr>
                <w:ilvl w:val="0"/>
                <w:numId w:val="3"/>
              </w:numPr>
              <w:spacing w:line="360" w:lineRule="auto"/>
              <w:jc w:val="both"/>
              <w:rPr>
                <w:sz w:val="24"/>
                <w:szCs w:val="24"/>
              </w:rPr>
            </w:pPr>
            <w:r>
              <w:rPr>
                <w:b/>
                <w:sz w:val="24"/>
                <w:szCs w:val="24"/>
              </w:rPr>
              <w:t>FORMA</w:t>
            </w:r>
            <w:r>
              <w:rPr>
                <w:b/>
                <w:spacing w:val="-3"/>
                <w:sz w:val="24"/>
                <w:szCs w:val="24"/>
              </w:rPr>
              <w:t xml:space="preserve"> </w:t>
            </w:r>
            <w:r>
              <w:rPr>
                <w:b/>
                <w:sz w:val="24"/>
                <w:szCs w:val="24"/>
              </w:rPr>
              <w:t>E</w:t>
            </w:r>
            <w:r>
              <w:rPr>
                <w:b/>
                <w:spacing w:val="-2"/>
                <w:sz w:val="24"/>
                <w:szCs w:val="24"/>
              </w:rPr>
              <w:t xml:space="preserve"> </w:t>
            </w:r>
            <w:r>
              <w:rPr>
                <w:b/>
                <w:sz w:val="24"/>
                <w:szCs w:val="24"/>
              </w:rPr>
              <w:t>CRITÉRIOS</w:t>
            </w:r>
            <w:r>
              <w:rPr>
                <w:b/>
                <w:spacing w:val="-4"/>
                <w:sz w:val="24"/>
                <w:szCs w:val="24"/>
              </w:rPr>
              <w:t xml:space="preserve"> </w:t>
            </w:r>
            <w:r>
              <w:rPr>
                <w:b/>
                <w:sz w:val="24"/>
                <w:szCs w:val="24"/>
              </w:rPr>
              <w:t>DE</w:t>
            </w:r>
            <w:r>
              <w:rPr>
                <w:b/>
                <w:spacing w:val="-1"/>
                <w:sz w:val="24"/>
                <w:szCs w:val="24"/>
              </w:rPr>
              <w:t xml:space="preserve"> </w:t>
            </w:r>
            <w:r>
              <w:rPr>
                <w:b/>
                <w:sz w:val="24"/>
                <w:szCs w:val="24"/>
              </w:rPr>
              <w:t>SELEÇÃO</w:t>
            </w:r>
            <w:r>
              <w:rPr>
                <w:b/>
                <w:spacing w:val="-2"/>
                <w:sz w:val="24"/>
                <w:szCs w:val="24"/>
              </w:rPr>
              <w:t xml:space="preserve"> </w:t>
            </w:r>
            <w:r>
              <w:rPr>
                <w:b/>
                <w:sz w:val="24"/>
                <w:szCs w:val="24"/>
              </w:rPr>
              <w:t>DO</w:t>
            </w:r>
            <w:r>
              <w:rPr>
                <w:b/>
                <w:spacing w:val="-2"/>
                <w:sz w:val="24"/>
                <w:szCs w:val="24"/>
              </w:rPr>
              <w:t xml:space="preserve"> </w:t>
            </w:r>
            <w:r>
              <w:rPr>
                <w:b/>
                <w:sz w:val="24"/>
                <w:szCs w:val="24"/>
              </w:rPr>
              <w:t>FORNECEDOR:</w:t>
            </w:r>
          </w:p>
        </w:tc>
      </w:tr>
    </w:tbl>
    <w:p w14:paraId="7E2A062D">
      <w:pPr>
        <w:pStyle w:val="20"/>
        <w:numPr>
          <w:ilvl w:val="1"/>
          <w:numId w:val="3"/>
        </w:numPr>
        <w:tabs>
          <w:tab w:val="left" w:pos="415"/>
          <w:tab w:val="clear" w:pos="0"/>
        </w:tabs>
        <w:rPr>
          <w:rFonts w:eastAsia="Rawline-Medium"/>
          <w:sz w:val="24"/>
          <w:szCs w:val="24"/>
          <w:lang w:eastAsia="zh-CN" w:bidi="ar"/>
        </w:rPr>
      </w:pPr>
      <w:r>
        <w:rPr>
          <w:iCs/>
          <w:sz w:val="24"/>
          <w:szCs w:val="24"/>
        </w:rPr>
        <w:t>A presente licitação possui a natureza de obra de engenharia, tendo em vista a execução de construção civil complexa, enquadrando-se nos termos do art. 6º, inciso XII, da Lei Federal nº 14.133/2021.</w:t>
      </w:r>
    </w:p>
    <w:p w14:paraId="6FE5EF62">
      <w:pPr>
        <w:pStyle w:val="20"/>
        <w:tabs>
          <w:tab w:val="left" w:pos="415"/>
        </w:tabs>
        <w:ind w:left="0"/>
        <w:rPr>
          <w:rFonts w:eastAsia="Rawline-Medium"/>
          <w:b/>
          <w:bCs/>
          <w:sz w:val="24"/>
          <w:szCs w:val="24"/>
          <w:lang w:eastAsia="zh-CN" w:bidi="ar"/>
        </w:rPr>
      </w:pPr>
      <w:r>
        <w:rPr>
          <w:rFonts w:eastAsia="Rawline-Medium"/>
          <w:b/>
          <w:bCs/>
          <w:sz w:val="24"/>
          <w:szCs w:val="24"/>
          <w:lang w:eastAsia="zh-CN" w:bidi="ar"/>
        </w:rPr>
        <w:t>DA HABILITAÇÃO</w:t>
      </w:r>
    </w:p>
    <w:p w14:paraId="631D7F21">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 xml:space="preserve"> De acordo com o Art. 63, inciso II da Lei nº 14.133/2021, será exigida a apresentação dos documentos de habilitação apenas do licitante vencedor.</w:t>
      </w:r>
    </w:p>
    <w:p w14:paraId="7DA310FE">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 xml:space="preserve">Para a habilitação, a empresa vencedora deverá apresentar uma via os documentos abaixo discriminados, inseridos no sistema, quando convocada pelo Agente de Contratação, no campo adequado para tal, disponível no site </w:t>
      </w:r>
      <w:r>
        <w:fldChar w:fldCharType="begin"/>
      </w:r>
      <w:r>
        <w:instrText xml:space="preserve"> HYPERLINK "http://www.portaldecompraspublicas.com.br" </w:instrText>
      </w:r>
      <w:r>
        <w:fldChar w:fldCharType="separate"/>
      </w:r>
      <w:r>
        <w:rPr>
          <w:rFonts w:eastAsia="Rawline-Medium"/>
          <w:sz w:val="24"/>
          <w:szCs w:val="24"/>
          <w:lang w:eastAsia="zh-CN" w:bidi="ar"/>
        </w:rPr>
        <w:t>www.portaldecompraspublicas.com.br</w:t>
      </w:r>
      <w:r>
        <w:rPr>
          <w:rFonts w:eastAsia="Rawline-Medium"/>
          <w:sz w:val="24"/>
          <w:szCs w:val="24"/>
          <w:lang w:eastAsia="zh-CN" w:bidi="ar"/>
        </w:rPr>
        <w:fldChar w:fldCharType="end"/>
      </w:r>
      <w:r>
        <w:rPr>
          <w:rFonts w:eastAsia="Rawline-Medium"/>
          <w:sz w:val="24"/>
          <w:szCs w:val="24"/>
          <w:lang w:eastAsia="zh-CN" w:bidi="ar"/>
        </w:rPr>
        <w:t>.</w:t>
      </w:r>
    </w:p>
    <w:p w14:paraId="73CFD1B6">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As licitantes deverão apresentar documentação a fim de suprir as exigências impostas pelo Edital, observado em relação às empresas enquadradas como ME/EPP o disposto no art. 43, §1º, da Lei Complementar nº 123/2006.</w:t>
      </w:r>
    </w:p>
    <w:p w14:paraId="06AD339F">
      <w:pPr>
        <w:pStyle w:val="20"/>
        <w:tabs>
          <w:tab w:val="left" w:pos="415"/>
        </w:tabs>
        <w:ind w:left="0"/>
        <w:rPr>
          <w:rFonts w:eastAsia="Rawline-Medium"/>
          <w:b/>
          <w:bCs/>
          <w:sz w:val="24"/>
          <w:szCs w:val="24"/>
          <w:lang w:eastAsia="zh-CN" w:bidi="ar"/>
        </w:rPr>
      </w:pPr>
      <w:r>
        <w:rPr>
          <w:rFonts w:eastAsia="Rawline-Medium"/>
          <w:b/>
          <w:bCs/>
          <w:sz w:val="24"/>
          <w:szCs w:val="24"/>
          <w:lang w:eastAsia="zh-CN" w:bidi="ar"/>
        </w:rPr>
        <w:t>HABILITAÇÃO JURÍDICA:</w:t>
      </w:r>
    </w:p>
    <w:p w14:paraId="3DA22205">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Empresário individual: inscrição no Registro Público de Empresas Mercantis, a cargo da Junta Comercial da respectiva sede;</w:t>
      </w:r>
    </w:p>
    <w:p w14:paraId="0FFFE9B1">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Microempreendedor Individual - MEI: Certificado da Condição de Microempreendedor Individual - CCMEI, cuja aceitação ficará condicionada à verificação da autenticidade no sítio https://</w:t>
      </w:r>
      <w:r>
        <w:fldChar w:fldCharType="begin"/>
      </w:r>
      <w:r>
        <w:instrText xml:space="preserve"> HYPERLINK "http://www.gov.br/empresas-e-negocios/pt-" \h </w:instrText>
      </w:r>
      <w:r>
        <w:fldChar w:fldCharType="separate"/>
      </w:r>
      <w:r>
        <w:rPr>
          <w:rFonts w:eastAsia="Rawline-Medium"/>
          <w:sz w:val="24"/>
          <w:szCs w:val="24"/>
          <w:lang w:eastAsia="zh-CN" w:bidi="ar"/>
        </w:rPr>
        <w:t>www.gov.br/empresas-e-negocios/pt-</w:t>
      </w:r>
      <w:r>
        <w:rPr>
          <w:rFonts w:eastAsia="Rawline-Medium"/>
          <w:sz w:val="24"/>
          <w:szCs w:val="24"/>
          <w:lang w:eastAsia="zh-CN" w:bidi="ar"/>
        </w:rPr>
        <w:fldChar w:fldCharType="end"/>
      </w:r>
      <w:r>
        <w:rPr>
          <w:rFonts w:eastAsia="Rawline-Medium"/>
          <w:sz w:val="24"/>
          <w:szCs w:val="24"/>
          <w:lang w:eastAsia="zh-CN" w:bidi="ar"/>
        </w:rPr>
        <w:t xml:space="preserve"> br/empreendedor;</w:t>
      </w:r>
    </w:p>
    <w:p w14:paraId="67B4F6E7">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70E053">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95A92EB">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Sociedade simples: inscrição do ato constitutivo no Registro Civil de Pessoas Jurídicas do local de sua sede, acompanhada de documento comprobatório de seus administradores;</w:t>
      </w:r>
    </w:p>
    <w:p w14:paraId="42C2EEC7">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4F24FB">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64A7F1C">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No caso da alínea “a” acima,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2FB2B6A">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1CF30B9E">
      <w:pPr>
        <w:pStyle w:val="20"/>
        <w:numPr>
          <w:ilvl w:val="0"/>
          <w:numId w:val="0"/>
        </w:numPr>
        <w:tabs>
          <w:tab w:val="left" w:pos="415"/>
        </w:tabs>
        <w:ind w:leftChars="0"/>
        <w:rPr>
          <w:rFonts w:hint="default" w:eastAsia="Rawline-Medium"/>
          <w:b/>
          <w:bCs/>
          <w:sz w:val="24"/>
          <w:szCs w:val="24"/>
          <w:lang w:val="pt-PT" w:eastAsia="zh-CN" w:bidi="ar"/>
        </w:rPr>
      </w:pPr>
      <w:r>
        <w:rPr>
          <w:rFonts w:hint="default" w:eastAsia="Rawline-Medium"/>
          <w:b/>
          <w:bCs/>
          <w:sz w:val="24"/>
          <w:szCs w:val="24"/>
          <w:lang w:val="pt-PT" w:eastAsia="zh-CN" w:bidi="ar"/>
        </w:rPr>
        <w:t>HABILITAÇÃO FISCAL, SOCIAL E TRABALHISTA:</w:t>
      </w:r>
    </w:p>
    <w:p w14:paraId="62849716">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Inscrição no Cadastro Nacional de Pessoas Jurídicas (CNPJ);</w:t>
      </w:r>
    </w:p>
    <w:p w14:paraId="2BAE73F7">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Inscrição no cadastro de contribuintes estadual e/ou municipal, se houver, relativo ao domicílio ou sede do licitante, pertinente ao seu ramo de atividade e compatível com o objeto contratual;</w:t>
      </w:r>
    </w:p>
    <w:p w14:paraId="774796A7">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3BB793">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Regularidade junto à Fazenda Estadual, emitida pela Secretaria da Fazenda Estadual onde a empresa for sediada, ou outra equivalente, na forma da lei;</w:t>
      </w:r>
    </w:p>
    <w:p w14:paraId="7A071217">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Regularidade junto à Fazenda Municipal, emitida pela Secretaria da Fazenda Municipal onde a empresa for sediada, ou outra equivalente, na forma da lei;</w:t>
      </w:r>
    </w:p>
    <w:p w14:paraId="7B4C341D">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Regularidade relativa ao Fundo de Garantia por Tempo de Serviço (FGTS), que demonstre cumprimento dos encargos sociais instituídos por lei;</w:t>
      </w:r>
    </w:p>
    <w:p w14:paraId="2C4E36EA">
      <w:pPr>
        <w:pStyle w:val="20"/>
        <w:numPr>
          <w:ilvl w:val="1"/>
          <w:numId w:val="3"/>
        </w:numPr>
        <w:tabs>
          <w:tab w:val="left" w:pos="415"/>
          <w:tab w:val="clear" w:pos="0"/>
        </w:tabs>
        <w:rPr>
          <w:rFonts w:hint="default" w:eastAsia="Rawline-Medium"/>
          <w:sz w:val="24"/>
          <w:szCs w:val="24"/>
          <w:lang w:val="pt-PT" w:eastAsia="zh-CN" w:bidi="ar"/>
        </w:rPr>
      </w:pPr>
      <w:r>
        <w:rPr>
          <w:rFonts w:hint="default" w:eastAsia="Rawline-Medium"/>
          <w:sz w:val="24"/>
          <w:szCs w:val="24"/>
          <w:lang w:val="pt-PT" w:eastAsia="zh-CN" w:bidi="ar"/>
        </w:rPr>
        <w:t>Regularidade perante a Justiça do Trabalho, mediante a apresentação de certidão negativa ou positiva com efeito de negativa, nos termos do Título VII-A da Consolidação das Leis do Trabalho, aprovada pelo Decreto-Lei nº 5.452, de 1º de maio de 1943;</w:t>
      </w:r>
    </w:p>
    <w:p w14:paraId="28316170">
      <w:pPr>
        <w:pStyle w:val="20"/>
        <w:numPr>
          <w:ilvl w:val="1"/>
          <w:numId w:val="3"/>
        </w:numPr>
        <w:tabs>
          <w:tab w:val="left" w:pos="415"/>
          <w:tab w:val="clear" w:pos="0"/>
        </w:tabs>
        <w:rPr>
          <w:rFonts w:eastAsia="Rawline-Medium"/>
          <w:sz w:val="24"/>
          <w:szCs w:val="24"/>
          <w:lang w:eastAsia="zh-CN" w:bidi="ar"/>
        </w:rPr>
      </w:pPr>
      <w:r>
        <w:rPr>
          <w:rFonts w:hint="default" w:eastAsia="Rawline-Medium"/>
          <w:sz w:val="24"/>
          <w:szCs w:val="24"/>
          <w:lang w:val="pt-PT" w:eastAsia="zh-CN" w:bidi="ar"/>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 do Edital.</w:t>
      </w:r>
    </w:p>
    <w:p w14:paraId="58BD5DF8">
      <w:pPr>
        <w:pStyle w:val="20"/>
        <w:tabs>
          <w:tab w:val="left" w:pos="415"/>
        </w:tabs>
        <w:ind w:left="0"/>
        <w:rPr>
          <w:rFonts w:eastAsia="Rawline-Medium"/>
          <w:b/>
          <w:bCs/>
          <w:sz w:val="24"/>
          <w:szCs w:val="24"/>
          <w:lang w:eastAsia="zh-CN" w:bidi="ar"/>
        </w:rPr>
      </w:pPr>
      <w:r>
        <w:rPr>
          <w:rFonts w:eastAsia="Rawline-Medium"/>
          <w:b/>
          <w:bCs/>
          <w:sz w:val="24"/>
          <w:szCs w:val="24"/>
          <w:lang w:eastAsia="zh-CN" w:bidi="ar"/>
        </w:rPr>
        <w:t xml:space="preserve"> QUALIFICAÇÃO ECONÔMICO-FINANCEIRA:</w:t>
      </w:r>
    </w:p>
    <w:p w14:paraId="73CAD27A">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Balanço patrimonial, demonstração de resultado de exercício e demais demonstrações contábeis dos 2 (dois) últimos exercícios sociais, exigidos na forma da lei;</w:t>
      </w:r>
    </w:p>
    <w:p w14:paraId="46F974ED">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B07836F">
      <w:pPr>
        <w:spacing w:before="120" w:beforeLines="50" w:after="120" w:afterLines="50" w:line="360" w:lineRule="auto"/>
        <w:ind w:right="220" w:rightChars="100"/>
        <w:rPr>
          <w:rFonts w:ascii="Arial" w:hAnsi="Arial" w:eastAsia="Cambria Math" w:cs="Arial"/>
          <w:sz w:val="17"/>
        </w:rPr>
      </w:pPr>
      <w:r>
        <mc:AlternateContent>
          <mc:Choice Requires="wps">
            <w:drawing>
              <wp:anchor distT="0" distB="0" distL="114300" distR="114300" simplePos="0" relativeHeight="251662336" behindDoc="1" locked="0" layoutInCell="1" allowOverlap="1">
                <wp:simplePos x="0" y="0"/>
                <wp:positionH relativeFrom="page">
                  <wp:posOffset>2585085</wp:posOffset>
                </wp:positionH>
                <wp:positionV relativeFrom="paragraph">
                  <wp:posOffset>198755</wp:posOffset>
                </wp:positionV>
                <wp:extent cx="2348230" cy="10160"/>
                <wp:effectExtent l="0" t="0" r="0" b="0"/>
                <wp:wrapNone/>
                <wp:docPr id="11" name="Retângulo 1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459A7FC"/>
                        </w:txbxContent>
                      </wps:txbx>
                      <wps:bodyPr upright="1"/>
                    </wps:wsp>
                  </a:graphicData>
                </a:graphic>
              </wp:anchor>
            </w:drawing>
          </mc:Choice>
          <mc:Fallback>
            <w:pict>
              <v:rect id="_x0000_s1026" o:spid="_x0000_s1026" o:spt="1" style="position:absolute;left:0pt;margin-left:203.55pt;margin-top:15.65pt;height:0.8pt;width:184.9pt;mso-position-horizontal-relative:page;z-index:-251654144;mso-width-relative:page;mso-height-relative:page;" fillcolor="#000000" filled="t" stroked="f" coordsize="21600,21600" o:gfxdata="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4TNDpdkAAAAJAQAADwAAAAAAAAABACAAAAAiAAAAZHJzL2Rvd25yZXYueG1sUEsBAhQAFAAAAAgA&#10;h07iQAJVrGSyAQAAbwMAAA4AAAAAAAAAAQAgAAAAKAEAAGRycy9lMm9Eb2MueG1sUEsFBgAAAAAG&#10;AAYAWQEAAEwFAAAAAA==&#10;">
                <v:fill on="t" focussize="0,0"/>
                <v:stroke on="f"/>
                <v:imagedata o:title=""/>
                <o:lock v:ext="edit" aspectratio="f"/>
                <v:textbox>
                  <w:txbxContent>
                    <w:p w14:paraId="1459A7FC"/>
                  </w:txbxContent>
                </v:textbox>
              </v:rect>
            </w:pict>
          </mc:Fallback>
        </mc:AlternateContent>
      </w:r>
      <w:r>
        <w:rPr>
          <w:rFonts w:ascii="Arial" w:cs="Arial"/>
          <w:w w:val="105"/>
          <w:position w:val="-13"/>
        </w:rPr>
        <w:t>Liquidez</w:t>
      </w:r>
      <w:r>
        <w:rPr>
          <w:rFonts w:ascii="Arial" w:cs="Arial"/>
          <w:spacing w:val="-8"/>
          <w:w w:val="105"/>
          <w:position w:val="-13"/>
        </w:rPr>
        <w:t xml:space="preserve"> </w:t>
      </w:r>
      <w:r>
        <w:rPr>
          <w:rFonts w:ascii="Arial" w:cs="Arial"/>
          <w:w w:val="105"/>
          <w:position w:val="-13"/>
        </w:rPr>
        <w:t>Geral</w:t>
      </w:r>
      <w:r>
        <w:rPr>
          <w:rFonts w:ascii="Arial" w:cs="Arial"/>
          <w:spacing w:val="-5"/>
          <w:w w:val="105"/>
          <w:position w:val="-13"/>
        </w:rPr>
        <w:t xml:space="preserve"> </w:t>
      </w:r>
      <w:r>
        <w:rPr>
          <w:rFonts w:ascii="Arial" w:cs="Arial"/>
          <w:w w:val="105"/>
          <w:position w:val="-13"/>
        </w:rPr>
        <w:t>(LG)</w:t>
      </w:r>
      <w:r>
        <w:rPr>
          <w:rFonts w:ascii="Arial" w:cs="Arial"/>
          <w:spacing w:val="-5"/>
          <w:w w:val="105"/>
          <w:position w:val="-13"/>
        </w:rPr>
        <w:t xml:space="preserve"> </w:t>
      </w:r>
      <w:r>
        <w:rPr>
          <w:rFonts w:ascii="Arial" w:cs="Arial"/>
          <w:w w:val="105"/>
          <w:position w:val="-13"/>
        </w:rPr>
        <w:t>=</w:t>
      </w:r>
      <w:r>
        <w:rPr>
          <w:rFonts w:ascii="Arial" w:cs="Arial"/>
          <w:spacing w:val="6"/>
          <w:w w:val="105"/>
          <w:position w:val="-13"/>
          <w:sz w:val="24"/>
        </w:rPr>
        <w:t xml:space="preserve">       </w:t>
      </w:r>
      <w:r>
        <w:rPr>
          <w:rFonts w:ascii="Cambria Math" w:hAnsi="Cambria Math" w:eastAsia="Cambria Math" w:cs="Cambria Math"/>
          <w:w w:val="105"/>
          <w:sz w:val="17"/>
        </w:rPr>
        <w:t>𝐴𝑡𝑖𝑣𝑜</w:t>
      </w:r>
      <w:r>
        <w:rPr>
          <w:rFonts w:ascii="Arial" w:hAnsi="Arial" w:eastAsia="Cambria Math" w:cs="Arial"/>
          <w:w w:val="105"/>
          <w:sz w:val="17"/>
        </w:rPr>
        <w:t xml:space="preserve"> </w:t>
      </w:r>
      <w:r>
        <w:rPr>
          <w:rFonts w:ascii="Cambria Math" w:hAnsi="Cambria Math" w:eastAsia="Cambria Math" w:cs="Cambria Math"/>
          <w:w w:val="105"/>
          <w:sz w:val="17"/>
        </w:rPr>
        <w:t>𝐶𝑖𝑟𝑐𝑢𝑙𝑎𝑛𝑡𝑒</w:t>
      </w:r>
      <w:r>
        <w:rPr>
          <w:rFonts w:ascii="Arial" w:hAnsi="Arial" w:eastAsia="Cambria Math" w:cs="Arial"/>
          <w:spacing w:val="2"/>
          <w:w w:val="105"/>
          <w:sz w:val="17"/>
        </w:rPr>
        <w:t xml:space="preserve"> </w:t>
      </w:r>
      <w:r>
        <w:rPr>
          <w:rFonts w:ascii="Arial" w:hAnsi="Arial" w:eastAsia="Cambria Math" w:cs="Arial"/>
          <w:w w:val="105"/>
          <w:sz w:val="17"/>
        </w:rPr>
        <w:t>+</w:t>
      </w:r>
      <w:r>
        <w:rPr>
          <w:rFonts w:ascii="Arial" w:hAnsi="Arial" w:eastAsia="Cambria Math" w:cs="Arial"/>
          <w:spacing w:val="-1"/>
          <w:w w:val="105"/>
          <w:sz w:val="17"/>
        </w:rPr>
        <w:t xml:space="preserve"> </w:t>
      </w:r>
      <w:r>
        <w:rPr>
          <w:rFonts w:ascii="Cambria Math" w:hAnsi="Cambria Math" w:eastAsia="Cambria Math" w:cs="Cambria Math"/>
          <w:w w:val="105"/>
          <w:sz w:val="17"/>
        </w:rPr>
        <w:t>𝑅𝑒𝑎𝑙𝑖𝑧</w:t>
      </w:r>
      <w:r>
        <w:rPr>
          <w:rFonts w:ascii="Arial" w:hAnsi="Arial" w:eastAsia="Cambria Math" w:cs="Arial"/>
          <w:w w:val="105"/>
          <w:sz w:val="17"/>
        </w:rPr>
        <w:t>á</w:t>
      </w:r>
      <w:r>
        <w:rPr>
          <w:rFonts w:ascii="Cambria Math" w:hAnsi="Cambria Math" w:eastAsia="Cambria Math" w:cs="Cambria Math"/>
          <w:w w:val="105"/>
          <w:sz w:val="17"/>
        </w:rPr>
        <w:t>𝑣𝑒𝑙</w:t>
      </w:r>
      <w:r>
        <w:rPr>
          <w:rFonts w:ascii="Arial" w:hAnsi="Arial" w:eastAsia="Cambria Math" w:cs="Arial"/>
          <w:w w:val="105"/>
          <w:sz w:val="17"/>
        </w:rPr>
        <w:t xml:space="preserve"> </w:t>
      </w:r>
      <w:r>
        <w:rPr>
          <w:rFonts w:ascii="Cambria Math" w:hAnsi="Cambria Math" w:eastAsia="Cambria Math" w:cs="Cambria Math"/>
          <w:w w:val="105"/>
          <w:sz w:val="17"/>
        </w:rPr>
        <w:t>𝑎</w:t>
      </w:r>
      <w:r>
        <w:rPr>
          <w:rFonts w:ascii="Arial" w:hAnsi="Arial" w:eastAsia="Cambria Math" w:cs="Arial"/>
          <w:spacing w:val="1"/>
          <w:w w:val="105"/>
          <w:sz w:val="17"/>
        </w:rPr>
        <w:t xml:space="preserve"> </w:t>
      </w:r>
      <w:r>
        <w:rPr>
          <w:rFonts w:ascii="Cambria Math" w:hAnsi="Cambria Math" w:eastAsia="Cambria Math" w:cs="Cambria Math"/>
          <w:w w:val="105"/>
          <w:sz w:val="17"/>
        </w:rPr>
        <w:t>𝐿𝑜𝑛𝑔𝑜</w:t>
      </w:r>
      <w:r>
        <w:rPr>
          <w:rFonts w:ascii="Arial" w:hAnsi="Arial" w:eastAsia="Cambria Math" w:cs="Arial"/>
          <w:w w:val="105"/>
          <w:sz w:val="17"/>
        </w:rPr>
        <w:t xml:space="preserve"> </w:t>
      </w:r>
      <w:r>
        <w:rPr>
          <w:rFonts w:ascii="Cambria Math" w:hAnsi="Cambria Math" w:eastAsia="Cambria Math" w:cs="Cambria Math"/>
          <w:w w:val="105"/>
          <w:sz w:val="17"/>
        </w:rPr>
        <w:t>𝑃𝑟𝑎𝑧𝑜</w:t>
      </w:r>
    </w:p>
    <w:p w14:paraId="1A4A2347">
      <w:pPr>
        <w:spacing w:before="120" w:beforeLines="50" w:after="120" w:afterLines="50" w:line="360" w:lineRule="auto"/>
        <w:ind w:right="220" w:rightChars="100" w:firstLine="2867" w:firstLineChars="1550"/>
        <w:rPr>
          <w:rFonts w:ascii="Arial" w:hAnsi="Arial" w:eastAsia="Cambria Math" w:cs="Arial"/>
          <w:sz w:val="17"/>
        </w:rPr>
      </w:pPr>
      <w:r>
        <w:rPr>
          <w:rFonts w:ascii="Cambria Math" w:hAnsi="Cambria Math" w:eastAsia="Cambria Math" w:cs="Cambria Math"/>
          <w:spacing w:val="-1"/>
          <w:w w:val="110"/>
          <w:sz w:val="17"/>
        </w:rPr>
        <w:t>𝑃𝑎𝑠𝑠𝑖𝑣𝑜</w:t>
      </w:r>
      <w:r>
        <w:rPr>
          <w:rFonts w:ascii="Arial" w:hAnsi="Arial" w:eastAsia="Cambria Math" w:cs="Arial"/>
          <w:spacing w:val="-8"/>
          <w:w w:val="110"/>
          <w:sz w:val="17"/>
        </w:rPr>
        <w:t xml:space="preserve"> </w:t>
      </w:r>
      <w:r>
        <w:rPr>
          <w:rFonts w:ascii="Cambria Math" w:hAnsi="Cambria Math" w:eastAsia="Cambria Math" w:cs="Cambria Math"/>
          <w:spacing w:val="-1"/>
          <w:w w:val="110"/>
          <w:sz w:val="17"/>
        </w:rPr>
        <w:t>𝐶𝑖𝑟𝑐𝑢𝑙𝑎𝑛𝑡𝑒</w:t>
      </w:r>
      <w:r>
        <w:rPr>
          <w:rFonts w:ascii="Arial" w:hAnsi="Arial" w:eastAsia="Cambria Math" w:cs="Arial"/>
          <w:spacing w:val="-7"/>
          <w:w w:val="110"/>
          <w:sz w:val="17"/>
        </w:rPr>
        <w:t xml:space="preserve"> </w:t>
      </w:r>
      <w:r>
        <w:rPr>
          <w:rFonts w:ascii="Arial" w:hAnsi="Arial" w:eastAsia="Cambria Math" w:cs="Arial"/>
          <w:spacing w:val="-1"/>
          <w:w w:val="110"/>
          <w:sz w:val="17"/>
        </w:rPr>
        <w:t>+</w:t>
      </w:r>
      <w:r>
        <w:rPr>
          <w:rFonts w:ascii="Arial" w:hAnsi="Arial" w:eastAsia="Cambria Math" w:cs="Arial"/>
          <w:spacing w:val="-9"/>
          <w:w w:val="110"/>
          <w:sz w:val="17"/>
        </w:rPr>
        <w:t xml:space="preserve"> </w:t>
      </w:r>
      <w:r>
        <w:rPr>
          <w:rFonts w:ascii="Cambria Math" w:hAnsi="Cambria Math" w:eastAsia="Cambria Math" w:cs="Cambria Math"/>
          <w:spacing w:val="-1"/>
          <w:w w:val="110"/>
          <w:sz w:val="17"/>
        </w:rPr>
        <w:t>𝐸𝑥𝑖𝑔</w:t>
      </w:r>
      <w:r>
        <w:rPr>
          <w:rFonts w:ascii="Arial" w:hAnsi="Arial" w:eastAsia="Cambria Math" w:cs="Arial"/>
          <w:spacing w:val="-1"/>
          <w:w w:val="110"/>
          <w:sz w:val="17"/>
        </w:rPr>
        <w:t>í</w:t>
      </w:r>
      <w:r>
        <w:rPr>
          <w:rFonts w:ascii="Cambria Math" w:hAnsi="Cambria Math" w:eastAsia="Cambria Math" w:cs="Cambria Math"/>
          <w:spacing w:val="-1"/>
          <w:w w:val="110"/>
          <w:sz w:val="17"/>
        </w:rPr>
        <w:t>𝑣𝑒𝑙</w:t>
      </w:r>
      <w:r>
        <w:rPr>
          <w:rFonts w:ascii="Arial" w:hAnsi="Arial" w:eastAsia="Cambria Math" w:cs="Arial"/>
          <w:spacing w:val="-7"/>
          <w:w w:val="110"/>
          <w:sz w:val="17"/>
        </w:rPr>
        <w:t xml:space="preserve"> </w:t>
      </w:r>
      <w:r>
        <w:rPr>
          <w:rFonts w:ascii="Cambria Math" w:hAnsi="Cambria Math" w:eastAsia="Cambria Math" w:cs="Cambria Math"/>
          <w:w w:val="110"/>
          <w:sz w:val="17"/>
        </w:rPr>
        <w:t>𝑎</w:t>
      </w:r>
      <w:r>
        <w:rPr>
          <w:rFonts w:ascii="Arial" w:hAnsi="Arial" w:eastAsia="Cambria Math" w:cs="Arial"/>
          <w:spacing w:val="-9"/>
          <w:w w:val="110"/>
          <w:sz w:val="17"/>
        </w:rPr>
        <w:t xml:space="preserve"> </w:t>
      </w:r>
      <w:r>
        <w:rPr>
          <w:rFonts w:ascii="Cambria Math" w:hAnsi="Cambria Math" w:eastAsia="Cambria Math" w:cs="Cambria Math"/>
          <w:w w:val="110"/>
          <w:sz w:val="17"/>
        </w:rPr>
        <w:t>𝐿𝑜𝑛𝑔𝑜</w:t>
      </w:r>
      <w:r>
        <w:rPr>
          <w:rFonts w:ascii="Arial" w:hAnsi="Arial" w:eastAsia="Cambria Math" w:cs="Arial"/>
          <w:spacing w:val="-6"/>
          <w:w w:val="110"/>
          <w:sz w:val="17"/>
        </w:rPr>
        <w:t xml:space="preserve"> </w:t>
      </w:r>
      <w:r>
        <w:rPr>
          <w:rFonts w:ascii="Cambria Math" w:hAnsi="Cambria Math" w:eastAsia="Cambria Math" w:cs="Cambria Math"/>
          <w:w w:val="110"/>
          <w:sz w:val="17"/>
        </w:rPr>
        <w:t>𝑃𝑟𝑎𝑧𝑜</w:t>
      </w:r>
    </w:p>
    <w:p w14:paraId="29380847">
      <w:pPr>
        <w:pStyle w:val="10"/>
        <w:tabs>
          <w:tab w:val="left" w:pos="4024"/>
        </w:tabs>
        <w:spacing w:before="120" w:beforeLines="50" w:after="120" w:afterLines="50" w:line="360" w:lineRule="auto"/>
        <w:ind w:right="220" w:rightChars="100"/>
        <w:rPr>
          <w:rFonts w:ascii="Arial" w:cs="Arial"/>
        </w:rPr>
      </w:pPr>
    </w:p>
    <w:p w14:paraId="65A24915">
      <w:pPr>
        <w:pStyle w:val="10"/>
        <w:tabs>
          <w:tab w:val="left" w:pos="4024"/>
        </w:tabs>
        <w:spacing w:before="120" w:beforeLines="50" w:after="120" w:afterLines="50" w:line="360" w:lineRule="auto"/>
        <w:ind w:right="220" w:rightChars="100"/>
        <w:rPr>
          <w:rFonts w:ascii="Arial" w:hAnsi="Arial" w:eastAsia="Cambria Math" w:cs="Arial"/>
        </w:rPr>
      </w:pPr>
      <w:r>
        <mc:AlternateContent>
          <mc:Choice Requires="wps">
            <w:drawing>
              <wp:anchor distT="0" distB="0" distL="114300" distR="114300" simplePos="0" relativeHeight="251661312" behindDoc="1" locked="0" layoutInCell="1" allowOverlap="1">
                <wp:simplePos x="0" y="0"/>
                <wp:positionH relativeFrom="page">
                  <wp:posOffset>2694940</wp:posOffset>
                </wp:positionH>
                <wp:positionV relativeFrom="paragraph">
                  <wp:posOffset>147955</wp:posOffset>
                </wp:positionV>
                <wp:extent cx="2348230" cy="10160"/>
                <wp:effectExtent l="0" t="0" r="0" b="0"/>
                <wp:wrapNone/>
                <wp:docPr id="12" name="Retângulo 12"/>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1202ACC"/>
                        </w:txbxContent>
                      </wps:txbx>
                      <wps:bodyPr upright="1"/>
                    </wps:wsp>
                  </a:graphicData>
                </a:graphic>
              </wp:anchor>
            </w:drawing>
          </mc:Choice>
          <mc:Fallback>
            <w:pict>
              <v:rect id="_x0000_s1026" o:spid="_x0000_s1026" o:spt="1" style="position:absolute;left:0pt;margin-left:212.2pt;margin-top:11.65pt;height:0.8pt;width:184.9pt;mso-position-horizontal-relative:page;z-index:-251655168;mso-width-relative:page;mso-height-relative:page;" fillcolor="#000000" filled="t" stroked="f" coordsize="21600,21600" o:gfxdata="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m&#10;fLPm2AAAAAkBAAAPAAAAAAAAAAEAIAAAACIAAABkcnMvZG93bnJldi54bWxQSwECFAAUAAAACACH&#10;TuJA9l+/lLIBAABvAwAADgAAAAAAAAABACAAAAAnAQAAZHJzL2Uyb0RvYy54bWxQSwUGAAAAAAYA&#10;BgBZAQAASwUAAAAA&#10;">
                <v:fill on="t" focussize="0,0"/>
                <v:stroke on="f"/>
                <v:imagedata o:title=""/>
                <o:lock v:ext="edit" aspectratio="f"/>
                <v:textbox>
                  <w:txbxContent>
                    <w:p w14:paraId="41202ACC"/>
                  </w:txbxContent>
                </v:textbox>
              </v:rect>
            </w:pict>
          </mc:Fallback>
        </mc:AlternateContent>
      </w:r>
      <w:r>
        <w:rPr>
          <w:rFonts w:ascii="Arial" w:cs="Arial"/>
          <w:sz w:val="22"/>
          <w:szCs w:val="22"/>
        </w:rPr>
        <w:t>Solvência</w:t>
      </w:r>
      <w:r>
        <w:rPr>
          <w:rFonts w:ascii="Arial" w:cs="Arial"/>
          <w:spacing w:val="-2"/>
          <w:sz w:val="22"/>
          <w:szCs w:val="22"/>
        </w:rPr>
        <w:t xml:space="preserve"> </w:t>
      </w:r>
      <w:r>
        <w:rPr>
          <w:rFonts w:ascii="Arial" w:cs="Arial"/>
          <w:sz w:val="22"/>
          <w:szCs w:val="22"/>
        </w:rPr>
        <w:t>Geral (SG)</w:t>
      </w:r>
      <w:r>
        <w:rPr>
          <w:rFonts w:ascii="Arial" w:cs="Arial"/>
          <w:spacing w:val="-2"/>
          <w:sz w:val="22"/>
          <w:szCs w:val="22"/>
        </w:rPr>
        <w:t xml:space="preserve"> </w:t>
      </w:r>
      <w:r>
        <w:rPr>
          <w:rFonts w:ascii="Arial" w:cs="Arial"/>
          <w:sz w:val="22"/>
          <w:szCs w:val="22"/>
        </w:rPr>
        <w:t>=</w:t>
      </w:r>
      <w:r>
        <w:rPr>
          <w:rFonts w:ascii="Arial" w:cs="Arial"/>
        </w:rPr>
        <w:tab/>
      </w:r>
      <w:r>
        <w:rPr>
          <w:rFonts w:ascii="Cambria Math" w:hAnsi="Cambria Math" w:eastAsia="Cambria Math" w:cs="Cambria Math"/>
          <w:w w:val="105"/>
          <w:vertAlign w:val="superscript"/>
        </w:rPr>
        <w:t>𝐴𝑡𝑖𝑣𝑜</w:t>
      </w:r>
      <w:r>
        <w:rPr>
          <w:rFonts w:ascii="Arial" w:hAnsi="Arial" w:eastAsia="Cambria Math" w:cs="Arial"/>
          <w:spacing w:val="13"/>
          <w:w w:val="105"/>
        </w:rPr>
        <w:t xml:space="preserve"> </w:t>
      </w:r>
      <w:r>
        <w:rPr>
          <w:rFonts w:ascii="Cambria Math" w:hAnsi="Cambria Math" w:eastAsia="Cambria Math" w:cs="Cambria Math"/>
          <w:w w:val="105"/>
          <w:vertAlign w:val="superscript"/>
        </w:rPr>
        <w:t>𝑇𝑜𝑡𝑎𝑙</w:t>
      </w:r>
    </w:p>
    <w:p w14:paraId="1DDA9ACD">
      <w:pPr>
        <w:spacing w:before="120" w:beforeLines="50" w:after="120" w:afterLines="50" w:line="360" w:lineRule="auto"/>
        <w:ind w:left="2282" w:right="220" w:rightChars="100" w:firstLine="740" w:firstLineChars="400"/>
        <w:jc w:val="both"/>
        <w:rPr>
          <w:rFonts w:ascii="Cambria Math" w:hAnsi="Cambria Math" w:eastAsia="Cambria Math" w:cs="Cambria Math"/>
          <w:w w:val="110"/>
          <w:sz w:val="17"/>
        </w:rPr>
      </w:pPr>
      <w:r>
        <w:rPr>
          <w:rFonts w:ascii="Cambria Math" w:hAnsi="Cambria Math" w:eastAsia="Cambria Math" w:cs="Cambria Math"/>
          <w:spacing w:val="-1"/>
          <w:w w:val="110"/>
          <w:sz w:val="17"/>
        </w:rPr>
        <w:t>𝑃𝑎𝑠𝑠𝑖𝑣𝑜</w:t>
      </w:r>
      <w:r>
        <w:rPr>
          <w:rFonts w:ascii="Arial" w:hAnsi="Arial" w:eastAsia="Cambria Math" w:cs="Arial"/>
          <w:spacing w:val="-8"/>
          <w:w w:val="110"/>
          <w:sz w:val="17"/>
        </w:rPr>
        <w:t xml:space="preserve"> </w:t>
      </w:r>
      <w:r>
        <w:rPr>
          <w:rFonts w:ascii="Cambria Math" w:hAnsi="Cambria Math" w:eastAsia="Cambria Math" w:cs="Cambria Math"/>
          <w:spacing w:val="-1"/>
          <w:w w:val="110"/>
          <w:sz w:val="17"/>
        </w:rPr>
        <w:t>𝐶𝑖𝑟𝑐𝑢𝑙𝑎𝑛𝑡𝑒</w:t>
      </w:r>
      <w:r>
        <w:rPr>
          <w:rFonts w:ascii="Arial" w:hAnsi="Arial" w:eastAsia="Cambria Math" w:cs="Arial"/>
          <w:spacing w:val="-6"/>
          <w:w w:val="110"/>
          <w:sz w:val="17"/>
        </w:rPr>
        <w:t xml:space="preserve"> </w:t>
      </w:r>
      <w:r>
        <w:rPr>
          <w:rFonts w:ascii="Arial" w:hAnsi="Arial" w:eastAsia="Cambria Math" w:cs="Arial"/>
          <w:w w:val="110"/>
          <w:sz w:val="17"/>
        </w:rPr>
        <w:t>+</w:t>
      </w:r>
      <w:r>
        <w:rPr>
          <w:rFonts w:ascii="Arial" w:hAnsi="Arial" w:eastAsia="Cambria Math" w:cs="Arial"/>
          <w:spacing w:val="-10"/>
          <w:w w:val="110"/>
          <w:sz w:val="17"/>
        </w:rPr>
        <w:t xml:space="preserve"> </w:t>
      </w:r>
      <w:r>
        <w:rPr>
          <w:rFonts w:ascii="Cambria Math" w:hAnsi="Cambria Math" w:eastAsia="Cambria Math" w:cs="Cambria Math"/>
          <w:w w:val="110"/>
          <w:sz w:val="17"/>
        </w:rPr>
        <w:t>𝐸𝑥𝑖𝑔</w:t>
      </w:r>
      <w:r>
        <w:rPr>
          <w:rFonts w:ascii="Arial" w:hAnsi="Arial" w:eastAsia="Cambria Math" w:cs="Arial"/>
          <w:w w:val="110"/>
          <w:sz w:val="17"/>
        </w:rPr>
        <w:t>í</w:t>
      </w:r>
      <w:r>
        <w:rPr>
          <w:rFonts w:ascii="Cambria Math" w:hAnsi="Cambria Math" w:eastAsia="Cambria Math" w:cs="Cambria Math"/>
          <w:w w:val="110"/>
          <w:sz w:val="17"/>
        </w:rPr>
        <w:t>𝑣𝑒𝑙</w:t>
      </w:r>
      <w:r>
        <w:rPr>
          <w:rFonts w:ascii="Arial" w:hAnsi="Arial" w:eastAsia="Cambria Math" w:cs="Arial"/>
          <w:spacing w:val="-7"/>
          <w:w w:val="110"/>
          <w:sz w:val="17"/>
        </w:rPr>
        <w:t xml:space="preserve"> </w:t>
      </w:r>
      <w:r>
        <w:rPr>
          <w:rFonts w:ascii="Cambria Math" w:hAnsi="Cambria Math" w:eastAsia="Cambria Math" w:cs="Cambria Math"/>
          <w:w w:val="110"/>
          <w:sz w:val="17"/>
        </w:rPr>
        <w:t>𝑎</w:t>
      </w:r>
      <w:r>
        <w:rPr>
          <w:rFonts w:ascii="Arial" w:hAnsi="Arial" w:eastAsia="Cambria Math" w:cs="Arial"/>
          <w:spacing w:val="-6"/>
          <w:w w:val="110"/>
          <w:sz w:val="17"/>
        </w:rPr>
        <w:t xml:space="preserve"> </w:t>
      </w:r>
      <w:r>
        <w:rPr>
          <w:rFonts w:ascii="Cambria Math" w:hAnsi="Cambria Math" w:eastAsia="Cambria Math" w:cs="Cambria Math"/>
          <w:w w:val="110"/>
          <w:sz w:val="17"/>
        </w:rPr>
        <w:t>𝐿𝑜𝑛𝑔𝑜</w:t>
      </w:r>
      <w:r>
        <w:rPr>
          <w:rFonts w:ascii="Arial" w:hAnsi="Arial" w:eastAsia="Cambria Math" w:cs="Arial"/>
          <w:spacing w:val="-8"/>
          <w:w w:val="110"/>
          <w:sz w:val="17"/>
        </w:rPr>
        <w:t xml:space="preserve"> </w:t>
      </w:r>
      <w:r>
        <w:rPr>
          <w:rFonts w:ascii="Cambria Math" w:hAnsi="Cambria Math" w:eastAsia="Cambria Math" w:cs="Cambria Math"/>
          <w:w w:val="110"/>
          <w:sz w:val="17"/>
        </w:rPr>
        <w:t>𝑃𝑟𝑎𝑧𝑜</w:t>
      </w:r>
    </w:p>
    <w:p w14:paraId="66715AB9">
      <w:pPr>
        <w:spacing w:before="120" w:beforeLines="50" w:after="120" w:afterLines="50" w:line="360" w:lineRule="auto"/>
        <w:ind w:left="2282" w:right="220" w:rightChars="100" w:firstLine="748" w:firstLineChars="400"/>
        <w:jc w:val="both"/>
        <w:rPr>
          <w:rFonts w:ascii="Cambria Math" w:hAnsi="Cambria Math" w:eastAsia="Cambria Math" w:cs="Cambria Math"/>
          <w:w w:val="110"/>
          <w:sz w:val="17"/>
        </w:rPr>
      </w:pPr>
    </w:p>
    <w:p w14:paraId="25B26A83">
      <w:pPr>
        <w:pStyle w:val="10"/>
        <w:tabs>
          <w:tab w:val="left" w:pos="4024"/>
        </w:tabs>
        <w:spacing w:before="120" w:beforeLines="50" w:after="120" w:afterLines="50" w:line="360" w:lineRule="auto"/>
        <w:ind w:right="220" w:rightChars="100"/>
        <w:rPr>
          <w:rFonts w:ascii="Arial" w:hAnsi="Arial" w:eastAsia="Cambria Math" w:cs="Arial"/>
        </w:rPr>
      </w:pPr>
      <w:r>
        <mc:AlternateContent>
          <mc:Choice Requires="wps">
            <w:drawing>
              <wp:anchor distT="0" distB="0" distL="114300" distR="114300" simplePos="0" relativeHeight="251663360" behindDoc="1" locked="0" layoutInCell="1" allowOverlap="1">
                <wp:simplePos x="0" y="0"/>
                <wp:positionH relativeFrom="page">
                  <wp:posOffset>2703830</wp:posOffset>
                </wp:positionH>
                <wp:positionV relativeFrom="paragraph">
                  <wp:posOffset>147955</wp:posOffset>
                </wp:positionV>
                <wp:extent cx="2348230" cy="10160"/>
                <wp:effectExtent l="0" t="0" r="0" b="0"/>
                <wp:wrapNone/>
                <wp:docPr id="13" name="Retângulo 1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08132F4"/>
                        </w:txbxContent>
                      </wps:txbx>
                      <wps:bodyPr upright="1"/>
                    </wps:wsp>
                  </a:graphicData>
                </a:graphic>
              </wp:anchor>
            </w:drawing>
          </mc:Choice>
          <mc:Fallback>
            <w:pict>
              <v:rect id="_x0000_s1026" o:spid="_x0000_s1026" o:spt="1" style="position:absolute;left:0pt;margin-left:212.9pt;margin-top:11.65pt;height:0.8pt;width:184.9pt;mso-position-horizontal-relative:page;z-index:-251653120;mso-width-relative:page;mso-height-relative:page;" fillcolor="#000000" filled="t" stroked="f" coordsize="21600,21600" o:gfxdata="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vmQQfZAAAACQEAAA8AAAAAAAAAAQAgAAAAIgAAAGRycy9kb3ducmV2LnhtbFBLAQIUABQAAAAI&#10;AIdO4kBaprHEswEAAG8DAAAOAAAAAAAAAAEAIAAAACgBAABkcnMvZTJvRG9jLnhtbFBLBQYAAAAA&#10;BgAGAFkBAABNBQAAAAA=&#10;">
                <v:fill on="t" focussize="0,0"/>
                <v:stroke on="f"/>
                <v:imagedata o:title=""/>
                <o:lock v:ext="edit" aspectratio="f"/>
                <v:textbox>
                  <w:txbxContent>
                    <w:p w14:paraId="208132F4"/>
                  </w:txbxContent>
                </v:textbox>
              </v:rect>
            </w:pict>
          </mc:Fallback>
        </mc:AlternateContent>
      </w:r>
      <w:r>
        <w:rPr>
          <w:rFonts w:ascii="Arial" w:cs="Arial"/>
          <w:sz w:val="22"/>
          <w:szCs w:val="22"/>
        </w:rPr>
        <w:t>Solvência</w:t>
      </w:r>
      <w:r>
        <w:rPr>
          <w:rFonts w:ascii="Arial" w:cs="Arial"/>
          <w:spacing w:val="-2"/>
          <w:sz w:val="22"/>
          <w:szCs w:val="22"/>
        </w:rPr>
        <w:t xml:space="preserve"> </w:t>
      </w:r>
      <w:r>
        <w:rPr>
          <w:rFonts w:ascii="Arial" w:cs="Arial"/>
          <w:sz w:val="22"/>
          <w:szCs w:val="22"/>
        </w:rPr>
        <w:t>Geral (SG)</w:t>
      </w:r>
      <w:r>
        <w:rPr>
          <w:rFonts w:ascii="Arial" w:cs="Arial"/>
          <w:spacing w:val="-2"/>
          <w:sz w:val="22"/>
          <w:szCs w:val="22"/>
        </w:rPr>
        <w:t xml:space="preserve"> </w:t>
      </w:r>
      <w:r>
        <w:rPr>
          <w:rFonts w:ascii="Arial" w:cs="Arial"/>
          <w:sz w:val="22"/>
          <w:szCs w:val="22"/>
        </w:rPr>
        <w:t>=</w:t>
      </w:r>
      <w:r>
        <w:rPr>
          <w:rFonts w:ascii="Arial" w:cs="Arial"/>
        </w:rPr>
        <w:tab/>
      </w:r>
      <w:r>
        <w:rPr>
          <w:rFonts w:ascii="Cambria Math" w:hAnsi="Cambria Math" w:eastAsia="Cambria Math" w:cs="Cambria Math"/>
          <w:w w:val="105"/>
          <w:vertAlign w:val="superscript"/>
        </w:rPr>
        <w:t>𝐴𝑡𝑖𝑣𝑜</w:t>
      </w:r>
      <w:r>
        <w:rPr>
          <w:rFonts w:ascii="Arial" w:hAnsi="Arial" w:eastAsia="Cambria Math" w:cs="Arial"/>
          <w:spacing w:val="13"/>
          <w:w w:val="105"/>
        </w:rPr>
        <w:t xml:space="preserve"> </w:t>
      </w:r>
      <w:r>
        <w:rPr>
          <w:rFonts w:ascii="Arial" w:hAnsi="Arial" w:eastAsia="Cambria Math" w:cs="Arial"/>
          <w:i/>
          <w:w w:val="105"/>
          <w:vertAlign w:val="superscript"/>
        </w:rPr>
        <w:t>Circulante</w:t>
      </w:r>
    </w:p>
    <w:p w14:paraId="48ACEE5E">
      <w:pPr>
        <w:spacing w:before="120" w:beforeLines="50" w:after="120" w:afterLines="50" w:line="360" w:lineRule="auto"/>
        <w:ind w:left="2282" w:right="220" w:rightChars="100" w:firstLine="1572" w:firstLineChars="850"/>
        <w:jc w:val="both"/>
        <w:rPr>
          <w:rFonts w:ascii="Cambria Math" w:hAnsi="Cambria Math" w:eastAsia="Cambria Math" w:cs="Cambria Math"/>
          <w:spacing w:val="-1"/>
          <w:w w:val="110"/>
          <w:sz w:val="17"/>
        </w:rPr>
      </w:pPr>
      <w:r>
        <w:rPr>
          <w:rFonts w:ascii="Cambria Math" w:hAnsi="Cambria Math" w:eastAsia="Cambria Math" w:cs="Cambria Math"/>
          <w:spacing w:val="-1"/>
          <w:w w:val="110"/>
          <w:sz w:val="17"/>
        </w:rPr>
        <w:t>𝑃𝑎𝑠𝑠𝑖𝑣𝑜</w:t>
      </w:r>
      <w:r>
        <w:rPr>
          <w:rFonts w:ascii="Arial" w:hAnsi="Arial" w:eastAsia="Cambria Math" w:cs="Arial"/>
          <w:spacing w:val="-8"/>
          <w:w w:val="110"/>
          <w:sz w:val="17"/>
        </w:rPr>
        <w:t xml:space="preserve"> </w:t>
      </w:r>
      <w:r>
        <w:rPr>
          <w:rFonts w:ascii="Cambria Math" w:hAnsi="Cambria Math" w:eastAsia="Cambria Math" w:cs="Cambria Math"/>
          <w:spacing w:val="-1"/>
          <w:w w:val="110"/>
          <w:sz w:val="17"/>
        </w:rPr>
        <w:t>𝐶𝑖𝑟𝑐𝑢𝑙𝑎𝑛𝑡𝑒</w:t>
      </w:r>
    </w:p>
    <w:p w14:paraId="2D4170A1">
      <w:pPr>
        <w:spacing w:before="120" w:beforeLines="50" w:after="120" w:afterLines="50" w:line="360" w:lineRule="auto"/>
        <w:ind w:left="2282" w:right="220" w:rightChars="100" w:firstLine="1572" w:firstLineChars="850"/>
        <w:jc w:val="both"/>
        <w:rPr>
          <w:rFonts w:ascii="Cambria Math" w:hAnsi="Cambria Math" w:eastAsia="Cambria Math" w:cs="Cambria Math"/>
          <w:spacing w:val="-1"/>
          <w:w w:val="110"/>
          <w:sz w:val="17"/>
          <w:lang w:eastAsia="zh-CN"/>
        </w:rPr>
      </w:pPr>
    </w:p>
    <w:p w14:paraId="428A9A38">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Comprovação de capital mínimo ou de patrimônio líquido mínimo equivalente a 10% (dez por cento) do valor estimado da contratação. (Lei nº 14.133, de 2021, art. 69, §4º).</w:t>
      </w:r>
    </w:p>
    <w:p w14:paraId="5A4B25FE">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As empresas criadas no exercício financeiro da licitação deverão atender a todas as exigências da habilitação e poderão substituir os demonstrativos contábeis pelo balanço de abertura. (Lei nº 14.133, de 2021, art. 69, §1º).</w:t>
      </w:r>
    </w:p>
    <w:p w14:paraId="0FFD5E56">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Os documentos referidos acima limitar-se-ão ao último exercício no caso de a pessoa jurídica ter sido constituída há menos de 2 (dois) anos.</w:t>
      </w:r>
    </w:p>
    <w:p w14:paraId="0618D3A6">
      <w:pPr>
        <w:pStyle w:val="20"/>
        <w:numPr>
          <w:ilvl w:val="1"/>
          <w:numId w:val="3"/>
        </w:numPr>
        <w:tabs>
          <w:tab w:val="left" w:pos="415"/>
          <w:tab w:val="clear" w:pos="0"/>
        </w:tabs>
        <w:rPr>
          <w:rFonts w:eastAsia="Rawline-Medium"/>
          <w:sz w:val="24"/>
          <w:szCs w:val="24"/>
          <w:lang w:eastAsia="zh-CN" w:bidi="ar"/>
        </w:rPr>
      </w:pPr>
      <w:r>
        <w:rPr>
          <w:rFonts w:eastAsia="Rawline-Medium"/>
          <w:sz w:val="24"/>
          <w:szCs w:val="24"/>
          <w:lang w:eastAsia="zh-CN" w:bidi="ar"/>
        </w:rPr>
        <w:t>Os documentos referidos acima deverão ser exigidos com base no limite definido pela Receita Federal do Brasil para transmissão da Escrituração Contábil Digital - ECD ao Sped.</w:t>
      </w:r>
    </w:p>
    <w:p w14:paraId="017C48F2">
      <w:pPr>
        <w:pStyle w:val="20"/>
        <w:numPr>
          <w:ilvl w:val="1"/>
          <w:numId w:val="3"/>
        </w:numPr>
        <w:tabs>
          <w:tab w:val="left" w:pos="415"/>
          <w:tab w:val="clear" w:pos="0"/>
        </w:tabs>
        <w:rPr>
          <w:sz w:val="24"/>
          <w:szCs w:val="24"/>
        </w:rPr>
      </w:pPr>
      <w:r>
        <w:rPr>
          <w:rFonts w:eastAsia="Rawline-Medium"/>
          <w:sz w:val="24"/>
          <w:szCs w:val="24"/>
          <w:lang w:eastAsia="zh-CN" w:bidi="ar"/>
        </w:rPr>
        <w:t>Certidão negativa de feitos sobre falência expedida pelo distribuidor da sede do licitante (Lei nº 14.133, de 2021, art. 69, inciso II).</w:t>
      </w:r>
    </w:p>
    <w:p w14:paraId="64F8893D">
      <w:pPr>
        <w:pStyle w:val="20"/>
        <w:numPr>
          <w:ilvl w:val="1"/>
          <w:numId w:val="3"/>
        </w:numPr>
        <w:tabs>
          <w:tab w:val="left" w:pos="415"/>
          <w:tab w:val="clear" w:pos="0"/>
        </w:tabs>
        <w:rPr>
          <w:sz w:val="24"/>
          <w:szCs w:val="24"/>
        </w:rPr>
      </w:pPr>
      <w:r>
        <w:rPr>
          <w:sz w:val="24"/>
          <w:szCs w:val="24"/>
        </w:rPr>
        <w:t>D</w:t>
      </w:r>
      <w:r>
        <w:rPr>
          <w:sz w:val="24"/>
          <w:szCs w:val="24"/>
          <w:lang w:eastAsia="zh-CN"/>
        </w:rPr>
        <w:t xml:space="preserve">e acordo com o Art. 63, inciso II da Lei nº 14.133/2021, será exigida a apresentação dos documentos de habilitação apenas do licitante vencedor, </w:t>
      </w:r>
      <w:r>
        <w:rPr>
          <w:sz w:val="24"/>
          <w:szCs w:val="24"/>
        </w:rPr>
        <w:t>conforme documentos listados nos item 6 “Requisitos da contratação” itens:</w:t>
      </w:r>
      <w:r>
        <w:rPr>
          <w:color w:val="0000FF"/>
          <w:sz w:val="24"/>
          <w:szCs w:val="24"/>
        </w:rPr>
        <w:t xml:space="preserve"> 6.1 </w:t>
      </w:r>
      <w:r>
        <w:rPr>
          <w:sz w:val="24"/>
          <w:szCs w:val="24"/>
        </w:rPr>
        <w:t>a</w:t>
      </w:r>
      <w:r>
        <w:rPr>
          <w:color w:val="0000FF"/>
          <w:sz w:val="24"/>
          <w:szCs w:val="24"/>
        </w:rPr>
        <w:t xml:space="preserve"> 6.30.17</w:t>
      </w:r>
      <w:r>
        <w:rPr>
          <w:sz w:val="24"/>
          <w:szCs w:val="24"/>
        </w:rPr>
        <w:t>,</w:t>
      </w:r>
      <w:r>
        <w:rPr>
          <w:sz w:val="24"/>
          <w:szCs w:val="24"/>
          <w:lang w:eastAsia="zh-CN"/>
        </w:rPr>
        <w:t xml:space="preserve"> neste Termo de Referência.</w:t>
      </w:r>
    </w:p>
    <w:p w14:paraId="3C013219">
      <w:pPr>
        <w:pStyle w:val="20"/>
        <w:numPr>
          <w:ilvl w:val="0"/>
          <w:numId w:val="0"/>
        </w:numPr>
        <w:tabs>
          <w:tab w:val="left" w:pos="415"/>
        </w:tabs>
        <w:ind w:leftChars="0"/>
        <w:rPr>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6"/>
      </w:tblGrid>
      <w:tr w14:paraId="35DF0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2DB5E355">
            <w:pPr>
              <w:numPr>
                <w:ilvl w:val="0"/>
                <w:numId w:val="3"/>
              </w:numPr>
              <w:spacing w:line="360" w:lineRule="auto"/>
              <w:jc w:val="both"/>
              <w:rPr>
                <w:sz w:val="24"/>
                <w:szCs w:val="24"/>
              </w:rPr>
            </w:pPr>
            <w:r>
              <w:rPr>
                <w:b/>
                <w:sz w:val="24"/>
                <w:szCs w:val="24"/>
              </w:rPr>
              <w:t>CUSTO</w:t>
            </w:r>
            <w:r>
              <w:rPr>
                <w:b/>
                <w:spacing w:val="-4"/>
                <w:sz w:val="24"/>
                <w:szCs w:val="24"/>
              </w:rPr>
              <w:t xml:space="preserve"> </w:t>
            </w:r>
            <w:r>
              <w:rPr>
                <w:b/>
                <w:sz w:val="24"/>
                <w:szCs w:val="24"/>
              </w:rPr>
              <w:t>ESTIMADO</w:t>
            </w:r>
            <w:r>
              <w:rPr>
                <w:b/>
                <w:spacing w:val="-3"/>
                <w:sz w:val="24"/>
                <w:szCs w:val="24"/>
              </w:rPr>
              <w:t xml:space="preserve"> </w:t>
            </w:r>
            <w:r>
              <w:rPr>
                <w:b/>
                <w:sz w:val="24"/>
                <w:szCs w:val="24"/>
              </w:rPr>
              <w:t>DA</w:t>
            </w:r>
            <w:r>
              <w:rPr>
                <w:b/>
                <w:spacing w:val="-2"/>
                <w:sz w:val="24"/>
                <w:szCs w:val="24"/>
              </w:rPr>
              <w:t xml:space="preserve"> </w:t>
            </w:r>
            <w:r>
              <w:rPr>
                <w:b/>
                <w:sz w:val="24"/>
                <w:szCs w:val="24"/>
              </w:rPr>
              <w:t>CONTRATAÇÃO/PREÇO</w:t>
            </w:r>
            <w:r>
              <w:rPr>
                <w:b/>
                <w:spacing w:val="-4"/>
                <w:sz w:val="24"/>
                <w:szCs w:val="24"/>
              </w:rPr>
              <w:t xml:space="preserve"> </w:t>
            </w:r>
            <w:r>
              <w:rPr>
                <w:b/>
                <w:sz w:val="24"/>
                <w:szCs w:val="24"/>
              </w:rPr>
              <w:t>DE</w:t>
            </w:r>
            <w:r>
              <w:rPr>
                <w:b/>
                <w:spacing w:val="-3"/>
                <w:sz w:val="24"/>
                <w:szCs w:val="24"/>
              </w:rPr>
              <w:t xml:space="preserve"> </w:t>
            </w:r>
            <w:r>
              <w:rPr>
                <w:b/>
                <w:sz w:val="24"/>
                <w:szCs w:val="24"/>
              </w:rPr>
              <w:t>REFERÊNCIA:</w:t>
            </w:r>
          </w:p>
        </w:tc>
      </w:tr>
    </w:tbl>
    <w:p w14:paraId="473293A1">
      <w:pPr>
        <w:pStyle w:val="20"/>
        <w:numPr>
          <w:ilvl w:val="1"/>
          <w:numId w:val="3"/>
        </w:numPr>
        <w:tabs>
          <w:tab w:val="clear" w:pos="0"/>
        </w:tabs>
        <w:rPr>
          <w:rFonts w:eastAsia="Helvetica"/>
          <w:color w:val="000000"/>
          <w:sz w:val="24"/>
          <w:szCs w:val="24"/>
          <w:highlight w:val="yellow"/>
          <w:lang w:eastAsia="zh-CN" w:bidi="ar"/>
        </w:rPr>
      </w:pPr>
      <w:r>
        <w:rPr>
          <w:sz w:val="24"/>
          <w:szCs w:val="24"/>
        </w:rPr>
        <w:t>Valor estimado da contratação conforme cronograma físico financeiro da obra R$ 4.157.059,85 (quatro milhões cento e cinquenta e sete mil, cinquenta e nove reais e oitenta e cinco centavos) conforme anteprojeto e pesquisas de engenharia.</w:t>
      </w:r>
    </w:p>
    <w:p w14:paraId="7A566F09">
      <w:pPr>
        <w:pStyle w:val="20"/>
        <w:ind w:left="0"/>
        <w:rPr>
          <w:rFonts w:eastAsia="Helvetica"/>
          <w:color w:val="000000"/>
          <w:sz w:val="24"/>
          <w:szCs w:val="24"/>
          <w:highlight w:val="yellow"/>
          <w:lang w:eastAsia="zh-CN" w:bidi="ar"/>
        </w:rPr>
      </w:pPr>
    </w:p>
    <w:tbl>
      <w:tblPr>
        <w:tblStyle w:val="17"/>
        <w:tblW w:w="9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2"/>
        <w:gridCol w:w="4418"/>
      </w:tblGrid>
      <w:tr w14:paraId="3F83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2"/>
            <w:shd w:val="clear" w:color="auto" w:fill="D8D8D8" w:themeFill="background1" w:themeFillShade="D9"/>
          </w:tcPr>
          <w:p w14:paraId="60EEAD85">
            <w:pPr>
              <w:numPr>
                <w:ilvl w:val="0"/>
                <w:numId w:val="3"/>
              </w:numPr>
              <w:spacing w:line="360" w:lineRule="auto"/>
              <w:jc w:val="both"/>
              <w:rPr>
                <w:sz w:val="24"/>
                <w:szCs w:val="24"/>
                <w:highlight w:val="yellow"/>
              </w:rPr>
            </w:pPr>
            <w:r>
              <w:rPr>
                <w:b/>
                <w:sz w:val="24"/>
                <w:szCs w:val="24"/>
              </w:rPr>
              <w:t>CUSTO</w:t>
            </w:r>
            <w:r>
              <w:rPr>
                <w:b/>
                <w:spacing w:val="-4"/>
                <w:sz w:val="24"/>
                <w:szCs w:val="24"/>
              </w:rPr>
              <w:t xml:space="preserve"> </w:t>
            </w:r>
            <w:r>
              <w:rPr>
                <w:b/>
                <w:sz w:val="24"/>
                <w:szCs w:val="24"/>
              </w:rPr>
              <w:t>ESTIMADO</w:t>
            </w:r>
            <w:r>
              <w:rPr>
                <w:b/>
                <w:spacing w:val="-3"/>
                <w:sz w:val="24"/>
                <w:szCs w:val="24"/>
              </w:rPr>
              <w:t xml:space="preserve"> </w:t>
            </w:r>
            <w:r>
              <w:rPr>
                <w:b/>
                <w:sz w:val="24"/>
                <w:szCs w:val="24"/>
              </w:rPr>
              <w:t>DA</w:t>
            </w:r>
            <w:r>
              <w:rPr>
                <w:b/>
                <w:spacing w:val="-2"/>
                <w:sz w:val="24"/>
                <w:szCs w:val="24"/>
              </w:rPr>
              <w:t xml:space="preserve"> </w:t>
            </w:r>
            <w:r>
              <w:rPr>
                <w:b/>
                <w:sz w:val="24"/>
                <w:szCs w:val="24"/>
              </w:rPr>
              <w:t>CONTRATAÇÃO/PREÇO</w:t>
            </w:r>
            <w:r>
              <w:rPr>
                <w:b/>
                <w:spacing w:val="-4"/>
                <w:sz w:val="24"/>
                <w:szCs w:val="24"/>
              </w:rPr>
              <w:t xml:space="preserve"> </w:t>
            </w:r>
            <w:r>
              <w:rPr>
                <w:b/>
                <w:sz w:val="24"/>
                <w:szCs w:val="24"/>
              </w:rPr>
              <w:t>DE</w:t>
            </w:r>
            <w:r>
              <w:rPr>
                <w:b/>
                <w:spacing w:val="-3"/>
                <w:sz w:val="24"/>
                <w:szCs w:val="24"/>
              </w:rPr>
              <w:t xml:space="preserve"> </w:t>
            </w:r>
            <w:r>
              <w:rPr>
                <w:b/>
                <w:sz w:val="24"/>
                <w:szCs w:val="24"/>
              </w:rPr>
              <w:t>REFERÊNCIA:</w:t>
            </w:r>
          </w:p>
        </w:tc>
      </w:tr>
      <w:tr w14:paraId="4E4B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032" w:type="dxa"/>
          </w:tcPr>
          <w:p w14:paraId="39B2F738">
            <w:pPr>
              <w:pStyle w:val="10"/>
              <w:spacing w:before="120" w:beforeLines="50" w:after="120" w:afterLines="50"/>
              <w:jc w:val="both"/>
              <w:rPr>
                <w:bCs/>
              </w:rPr>
            </w:pPr>
            <w:r>
              <w:t>2037</w:t>
            </w:r>
            <w:r>
              <w:rPr>
                <w:color w:val="000000" w:themeColor="text1"/>
                <w14:textFill>
                  <w14:solidFill>
                    <w14:schemeClr w14:val="tx1"/>
                  </w14:solidFill>
                </w14:textFill>
              </w:rPr>
              <w:t>.4.4.90.51.00.00.15000000000 ano de 2026</w:t>
            </w:r>
          </w:p>
        </w:tc>
        <w:tc>
          <w:tcPr>
            <w:tcW w:w="4418" w:type="dxa"/>
          </w:tcPr>
          <w:p w14:paraId="21C2EEB2">
            <w:pPr>
              <w:pStyle w:val="10"/>
              <w:spacing w:before="120" w:beforeLines="50" w:after="120" w:afterLines="50"/>
              <w:jc w:val="both"/>
              <w:rPr>
                <w:bCs/>
              </w:rPr>
            </w:pPr>
            <w:r>
              <w:rPr>
                <w:color w:val="000000" w:themeColor="text1"/>
                <w14:textFill>
                  <w14:solidFill>
                    <w14:schemeClr w14:val="tx1"/>
                  </w14:solidFill>
                </w14:textFill>
              </w:rPr>
              <w:t>OBRAS E INSTALAÇÕES</w:t>
            </w:r>
            <w:r>
              <w:rPr>
                <w:bCs/>
              </w:rPr>
              <w:t xml:space="preserve"> - RECURSO PRÓPRIO</w:t>
            </w:r>
          </w:p>
        </w:tc>
      </w:tr>
    </w:tbl>
    <w:p w14:paraId="5070FD15">
      <w:pPr>
        <w:pStyle w:val="10"/>
        <w:spacing w:before="120" w:line="360" w:lineRule="auto"/>
        <w:jc w:val="right"/>
      </w:pPr>
      <w:r>
        <w:t>Sinop/MT,</w:t>
      </w:r>
      <w:r>
        <w:rPr>
          <w:spacing w:val="-1"/>
        </w:rPr>
        <w:t xml:space="preserve"> </w:t>
      </w:r>
      <w:r>
        <w:t>24 de abril de 2026</w:t>
      </w:r>
    </w:p>
    <w:tbl>
      <w:tblPr>
        <w:tblStyle w:val="17"/>
        <w:tblW w:w="9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8"/>
        <w:gridCol w:w="4612"/>
      </w:tblGrid>
      <w:tr w14:paraId="0068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trPr>
        <w:tc>
          <w:tcPr>
            <w:tcW w:w="4838" w:type="dxa"/>
          </w:tcPr>
          <w:p w14:paraId="19A9F522">
            <w:pPr>
              <w:pStyle w:val="10"/>
              <w:spacing w:before="120"/>
              <w:jc w:val="center"/>
              <w:rPr>
                <w:i/>
                <w:iCs/>
                <w:color w:val="000000"/>
              </w:rPr>
            </w:pPr>
          </w:p>
          <w:p w14:paraId="282DDF69">
            <w:pPr>
              <w:pStyle w:val="10"/>
              <w:spacing w:before="120"/>
              <w:jc w:val="center"/>
              <w:rPr>
                <w:i/>
                <w:iCs/>
                <w:color w:val="000000"/>
              </w:rPr>
            </w:pPr>
          </w:p>
          <w:p w14:paraId="02E0929E">
            <w:pPr>
              <w:pStyle w:val="10"/>
              <w:jc w:val="center"/>
              <w:rPr>
                <w:i/>
                <w:iCs/>
                <w:color w:val="000000"/>
                <w:lang w:val="en-US"/>
              </w:rPr>
            </w:pPr>
            <w:r>
              <w:rPr>
                <w:i/>
                <w:iCs/>
                <w:color w:val="000000"/>
                <w:lang w:val="en-US"/>
              </w:rPr>
              <w:t>Jaison Andrey Segat</w:t>
            </w:r>
          </w:p>
          <w:p w14:paraId="7C657835">
            <w:pPr>
              <w:pStyle w:val="10"/>
              <w:jc w:val="center"/>
              <w:rPr>
                <w:b/>
                <w:bCs/>
                <w:i/>
                <w:iCs/>
                <w:spacing w:val="-2"/>
                <w:lang w:val="en-US"/>
              </w:rPr>
            </w:pPr>
            <w:r>
              <w:rPr>
                <w:b/>
                <w:bCs/>
                <w:i/>
                <w:iCs/>
                <w:spacing w:val="-2"/>
                <w:lang w:val="en-US"/>
              </w:rPr>
              <w:t>Engenheiro Civil/CREA-MT 50609</w:t>
            </w:r>
          </w:p>
          <w:p w14:paraId="5BC18E07">
            <w:pPr>
              <w:pStyle w:val="10"/>
              <w:jc w:val="center"/>
              <w:rPr>
                <w:b/>
                <w:bCs/>
                <w:i/>
                <w:iCs/>
              </w:rPr>
            </w:pPr>
            <w:r>
              <w:rPr>
                <w:b/>
                <w:bCs/>
                <w:i/>
                <w:iCs/>
              </w:rPr>
              <w:t>Equipe De Planejamento de Contratação</w:t>
            </w:r>
          </w:p>
          <w:p w14:paraId="2B728E5E">
            <w:pPr>
              <w:pStyle w:val="10"/>
              <w:jc w:val="center"/>
              <w:rPr>
                <w:i/>
                <w:iCs/>
              </w:rPr>
            </w:pPr>
            <w:r>
              <w:rPr>
                <w:b/>
                <w:bCs/>
                <w:i/>
                <w:iCs/>
              </w:rPr>
              <w:t>Portaria nº 1578/2025</w:t>
            </w:r>
          </w:p>
        </w:tc>
        <w:tc>
          <w:tcPr>
            <w:tcW w:w="4612" w:type="dxa"/>
          </w:tcPr>
          <w:p w14:paraId="64CC6E3C">
            <w:pPr>
              <w:pStyle w:val="10"/>
              <w:spacing w:before="120"/>
              <w:jc w:val="center"/>
              <w:rPr>
                <w:bCs/>
              </w:rPr>
            </w:pPr>
          </w:p>
          <w:p w14:paraId="11ADD595">
            <w:pPr>
              <w:pStyle w:val="10"/>
              <w:spacing w:before="120"/>
              <w:jc w:val="center"/>
              <w:rPr>
                <w:bCs/>
              </w:rPr>
            </w:pPr>
          </w:p>
          <w:p w14:paraId="54E76A2D">
            <w:pPr>
              <w:pStyle w:val="10"/>
              <w:jc w:val="center"/>
              <w:rPr>
                <w:bCs/>
                <w:i/>
                <w:iCs/>
              </w:rPr>
            </w:pPr>
            <w:r>
              <w:rPr>
                <w:bCs/>
                <w:i/>
                <w:iCs/>
              </w:rPr>
              <w:t>Debora Regina de Oliveira Strack</w:t>
            </w:r>
          </w:p>
          <w:p w14:paraId="4CE13144">
            <w:pPr>
              <w:pStyle w:val="10"/>
              <w:jc w:val="center"/>
              <w:rPr>
                <w:b/>
                <w:i/>
                <w:iCs/>
              </w:rPr>
            </w:pPr>
            <w:r>
              <w:rPr>
                <w:b/>
                <w:i/>
                <w:iCs/>
              </w:rPr>
              <w:t>Técnico Administrativo</w:t>
            </w:r>
          </w:p>
          <w:p w14:paraId="762BCD46">
            <w:pPr>
              <w:pStyle w:val="10"/>
              <w:jc w:val="center"/>
              <w:rPr>
                <w:b/>
                <w:i/>
                <w:iCs/>
              </w:rPr>
            </w:pPr>
            <w:r>
              <w:rPr>
                <w:b/>
                <w:i/>
                <w:iCs/>
              </w:rPr>
              <w:t>Equipe de Planejamento de Contratação</w:t>
            </w:r>
          </w:p>
          <w:p w14:paraId="096EF2E4">
            <w:pPr>
              <w:pStyle w:val="10"/>
              <w:jc w:val="center"/>
              <w:rPr>
                <w:b/>
                <w:i/>
                <w:iCs/>
              </w:rPr>
            </w:pPr>
            <w:r>
              <w:rPr>
                <w:b/>
                <w:i/>
                <w:iCs/>
              </w:rPr>
              <w:t>Portaria nº 1578/2025</w:t>
            </w:r>
          </w:p>
        </w:tc>
      </w:tr>
    </w:tbl>
    <w:p w14:paraId="4D29FD68">
      <w:pPr>
        <w:pStyle w:val="10"/>
        <w:tabs>
          <w:tab w:val="left" w:pos="7528"/>
        </w:tabs>
        <w:spacing w:line="360" w:lineRule="auto"/>
        <w:jc w:val="both"/>
        <w:rPr>
          <w:highlight w:val="yellow"/>
        </w:rPr>
      </w:pPr>
    </w:p>
    <w:tbl>
      <w:tblPr>
        <w:tblStyle w:val="17"/>
        <w:tblW w:w="9436"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6"/>
      </w:tblGrid>
      <w:tr w14:paraId="0649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6" w:type="dxa"/>
            <w:shd w:val="clear" w:color="auto" w:fill="D7D7D7" w:themeFill="background1" w:themeFillShade="D8"/>
          </w:tcPr>
          <w:p w14:paraId="5EEB5C84">
            <w:pPr>
              <w:spacing w:line="360" w:lineRule="auto"/>
              <w:ind w:left="103"/>
              <w:jc w:val="both"/>
              <w:rPr>
                <w:b/>
                <w:sz w:val="24"/>
                <w:szCs w:val="24"/>
              </w:rPr>
            </w:pPr>
            <w:r>
              <w:rPr>
                <w:b/>
                <w:spacing w:val="-2"/>
                <w:sz w:val="24"/>
                <w:szCs w:val="24"/>
              </w:rPr>
              <w:t xml:space="preserve">13 </w:t>
            </w:r>
            <w:r>
              <w:rPr>
                <w:b/>
                <w:sz w:val="24"/>
                <w:szCs w:val="24"/>
              </w:rPr>
              <w:t>–</w:t>
            </w:r>
            <w:r>
              <w:rPr>
                <w:b/>
                <w:spacing w:val="-2"/>
                <w:sz w:val="24"/>
                <w:szCs w:val="24"/>
              </w:rPr>
              <w:t xml:space="preserve"> </w:t>
            </w:r>
            <w:r>
              <w:rPr>
                <w:b/>
                <w:sz w:val="24"/>
                <w:szCs w:val="24"/>
              </w:rPr>
              <w:t>CIÊNCIA</w:t>
            </w:r>
            <w:r>
              <w:rPr>
                <w:b/>
                <w:spacing w:val="-1"/>
                <w:sz w:val="24"/>
                <w:szCs w:val="24"/>
              </w:rPr>
              <w:t xml:space="preserve"> </w:t>
            </w:r>
            <w:r>
              <w:rPr>
                <w:b/>
                <w:sz w:val="24"/>
                <w:szCs w:val="24"/>
              </w:rPr>
              <w:t>DA</w:t>
            </w:r>
            <w:r>
              <w:rPr>
                <w:b/>
                <w:spacing w:val="-4"/>
                <w:sz w:val="24"/>
                <w:szCs w:val="24"/>
              </w:rPr>
              <w:t xml:space="preserve"> </w:t>
            </w:r>
            <w:r>
              <w:rPr>
                <w:b/>
                <w:sz w:val="24"/>
                <w:szCs w:val="24"/>
              </w:rPr>
              <w:t>AUTORIDADE</w:t>
            </w:r>
            <w:r>
              <w:rPr>
                <w:b/>
                <w:spacing w:val="1"/>
                <w:sz w:val="24"/>
                <w:szCs w:val="24"/>
              </w:rPr>
              <w:t xml:space="preserve"> </w:t>
            </w:r>
            <w:r>
              <w:rPr>
                <w:b/>
                <w:sz w:val="24"/>
                <w:szCs w:val="24"/>
              </w:rPr>
              <w:t>COMPETENTE</w:t>
            </w:r>
          </w:p>
        </w:tc>
      </w:tr>
      <w:tr w14:paraId="08FB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9436" w:type="dxa"/>
          </w:tcPr>
          <w:p w14:paraId="3F20EE33">
            <w:pPr>
              <w:spacing w:line="360" w:lineRule="auto"/>
              <w:jc w:val="both"/>
              <w:rPr>
                <w:sz w:val="24"/>
                <w:szCs w:val="24"/>
              </w:rPr>
            </w:pPr>
            <w:r>
              <w:rPr>
                <w:b/>
                <w:sz w:val="24"/>
                <w:szCs w:val="24"/>
              </w:rPr>
              <w:t xml:space="preserve">(X) </w:t>
            </w:r>
            <w:r>
              <w:rPr>
                <w:sz w:val="24"/>
                <w:szCs w:val="24"/>
              </w:rPr>
              <w:t>Concordo</w:t>
            </w:r>
            <w:r>
              <w:rPr>
                <w:spacing w:val="70"/>
                <w:sz w:val="24"/>
                <w:szCs w:val="24"/>
              </w:rPr>
              <w:t xml:space="preserve"> </w:t>
            </w:r>
            <w:r>
              <w:rPr>
                <w:sz w:val="24"/>
                <w:szCs w:val="24"/>
              </w:rPr>
              <w:t>com</w:t>
            </w:r>
            <w:r>
              <w:rPr>
                <w:spacing w:val="73"/>
                <w:sz w:val="24"/>
                <w:szCs w:val="24"/>
              </w:rPr>
              <w:t xml:space="preserve"> </w:t>
            </w:r>
            <w:r>
              <w:rPr>
                <w:sz w:val="24"/>
                <w:szCs w:val="24"/>
              </w:rPr>
              <w:t>o</w:t>
            </w:r>
            <w:r>
              <w:rPr>
                <w:spacing w:val="70"/>
                <w:sz w:val="24"/>
                <w:szCs w:val="24"/>
              </w:rPr>
              <w:t xml:space="preserve"> </w:t>
            </w:r>
            <w:r>
              <w:rPr>
                <w:sz w:val="24"/>
                <w:szCs w:val="24"/>
              </w:rPr>
              <w:t>Projeto</w:t>
            </w:r>
            <w:r>
              <w:rPr>
                <w:spacing w:val="71"/>
                <w:sz w:val="24"/>
                <w:szCs w:val="24"/>
              </w:rPr>
              <w:t xml:space="preserve"> </w:t>
            </w:r>
            <w:r>
              <w:rPr>
                <w:sz w:val="24"/>
                <w:szCs w:val="24"/>
              </w:rPr>
              <w:t>Básico</w:t>
            </w:r>
            <w:r>
              <w:rPr>
                <w:spacing w:val="72"/>
                <w:sz w:val="24"/>
                <w:szCs w:val="24"/>
              </w:rPr>
              <w:t xml:space="preserve"> </w:t>
            </w:r>
            <w:r>
              <w:rPr>
                <w:sz w:val="24"/>
                <w:szCs w:val="24"/>
              </w:rPr>
              <w:t>realizado</w:t>
            </w:r>
            <w:r>
              <w:rPr>
                <w:spacing w:val="71"/>
                <w:sz w:val="24"/>
                <w:szCs w:val="24"/>
              </w:rPr>
              <w:t xml:space="preserve"> </w:t>
            </w:r>
            <w:r>
              <w:rPr>
                <w:sz w:val="24"/>
                <w:szCs w:val="24"/>
              </w:rPr>
              <w:t>e</w:t>
            </w:r>
            <w:r>
              <w:rPr>
                <w:spacing w:val="69"/>
                <w:sz w:val="24"/>
                <w:szCs w:val="24"/>
              </w:rPr>
              <w:t xml:space="preserve"> </w:t>
            </w:r>
            <w:r>
              <w:rPr>
                <w:sz w:val="24"/>
                <w:szCs w:val="24"/>
              </w:rPr>
              <w:t>autorizo</w:t>
            </w:r>
            <w:r>
              <w:rPr>
                <w:spacing w:val="71"/>
                <w:sz w:val="24"/>
                <w:szCs w:val="24"/>
              </w:rPr>
              <w:t xml:space="preserve"> a</w:t>
            </w:r>
            <w:r>
              <w:rPr>
                <w:sz w:val="24"/>
                <w:szCs w:val="24"/>
              </w:rPr>
              <w:t xml:space="preserve"> contratação</w:t>
            </w:r>
            <w:r>
              <w:rPr>
                <w:spacing w:val="-4"/>
                <w:sz w:val="24"/>
                <w:szCs w:val="24"/>
              </w:rPr>
              <w:t xml:space="preserve"> </w:t>
            </w:r>
            <w:r>
              <w:rPr>
                <w:sz w:val="24"/>
                <w:szCs w:val="24"/>
              </w:rPr>
              <w:t>nos</w:t>
            </w:r>
            <w:r>
              <w:rPr>
                <w:spacing w:val="-4"/>
                <w:sz w:val="24"/>
                <w:szCs w:val="24"/>
              </w:rPr>
              <w:t xml:space="preserve"> </w:t>
            </w:r>
            <w:r>
              <w:rPr>
                <w:sz w:val="24"/>
                <w:szCs w:val="24"/>
              </w:rPr>
              <w:t>termos</w:t>
            </w:r>
            <w:r>
              <w:rPr>
                <w:spacing w:val="-4"/>
                <w:sz w:val="24"/>
                <w:szCs w:val="24"/>
              </w:rPr>
              <w:t xml:space="preserve"> </w:t>
            </w:r>
            <w:r>
              <w:rPr>
                <w:sz w:val="24"/>
                <w:szCs w:val="24"/>
              </w:rPr>
              <w:t>da</w:t>
            </w:r>
            <w:r>
              <w:rPr>
                <w:spacing w:val="-2"/>
                <w:sz w:val="24"/>
                <w:szCs w:val="24"/>
              </w:rPr>
              <w:t xml:space="preserve"> </w:t>
            </w:r>
            <w:r>
              <w:rPr>
                <w:sz w:val="24"/>
                <w:szCs w:val="24"/>
              </w:rPr>
              <w:t>Lei</w:t>
            </w:r>
            <w:r>
              <w:rPr>
                <w:spacing w:val="-4"/>
                <w:sz w:val="24"/>
                <w:szCs w:val="24"/>
              </w:rPr>
              <w:t xml:space="preserve"> </w:t>
            </w:r>
            <w:r>
              <w:rPr>
                <w:sz w:val="24"/>
                <w:szCs w:val="24"/>
              </w:rPr>
              <w:t>14.133/2021.</w:t>
            </w:r>
          </w:p>
          <w:p w14:paraId="6D5EE441">
            <w:pPr>
              <w:pStyle w:val="20"/>
              <w:jc w:val="center"/>
              <w:rPr>
                <w:sz w:val="24"/>
                <w:szCs w:val="24"/>
              </w:rPr>
            </w:pPr>
          </w:p>
          <w:p w14:paraId="6C67879F">
            <w:pPr>
              <w:pStyle w:val="20"/>
              <w:rPr>
                <w:sz w:val="24"/>
                <w:szCs w:val="24"/>
              </w:rPr>
            </w:pPr>
          </w:p>
          <w:p w14:paraId="5ACAE242">
            <w:pPr>
              <w:pStyle w:val="20"/>
              <w:rPr>
                <w:sz w:val="24"/>
                <w:szCs w:val="24"/>
              </w:rPr>
            </w:pPr>
            <w:r>
              <w:rPr>
                <w:sz w:val="24"/>
                <w:szCs w:val="24"/>
              </w:rPr>
              <mc:AlternateContent>
                <mc:Choice Requires="wpg">
                  <w:drawing>
                    <wp:anchor distT="0" distB="0" distL="114300" distR="114300" simplePos="0" relativeHeight="251659264" behindDoc="0" locked="0" layoutInCell="1" allowOverlap="1">
                      <wp:simplePos x="0" y="0"/>
                      <wp:positionH relativeFrom="column">
                        <wp:posOffset>1718310</wp:posOffset>
                      </wp:positionH>
                      <wp:positionV relativeFrom="paragraph">
                        <wp:posOffset>167640</wp:posOffset>
                      </wp:positionV>
                      <wp:extent cx="2514600" cy="6350"/>
                      <wp:effectExtent l="0" t="0" r="0" b="0"/>
                      <wp:wrapNone/>
                      <wp:docPr id="7" name="Grupo 7"/>
                      <wp:cNvGraphicFramePr/>
                      <a:graphic xmlns:a="http://schemas.openxmlformats.org/drawingml/2006/main">
                        <a:graphicData uri="http://schemas.microsoft.com/office/word/2010/wordprocessingGroup">
                          <wpg:wgp>
                            <wpg:cNvGrpSpPr/>
                            <wpg:grpSpPr>
                              <a:xfrm>
                                <a:off x="0" y="0"/>
                                <a:ext cx="2514600" cy="6350"/>
                                <a:chOff x="0" y="0"/>
                                <a:chExt cx="3960" cy="10"/>
                              </a:xfrm>
                            </wpg:grpSpPr>
                            <wps:wsp>
                              <wps:cNvPr id="3" name="Conector Reto 1"/>
                              <wps:cNvCnPr/>
                              <wps:spPr>
                                <a:xfrm>
                                  <a:off x="0" y="5"/>
                                  <a:ext cx="3960" cy="0"/>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35.3pt;margin-top:13.2pt;height:0.5pt;width:198pt;z-index:251659264;mso-width-relative:page;mso-height-relative:page;" coordsize="3960,10" o:gfxdata="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sh2pNcAAAAJAQAADwAAAAAAAAABACAAAAAiAAAAZHJzL2Rvd25yZXYu&#10;eG1sUEsBAhQAFAAAAAgAh07iQIie5Q41AgAA+AQAAA4AAAAAAAAAAQAgAAAAJgEAAGRycy9lMm9E&#10;b2MueG1sUEsFBgAAAAAGAAYAWQEAAM0FAAAAAA==&#10;">
                      <o:lock v:ext="edit" aspectratio="f"/>
                      <v:line id="Conector Reto 1" o:spid="_x0000_s1026" o:spt="20" style="position:absolute;left:0;top:5;height:0;width:3960;"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group>
                  </w:pict>
                </mc:Fallback>
              </mc:AlternateContent>
            </w:r>
          </w:p>
          <w:p w14:paraId="3456F5CA">
            <w:pPr>
              <w:ind w:right="304"/>
              <w:jc w:val="center"/>
              <w:rPr>
                <w:b/>
                <w:color w:val="000000"/>
                <w:sz w:val="24"/>
                <w:szCs w:val="24"/>
              </w:rPr>
            </w:pPr>
            <w:r>
              <w:rPr>
                <w:b/>
                <w:color w:val="000000"/>
                <w:sz w:val="24"/>
                <w:szCs w:val="24"/>
              </w:rPr>
              <w:t>LINDOMAR FERREIRA GUIDA</w:t>
            </w:r>
          </w:p>
          <w:p w14:paraId="07200ADF">
            <w:pPr>
              <w:ind w:right="304"/>
              <w:jc w:val="center"/>
              <w:rPr>
                <w:bCs/>
                <w:i/>
                <w:iCs/>
                <w:sz w:val="24"/>
                <w:szCs w:val="24"/>
              </w:rPr>
            </w:pPr>
            <w:r>
              <w:rPr>
                <w:bCs/>
                <w:i/>
                <w:iCs/>
                <w:sz w:val="24"/>
                <w:szCs w:val="24"/>
              </w:rPr>
              <w:t>Secretário Municipal de Obras e Serviços Urbanos</w:t>
            </w:r>
          </w:p>
          <w:p w14:paraId="734DC13C">
            <w:pPr>
              <w:ind w:right="304"/>
              <w:jc w:val="center"/>
              <w:rPr>
                <w:bCs/>
                <w:i/>
                <w:iCs/>
                <w:sz w:val="24"/>
                <w:szCs w:val="24"/>
              </w:rPr>
            </w:pPr>
          </w:p>
        </w:tc>
      </w:tr>
    </w:tbl>
    <w:p w14:paraId="22001AED">
      <w:pPr>
        <w:pStyle w:val="10"/>
        <w:spacing w:before="120" w:line="360" w:lineRule="auto"/>
        <w:jc w:val="both"/>
        <w:rPr>
          <w:b/>
        </w:rPr>
      </w:pPr>
    </w:p>
    <w:sectPr>
      <w:headerReference r:id="rId3" w:type="default"/>
      <w:footerReference r:id="rId4" w:type="default"/>
      <w:type w:val="continuous"/>
      <w:pgSz w:w="11910" w:h="16840"/>
      <w:pgMar w:top="1321" w:right="1250" w:bottom="716" w:left="1420" w:header="280" w:footer="221"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Rawline-Medium">
    <w:altName w:val="Segoe Print"/>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swiss"/>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D25ED">
    <w:pPr>
      <w:pStyle w:val="13"/>
      <w:jc w:val="center"/>
      <w:rPr>
        <w:b/>
        <w:i/>
        <w:iCs/>
        <w:sz w:val="20"/>
        <w:szCs w:val="20"/>
      </w:rPr>
    </w:pPr>
  </w:p>
  <w:p w14:paraId="7C64A533">
    <w:pPr>
      <w:pStyle w:val="13"/>
      <w:jc w:val="center"/>
      <w:rPr>
        <w:b/>
      </w:rPr>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1E979">
                          <w:pPr>
                            <w:pStyle w:val="1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AqzP8CACAABa&#10;BAAADgAAAAAAAAABACAAAAAfAQAAZHJzL2Uyb0RvYy54bWxQSwUGAAAAAAYABgBZAQAAsQUAAAAA&#10;">
              <v:fill on="f" focussize="0,0"/>
              <v:stroke on="f" weight="0.5pt"/>
              <v:imagedata o:title=""/>
              <o:lock v:ext="edit" aspectratio="f"/>
              <v:textbox inset="0mm,0mm,0mm,0mm" style="mso-fit-shape-to-text:t;">
                <w:txbxContent>
                  <w:p w14:paraId="7AF1E979">
                    <w:pPr>
                      <w:pStyle w:val="13"/>
                    </w:pPr>
                  </w:p>
                </w:txbxContent>
              </v:textbox>
            </v:shape>
          </w:pict>
        </mc:Fallback>
      </mc:AlternateContent>
    </w:r>
    <w:r>
      <w:rPr>
        <w:b/>
        <w:i/>
        <w:iCs/>
        <w:sz w:val="20"/>
        <w:szCs w:val="20"/>
      </w:rPr>
      <w:t>Responsável Tec. Administrativa  Debora Strack</w:t>
    </w:r>
    <w:r>
      <w:rPr>
        <w:b/>
        <w:i/>
        <w:iCs/>
        <w:sz w:val="20"/>
        <w:szCs w:val="20"/>
      </w:rPr>
      <w:tab/>
    </w:r>
    <w:r>
      <w:rPr>
        <w:b/>
        <w:i/>
        <w:iCs/>
        <w:sz w:val="20"/>
        <w:szCs w:val="20"/>
      </w:rPr>
      <w:tab/>
    </w:r>
    <w:r>
      <w:rPr>
        <w:b/>
        <w:i/>
        <w:iCs/>
        <w:sz w:val="20"/>
        <w:szCs w:val="20"/>
      </w:rPr>
      <w:t xml:space="preserve">        Eng. Civil </w:t>
    </w:r>
    <w:r>
      <w:rPr>
        <w:b/>
        <w:i/>
        <w:iCs/>
        <w:color w:val="000000"/>
        <w:sz w:val="20"/>
        <w:szCs w:val="20"/>
      </w:rPr>
      <w:t xml:space="preserve">Jaison A. Segat </w:t>
    </w:r>
  </w:p>
  <w:p w14:paraId="3C2286E5">
    <w:pPr>
      <w:pStyle w:val="10"/>
      <w:spacing w:before="120" w:line="360" w:lineRule="auto"/>
      <w:ind w:firstLine="900" w:firstLineChars="450"/>
      <w:jc w:val="both"/>
      <w:rPr>
        <w:bCs/>
        <w:i/>
        <w:iCs/>
        <w:spacing w:val="-2"/>
        <w:sz w:val="20"/>
        <w:szCs w:val="20"/>
      </w:rPr>
    </w:pPr>
    <w:r>
      <w:rPr>
        <w:bCs/>
        <w:i/>
        <w:iCs/>
        <w:sz w:val="20"/>
        <w:szCs w:val="20"/>
      </w:rPr>
      <w:t>Matrícula 17415</w:t>
    </w:r>
    <w:r>
      <w:rPr>
        <w:bCs/>
        <w:i/>
        <w:iCs/>
        <w:sz w:val="20"/>
        <w:szCs w:val="20"/>
      </w:rPr>
      <w:tab/>
    </w:r>
    <w:r>
      <w:rPr>
        <w:bCs/>
        <w:i/>
        <w:iCs/>
        <w:sz w:val="20"/>
        <w:szCs w:val="20"/>
      </w:rPr>
      <w:tab/>
    </w:r>
    <w:r>
      <w:rPr>
        <w:bCs/>
        <w:i/>
        <w:iCs/>
        <w:sz w:val="20"/>
        <w:szCs w:val="20"/>
      </w:rPr>
      <w:tab/>
    </w:r>
    <w:r>
      <w:rPr>
        <w:bCs/>
        <w:i/>
        <w:iCs/>
        <w:sz w:val="20"/>
        <w:szCs w:val="20"/>
      </w:rPr>
      <w:tab/>
    </w:r>
    <w:r>
      <w:rPr>
        <w:bCs/>
        <w:i/>
        <w:iCs/>
        <w:sz w:val="20"/>
        <w:szCs w:val="20"/>
      </w:rPr>
      <w:tab/>
    </w:r>
    <w:r>
      <w:rPr>
        <w:bCs/>
        <w:i/>
        <w:iCs/>
        <w:sz w:val="20"/>
        <w:szCs w:val="20"/>
      </w:rPr>
      <w:tab/>
    </w:r>
    <w:r>
      <w:rPr>
        <w:bCs/>
        <w:i/>
        <w:iCs/>
        <w:sz w:val="20"/>
        <w:szCs w:val="20"/>
      </w:rPr>
      <w:t xml:space="preserve">          </w:t>
    </w:r>
    <w:r>
      <w:rPr>
        <w:bCs/>
        <w:i/>
        <w:iCs/>
        <w:spacing w:val="-2"/>
        <w:sz w:val="20"/>
        <w:szCs w:val="20"/>
      </w:rPr>
      <w:t xml:space="preserve"> </w:t>
    </w:r>
    <w:r>
      <w:rPr>
        <w:bCs/>
        <w:i/>
        <w:iCs/>
        <w:sz w:val="20"/>
        <w:szCs w:val="20"/>
      </w:rPr>
      <w:t>Matrícula:</w:t>
    </w:r>
    <w:r>
      <w:rPr>
        <w:bCs/>
        <w:i/>
        <w:iCs/>
        <w:spacing w:val="-2"/>
        <w:sz w:val="20"/>
        <w:szCs w:val="20"/>
      </w:rPr>
      <w:t>15428</w:t>
    </w:r>
  </w:p>
  <w:p w14:paraId="139DD24A">
    <w:pPr>
      <w:pStyle w:val="10"/>
      <w:spacing w:before="120" w:line="360" w:lineRule="auto"/>
      <w:jc w:val="both"/>
      <w:rPr>
        <w:b/>
        <w:bCs/>
        <w:i/>
        <w:iCs/>
        <w:spacing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40B60">
    <w:pPr>
      <w:pStyle w:val="10"/>
      <w:spacing w:line="14" w:lineRule="auto"/>
      <w:jc w:val="center"/>
    </w:pPr>
  </w:p>
  <w:p w14:paraId="5385211D">
    <w:pPr>
      <w:pStyle w:val="10"/>
      <w:spacing w:line="14" w:lineRule="auto"/>
      <w:jc w:val="center"/>
    </w:pPr>
  </w:p>
  <w:p w14:paraId="35543B10">
    <w:pPr>
      <w:pStyle w:val="10"/>
      <w:spacing w:line="14" w:lineRule="auto"/>
      <w:jc w:val="center"/>
    </w:pPr>
  </w:p>
  <w:p w14:paraId="7B6AB35E">
    <w:pPr>
      <w:pStyle w:val="10"/>
      <w:spacing w:line="14" w:lineRule="auto"/>
      <w:jc w:val="center"/>
    </w:pPr>
  </w:p>
  <w:p w14:paraId="47702631">
    <w:pPr>
      <w:pStyle w:val="10"/>
      <w:spacing w:line="14" w:lineRule="auto"/>
      <w:jc w:val="center"/>
    </w:pPr>
  </w:p>
  <w:p w14:paraId="3476082F">
    <w:pPr>
      <w:pStyle w:val="10"/>
      <w:spacing w:line="14" w:lineRule="auto"/>
      <w:jc w:val="center"/>
    </w:pPr>
  </w:p>
  <w:p w14:paraId="2F24B982">
    <w:pPr>
      <w:pStyle w:val="10"/>
      <w:spacing w:line="14" w:lineRule="auto"/>
      <w:jc w:val="center"/>
    </w:pPr>
  </w:p>
  <w:p w14:paraId="2EED802D">
    <w:pPr>
      <w:pStyle w:val="10"/>
      <w:spacing w:line="14" w:lineRule="auto"/>
      <w:jc w:val="center"/>
    </w:pPr>
  </w:p>
  <w:p w14:paraId="685B10EB">
    <w:pPr>
      <w:pStyle w:val="10"/>
      <w:spacing w:line="14" w:lineRule="auto"/>
      <w:jc w:val="center"/>
    </w:pPr>
    <w:r>
      <w:drawing>
        <wp:inline distT="0" distB="0" distL="0" distR="0">
          <wp:extent cx="3010535" cy="1143000"/>
          <wp:effectExtent l="0" t="0" r="0" b="0"/>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028707" cy="1149692"/>
                  </a:xfrm>
                  <a:prstGeom prst="rect">
                    <a:avLst/>
                  </a:prstGeom>
                  <a:noFill/>
                  <a:ln>
                    <a:noFill/>
                  </a:ln>
                </pic:spPr>
              </pic:pic>
            </a:graphicData>
          </a:graphic>
        </wp:inline>
      </w:drawing>
    </w:r>
  </w:p>
  <w:p w14:paraId="08A4E7A8">
    <w:pPr>
      <w:pStyle w:val="10"/>
      <w:spacing w:line="14" w:lineRule="auto"/>
      <w:jc w:val="center"/>
    </w:pPr>
  </w:p>
  <w:p w14:paraId="3957DB2B">
    <w:pPr>
      <w:pStyle w:val="10"/>
      <w:spacing w:line="14" w:lineRule="auto"/>
      <w:jc w:val="center"/>
    </w:pPr>
  </w:p>
  <w:p w14:paraId="7A7FD0DE">
    <w:pPr>
      <w:pStyle w:val="10"/>
      <w:spacing w:line="14" w:lineRule="auto"/>
      <w:jc w:val="center"/>
    </w:pPr>
  </w:p>
  <w:p w14:paraId="147CC319">
    <w:pPr>
      <w:pStyle w:val="10"/>
      <w:spacing w:line="14" w:lineRule="auto"/>
      <w:jc w:val="center"/>
    </w:pPr>
  </w:p>
  <w:p w14:paraId="11553FAC">
    <w:pPr>
      <w:pStyle w:val="10"/>
      <w:spacing w:line="14" w:lineRule="auto"/>
      <w:jc w:val="center"/>
    </w:pPr>
  </w:p>
  <w:p w14:paraId="0E7855B2">
    <w:pPr>
      <w:pStyle w:val="10"/>
      <w:spacing w:line="14" w:lineRule="auto"/>
      <w:jc w:val="center"/>
    </w:pPr>
  </w:p>
  <w:p w14:paraId="397C4796">
    <w:pPr>
      <w:pStyle w:val="10"/>
      <w:spacing w:line="14" w:lineRule="auto"/>
      <w:jc w:val="center"/>
    </w:pPr>
  </w:p>
  <w:p w14:paraId="6FD308A0">
    <w:pPr>
      <w:pStyle w:val="10"/>
      <w:spacing w:line="14" w:lineRule="auto"/>
      <w:jc w:val="center"/>
    </w:pPr>
  </w:p>
  <w:p w14:paraId="0DFED8BD">
    <w:pPr>
      <w:pStyle w:val="10"/>
      <w:spacing w:line="14" w:lineRule="auto"/>
      <w:jc w:val="center"/>
    </w:pPr>
  </w:p>
  <w:p w14:paraId="04CD92D2">
    <w:pPr>
      <w:pStyle w:val="10"/>
      <w:spacing w:line="14" w:lineRule="auto"/>
    </w:pPr>
  </w:p>
  <w:p w14:paraId="5D8632B1">
    <w:pPr>
      <w:pStyle w:val="10"/>
      <w:spacing w:line="14" w:lineRule="auto"/>
      <w:jc w:val="center"/>
    </w:pPr>
  </w:p>
  <w:p w14:paraId="0053972E">
    <w:pPr>
      <w:pStyle w:val="10"/>
      <w:spacing w:line="14" w:lineRule="auto"/>
      <w:jc w:val="center"/>
    </w:pPr>
  </w:p>
  <w:p w14:paraId="21DB8240">
    <w:pPr>
      <w:pStyle w:val="10"/>
      <w:spacing w:line="14" w:lineRule="auto"/>
      <w:jc w:val="center"/>
    </w:pPr>
  </w:p>
  <w:p w14:paraId="7D20901D">
    <w:pPr>
      <w:pStyle w:val="10"/>
      <w:spacing w:line="14" w:lineRule="auto"/>
      <w:jc w:val="center"/>
    </w:pPr>
  </w:p>
  <w:p w14:paraId="65459FF8">
    <w:pPr>
      <w:pStyle w:val="10"/>
      <w:spacing w:line="14" w:lineRule="auto"/>
      <w:jc w:val="center"/>
    </w:pPr>
  </w:p>
  <w:p w14:paraId="3B16DB9D">
    <w:pPr>
      <w:pStyle w:val="10"/>
      <w:spacing w:line="14" w:lineRule="auto"/>
      <w:jc w:val="center"/>
    </w:pPr>
  </w:p>
  <w:p w14:paraId="76F3ECCD">
    <w:pPr>
      <w:pStyle w:val="10"/>
      <w:spacing w:line="14" w:lineRule="auto"/>
      <w:jc w:val="center"/>
    </w:pPr>
  </w:p>
  <w:p w14:paraId="06D05B5A">
    <w:pPr>
      <w:pStyle w:val="10"/>
      <w:spacing w:line="14" w:lineRule="auto"/>
      <w:jc w:val="center"/>
    </w:pPr>
  </w:p>
  <w:p w14:paraId="024D4E50">
    <w:pPr>
      <w:pStyle w:val="10"/>
      <w:spacing w:line="14" w:lineRule="auto"/>
      <w:jc w:val="center"/>
    </w:pPr>
  </w:p>
  <w:p w14:paraId="6AC1F288">
    <w:pPr>
      <w:pStyle w:val="10"/>
      <w:spacing w:line="14" w:lineRule="auto"/>
      <w:jc w:val="center"/>
    </w:pPr>
  </w:p>
  <w:p w14:paraId="2D823057">
    <w:pPr>
      <w:pStyle w:val="10"/>
      <w:spacing w:line="14" w:lineRule="auto"/>
      <w:jc w:val="center"/>
    </w:pPr>
  </w:p>
  <w:p w14:paraId="7685376B">
    <w:pPr>
      <w:pStyle w:val="10"/>
      <w:spacing w:line="14" w:lineRule="auto"/>
      <w:jc w:val="center"/>
    </w:pPr>
  </w:p>
  <w:p w14:paraId="6FABFE74">
    <w:pPr>
      <w:pStyle w:val="10"/>
      <w:spacing w:line="14" w:lineRule="auto"/>
      <w:jc w:val="center"/>
    </w:pPr>
  </w:p>
  <w:p w14:paraId="344D8846">
    <w:pPr>
      <w:pStyle w:val="10"/>
      <w:spacing w:line="14" w:lineRule="auto"/>
      <w:jc w:val="center"/>
    </w:pPr>
  </w:p>
  <w:p w14:paraId="1D71C112">
    <w:pPr>
      <w:pStyle w:val="10"/>
      <w:spacing w:line="14" w:lineRule="auto"/>
      <w:jc w:val="center"/>
    </w:pPr>
  </w:p>
  <w:p w14:paraId="300888A3">
    <w:pPr>
      <w:pStyle w:val="10"/>
      <w:spacing w:line="14" w:lineRule="auto"/>
      <w:jc w:val="center"/>
    </w:pPr>
  </w:p>
  <w:p w14:paraId="526E986D">
    <w:pPr>
      <w:pStyle w:val="10"/>
      <w:spacing w:line="14" w:lineRule="auto"/>
      <w:jc w:val="center"/>
    </w:pPr>
  </w:p>
  <w:p w14:paraId="77DA64D0">
    <w:pPr>
      <w:pStyle w:val="10"/>
      <w:spacing w:line="14" w:lineRule="auto"/>
      <w:jc w:val="center"/>
    </w:pPr>
  </w:p>
  <w:p w14:paraId="105A69E4">
    <w:pPr>
      <w:pStyle w:val="10"/>
      <w:spacing w:line="14" w:lineRule="auto"/>
      <w:jc w:val="center"/>
    </w:pPr>
  </w:p>
  <w:p w14:paraId="779CF9B6">
    <w:pPr>
      <w:pStyle w:val="10"/>
      <w:spacing w:line="14" w:lineRule="auto"/>
      <w:jc w:val="center"/>
    </w:pPr>
  </w:p>
  <w:p w14:paraId="5C24A98F">
    <w:pPr>
      <w:pStyle w:val="10"/>
      <w:spacing w:line="14" w:lineRule="auto"/>
      <w:jc w:val="center"/>
    </w:pPr>
  </w:p>
  <w:p w14:paraId="0589C944">
    <w:pPr>
      <w:pStyle w:val="10"/>
      <w:spacing w:line="14" w:lineRule="auto"/>
      <w:jc w:val="center"/>
    </w:pPr>
  </w:p>
  <w:p w14:paraId="11FAE1EA">
    <w:pPr>
      <w:pStyle w:val="10"/>
      <w:spacing w:line="14" w:lineRule="auto"/>
      <w:jc w:val="center"/>
    </w:pPr>
  </w:p>
  <w:p w14:paraId="60B987ED">
    <w:pPr>
      <w:pStyle w:val="10"/>
      <w:spacing w:line="14" w:lineRule="auto"/>
      <w:jc w:val="center"/>
    </w:pPr>
  </w:p>
  <w:p w14:paraId="48A07899">
    <w:pPr>
      <w:pStyle w:val="10"/>
      <w:spacing w:line="14" w:lineRule="auto"/>
      <w:jc w:val="center"/>
    </w:pPr>
  </w:p>
  <w:p w14:paraId="4F3F55D4">
    <w:pPr>
      <w:pStyle w:val="10"/>
      <w:spacing w:line="14" w:lineRule="auto"/>
      <w:jc w:val="center"/>
    </w:pPr>
  </w:p>
  <w:p w14:paraId="4BCC9476">
    <w:pPr>
      <w:pStyle w:val="10"/>
      <w:spacing w:line="14" w:lineRule="auto"/>
      <w:jc w:val="center"/>
    </w:pPr>
  </w:p>
  <w:p w14:paraId="026842AB">
    <w:pPr>
      <w:pStyle w:val="10"/>
      <w:spacing w:line="14" w:lineRule="auto"/>
      <w:jc w:val="center"/>
    </w:pPr>
  </w:p>
  <w:p w14:paraId="74D25EC1">
    <w:pPr>
      <w:pStyle w:val="10"/>
      <w:spacing w:line="14" w:lineRule="auto"/>
      <w:jc w:val="center"/>
    </w:pPr>
  </w:p>
  <w:p w14:paraId="4589FAA4">
    <w:pPr>
      <w:pStyle w:val="10"/>
      <w:spacing w:line="14" w:lineRule="auto"/>
      <w:jc w:val="center"/>
    </w:pPr>
  </w:p>
  <w:p w14:paraId="59613EF7">
    <w:pPr>
      <w:pStyle w:val="10"/>
      <w:spacing w:line="14" w:lineRule="auto"/>
      <w:jc w:val="center"/>
    </w:pPr>
  </w:p>
  <w:p w14:paraId="02B97E53">
    <w:pPr>
      <w:pStyle w:val="10"/>
      <w:spacing w:line="14" w:lineRule="auto"/>
      <w:jc w:val="center"/>
    </w:pPr>
  </w:p>
  <w:p w14:paraId="212FDB8B">
    <w:pPr>
      <w:pStyle w:val="10"/>
      <w:spacing w:line="14" w:lineRule="auto"/>
      <w:jc w:val="center"/>
    </w:pPr>
  </w:p>
  <w:p w14:paraId="44062F7A">
    <w:pPr>
      <w:pStyle w:val="10"/>
      <w:spacing w:line="14"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5D2DE6"/>
    <w:multiLevelType w:val="singleLevel"/>
    <w:tmpl w:val="835D2DE6"/>
    <w:lvl w:ilvl="0" w:tentative="0">
      <w:start w:val="1"/>
      <w:numFmt w:val="decimal"/>
      <w:lvlText w:val="6.%1."/>
      <w:lvlJc w:val="left"/>
      <w:pPr>
        <w:tabs>
          <w:tab w:val="left" w:pos="425"/>
        </w:tabs>
        <w:ind w:left="425" w:hanging="425"/>
      </w:pPr>
      <w:rPr>
        <w:rFonts w:hint="default"/>
        <w:b/>
        <w:bCs/>
      </w:rPr>
    </w:lvl>
  </w:abstractNum>
  <w:abstractNum w:abstractNumId="1">
    <w:nsid w:val="8B8BB1A1"/>
    <w:multiLevelType w:val="singleLevel"/>
    <w:tmpl w:val="8B8BB1A1"/>
    <w:lvl w:ilvl="0" w:tentative="0">
      <w:start w:val="1"/>
      <w:numFmt w:val="lowerLetter"/>
      <w:lvlText w:val="%1)"/>
      <w:lvlJc w:val="left"/>
      <w:pPr>
        <w:tabs>
          <w:tab w:val="left" w:pos="425"/>
        </w:tabs>
        <w:ind w:left="425" w:hanging="425"/>
      </w:pPr>
      <w:rPr>
        <w:rFonts w:hint="default"/>
        <w:highlight w:val="none"/>
      </w:rPr>
    </w:lvl>
  </w:abstractNum>
  <w:abstractNum w:abstractNumId="2">
    <w:nsid w:val="918D25D5"/>
    <w:multiLevelType w:val="singleLevel"/>
    <w:tmpl w:val="918D25D5"/>
    <w:lvl w:ilvl="0" w:tentative="0">
      <w:start w:val="1"/>
      <w:numFmt w:val="lowerLetter"/>
      <w:lvlText w:val="%1)"/>
      <w:lvlJc w:val="left"/>
      <w:pPr>
        <w:tabs>
          <w:tab w:val="left" w:pos="425"/>
        </w:tabs>
        <w:ind w:left="425" w:hanging="425"/>
      </w:pPr>
      <w:rPr>
        <w:rFonts w:hint="default"/>
      </w:rPr>
    </w:lvl>
  </w:abstractNum>
  <w:abstractNum w:abstractNumId="3">
    <w:nsid w:val="95B63A4F"/>
    <w:multiLevelType w:val="multilevel"/>
    <w:tmpl w:val="95B63A4F"/>
    <w:lvl w:ilvl="0" w:tentative="0">
      <w:start w:val="1"/>
      <w:numFmt w:val="decimal"/>
      <w:suff w:val="space"/>
      <w:lvlText w:val="%1."/>
      <w:lvlJc w:val="left"/>
      <w:pPr>
        <w:ind w:left="0" w:firstLine="0"/>
      </w:pPr>
      <w:rPr>
        <w:rFonts w:hint="default"/>
        <w:b/>
        <w:bCs/>
        <w:color w:val="auto"/>
        <w:highlight w:val="none"/>
      </w:rPr>
    </w:lvl>
    <w:lvl w:ilvl="1" w:tentative="0">
      <w:start w:val="1"/>
      <w:numFmt w:val="decimal"/>
      <w:suff w:val="space"/>
      <w:lvlText w:val="%1.%2."/>
      <w:lvlJc w:val="left"/>
      <w:pPr>
        <w:tabs>
          <w:tab w:val="left" w:pos="0"/>
        </w:tabs>
        <w:ind w:left="0" w:firstLine="0"/>
      </w:pPr>
      <w:rPr>
        <w:rFonts w:hint="default"/>
        <w:b/>
        <w:bCs/>
        <w:color w:val="auto"/>
        <w:sz w:val="24"/>
        <w:szCs w:val="24"/>
        <w:highlight w:val="none"/>
      </w:rPr>
    </w:lvl>
    <w:lvl w:ilvl="2" w:tentative="0">
      <w:start w:val="1"/>
      <w:numFmt w:val="decimal"/>
      <w:suff w:val="space"/>
      <w:lvlText w:val="%1.%2.%3."/>
      <w:lvlJc w:val="left"/>
      <w:pPr>
        <w:ind w:left="220" w:firstLine="0"/>
      </w:pPr>
      <w:rPr>
        <w:rFonts w:hint="default" w:ascii="Times New Roman" w:hAnsi="Times New Roman" w:cs="Times New Roman"/>
        <w:b/>
        <w:bCs/>
        <w:i w:val="0"/>
        <w:iCs w:val="0"/>
        <w:color w:val="auto"/>
        <w:sz w:val="24"/>
        <w:szCs w:val="24"/>
        <w:highlight w:val="none"/>
      </w:rPr>
    </w:lvl>
    <w:lvl w:ilvl="3" w:tentative="0">
      <w:start w:val="1"/>
      <w:numFmt w:val="decimal"/>
      <w:suff w:val="space"/>
      <w:lvlText w:val="%1.%2.%3.%4."/>
      <w:lvlJc w:val="left"/>
      <w:pPr>
        <w:ind w:left="220" w:firstLine="0"/>
      </w:pPr>
      <w:rPr>
        <w:rFonts w:hint="default"/>
        <w:b/>
        <w:bCs/>
        <w:i w:val="0"/>
        <w:iCs w:val="0"/>
        <w:color w:val="auto"/>
      </w:rPr>
    </w:lvl>
    <w:lvl w:ilvl="4" w:tentative="0">
      <w:start w:val="1"/>
      <w:numFmt w:val="decimal"/>
      <w:suff w:val="space"/>
      <w:lvlText w:val="%1.%2.%3.%4.%5."/>
      <w:lvlJc w:val="left"/>
      <w:pPr>
        <w:ind w:left="0" w:firstLine="0"/>
      </w:pPr>
      <w:rPr>
        <w:rFonts w:hint="default"/>
        <w:b/>
        <w:bCs/>
      </w:rPr>
    </w:lvl>
    <w:lvl w:ilvl="5" w:tentative="0">
      <w:start w:val="1"/>
      <w:numFmt w:val="decimal"/>
      <w:suff w:val="space"/>
      <w:lvlText w:val="%1.%2.%3.%4.%5.%6."/>
      <w:lvlJc w:val="left"/>
      <w:pPr>
        <w:ind w:left="0" w:firstLine="0"/>
      </w:pPr>
      <w:rPr>
        <w:rFonts w:hint="default"/>
      </w:rPr>
    </w:lvl>
    <w:lvl w:ilvl="6" w:tentative="0">
      <w:start w:val="7"/>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A27957D0"/>
    <w:multiLevelType w:val="singleLevel"/>
    <w:tmpl w:val="A27957D0"/>
    <w:lvl w:ilvl="0" w:tentative="0">
      <w:start w:val="1"/>
      <w:numFmt w:val="none"/>
      <w:lvlText w:val="6.30."/>
      <w:lvlJc w:val="left"/>
      <w:pPr>
        <w:tabs>
          <w:tab w:val="left" w:pos="425"/>
        </w:tabs>
        <w:ind w:left="425" w:hanging="425"/>
      </w:pPr>
      <w:rPr>
        <w:rFonts w:hint="default"/>
      </w:rPr>
    </w:lvl>
  </w:abstractNum>
  <w:abstractNum w:abstractNumId="5">
    <w:nsid w:val="C7725FE5"/>
    <w:multiLevelType w:val="singleLevel"/>
    <w:tmpl w:val="C7725FE5"/>
    <w:lvl w:ilvl="0" w:tentative="0">
      <w:start w:val="1"/>
      <w:numFmt w:val="decimal"/>
      <w:lvlText w:val="6.30.%1."/>
      <w:lvlJc w:val="left"/>
      <w:pPr>
        <w:tabs>
          <w:tab w:val="left" w:pos="425"/>
        </w:tabs>
        <w:ind w:left="425" w:hanging="425"/>
      </w:pPr>
      <w:rPr>
        <w:rFonts w:hint="default"/>
        <w:b/>
        <w:bCs/>
      </w:rPr>
    </w:lvl>
  </w:abstractNum>
  <w:abstractNum w:abstractNumId="6">
    <w:nsid w:val="DDB29F1C"/>
    <w:multiLevelType w:val="singleLevel"/>
    <w:tmpl w:val="DDB29F1C"/>
    <w:lvl w:ilvl="0" w:tentative="0">
      <w:start w:val="1"/>
      <w:numFmt w:val="none"/>
      <w:lvlText w:val="6.29."/>
      <w:lvlJc w:val="left"/>
      <w:pPr>
        <w:tabs>
          <w:tab w:val="left" w:pos="425"/>
        </w:tabs>
        <w:ind w:left="425" w:hanging="425"/>
      </w:pPr>
      <w:rPr>
        <w:rFonts w:hint="default"/>
      </w:rPr>
    </w:lvl>
  </w:abstractNum>
  <w:abstractNum w:abstractNumId="7">
    <w:nsid w:val="E2F7536F"/>
    <w:multiLevelType w:val="singleLevel"/>
    <w:tmpl w:val="E2F7536F"/>
    <w:lvl w:ilvl="0" w:tentative="0">
      <w:start w:val="1"/>
      <w:numFmt w:val="upperRoman"/>
      <w:suff w:val="space"/>
      <w:lvlText w:val="%1)"/>
      <w:lvlJc w:val="left"/>
      <w:rPr>
        <w:color w:val="auto"/>
      </w:rPr>
    </w:lvl>
  </w:abstractNum>
  <w:abstractNum w:abstractNumId="8">
    <w:nsid w:val="E4614DAA"/>
    <w:multiLevelType w:val="singleLevel"/>
    <w:tmpl w:val="E4614DAA"/>
    <w:lvl w:ilvl="0" w:tentative="0">
      <w:start w:val="1"/>
      <w:numFmt w:val="decimal"/>
      <w:lvlText w:val="6.28.%1."/>
      <w:lvlJc w:val="left"/>
      <w:pPr>
        <w:tabs>
          <w:tab w:val="left" w:pos="425"/>
        </w:tabs>
        <w:ind w:left="425" w:hanging="425"/>
      </w:pPr>
      <w:rPr>
        <w:rFonts w:hint="default"/>
        <w:b/>
        <w:bCs/>
      </w:rPr>
    </w:lvl>
  </w:abstractNum>
  <w:abstractNum w:abstractNumId="9">
    <w:nsid w:val="E6DF008F"/>
    <w:multiLevelType w:val="singleLevel"/>
    <w:tmpl w:val="E6DF008F"/>
    <w:lvl w:ilvl="0" w:tentative="0">
      <w:start w:val="1"/>
      <w:numFmt w:val="none"/>
      <w:lvlText w:val="6.28."/>
      <w:lvlJc w:val="left"/>
      <w:pPr>
        <w:tabs>
          <w:tab w:val="left" w:pos="425"/>
        </w:tabs>
        <w:ind w:left="425" w:hanging="425"/>
      </w:pPr>
      <w:rPr>
        <w:rFonts w:hint="default"/>
        <w:b/>
        <w:bCs/>
      </w:rPr>
    </w:lvl>
  </w:abstractNum>
  <w:abstractNum w:abstractNumId="10">
    <w:nsid w:val="1D5C100D"/>
    <w:multiLevelType w:val="multilevel"/>
    <w:tmpl w:val="1D5C100D"/>
    <w:lvl w:ilvl="0" w:tentative="0">
      <w:start w:val="1"/>
      <w:numFmt w:val="decimal"/>
      <w:pStyle w:val="25"/>
      <w:lvlText w:val="%1."/>
      <w:lvlJc w:val="left"/>
      <w:pPr>
        <w:ind w:left="360" w:hanging="360"/>
      </w:pPr>
      <w:rPr>
        <w:b/>
      </w:rPr>
    </w:lvl>
    <w:lvl w:ilvl="1" w:tentative="0">
      <w:start w:val="1"/>
      <w:numFmt w:val="decimal"/>
      <w:pStyle w:val="22"/>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6"/>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1">
    <w:nsid w:val="3C9D083F"/>
    <w:multiLevelType w:val="multilevel"/>
    <w:tmpl w:val="3C9D083F"/>
    <w:lvl w:ilvl="0" w:tentative="0">
      <w:start w:val="1"/>
      <w:numFmt w:val="bullet"/>
      <w:pStyle w:val="19"/>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4A2C0C7A"/>
    <w:multiLevelType w:val="singleLevel"/>
    <w:tmpl w:val="4A2C0C7A"/>
    <w:lvl w:ilvl="0" w:tentative="0">
      <w:start w:val="1"/>
      <w:numFmt w:val="decimal"/>
      <w:lvlText w:val="6.29.%1."/>
      <w:lvlJc w:val="left"/>
      <w:pPr>
        <w:tabs>
          <w:tab w:val="left" w:pos="425"/>
        </w:tabs>
        <w:ind w:left="425" w:hanging="425"/>
      </w:pPr>
      <w:rPr>
        <w:rFonts w:hint="default"/>
        <w:b/>
        <w:bCs/>
      </w:rPr>
    </w:lvl>
  </w:abstractNum>
  <w:abstractNum w:abstractNumId="13">
    <w:nsid w:val="4FC5BD57"/>
    <w:multiLevelType w:val="singleLevel"/>
    <w:tmpl w:val="4FC5BD57"/>
    <w:lvl w:ilvl="0" w:tentative="0">
      <w:start w:val="1"/>
      <w:numFmt w:val="none"/>
      <w:lvlText w:val="6.27."/>
      <w:lvlJc w:val="left"/>
      <w:pPr>
        <w:tabs>
          <w:tab w:val="left" w:pos="425"/>
        </w:tabs>
        <w:ind w:left="425" w:hanging="425"/>
      </w:pPr>
      <w:rPr>
        <w:rFonts w:hint="default"/>
      </w:rPr>
    </w:lvl>
  </w:abstractNum>
  <w:num w:numId="1">
    <w:abstractNumId w:val="11"/>
  </w:num>
  <w:num w:numId="2">
    <w:abstractNumId w:val="10"/>
  </w:num>
  <w:num w:numId="3">
    <w:abstractNumId w:val="3"/>
  </w:num>
  <w:num w:numId="4">
    <w:abstractNumId w:val="0"/>
  </w:num>
  <w:num w:numId="5">
    <w:abstractNumId w:val="7"/>
  </w:num>
  <w:num w:numId="6">
    <w:abstractNumId w:val="13"/>
  </w:num>
  <w:num w:numId="7">
    <w:abstractNumId w:val="9"/>
  </w:num>
  <w:num w:numId="8">
    <w:abstractNumId w:val="8"/>
  </w:num>
  <w:num w:numId="9">
    <w:abstractNumId w:val="6"/>
  </w:num>
  <w:num w:numId="10">
    <w:abstractNumId w:val="12"/>
  </w:num>
  <w:num w:numId="11">
    <w:abstractNumId w:val="4"/>
  </w:num>
  <w:num w:numId="12">
    <w:abstractNumId w:val="5"/>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noPunctuationKerning w:val="1"/>
  <w:characterSpacingControl w:val="doNotCompress"/>
  <w:compat>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644"/>
    <w:rsid w:val="00006F9D"/>
    <w:rsid w:val="000120AC"/>
    <w:rsid w:val="0003028D"/>
    <w:rsid w:val="0004044F"/>
    <w:rsid w:val="00072D0B"/>
    <w:rsid w:val="0009243A"/>
    <w:rsid w:val="000A3BCC"/>
    <w:rsid w:val="000D6A0B"/>
    <w:rsid w:val="000E0524"/>
    <w:rsid w:val="001372E7"/>
    <w:rsid w:val="00226668"/>
    <w:rsid w:val="00270BA4"/>
    <w:rsid w:val="002977FA"/>
    <w:rsid w:val="002D1384"/>
    <w:rsid w:val="002D74CD"/>
    <w:rsid w:val="002F1579"/>
    <w:rsid w:val="002F1758"/>
    <w:rsid w:val="00380A08"/>
    <w:rsid w:val="00385D0A"/>
    <w:rsid w:val="003A3DAF"/>
    <w:rsid w:val="003F24F7"/>
    <w:rsid w:val="003F6AFA"/>
    <w:rsid w:val="004018D1"/>
    <w:rsid w:val="004260C0"/>
    <w:rsid w:val="00467686"/>
    <w:rsid w:val="004A74D3"/>
    <w:rsid w:val="004C195C"/>
    <w:rsid w:val="00595246"/>
    <w:rsid w:val="00596970"/>
    <w:rsid w:val="006009A6"/>
    <w:rsid w:val="0061161B"/>
    <w:rsid w:val="00620F5D"/>
    <w:rsid w:val="00644C8A"/>
    <w:rsid w:val="006F76A2"/>
    <w:rsid w:val="00705B0B"/>
    <w:rsid w:val="00731CC3"/>
    <w:rsid w:val="00734D94"/>
    <w:rsid w:val="0077762B"/>
    <w:rsid w:val="007C703C"/>
    <w:rsid w:val="0080422E"/>
    <w:rsid w:val="00814F35"/>
    <w:rsid w:val="00833069"/>
    <w:rsid w:val="00866459"/>
    <w:rsid w:val="00916C23"/>
    <w:rsid w:val="009418CF"/>
    <w:rsid w:val="00944B35"/>
    <w:rsid w:val="00972063"/>
    <w:rsid w:val="00982F98"/>
    <w:rsid w:val="00A67AAD"/>
    <w:rsid w:val="00A948B4"/>
    <w:rsid w:val="00B32644"/>
    <w:rsid w:val="00B456C3"/>
    <w:rsid w:val="00BB0D2B"/>
    <w:rsid w:val="00C1090B"/>
    <w:rsid w:val="00C34908"/>
    <w:rsid w:val="00C3683E"/>
    <w:rsid w:val="00C50F9B"/>
    <w:rsid w:val="00C5308B"/>
    <w:rsid w:val="00C5596A"/>
    <w:rsid w:val="00C72D5B"/>
    <w:rsid w:val="00CF2C21"/>
    <w:rsid w:val="00D00498"/>
    <w:rsid w:val="00D54C61"/>
    <w:rsid w:val="00D853AC"/>
    <w:rsid w:val="00D86EB0"/>
    <w:rsid w:val="00DA4838"/>
    <w:rsid w:val="00E52646"/>
    <w:rsid w:val="00E552F0"/>
    <w:rsid w:val="00E62BEA"/>
    <w:rsid w:val="00E94E5F"/>
    <w:rsid w:val="00EE693A"/>
    <w:rsid w:val="00F52533"/>
    <w:rsid w:val="00F82F05"/>
    <w:rsid w:val="00F94121"/>
    <w:rsid w:val="00FA1B73"/>
    <w:rsid w:val="00FB227D"/>
    <w:rsid w:val="00FC12DB"/>
    <w:rsid w:val="00FE51C4"/>
    <w:rsid w:val="02630AF6"/>
    <w:rsid w:val="032C56B0"/>
    <w:rsid w:val="035C2393"/>
    <w:rsid w:val="040A7EDE"/>
    <w:rsid w:val="0458352F"/>
    <w:rsid w:val="04881B00"/>
    <w:rsid w:val="04B42C2B"/>
    <w:rsid w:val="066A4D04"/>
    <w:rsid w:val="06A33BAA"/>
    <w:rsid w:val="07120EDD"/>
    <w:rsid w:val="08625B56"/>
    <w:rsid w:val="09C811D0"/>
    <w:rsid w:val="0A945568"/>
    <w:rsid w:val="0B240975"/>
    <w:rsid w:val="0D522309"/>
    <w:rsid w:val="0F426E96"/>
    <w:rsid w:val="11705944"/>
    <w:rsid w:val="11A77604"/>
    <w:rsid w:val="142F154F"/>
    <w:rsid w:val="16A85139"/>
    <w:rsid w:val="17232389"/>
    <w:rsid w:val="177B28F3"/>
    <w:rsid w:val="187E6790"/>
    <w:rsid w:val="188639BE"/>
    <w:rsid w:val="18FE34AC"/>
    <w:rsid w:val="19495A8C"/>
    <w:rsid w:val="198E4EFC"/>
    <w:rsid w:val="1A1773DF"/>
    <w:rsid w:val="1AC90DBB"/>
    <w:rsid w:val="1E877BA2"/>
    <w:rsid w:val="1EA705EC"/>
    <w:rsid w:val="1F4B2FE2"/>
    <w:rsid w:val="203778E9"/>
    <w:rsid w:val="209D4D0F"/>
    <w:rsid w:val="22B32A10"/>
    <w:rsid w:val="231B2B24"/>
    <w:rsid w:val="26D1773D"/>
    <w:rsid w:val="29A504DF"/>
    <w:rsid w:val="2C2B235F"/>
    <w:rsid w:val="2C7064B9"/>
    <w:rsid w:val="2CC546B1"/>
    <w:rsid w:val="2DA851F7"/>
    <w:rsid w:val="33E84023"/>
    <w:rsid w:val="3480321E"/>
    <w:rsid w:val="34BB3A10"/>
    <w:rsid w:val="34E54854"/>
    <w:rsid w:val="3576207F"/>
    <w:rsid w:val="35D5662D"/>
    <w:rsid w:val="36117E06"/>
    <w:rsid w:val="36E55D57"/>
    <w:rsid w:val="36EA17D3"/>
    <w:rsid w:val="380B52C2"/>
    <w:rsid w:val="39C54FBA"/>
    <w:rsid w:val="3AD37E13"/>
    <w:rsid w:val="3AD66F24"/>
    <w:rsid w:val="3AEF6ABC"/>
    <w:rsid w:val="3BDA7340"/>
    <w:rsid w:val="3CDD5C6A"/>
    <w:rsid w:val="3D93774B"/>
    <w:rsid w:val="3DC90D6A"/>
    <w:rsid w:val="3DCF7A2D"/>
    <w:rsid w:val="402F14D9"/>
    <w:rsid w:val="40B13463"/>
    <w:rsid w:val="4253331A"/>
    <w:rsid w:val="42A432F6"/>
    <w:rsid w:val="42A901FF"/>
    <w:rsid w:val="464016C0"/>
    <w:rsid w:val="493313CD"/>
    <w:rsid w:val="493C6BB3"/>
    <w:rsid w:val="4B493410"/>
    <w:rsid w:val="4BC45429"/>
    <w:rsid w:val="4BF63CE5"/>
    <w:rsid w:val="4E4F1509"/>
    <w:rsid w:val="4F6B7D4A"/>
    <w:rsid w:val="4F7778BE"/>
    <w:rsid w:val="4FAE3C99"/>
    <w:rsid w:val="504128EB"/>
    <w:rsid w:val="514E3A36"/>
    <w:rsid w:val="51A30328"/>
    <w:rsid w:val="5247460D"/>
    <w:rsid w:val="52F23421"/>
    <w:rsid w:val="53566979"/>
    <w:rsid w:val="54186A87"/>
    <w:rsid w:val="54233908"/>
    <w:rsid w:val="54A0362F"/>
    <w:rsid w:val="5761526A"/>
    <w:rsid w:val="596D67AA"/>
    <w:rsid w:val="5A9C4A62"/>
    <w:rsid w:val="5D135140"/>
    <w:rsid w:val="5FFE3589"/>
    <w:rsid w:val="607544CD"/>
    <w:rsid w:val="6114489D"/>
    <w:rsid w:val="61944750"/>
    <w:rsid w:val="61954924"/>
    <w:rsid w:val="62FE385C"/>
    <w:rsid w:val="64886A58"/>
    <w:rsid w:val="64A57277"/>
    <w:rsid w:val="64CF6370"/>
    <w:rsid w:val="65115EE0"/>
    <w:rsid w:val="65476204"/>
    <w:rsid w:val="66B2560C"/>
    <w:rsid w:val="678B52EF"/>
    <w:rsid w:val="68574A2F"/>
    <w:rsid w:val="6B244B56"/>
    <w:rsid w:val="6B2879FD"/>
    <w:rsid w:val="6CC1587C"/>
    <w:rsid w:val="6FA553C4"/>
    <w:rsid w:val="704D7FCB"/>
    <w:rsid w:val="71F928AF"/>
    <w:rsid w:val="720D4729"/>
    <w:rsid w:val="722F17E6"/>
    <w:rsid w:val="73FE362C"/>
    <w:rsid w:val="74E01D4B"/>
    <w:rsid w:val="776A2977"/>
    <w:rsid w:val="783F29CA"/>
    <w:rsid w:val="792054D9"/>
    <w:rsid w:val="7A633B3E"/>
    <w:rsid w:val="7B3274AA"/>
    <w:rsid w:val="7C0E6296"/>
    <w:rsid w:val="7C3073CD"/>
    <w:rsid w:val="7DBF1ABF"/>
    <w:rsid w:val="7EE85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List Paragraph"/>
  </w:latentStyles>
  <w:style w:type="paragraph" w:default="1" w:styleId="1">
    <w:name w:val="Normal"/>
    <w:autoRedefine/>
    <w:qFormat/>
    <w:uiPriority w:val="1"/>
    <w:pPr>
      <w:widowControl w:val="0"/>
      <w:autoSpaceDE w:val="0"/>
      <w:autoSpaceDN w:val="0"/>
    </w:pPr>
    <w:rPr>
      <w:rFonts w:ascii="Times New Roman" w:hAnsi="Times New Roman" w:eastAsia="Times New Roman" w:cs="Times New Roman"/>
      <w:sz w:val="22"/>
      <w:szCs w:val="22"/>
      <w:lang w:val="pt-BR" w:eastAsia="en-US" w:bidi="ar-SA"/>
    </w:rPr>
  </w:style>
  <w:style w:type="paragraph" w:styleId="2">
    <w:name w:val="heading 1"/>
    <w:basedOn w:val="1"/>
    <w:autoRedefine/>
    <w:qFormat/>
    <w:uiPriority w:val="1"/>
    <w:pPr>
      <w:ind w:left="1041" w:right="1498"/>
      <w:jc w:val="center"/>
      <w:outlineLvl w:val="0"/>
    </w:pPr>
    <w:rPr>
      <w:b/>
      <w:bCs/>
      <w:sz w:val="24"/>
      <w:szCs w:val="24"/>
    </w:rPr>
  </w:style>
  <w:style w:type="paragraph" w:styleId="3">
    <w:name w:val="heading 2"/>
    <w:basedOn w:val="1"/>
    <w:autoRedefine/>
    <w:qFormat/>
    <w:uiPriority w:val="1"/>
    <w:pPr>
      <w:spacing w:before="1"/>
      <w:ind w:left="1041" w:right="1497"/>
      <w:jc w:val="center"/>
      <w:outlineLvl w:val="1"/>
    </w:pPr>
    <w:rPr>
      <w:b/>
      <w:bCs/>
      <w:i/>
      <w:iCs/>
      <w:sz w:val="24"/>
      <w:szCs w:val="24"/>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Strong"/>
    <w:basedOn w:val="4"/>
    <w:qFormat/>
    <w:uiPriority w:val="0"/>
    <w:rPr>
      <w:b/>
      <w:bCs/>
    </w:rPr>
  </w:style>
  <w:style w:type="character" w:styleId="7">
    <w:name w:val="FollowedHyperlink"/>
    <w:basedOn w:val="4"/>
    <w:qFormat/>
    <w:uiPriority w:val="0"/>
    <w:rPr>
      <w:color w:val="800080"/>
      <w:u w:val="single"/>
    </w:rPr>
  </w:style>
  <w:style w:type="character" w:styleId="8">
    <w:name w:val="Hyperlink"/>
    <w:basedOn w:val="4"/>
    <w:autoRedefine/>
    <w:qFormat/>
    <w:uiPriority w:val="0"/>
    <w:rPr>
      <w:color w:val="0000FF"/>
      <w:u w:val="single"/>
    </w:rPr>
  </w:style>
  <w:style w:type="paragraph" w:styleId="9">
    <w:name w:val="toc 2"/>
    <w:basedOn w:val="1"/>
    <w:autoRedefine/>
    <w:qFormat/>
    <w:uiPriority w:val="1"/>
    <w:pPr>
      <w:spacing w:before="101"/>
      <w:ind w:left="501"/>
    </w:pPr>
    <w:rPr>
      <w:i/>
      <w:iCs/>
      <w:sz w:val="24"/>
      <w:szCs w:val="24"/>
    </w:rPr>
  </w:style>
  <w:style w:type="paragraph" w:styleId="10">
    <w:name w:val="Body Text"/>
    <w:basedOn w:val="1"/>
    <w:qFormat/>
    <w:uiPriority w:val="1"/>
    <w:rPr>
      <w:sz w:val="24"/>
      <w:szCs w:val="24"/>
    </w:rPr>
  </w:style>
  <w:style w:type="paragraph" w:styleId="11">
    <w:name w:val="Normal (Web)"/>
    <w:basedOn w:val="1"/>
    <w:qFormat/>
    <w:uiPriority w:val="0"/>
    <w:pPr>
      <w:spacing w:beforeAutospacing="1" w:afterAutospacing="1"/>
    </w:pPr>
    <w:rPr>
      <w:rFonts w:eastAsia="SimSun"/>
      <w:szCs w:val="24"/>
      <w:lang w:val="en-US" w:eastAsia="zh-CN"/>
    </w:rPr>
  </w:style>
  <w:style w:type="paragraph" w:styleId="12">
    <w:name w:val="header"/>
    <w:basedOn w:val="1"/>
    <w:unhideWhenUsed/>
    <w:qFormat/>
    <w:uiPriority w:val="99"/>
    <w:pPr>
      <w:tabs>
        <w:tab w:val="center" w:pos="4252"/>
        <w:tab w:val="right" w:pos="8504"/>
      </w:tabs>
    </w:pPr>
  </w:style>
  <w:style w:type="paragraph" w:styleId="13">
    <w:name w:val="footer"/>
    <w:basedOn w:val="1"/>
    <w:qFormat/>
    <w:uiPriority w:val="0"/>
    <w:pPr>
      <w:tabs>
        <w:tab w:val="center" w:pos="4252"/>
        <w:tab w:val="right" w:pos="8504"/>
      </w:tabs>
    </w:pPr>
  </w:style>
  <w:style w:type="paragraph" w:styleId="14">
    <w:name w:val="toc 3"/>
    <w:basedOn w:val="1"/>
    <w:qFormat/>
    <w:uiPriority w:val="1"/>
    <w:pPr>
      <w:spacing w:before="99"/>
      <w:ind w:left="720"/>
    </w:pPr>
    <w:rPr>
      <w:sz w:val="24"/>
      <w:szCs w:val="24"/>
    </w:rPr>
  </w:style>
  <w:style w:type="paragraph" w:styleId="15">
    <w:name w:val="Subtitle"/>
    <w:basedOn w:val="1"/>
    <w:link w:val="28"/>
    <w:qFormat/>
    <w:uiPriority w:val="0"/>
    <w:pPr>
      <w:widowControl/>
      <w:autoSpaceDE/>
      <w:autoSpaceDN/>
      <w:jc w:val="center"/>
    </w:pPr>
    <w:rPr>
      <w:sz w:val="32"/>
      <w:szCs w:val="24"/>
    </w:rPr>
  </w:style>
  <w:style w:type="paragraph" w:styleId="16">
    <w:name w:val="toc 1"/>
    <w:basedOn w:val="1"/>
    <w:autoRedefine/>
    <w:qFormat/>
    <w:uiPriority w:val="1"/>
    <w:pPr>
      <w:spacing w:before="101"/>
      <w:ind w:left="501"/>
    </w:pPr>
    <w:rPr>
      <w:sz w:val="24"/>
      <w:szCs w:val="24"/>
    </w:rPr>
  </w:style>
  <w:style w:type="table" w:styleId="17">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Table Normal"/>
    <w:semiHidden/>
    <w:unhideWhenUsed/>
    <w:qFormat/>
    <w:uiPriority w:val="2"/>
    <w:tblPr>
      <w:tblCellMar>
        <w:top w:w="0" w:type="dxa"/>
        <w:left w:w="0" w:type="dxa"/>
        <w:bottom w:w="0" w:type="dxa"/>
        <w:right w:w="0" w:type="dxa"/>
      </w:tblCellMar>
    </w:tblPr>
  </w:style>
  <w:style w:type="paragraph" w:styleId="19">
    <w:name w:val="List Paragraph"/>
    <w:basedOn w:val="1"/>
    <w:autoRedefine/>
    <w:qFormat/>
    <w:uiPriority w:val="1"/>
    <w:pPr>
      <w:widowControl/>
      <w:numPr>
        <w:ilvl w:val="0"/>
        <w:numId w:val="1"/>
      </w:numPr>
      <w:tabs>
        <w:tab w:val="left" w:pos="9240"/>
      </w:tabs>
      <w:autoSpaceDE/>
      <w:autoSpaceDN/>
      <w:spacing w:before="120" w:beforeLines="50" w:after="120" w:line="360" w:lineRule="auto"/>
      <w:ind w:right="304" w:rightChars="138"/>
      <w:jc w:val="both"/>
    </w:pPr>
  </w:style>
  <w:style w:type="paragraph" w:customStyle="1" w:styleId="20">
    <w:name w:val="Table Paragraph"/>
    <w:basedOn w:val="1"/>
    <w:qFormat/>
    <w:uiPriority w:val="1"/>
    <w:pPr>
      <w:spacing w:line="360" w:lineRule="auto"/>
      <w:ind w:left="108"/>
      <w:jc w:val="both"/>
    </w:pPr>
  </w:style>
  <w:style w:type="character" w:customStyle="1" w:styleId="21">
    <w:name w:val="apple-converted-space"/>
    <w:basedOn w:val="4"/>
    <w:autoRedefine/>
    <w:qFormat/>
    <w:uiPriority w:val="0"/>
  </w:style>
  <w:style w:type="paragraph" w:customStyle="1" w:styleId="22">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23">
    <w:name w:val="Nível 1-Sem Num Preto"/>
    <w:basedOn w:val="24"/>
    <w:autoRedefine/>
    <w:qFormat/>
    <w:uiPriority w:val="0"/>
    <w:pPr>
      <w:tabs>
        <w:tab w:val="left" w:pos="567"/>
      </w:tabs>
    </w:pPr>
    <w:rPr>
      <w:color w:val="auto"/>
      <w:lang w:eastAsia="zh-CN" w:bidi="hi-IN"/>
    </w:rPr>
  </w:style>
  <w:style w:type="paragraph" w:customStyle="1" w:styleId="24">
    <w:name w:val="Nível 1-Sem Num"/>
    <w:basedOn w:val="25"/>
    <w:qFormat/>
    <w:uiPriority w:val="0"/>
    <w:pPr>
      <w:numPr>
        <w:numId w:val="0"/>
      </w:numPr>
      <w:tabs>
        <w:tab w:val="left" w:pos="567"/>
      </w:tabs>
      <w:outlineLvl w:val="1"/>
    </w:pPr>
    <w:rPr>
      <w:color w:val="FF0000"/>
    </w:rPr>
  </w:style>
  <w:style w:type="paragraph" w:customStyle="1" w:styleId="25">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sz w:val="20"/>
      <w:szCs w:val="20"/>
    </w:rPr>
  </w:style>
  <w:style w:type="paragraph" w:customStyle="1" w:styleId="2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27">
    <w:name w:val="Default"/>
    <w:qFormat/>
    <w:uiPriority w:val="0"/>
    <w:rPr>
      <w:rFonts w:ascii="Arial" w:hAnsi="Arial" w:eastAsia="Calibri" w:cs="Arial"/>
      <w:color w:val="000000"/>
      <w:sz w:val="24"/>
      <w:szCs w:val="24"/>
      <w:lang w:val="pt-BR" w:eastAsia="zh-CN" w:bidi="ar-SA"/>
    </w:rPr>
  </w:style>
  <w:style w:type="character" w:customStyle="1" w:styleId="28">
    <w:name w:val="Subtítulo Char"/>
    <w:basedOn w:val="4"/>
    <w:link w:val="15"/>
    <w:qFormat/>
    <w:uiPriority w:val="0"/>
    <w:rPr>
      <w:rFonts w:eastAsia="Times New Roman"/>
      <w:sz w:val="32"/>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0535AC-7458-4C16-A151-79632F5511D5}">
  <ds:schemaRefs/>
</ds:datastoreItem>
</file>

<file path=docProps/app.xml><?xml version="1.0" encoding="utf-8"?>
<Properties xmlns="http://schemas.openxmlformats.org/officeDocument/2006/extended-properties" xmlns:vt="http://schemas.openxmlformats.org/officeDocument/2006/docPropsVTypes">
  <Template>Normal</Template>
  <Pages>30</Pages>
  <Words>8101</Words>
  <Characters>46176</Characters>
  <Lines>384</Lines>
  <Paragraphs>108</Paragraphs>
  <TotalTime>23</TotalTime>
  <ScaleCrop>false</ScaleCrop>
  <LinksUpToDate>false</LinksUpToDate>
  <CharactersWithSpaces>54169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2025-12-01T19:45:00Z</dcterms:created>
  <dc:creator>User</dc:creator>
  <cp:lastModifiedBy>debora.strack</cp:lastModifiedBy>
  <cp:lastPrinted>2026-03-19T20:30:00Z</cp:lastPrinted>
  <dcterms:modified xsi:type="dcterms:W3CDTF">2026-04-28T19:05:20Z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WPS Writer</vt:lpwstr>
  </property>
  <property fmtid="{D5CDD505-2E9C-101B-9397-08002B2CF9AE}" pid="4" name="LastSaved">
    <vt:filetime>2024-01-19T00:00:00Z</vt:filetime>
  </property>
  <property fmtid="{D5CDD505-2E9C-101B-9397-08002B2CF9AE}" pid="5" name="KSOProductBuildVer">
    <vt:lpwstr>1046-12.2.0.22549</vt:lpwstr>
  </property>
  <property fmtid="{D5CDD505-2E9C-101B-9397-08002B2CF9AE}" pid="6" name="ICV">
    <vt:lpwstr>B0F772E4D13347CD814474EB0BB3C13F_13</vt:lpwstr>
  </property>
</Properties>
</file>