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B24" w:rsidRDefault="004E0B24" w:rsidP="00932292">
      <w:pPr>
        <w:shd w:val="clear" w:color="auto" w:fill="E6E6E6"/>
        <w:spacing w:before="100" w:beforeAutospacing="1" w:after="100" w:afterAutospacing="1" w:line="240" w:lineRule="auto"/>
        <w:jc w:val="both"/>
        <w:rPr>
          <w:rFonts w:ascii="Calibri" w:eastAsia="Times New Roman" w:hAnsi="Calibri" w:cs="Times New Roman"/>
          <w:b/>
          <w:bCs/>
          <w:caps/>
          <w:color w:val="000000"/>
          <w:sz w:val="20"/>
          <w:szCs w:val="20"/>
          <w:lang w:eastAsia="pt-BR"/>
        </w:rPr>
      </w:pPr>
      <w:r>
        <w:rPr>
          <w:rFonts w:ascii="Calibri" w:eastAsia="Times New Roman" w:hAnsi="Calibri" w:cs="Times New Roman"/>
          <w:b/>
          <w:bCs/>
          <w:caps/>
          <w:color w:val="000000"/>
          <w:sz w:val="20"/>
          <w:szCs w:val="20"/>
          <w:lang w:eastAsia="pt-BR"/>
        </w:rPr>
        <w:t>hOSPITAL uNIVERSITÁRIO pROFESSOR eDGARD sANTOS</w:t>
      </w:r>
    </w:p>
    <w:p w:rsidR="004E0B24" w:rsidRDefault="004E0B24" w:rsidP="00932292">
      <w:pPr>
        <w:shd w:val="clear" w:color="auto" w:fill="E6E6E6"/>
        <w:spacing w:before="100" w:beforeAutospacing="1" w:after="100" w:afterAutospacing="1" w:line="240" w:lineRule="auto"/>
        <w:jc w:val="both"/>
        <w:rPr>
          <w:rFonts w:ascii="Calibri" w:eastAsia="Times New Roman" w:hAnsi="Calibri" w:cs="Times New Roman"/>
          <w:b/>
          <w:bCs/>
          <w:caps/>
          <w:color w:val="000000"/>
          <w:sz w:val="20"/>
          <w:szCs w:val="20"/>
          <w:lang w:eastAsia="pt-BR"/>
        </w:rPr>
      </w:pPr>
      <w:r>
        <w:rPr>
          <w:rFonts w:ascii="Calibri" w:eastAsia="Times New Roman" w:hAnsi="Calibri" w:cs="Times New Roman"/>
          <w:b/>
          <w:bCs/>
          <w:caps/>
          <w:color w:val="000000"/>
          <w:sz w:val="20"/>
          <w:szCs w:val="20"/>
          <w:lang w:eastAsia="pt-BR"/>
        </w:rPr>
        <w:t>dISPENSA ELETRÔNICA 35/2021</w:t>
      </w:r>
    </w:p>
    <w:p w:rsidR="004E0B24" w:rsidRPr="004E0B24" w:rsidRDefault="004E0B24" w:rsidP="004E0B24">
      <w:pPr>
        <w:shd w:val="clear" w:color="auto" w:fill="E6E6E6"/>
        <w:spacing w:before="100" w:beforeAutospacing="1" w:after="100" w:afterAutospacing="1" w:line="240" w:lineRule="auto"/>
        <w:jc w:val="both"/>
        <w:rPr>
          <w:rFonts w:ascii="Calibri" w:eastAsia="Times New Roman" w:hAnsi="Calibri" w:cs="Times New Roman"/>
          <w:b/>
          <w:bCs/>
          <w:caps/>
          <w:color w:val="000000"/>
          <w:sz w:val="20"/>
          <w:szCs w:val="20"/>
          <w:lang w:eastAsia="pt-BR"/>
        </w:rPr>
      </w:pPr>
    </w:p>
    <w:p w:rsidR="005311CC" w:rsidRPr="00932292" w:rsidRDefault="004E0B24" w:rsidP="004E0B24">
      <w:pPr>
        <w:pStyle w:val="PargrafodaLista"/>
        <w:shd w:val="clear" w:color="auto" w:fill="E6E6E6"/>
        <w:spacing w:before="100" w:beforeAutospacing="1" w:after="100" w:afterAutospacing="1" w:line="240" w:lineRule="auto"/>
        <w:jc w:val="both"/>
        <w:rPr>
          <w:rFonts w:ascii="Calibri" w:eastAsia="Times New Roman" w:hAnsi="Calibri" w:cs="Times New Roman"/>
          <w:b/>
          <w:bCs/>
          <w:caps/>
          <w:color w:val="000000"/>
          <w:sz w:val="20"/>
          <w:szCs w:val="20"/>
          <w:lang w:eastAsia="pt-BR"/>
        </w:rPr>
      </w:pPr>
      <w:r>
        <w:rPr>
          <w:rFonts w:ascii="Calibri" w:eastAsia="Times New Roman" w:hAnsi="Calibri" w:cs="Times New Roman"/>
          <w:b/>
          <w:bCs/>
          <w:caps/>
          <w:color w:val="000000"/>
          <w:sz w:val="20"/>
          <w:szCs w:val="20"/>
          <w:lang w:eastAsia="pt-BR"/>
        </w:rPr>
        <w:t xml:space="preserve">1.0 </w:t>
      </w:r>
      <w:r w:rsidR="005311CC" w:rsidRPr="00932292">
        <w:rPr>
          <w:rFonts w:ascii="Calibri" w:eastAsia="Times New Roman" w:hAnsi="Calibri" w:cs="Times New Roman"/>
          <w:b/>
          <w:bCs/>
          <w:caps/>
          <w:color w:val="000000"/>
          <w:sz w:val="20"/>
          <w:szCs w:val="20"/>
          <w:lang w:eastAsia="pt-BR"/>
        </w:rPr>
        <w:t>OBJETO:</w:t>
      </w:r>
    </w:p>
    <w:p w:rsidR="005311CC" w:rsidRPr="005311CC" w:rsidRDefault="005311CC" w:rsidP="005311CC">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5311CC">
        <w:rPr>
          <w:rFonts w:ascii="Calibri" w:eastAsia="Times New Roman" w:hAnsi="Calibri" w:cs="Times New Roman"/>
          <w:color w:val="000000"/>
          <w:sz w:val="20"/>
          <w:szCs w:val="20"/>
          <w:lang w:eastAsia="pt-BR"/>
        </w:rPr>
        <w:t>Aquisição de Equipamentos de Proteção Respiratória/Espaço Confinado, para atender as necessidades do </w:t>
      </w:r>
      <w:r w:rsidRPr="005311CC">
        <w:rPr>
          <w:rFonts w:ascii="Calibri" w:eastAsia="Times New Roman" w:hAnsi="Calibri" w:cs="Times New Roman"/>
          <w:b/>
          <w:bCs/>
          <w:color w:val="000000"/>
          <w:sz w:val="20"/>
          <w:szCs w:val="20"/>
          <w:lang w:eastAsia="pt-BR"/>
        </w:rPr>
        <w:t>Hospital Universitário Professor Edgard Santos (HUPES) - Filial EBSERH</w:t>
      </w:r>
      <w:r w:rsidRPr="005311CC">
        <w:rPr>
          <w:rFonts w:ascii="Calibri" w:eastAsia="Times New Roman" w:hAnsi="Calibri" w:cs="Times New Roman"/>
          <w:color w:val="000000"/>
          <w:sz w:val="20"/>
          <w:szCs w:val="20"/>
          <w:lang w:eastAsia="pt-BR"/>
        </w:rPr>
        <w:t>, conforme especificações e quantidades estabelecidas abaixo:</w:t>
      </w:r>
    </w:p>
    <w:tbl>
      <w:tblPr>
        <w:tblW w:w="5528" w:type="pct"/>
        <w:tblCellSpacing w:w="7" w:type="dxa"/>
        <w:tblBorders>
          <w:top w:val="outset" w:sz="6" w:space="0" w:color="auto"/>
          <w:left w:val="outset" w:sz="6" w:space="0" w:color="auto"/>
          <w:bottom w:val="outset" w:sz="6" w:space="0" w:color="auto"/>
          <w:right w:val="outset" w:sz="6" w:space="0" w:color="auto"/>
        </w:tblBorders>
        <w:tblCellMar>
          <w:top w:w="90" w:type="dxa"/>
          <w:left w:w="90" w:type="dxa"/>
          <w:bottom w:w="90" w:type="dxa"/>
          <w:right w:w="90" w:type="dxa"/>
        </w:tblCellMar>
        <w:tblLook w:val="04A0" w:firstRow="1" w:lastRow="0" w:firstColumn="1" w:lastColumn="0" w:noHBand="0" w:noVBand="1"/>
      </w:tblPr>
      <w:tblGrid>
        <w:gridCol w:w="952"/>
        <w:gridCol w:w="1492"/>
        <w:gridCol w:w="2654"/>
        <w:gridCol w:w="2490"/>
        <w:gridCol w:w="2077"/>
      </w:tblGrid>
      <w:tr w:rsidR="005311CC" w:rsidRPr="005311CC" w:rsidTr="0093229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311CC" w:rsidRPr="005311CC" w:rsidRDefault="005311CC"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5311CC">
              <w:rPr>
                <w:rFonts w:ascii="Times New Roman" w:eastAsia="Times New Roman" w:hAnsi="Times New Roman" w:cs="Times New Roman"/>
                <w:b/>
                <w:bCs/>
                <w:color w:val="000000"/>
                <w:sz w:val="27"/>
                <w:szCs w:val="27"/>
                <w:lang w:eastAsia="pt-BR"/>
              </w:rPr>
              <w:t>ITEM</w:t>
            </w:r>
          </w:p>
        </w:tc>
        <w:tc>
          <w:tcPr>
            <w:tcW w:w="0" w:type="auto"/>
            <w:tcBorders>
              <w:top w:val="outset" w:sz="6" w:space="0" w:color="auto"/>
              <w:left w:val="outset" w:sz="6" w:space="0" w:color="auto"/>
              <w:bottom w:val="outset" w:sz="6" w:space="0" w:color="auto"/>
              <w:right w:val="outset" w:sz="6" w:space="0" w:color="auto"/>
            </w:tcBorders>
            <w:vAlign w:val="center"/>
            <w:hideMark/>
          </w:tcPr>
          <w:p w:rsidR="005311CC" w:rsidRPr="005311CC" w:rsidRDefault="005311CC"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5311CC">
              <w:rPr>
                <w:rFonts w:ascii="Times New Roman" w:eastAsia="Times New Roman" w:hAnsi="Times New Roman" w:cs="Times New Roman"/>
                <w:b/>
                <w:bCs/>
                <w:color w:val="000000"/>
                <w:sz w:val="27"/>
                <w:szCs w:val="27"/>
                <w:lang w:eastAsia="pt-BR"/>
              </w:rPr>
              <w:t> CATMAT</w:t>
            </w:r>
          </w:p>
        </w:tc>
        <w:tc>
          <w:tcPr>
            <w:tcW w:w="0" w:type="auto"/>
            <w:tcBorders>
              <w:top w:val="outset" w:sz="6" w:space="0" w:color="auto"/>
              <w:left w:val="outset" w:sz="6" w:space="0" w:color="auto"/>
              <w:bottom w:val="outset" w:sz="6" w:space="0" w:color="auto"/>
              <w:right w:val="outset" w:sz="6" w:space="0" w:color="auto"/>
            </w:tcBorders>
            <w:vAlign w:val="center"/>
            <w:hideMark/>
          </w:tcPr>
          <w:p w:rsidR="005311CC" w:rsidRPr="005311CC" w:rsidRDefault="005311CC"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5311CC">
              <w:rPr>
                <w:rFonts w:ascii="Times New Roman" w:eastAsia="Times New Roman" w:hAnsi="Times New Roman" w:cs="Times New Roman"/>
                <w:b/>
                <w:bCs/>
                <w:color w:val="000000"/>
                <w:sz w:val="27"/>
                <w:szCs w:val="27"/>
                <w:lang w:eastAsia="pt-BR"/>
              </w:rPr>
              <w:t>DESCRIÇÃO</w:t>
            </w:r>
          </w:p>
        </w:tc>
        <w:tc>
          <w:tcPr>
            <w:tcW w:w="0" w:type="auto"/>
            <w:tcBorders>
              <w:top w:val="outset" w:sz="6" w:space="0" w:color="auto"/>
              <w:left w:val="outset" w:sz="6" w:space="0" w:color="auto"/>
              <w:bottom w:val="outset" w:sz="6" w:space="0" w:color="auto"/>
              <w:right w:val="outset" w:sz="6" w:space="0" w:color="auto"/>
            </w:tcBorders>
            <w:vAlign w:val="center"/>
            <w:hideMark/>
          </w:tcPr>
          <w:p w:rsidR="005311CC" w:rsidRPr="005311CC" w:rsidRDefault="005311CC"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5311CC">
              <w:rPr>
                <w:rFonts w:ascii="Times New Roman" w:eastAsia="Times New Roman" w:hAnsi="Times New Roman" w:cs="Times New Roman"/>
                <w:b/>
                <w:bCs/>
                <w:color w:val="000000"/>
                <w:sz w:val="27"/>
                <w:szCs w:val="27"/>
                <w:lang w:eastAsia="pt-BR"/>
              </w:rPr>
              <w:t> UNIDADE DE FORNECIMENTO</w:t>
            </w:r>
          </w:p>
        </w:tc>
        <w:tc>
          <w:tcPr>
            <w:tcW w:w="0" w:type="auto"/>
            <w:tcBorders>
              <w:top w:val="outset" w:sz="6" w:space="0" w:color="auto"/>
              <w:left w:val="outset" w:sz="6" w:space="0" w:color="auto"/>
              <w:bottom w:val="outset" w:sz="6" w:space="0" w:color="auto"/>
              <w:right w:val="outset" w:sz="6" w:space="0" w:color="auto"/>
            </w:tcBorders>
            <w:vAlign w:val="center"/>
            <w:hideMark/>
          </w:tcPr>
          <w:p w:rsidR="005311CC" w:rsidRPr="005311CC" w:rsidRDefault="005311CC"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5311CC">
              <w:rPr>
                <w:rFonts w:ascii="Times New Roman" w:eastAsia="Times New Roman" w:hAnsi="Times New Roman" w:cs="Times New Roman"/>
                <w:b/>
                <w:bCs/>
                <w:color w:val="000000"/>
                <w:sz w:val="27"/>
                <w:szCs w:val="27"/>
                <w:lang w:eastAsia="pt-BR"/>
              </w:rPr>
              <w:t>QUANTIDADE</w:t>
            </w:r>
          </w:p>
        </w:tc>
      </w:tr>
      <w:tr w:rsidR="005311CC" w:rsidRPr="005311CC" w:rsidTr="0093229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311CC" w:rsidRPr="005311CC" w:rsidRDefault="005311CC"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proofErr w:type="gramStart"/>
            <w:r w:rsidRPr="005311CC">
              <w:rPr>
                <w:rFonts w:ascii="Times New Roman" w:eastAsia="Times New Roman" w:hAnsi="Times New Roman" w:cs="Times New Roman"/>
                <w:color w:val="000000"/>
                <w:sz w:val="27"/>
                <w:szCs w:val="27"/>
                <w:lang w:eastAsia="pt-BR"/>
              </w:rPr>
              <w:t>1</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5311CC" w:rsidRPr="005311CC" w:rsidRDefault="005311CC"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5311CC">
              <w:rPr>
                <w:rFonts w:ascii="Times New Roman" w:eastAsia="Times New Roman" w:hAnsi="Times New Roman" w:cs="Times New Roman"/>
                <w:color w:val="000000"/>
                <w:sz w:val="27"/>
                <w:szCs w:val="27"/>
                <w:lang w:eastAsia="pt-BR"/>
              </w:rPr>
              <w:t>150317</w:t>
            </w:r>
          </w:p>
        </w:tc>
        <w:tc>
          <w:tcPr>
            <w:tcW w:w="0" w:type="auto"/>
            <w:tcBorders>
              <w:top w:val="outset" w:sz="6" w:space="0" w:color="auto"/>
              <w:left w:val="outset" w:sz="6" w:space="0" w:color="auto"/>
              <w:bottom w:val="outset" w:sz="6" w:space="0" w:color="auto"/>
              <w:right w:val="outset" w:sz="6" w:space="0" w:color="auto"/>
            </w:tcBorders>
            <w:vAlign w:val="center"/>
            <w:hideMark/>
          </w:tcPr>
          <w:p w:rsidR="005311CC" w:rsidRPr="005311CC" w:rsidRDefault="005311CC"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5311CC">
              <w:rPr>
                <w:rFonts w:ascii="Times New Roman" w:eastAsia="Times New Roman" w:hAnsi="Times New Roman" w:cs="Times New Roman"/>
                <w:b/>
                <w:bCs/>
                <w:color w:val="000000"/>
                <w:sz w:val="27"/>
                <w:szCs w:val="27"/>
                <w:lang w:eastAsia="pt-BR"/>
              </w:rPr>
              <w:t>Kit Fit Test Para Ensaio de Vedação</w:t>
            </w:r>
            <w:r w:rsidRPr="005311CC">
              <w:rPr>
                <w:rFonts w:ascii="Times New Roman" w:eastAsia="Times New Roman" w:hAnsi="Times New Roman" w:cs="Times New Roman"/>
                <w:color w:val="000000"/>
                <w:sz w:val="27"/>
                <w:szCs w:val="27"/>
                <w:lang w:eastAsia="pt-BR"/>
              </w:rPr>
              <w:t> - Cada kit deve conter: um manual de instruções, um frasco de solução diluída para teste de acuidade do paladar, um frasco de solução concentrada para ensaio de vedação, dois nebulizadores, um capuz e uma gola e dois conjuntos de peças de reposição para os nebulizadores.</w:t>
            </w:r>
          </w:p>
        </w:tc>
        <w:tc>
          <w:tcPr>
            <w:tcW w:w="0" w:type="auto"/>
            <w:tcBorders>
              <w:top w:val="outset" w:sz="6" w:space="0" w:color="auto"/>
              <w:left w:val="outset" w:sz="6" w:space="0" w:color="auto"/>
              <w:bottom w:val="outset" w:sz="6" w:space="0" w:color="auto"/>
              <w:right w:val="outset" w:sz="6" w:space="0" w:color="auto"/>
            </w:tcBorders>
            <w:vAlign w:val="center"/>
            <w:hideMark/>
          </w:tcPr>
          <w:p w:rsidR="005311CC" w:rsidRPr="005311CC" w:rsidRDefault="005311CC"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5311CC">
              <w:rPr>
                <w:rFonts w:ascii="Times New Roman" w:eastAsia="Times New Roman" w:hAnsi="Times New Roman" w:cs="Times New Roman"/>
                <w:color w:val="000000"/>
                <w:sz w:val="27"/>
                <w:szCs w:val="27"/>
                <w:lang w:eastAsia="pt-BR"/>
              </w:rPr>
              <w:t>Conjunto</w:t>
            </w:r>
          </w:p>
        </w:tc>
        <w:tc>
          <w:tcPr>
            <w:tcW w:w="0" w:type="auto"/>
            <w:tcBorders>
              <w:top w:val="outset" w:sz="6" w:space="0" w:color="auto"/>
              <w:left w:val="outset" w:sz="6" w:space="0" w:color="auto"/>
              <w:bottom w:val="outset" w:sz="6" w:space="0" w:color="auto"/>
              <w:right w:val="outset" w:sz="6" w:space="0" w:color="auto"/>
            </w:tcBorders>
            <w:vAlign w:val="center"/>
            <w:hideMark/>
          </w:tcPr>
          <w:p w:rsidR="005311CC" w:rsidRPr="005311CC" w:rsidRDefault="005311CC"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5311CC">
              <w:rPr>
                <w:rFonts w:ascii="Times New Roman" w:eastAsia="Times New Roman" w:hAnsi="Times New Roman" w:cs="Times New Roman"/>
                <w:color w:val="000000"/>
                <w:sz w:val="27"/>
                <w:szCs w:val="27"/>
                <w:lang w:eastAsia="pt-BR"/>
              </w:rPr>
              <w:t>01</w:t>
            </w:r>
          </w:p>
        </w:tc>
      </w:tr>
      <w:tr w:rsidR="005311CC" w:rsidRPr="005311CC" w:rsidTr="0093229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311CC" w:rsidRPr="005311CC" w:rsidRDefault="005311CC"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proofErr w:type="gramStart"/>
            <w:r w:rsidRPr="005311CC">
              <w:rPr>
                <w:rFonts w:ascii="Times New Roman" w:eastAsia="Times New Roman" w:hAnsi="Times New Roman" w:cs="Times New Roman"/>
                <w:color w:val="000000"/>
                <w:sz w:val="27"/>
                <w:szCs w:val="27"/>
                <w:lang w:eastAsia="pt-BR"/>
              </w:rPr>
              <w:t>2</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5311CC" w:rsidRPr="005311CC" w:rsidRDefault="005311CC"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5311CC">
              <w:rPr>
                <w:rFonts w:ascii="Times New Roman" w:eastAsia="Times New Roman" w:hAnsi="Times New Roman" w:cs="Times New Roman"/>
                <w:color w:val="000000"/>
                <w:sz w:val="27"/>
                <w:szCs w:val="27"/>
                <w:lang w:eastAsia="pt-BR"/>
              </w:rPr>
              <w:t>375603</w:t>
            </w:r>
          </w:p>
        </w:tc>
        <w:tc>
          <w:tcPr>
            <w:tcW w:w="0" w:type="auto"/>
            <w:tcBorders>
              <w:top w:val="outset" w:sz="6" w:space="0" w:color="auto"/>
              <w:left w:val="outset" w:sz="6" w:space="0" w:color="auto"/>
              <w:bottom w:val="outset" w:sz="6" w:space="0" w:color="auto"/>
              <w:right w:val="outset" w:sz="6" w:space="0" w:color="auto"/>
            </w:tcBorders>
            <w:vAlign w:val="center"/>
            <w:hideMark/>
          </w:tcPr>
          <w:p w:rsidR="005311CC" w:rsidRPr="005311CC" w:rsidRDefault="005311CC"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5311CC">
              <w:rPr>
                <w:rFonts w:ascii="Times New Roman" w:eastAsia="Times New Roman" w:hAnsi="Times New Roman" w:cs="Times New Roman"/>
                <w:b/>
                <w:bCs/>
                <w:color w:val="000000"/>
                <w:sz w:val="27"/>
                <w:szCs w:val="27"/>
                <w:lang w:eastAsia="pt-BR"/>
              </w:rPr>
              <w:t>Respirador Purificador de Ar Motorizado</w:t>
            </w:r>
            <w:r w:rsidRPr="005311CC">
              <w:rPr>
                <w:rFonts w:ascii="Times New Roman" w:eastAsia="Times New Roman" w:hAnsi="Times New Roman" w:cs="Times New Roman"/>
                <w:color w:val="000000"/>
                <w:sz w:val="27"/>
                <w:szCs w:val="27"/>
                <w:lang w:eastAsia="pt-BR"/>
              </w:rPr>
              <w:t xml:space="preserve"> - Unidade ventilação, tipo respirador motorizado, com estrutura capuz de </w:t>
            </w:r>
            <w:proofErr w:type="spellStart"/>
            <w:r w:rsidRPr="005311CC">
              <w:rPr>
                <w:rFonts w:ascii="Times New Roman" w:eastAsia="Times New Roman" w:hAnsi="Times New Roman" w:cs="Times New Roman"/>
                <w:color w:val="000000"/>
                <w:sz w:val="27"/>
                <w:szCs w:val="27"/>
                <w:lang w:eastAsia="pt-BR"/>
              </w:rPr>
              <w:t>pead</w:t>
            </w:r>
            <w:proofErr w:type="spellEnd"/>
            <w:r w:rsidRPr="005311CC">
              <w:rPr>
                <w:rFonts w:ascii="Times New Roman" w:eastAsia="Times New Roman" w:hAnsi="Times New Roman" w:cs="Times New Roman"/>
                <w:color w:val="000000"/>
                <w:sz w:val="27"/>
                <w:szCs w:val="27"/>
                <w:lang w:eastAsia="pt-BR"/>
              </w:rPr>
              <w:t xml:space="preserve">, visor poliéster transparente, filtro </w:t>
            </w:r>
            <w:proofErr w:type="spellStart"/>
            <w:r w:rsidRPr="005311CC">
              <w:rPr>
                <w:rFonts w:ascii="Times New Roman" w:eastAsia="Times New Roman" w:hAnsi="Times New Roman" w:cs="Times New Roman"/>
                <w:color w:val="000000"/>
                <w:sz w:val="27"/>
                <w:szCs w:val="27"/>
                <w:lang w:eastAsia="pt-BR"/>
              </w:rPr>
              <w:t>hepa</w:t>
            </w:r>
            <w:proofErr w:type="spellEnd"/>
            <w:r w:rsidRPr="005311CC">
              <w:rPr>
                <w:rFonts w:ascii="Times New Roman" w:eastAsia="Times New Roman" w:hAnsi="Times New Roman" w:cs="Times New Roman"/>
                <w:color w:val="000000"/>
                <w:sz w:val="27"/>
                <w:szCs w:val="27"/>
                <w:lang w:eastAsia="pt-BR"/>
              </w:rPr>
              <w:t xml:space="preserve">, fluxo contínuo ar fresco até 190l/min, outros componentes filtro mecânico alta eficiência, filtros </w:t>
            </w:r>
            <w:proofErr w:type="spellStart"/>
            <w:r w:rsidRPr="005311CC">
              <w:rPr>
                <w:rFonts w:ascii="Times New Roman" w:eastAsia="Times New Roman" w:hAnsi="Times New Roman" w:cs="Times New Roman"/>
                <w:color w:val="000000"/>
                <w:sz w:val="27"/>
                <w:szCs w:val="27"/>
                <w:lang w:eastAsia="pt-BR"/>
              </w:rPr>
              <w:lastRenderedPageBreak/>
              <w:t>multigás</w:t>
            </w:r>
            <w:proofErr w:type="spellEnd"/>
            <w:r w:rsidRPr="005311CC">
              <w:rPr>
                <w:rFonts w:ascii="Times New Roman" w:eastAsia="Times New Roman" w:hAnsi="Times New Roman" w:cs="Times New Roman"/>
                <w:color w:val="000000"/>
                <w:sz w:val="27"/>
                <w:szCs w:val="27"/>
                <w:lang w:eastAsia="pt-BR"/>
              </w:rPr>
              <w:t xml:space="preserve"> características adicionais, dispositivo carregador, bateria recarregável (íons de lítio) com autonomia de 8 horas. Display de </w:t>
            </w:r>
            <w:proofErr w:type="spellStart"/>
            <w:r w:rsidRPr="005311CC">
              <w:rPr>
                <w:rFonts w:ascii="Times New Roman" w:eastAsia="Times New Roman" w:hAnsi="Times New Roman" w:cs="Times New Roman"/>
                <w:color w:val="000000"/>
                <w:sz w:val="27"/>
                <w:szCs w:val="27"/>
                <w:lang w:eastAsia="pt-BR"/>
              </w:rPr>
              <w:t>led</w:t>
            </w:r>
            <w:proofErr w:type="spellEnd"/>
            <w:r w:rsidRPr="005311CC">
              <w:rPr>
                <w:rFonts w:ascii="Times New Roman" w:eastAsia="Times New Roman" w:hAnsi="Times New Roman" w:cs="Times New Roman"/>
                <w:color w:val="000000"/>
                <w:sz w:val="27"/>
                <w:szCs w:val="27"/>
                <w:lang w:eastAsia="pt-BR"/>
              </w:rPr>
              <w:t xml:space="preserve"> que indica o nível de carga. Alarme eletrônico visual e sonoro em caso de baixo nível de bateria ou baixo fluxo de ar. Traqueia e indicador de fluxo de ar. Adequado para uso em chuveiro de descontaminação (ip53).</w:t>
            </w:r>
          </w:p>
        </w:tc>
        <w:tc>
          <w:tcPr>
            <w:tcW w:w="0" w:type="auto"/>
            <w:tcBorders>
              <w:top w:val="outset" w:sz="6" w:space="0" w:color="auto"/>
              <w:left w:val="outset" w:sz="6" w:space="0" w:color="auto"/>
              <w:bottom w:val="outset" w:sz="6" w:space="0" w:color="auto"/>
              <w:right w:val="outset" w:sz="6" w:space="0" w:color="auto"/>
            </w:tcBorders>
            <w:vAlign w:val="center"/>
            <w:hideMark/>
          </w:tcPr>
          <w:p w:rsidR="005311CC" w:rsidRPr="005311CC" w:rsidRDefault="005311CC"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5311CC">
              <w:rPr>
                <w:rFonts w:ascii="Times New Roman" w:eastAsia="Times New Roman" w:hAnsi="Times New Roman" w:cs="Times New Roman"/>
                <w:color w:val="000000"/>
                <w:sz w:val="27"/>
                <w:szCs w:val="27"/>
                <w:lang w:eastAsia="pt-BR"/>
              </w:rPr>
              <w:lastRenderedPageBreak/>
              <w:t>Conjunto</w:t>
            </w:r>
          </w:p>
        </w:tc>
        <w:tc>
          <w:tcPr>
            <w:tcW w:w="0" w:type="auto"/>
            <w:tcBorders>
              <w:top w:val="outset" w:sz="6" w:space="0" w:color="auto"/>
              <w:left w:val="outset" w:sz="6" w:space="0" w:color="auto"/>
              <w:bottom w:val="outset" w:sz="6" w:space="0" w:color="auto"/>
              <w:right w:val="outset" w:sz="6" w:space="0" w:color="auto"/>
            </w:tcBorders>
            <w:vAlign w:val="center"/>
            <w:hideMark/>
          </w:tcPr>
          <w:p w:rsidR="005311CC" w:rsidRPr="005311CC" w:rsidRDefault="005311CC"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5311CC">
              <w:rPr>
                <w:rFonts w:ascii="Times New Roman" w:eastAsia="Times New Roman" w:hAnsi="Times New Roman" w:cs="Times New Roman"/>
                <w:color w:val="000000"/>
                <w:sz w:val="27"/>
                <w:szCs w:val="27"/>
                <w:lang w:eastAsia="pt-BR"/>
              </w:rPr>
              <w:t>01</w:t>
            </w:r>
          </w:p>
        </w:tc>
      </w:tr>
      <w:tr w:rsidR="005311CC" w:rsidRPr="005311CC" w:rsidTr="0093229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311CC" w:rsidRPr="005311CC" w:rsidRDefault="00932292"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proofErr w:type="gramStart"/>
            <w:r>
              <w:rPr>
                <w:rFonts w:ascii="Times New Roman" w:eastAsia="Times New Roman" w:hAnsi="Times New Roman" w:cs="Times New Roman"/>
                <w:color w:val="000000"/>
                <w:sz w:val="27"/>
                <w:szCs w:val="27"/>
                <w:lang w:eastAsia="pt-BR"/>
              </w:rPr>
              <w:lastRenderedPageBreak/>
              <w:t>3</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5311CC" w:rsidRPr="005311CC" w:rsidRDefault="005311CC"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5311CC">
              <w:rPr>
                <w:rFonts w:ascii="Times New Roman" w:eastAsia="Times New Roman" w:hAnsi="Times New Roman" w:cs="Times New Roman"/>
                <w:color w:val="000000"/>
                <w:sz w:val="27"/>
                <w:szCs w:val="27"/>
                <w:lang w:eastAsia="pt-BR"/>
              </w:rPr>
              <w:t>331602</w:t>
            </w:r>
          </w:p>
        </w:tc>
        <w:tc>
          <w:tcPr>
            <w:tcW w:w="0" w:type="auto"/>
            <w:tcBorders>
              <w:top w:val="outset" w:sz="6" w:space="0" w:color="auto"/>
              <w:left w:val="outset" w:sz="6" w:space="0" w:color="auto"/>
              <w:bottom w:val="outset" w:sz="6" w:space="0" w:color="auto"/>
              <w:right w:val="outset" w:sz="6" w:space="0" w:color="auto"/>
            </w:tcBorders>
            <w:vAlign w:val="center"/>
            <w:hideMark/>
          </w:tcPr>
          <w:p w:rsidR="005311CC" w:rsidRPr="005311CC" w:rsidRDefault="005311CC"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5311CC">
              <w:rPr>
                <w:rFonts w:ascii="Times New Roman" w:eastAsia="Times New Roman" w:hAnsi="Times New Roman" w:cs="Times New Roman"/>
                <w:b/>
                <w:bCs/>
                <w:color w:val="000000"/>
                <w:sz w:val="27"/>
                <w:szCs w:val="27"/>
                <w:lang w:eastAsia="pt-BR"/>
              </w:rPr>
              <w:t>Exaustor e Insuflador de Ar Portátil</w:t>
            </w:r>
            <w:r w:rsidRPr="005311CC">
              <w:rPr>
                <w:rFonts w:ascii="Times New Roman" w:eastAsia="Times New Roman" w:hAnsi="Times New Roman" w:cs="Times New Roman"/>
                <w:color w:val="000000"/>
                <w:sz w:val="27"/>
                <w:szCs w:val="27"/>
                <w:lang w:eastAsia="pt-BR"/>
              </w:rPr>
              <w:t> - Exaustor e Insuflador de ar confeccionado em chapa estampada com pintura epóxi a pó e motor em alumínio injetado, possuir um exaustor centrifugo com as seguintes características:</w:t>
            </w:r>
          </w:p>
          <w:p w:rsidR="005311CC" w:rsidRPr="005311CC" w:rsidRDefault="005311CC"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5311CC">
              <w:rPr>
                <w:rFonts w:ascii="Times New Roman" w:eastAsia="Times New Roman" w:hAnsi="Times New Roman" w:cs="Times New Roman"/>
                <w:color w:val="000000"/>
                <w:sz w:val="27"/>
                <w:szCs w:val="27"/>
                <w:lang w:eastAsia="pt-BR"/>
              </w:rPr>
              <w:t>• Vazão mínima: 1.800 m³/h;</w:t>
            </w:r>
          </w:p>
          <w:p w:rsidR="005311CC" w:rsidRPr="005311CC" w:rsidRDefault="005311CC"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5311CC">
              <w:rPr>
                <w:rFonts w:ascii="Times New Roman" w:eastAsia="Times New Roman" w:hAnsi="Times New Roman" w:cs="Times New Roman"/>
                <w:color w:val="000000"/>
                <w:sz w:val="27"/>
                <w:szCs w:val="27"/>
                <w:lang w:eastAsia="pt-BR"/>
              </w:rPr>
              <w:t xml:space="preserve">• Potência mínima do motor: </w:t>
            </w:r>
            <w:proofErr w:type="gramStart"/>
            <w:r w:rsidRPr="005311CC">
              <w:rPr>
                <w:rFonts w:ascii="Times New Roman" w:eastAsia="Times New Roman" w:hAnsi="Times New Roman" w:cs="Times New Roman"/>
                <w:color w:val="000000"/>
                <w:sz w:val="27"/>
                <w:szCs w:val="27"/>
                <w:lang w:eastAsia="pt-BR"/>
              </w:rPr>
              <w:t>1,5HP</w:t>
            </w:r>
            <w:proofErr w:type="gramEnd"/>
            <w:r w:rsidRPr="005311CC">
              <w:rPr>
                <w:rFonts w:ascii="Times New Roman" w:eastAsia="Times New Roman" w:hAnsi="Times New Roman" w:cs="Times New Roman"/>
                <w:color w:val="000000"/>
                <w:sz w:val="27"/>
                <w:szCs w:val="27"/>
                <w:lang w:eastAsia="pt-BR"/>
              </w:rPr>
              <w:t>;</w:t>
            </w:r>
          </w:p>
          <w:p w:rsidR="005311CC" w:rsidRPr="005311CC" w:rsidRDefault="005311CC"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5311CC">
              <w:rPr>
                <w:rFonts w:ascii="Times New Roman" w:eastAsia="Times New Roman" w:hAnsi="Times New Roman" w:cs="Times New Roman"/>
                <w:color w:val="000000"/>
                <w:sz w:val="27"/>
                <w:szCs w:val="27"/>
                <w:lang w:eastAsia="pt-BR"/>
              </w:rPr>
              <w:t xml:space="preserve">• Tensão de </w:t>
            </w:r>
            <w:proofErr w:type="gramStart"/>
            <w:r w:rsidRPr="005311CC">
              <w:rPr>
                <w:rFonts w:ascii="Times New Roman" w:eastAsia="Times New Roman" w:hAnsi="Times New Roman" w:cs="Times New Roman"/>
                <w:color w:val="000000"/>
                <w:sz w:val="27"/>
                <w:szCs w:val="27"/>
                <w:lang w:eastAsia="pt-BR"/>
              </w:rPr>
              <w:t>220V</w:t>
            </w:r>
            <w:proofErr w:type="gramEnd"/>
            <w:r w:rsidRPr="005311CC">
              <w:rPr>
                <w:rFonts w:ascii="Times New Roman" w:eastAsia="Times New Roman" w:hAnsi="Times New Roman" w:cs="Times New Roman"/>
                <w:color w:val="000000"/>
                <w:sz w:val="27"/>
                <w:szCs w:val="27"/>
                <w:lang w:eastAsia="pt-BR"/>
              </w:rPr>
              <w:t>, monofásico, frequência de 60 Hz;</w:t>
            </w:r>
          </w:p>
          <w:p w:rsidR="005311CC" w:rsidRPr="005311CC" w:rsidRDefault="005311CC"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5311CC">
              <w:rPr>
                <w:rFonts w:ascii="Times New Roman" w:eastAsia="Times New Roman" w:hAnsi="Times New Roman" w:cs="Times New Roman"/>
                <w:color w:val="000000"/>
                <w:sz w:val="27"/>
                <w:szCs w:val="27"/>
                <w:lang w:eastAsia="pt-BR"/>
              </w:rPr>
              <w:t xml:space="preserve">• Nível de ruído </w:t>
            </w:r>
            <w:r w:rsidRPr="005311CC">
              <w:rPr>
                <w:rFonts w:ascii="Times New Roman" w:eastAsia="Times New Roman" w:hAnsi="Times New Roman" w:cs="Times New Roman"/>
                <w:color w:val="000000"/>
                <w:sz w:val="27"/>
                <w:szCs w:val="27"/>
                <w:lang w:eastAsia="pt-BR"/>
              </w:rPr>
              <w:lastRenderedPageBreak/>
              <w:t xml:space="preserve">máximo: 79 </w:t>
            </w:r>
            <w:proofErr w:type="gramStart"/>
            <w:r w:rsidRPr="005311CC">
              <w:rPr>
                <w:rFonts w:ascii="Times New Roman" w:eastAsia="Times New Roman" w:hAnsi="Times New Roman" w:cs="Times New Roman"/>
                <w:color w:val="000000"/>
                <w:sz w:val="27"/>
                <w:szCs w:val="27"/>
                <w:lang w:eastAsia="pt-BR"/>
              </w:rPr>
              <w:t>dB</w:t>
            </w:r>
            <w:proofErr w:type="gramEnd"/>
            <w:r w:rsidRPr="005311CC">
              <w:rPr>
                <w:rFonts w:ascii="Times New Roman" w:eastAsia="Times New Roman" w:hAnsi="Times New Roman" w:cs="Times New Roman"/>
                <w:color w:val="000000"/>
                <w:sz w:val="27"/>
                <w:szCs w:val="27"/>
                <w:lang w:eastAsia="pt-BR"/>
              </w:rPr>
              <w:t>(A);</w:t>
            </w:r>
          </w:p>
          <w:p w:rsidR="005311CC" w:rsidRPr="005311CC" w:rsidRDefault="005311CC"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5311CC">
              <w:rPr>
                <w:rFonts w:ascii="Times New Roman" w:eastAsia="Times New Roman" w:hAnsi="Times New Roman" w:cs="Times New Roman"/>
                <w:color w:val="000000"/>
                <w:sz w:val="27"/>
                <w:szCs w:val="27"/>
                <w:lang w:eastAsia="pt-BR"/>
              </w:rPr>
              <w:t>Deve possuir 01 mangueira de exaustão/</w:t>
            </w:r>
            <w:proofErr w:type="spellStart"/>
            <w:r w:rsidRPr="005311CC">
              <w:rPr>
                <w:rFonts w:ascii="Times New Roman" w:eastAsia="Times New Roman" w:hAnsi="Times New Roman" w:cs="Times New Roman"/>
                <w:color w:val="000000"/>
                <w:sz w:val="27"/>
                <w:szCs w:val="27"/>
                <w:lang w:eastAsia="pt-BR"/>
              </w:rPr>
              <w:t>insuflamento</w:t>
            </w:r>
            <w:proofErr w:type="spellEnd"/>
            <w:r w:rsidRPr="005311CC">
              <w:rPr>
                <w:rFonts w:ascii="Times New Roman" w:eastAsia="Times New Roman" w:hAnsi="Times New Roman" w:cs="Times New Roman"/>
                <w:color w:val="000000"/>
                <w:sz w:val="27"/>
                <w:szCs w:val="27"/>
                <w:lang w:eastAsia="pt-BR"/>
              </w:rPr>
              <w:t xml:space="preserve"> com diâmetro de </w:t>
            </w:r>
            <w:proofErr w:type="gramStart"/>
            <w:r w:rsidRPr="005311CC">
              <w:rPr>
                <w:rFonts w:ascii="Times New Roman" w:eastAsia="Times New Roman" w:hAnsi="Times New Roman" w:cs="Times New Roman"/>
                <w:color w:val="000000"/>
                <w:sz w:val="27"/>
                <w:szCs w:val="27"/>
                <w:lang w:eastAsia="pt-BR"/>
              </w:rPr>
              <w:t>150mm</w:t>
            </w:r>
            <w:proofErr w:type="gramEnd"/>
            <w:r w:rsidRPr="005311CC">
              <w:rPr>
                <w:rFonts w:ascii="Times New Roman" w:eastAsia="Times New Roman" w:hAnsi="Times New Roman" w:cs="Times New Roman"/>
                <w:color w:val="000000"/>
                <w:sz w:val="27"/>
                <w:szCs w:val="27"/>
                <w:lang w:eastAsia="pt-BR"/>
              </w:rPr>
              <w:t xml:space="preserve"> e comprimento de 10 metros e outra com as mesmas características para exaustão localizada de fumos de solda; Incluir bocal magnético, bolsa para transporte das mangueiras, suporte e rodízio para facilitar o transporte; Atender as exigências das Normas NR-33 e ABNT NBR-14787; Manual de Instruções; Garantia mínima de 01 ano.</w:t>
            </w:r>
          </w:p>
        </w:tc>
        <w:tc>
          <w:tcPr>
            <w:tcW w:w="0" w:type="auto"/>
            <w:tcBorders>
              <w:top w:val="outset" w:sz="6" w:space="0" w:color="auto"/>
              <w:left w:val="outset" w:sz="6" w:space="0" w:color="auto"/>
              <w:bottom w:val="outset" w:sz="6" w:space="0" w:color="auto"/>
              <w:right w:val="outset" w:sz="6" w:space="0" w:color="auto"/>
            </w:tcBorders>
            <w:vAlign w:val="center"/>
            <w:hideMark/>
          </w:tcPr>
          <w:p w:rsidR="005311CC" w:rsidRPr="005311CC" w:rsidRDefault="005311CC"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5311CC">
              <w:rPr>
                <w:rFonts w:ascii="Times New Roman" w:eastAsia="Times New Roman" w:hAnsi="Times New Roman" w:cs="Times New Roman"/>
                <w:color w:val="000000"/>
                <w:sz w:val="27"/>
                <w:szCs w:val="27"/>
                <w:lang w:eastAsia="pt-BR"/>
              </w:rPr>
              <w:lastRenderedPageBreak/>
              <w:t>Conjunto</w:t>
            </w:r>
          </w:p>
        </w:tc>
        <w:tc>
          <w:tcPr>
            <w:tcW w:w="0" w:type="auto"/>
            <w:tcBorders>
              <w:top w:val="outset" w:sz="6" w:space="0" w:color="auto"/>
              <w:left w:val="outset" w:sz="6" w:space="0" w:color="auto"/>
              <w:bottom w:val="outset" w:sz="6" w:space="0" w:color="auto"/>
              <w:right w:val="outset" w:sz="6" w:space="0" w:color="auto"/>
            </w:tcBorders>
            <w:vAlign w:val="center"/>
            <w:hideMark/>
          </w:tcPr>
          <w:p w:rsidR="005311CC" w:rsidRPr="005311CC" w:rsidRDefault="005311CC" w:rsidP="005311CC">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5311CC">
              <w:rPr>
                <w:rFonts w:ascii="Times New Roman" w:eastAsia="Times New Roman" w:hAnsi="Times New Roman" w:cs="Times New Roman"/>
                <w:color w:val="000000"/>
                <w:sz w:val="27"/>
                <w:szCs w:val="27"/>
                <w:lang w:eastAsia="pt-BR"/>
              </w:rPr>
              <w:t>01</w:t>
            </w:r>
          </w:p>
        </w:tc>
      </w:tr>
    </w:tbl>
    <w:p w:rsidR="005311CC" w:rsidRPr="005311CC" w:rsidRDefault="005311CC" w:rsidP="005311CC">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5311CC">
        <w:rPr>
          <w:rFonts w:ascii="Calibri" w:eastAsia="Times New Roman" w:hAnsi="Calibri" w:cs="Times New Roman"/>
          <w:color w:val="000000"/>
          <w:sz w:val="20"/>
          <w:szCs w:val="20"/>
          <w:lang w:eastAsia="pt-BR"/>
        </w:rPr>
        <w:lastRenderedPageBreak/>
        <w:t>Os produtos deverão ter prazo de garantia (validade) mínimo de 12 meses a partir da data da entrega, prevalecendo o prazo de garantia fixado pelo fabricante ou fornecedor, caso maior.</w:t>
      </w:r>
    </w:p>
    <w:p w:rsidR="005311CC" w:rsidRPr="005311CC" w:rsidRDefault="005311CC" w:rsidP="005311CC">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5311CC">
        <w:rPr>
          <w:rFonts w:ascii="Calibri" w:eastAsia="Times New Roman" w:hAnsi="Calibri" w:cs="Times New Roman"/>
          <w:color w:val="000000"/>
          <w:sz w:val="20"/>
          <w:szCs w:val="20"/>
          <w:lang w:eastAsia="pt-BR"/>
        </w:rPr>
        <w:t>Os equipamentos, objeto desta licitação, devem ser acondicionados em embalagem que garanta a integridade do produto e de fácil manuseio. Na embalagem deve constar: descrição do fabricante e fornecedor, prazo de validade, lote, marca, fabricante, modelo, procedência, prazo de garantia e vida útil.</w:t>
      </w:r>
    </w:p>
    <w:p w:rsidR="005311CC" w:rsidRPr="005311CC" w:rsidRDefault="005311CC" w:rsidP="005311CC">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5311CC">
        <w:rPr>
          <w:rFonts w:ascii="Calibri" w:eastAsia="Times New Roman" w:hAnsi="Calibri" w:cs="Times New Roman"/>
          <w:color w:val="000000"/>
          <w:sz w:val="20"/>
          <w:szCs w:val="20"/>
          <w:lang w:eastAsia="pt-BR"/>
        </w:rPr>
        <w:t xml:space="preserve">A empresa deverá fornecer os certificados de aprovação - CA válidos dos equipamentos de proteção dos itens </w:t>
      </w:r>
      <w:proofErr w:type="gramStart"/>
      <w:r w:rsidRPr="005311CC">
        <w:rPr>
          <w:rFonts w:ascii="Calibri" w:eastAsia="Times New Roman" w:hAnsi="Calibri" w:cs="Times New Roman"/>
          <w:color w:val="000000"/>
          <w:sz w:val="20"/>
          <w:szCs w:val="20"/>
          <w:lang w:eastAsia="pt-BR"/>
        </w:rPr>
        <w:t>2</w:t>
      </w:r>
      <w:proofErr w:type="gramEnd"/>
      <w:r w:rsidRPr="005311CC">
        <w:rPr>
          <w:rFonts w:ascii="Calibri" w:eastAsia="Times New Roman" w:hAnsi="Calibri" w:cs="Times New Roman"/>
          <w:color w:val="000000"/>
          <w:sz w:val="20"/>
          <w:szCs w:val="20"/>
          <w:lang w:eastAsia="pt-BR"/>
        </w:rPr>
        <w:t xml:space="preserve"> e 3.</w:t>
      </w:r>
    </w:p>
    <w:p w:rsidR="005311CC" w:rsidRPr="005311CC" w:rsidRDefault="005311CC"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5311CC">
        <w:rPr>
          <w:rFonts w:ascii="Calibri" w:eastAsia="Times New Roman" w:hAnsi="Calibri" w:cs="Times New Roman"/>
          <w:color w:val="000000"/>
          <w:sz w:val="20"/>
          <w:szCs w:val="20"/>
          <w:lang w:eastAsia="pt-BR"/>
        </w:rPr>
        <w:t>O critério de julgamento adotado será o de</w:t>
      </w:r>
      <w:r>
        <w:rPr>
          <w:rFonts w:ascii="Calibri" w:eastAsia="Times New Roman" w:hAnsi="Calibri" w:cs="Times New Roman"/>
          <w:b/>
          <w:bCs/>
          <w:color w:val="000000"/>
          <w:sz w:val="20"/>
          <w:szCs w:val="20"/>
          <w:lang w:eastAsia="pt-BR"/>
        </w:rPr>
        <w:t> menor preço por item.</w:t>
      </w:r>
    </w:p>
    <w:p w:rsidR="005311CC" w:rsidRPr="005311CC" w:rsidRDefault="00932292" w:rsidP="005311CC">
      <w:pPr>
        <w:shd w:val="clear" w:color="auto" w:fill="E6E6E6"/>
        <w:spacing w:before="100" w:beforeAutospacing="1" w:after="100" w:afterAutospacing="1" w:line="240" w:lineRule="auto"/>
        <w:jc w:val="both"/>
        <w:rPr>
          <w:rFonts w:ascii="Calibri" w:eastAsia="Times New Roman" w:hAnsi="Calibri" w:cs="Times New Roman"/>
          <w:b/>
          <w:bCs/>
          <w:caps/>
          <w:color w:val="000000"/>
          <w:sz w:val="20"/>
          <w:szCs w:val="20"/>
          <w:lang w:eastAsia="pt-BR"/>
        </w:rPr>
      </w:pPr>
      <w:r>
        <w:rPr>
          <w:rFonts w:ascii="Calibri" w:eastAsia="Times New Roman" w:hAnsi="Calibri" w:cs="Times New Roman"/>
          <w:b/>
          <w:bCs/>
          <w:caps/>
          <w:color w:val="000000"/>
          <w:sz w:val="20"/>
          <w:szCs w:val="20"/>
          <w:lang w:eastAsia="pt-BR"/>
        </w:rPr>
        <w:t xml:space="preserve">2.0 </w:t>
      </w:r>
      <w:r w:rsidR="005311CC" w:rsidRPr="005311CC">
        <w:rPr>
          <w:rFonts w:ascii="Calibri" w:eastAsia="Times New Roman" w:hAnsi="Calibri" w:cs="Times New Roman"/>
          <w:b/>
          <w:bCs/>
          <w:caps/>
          <w:color w:val="000000"/>
          <w:sz w:val="20"/>
          <w:szCs w:val="20"/>
          <w:lang w:eastAsia="pt-BR"/>
        </w:rPr>
        <w:t>JUSTIFICATIVA E OBJETIVO DA CONTRATAÇÃO</w:t>
      </w:r>
    </w:p>
    <w:p w:rsidR="005311CC" w:rsidRPr="005311CC" w:rsidRDefault="005311CC" w:rsidP="005311CC">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5311CC">
        <w:rPr>
          <w:rFonts w:ascii="Calibri" w:eastAsia="Times New Roman" w:hAnsi="Calibri" w:cs="Times New Roman"/>
          <w:color w:val="000000"/>
          <w:sz w:val="20"/>
          <w:szCs w:val="20"/>
          <w:lang w:eastAsia="pt-BR"/>
        </w:rPr>
        <w:t>O objetivo da presente licitação é aquisição de Equipamentos de Proteção Respiratória/Espaço Confinado para atender às necessidades do Complexo Hospitalar Universitário Prof. Edgard Santos (Complexo HUPES), conforme condições, quantidades e exigências estabelecidas neste Termo de Referência.</w:t>
      </w:r>
    </w:p>
    <w:p w:rsidR="005311CC" w:rsidRPr="005311CC" w:rsidRDefault="005311CC" w:rsidP="005311CC">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5311CC">
        <w:rPr>
          <w:rFonts w:ascii="Calibri" w:eastAsia="Times New Roman" w:hAnsi="Calibri" w:cs="Times New Roman"/>
          <w:color w:val="000000"/>
          <w:sz w:val="20"/>
          <w:szCs w:val="20"/>
          <w:lang w:eastAsia="pt-BR"/>
        </w:rPr>
        <w:lastRenderedPageBreak/>
        <w:t xml:space="preserve">A aquisição desses equipamentos visa atender os requisitos do Programa de Proteção Respiratória do Complexo Hospitalar Professor Edgard Santos – HUPES, que objetiva a proteção dos trabalhadores </w:t>
      </w:r>
      <w:proofErr w:type="gramStart"/>
      <w:r w:rsidRPr="005311CC">
        <w:rPr>
          <w:rFonts w:ascii="Calibri" w:eastAsia="Times New Roman" w:hAnsi="Calibri" w:cs="Times New Roman"/>
          <w:color w:val="000000"/>
          <w:sz w:val="20"/>
          <w:szCs w:val="20"/>
          <w:lang w:eastAsia="pt-BR"/>
        </w:rPr>
        <w:t>expostos a atmosferas nocivas ou confinadas</w:t>
      </w:r>
      <w:proofErr w:type="gramEnd"/>
      <w:r w:rsidRPr="005311CC">
        <w:rPr>
          <w:rFonts w:ascii="Calibri" w:eastAsia="Times New Roman" w:hAnsi="Calibri" w:cs="Times New Roman"/>
          <w:color w:val="000000"/>
          <w:sz w:val="20"/>
          <w:szCs w:val="20"/>
          <w:lang w:eastAsia="pt-BR"/>
        </w:rPr>
        <w:t>.</w:t>
      </w:r>
    </w:p>
    <w:p w:rsidR="005311CC" w:rsidRPr="005311CC" w:rsidRDefault="005311CC" w:rsidP="005311CC">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5311CC">
        <w:rPr>
          <w:rFonts w:ascii="Calibri" w:eastAsia="Times New Roman" w:hAnsi="Calibri" w:cs="Times New Roman"/>
          <w:color w:val="000000"/>
          <w:sz w:val="20"/>
          <w:szCs w:val="20"/>
          <w:lang w:eastAsia="pt-BR"/>
        </w:rPr>
        <w:t>Caso não ocorra a aquisição desses equipamentos, o HUPES poderá sofrer sanções legais (multas), até ser passível de interdição. Além do risco de ocorrência de acidentes ou doenças ocupacionais.</w:t>
      </w:r>
    </w:p>
    <w:p w:rsidR="005311CC" w:rsidRPr="005311CC" w:rsidRDefault="005311CC" w:rsidP="005311CC">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5311CC">
        <w:rPr>
          <w:rFonts w:ascii="Calibri" w:eastAsia="Times New Roman" w:hAnsi="Calibri" w:cs="Times New Roman"/>
          <w:color w:val="000000"/>
          <w:sz w:val="20"/>
          <w:szCs w:val="20"/>
          <w:lang w:eastAsia="pt-BR"/>
        </w:rPr>
        <w:t>Estes equipamentos fazem parte do Plano de Anual de Contratações - PAC do Hospital Universitário Professor Edgard Santos, para o exercício de 2021.</w:t>
      </w:r>
    </w:p>
    <w:p w:rsidR="005311CC" w:rsidRPr="005311CC" w:rsidRDefault="005311CC" w:rsidP="005311CC">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5311CC">
        <w:rPr>
          <w:rFonts w:ascii="Calibri" w:eastAsia="Times New Roman" w:hAnsi="Calibri" w:cs="Times New Roman"/>
          <w:color w:val="000000"/>
          <w:sz w:val="20"/>
          <w:szCs w:val="20"/>
          <w:lang w:eastAsia="pt-BR"/>
        </w:rPr>
        <w:t>Entre os principais benefícios diretos ou indiretos que o Complexo HUPES almeja com a esta aquisição, destaca-se:</w:t>
      </w:r>
    </w:p>
    <w:p w:rsidR="005311CC" w:rsidRPr="005311CC" w:rsidRDefault="005311CC" w:rsidP="005311CC">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5311CC">
        <w:rPr>
          <w:rFonts w:ascii="Calibri" w:eastAsia="Times New Roman" w:hAnsi="Calibri" w:cs="Times New Roman"/>
          <w:color w:val="000000"/>
          <w:sz w:val="20"/>
          <w:szCs w:val="20"/>
          <w:lang w:eastAsia="pt-BR"/>
        </w:rPr>
        <w:t xml:space="preserve">Promover a integridade física e a saúde dos trabalhadores expostos a atmosferas nocivas/confinadas, por meio da </w:t>
      </w:r>
      <w:proofErr w:type="gramStart"/>
      <w:r w:rsidRPr="005311CC">
        <w:rPr>
          <w:rFonts w:ascii="Calibri" w:eastAsia="Times New Roman" w:hAnsi="Calibri" w:cs="Times New Roman"/>
          <w:color w:val="000000"/>
          <w:sz w:val="20"/>
          <w:szCs w:val="20"/>
          <w:lang w:eastAsia="pt-BR"/>
        </w:rPr>
        <w:t>implementação</w:t>
      </w:r>
      <w:proofErr w:type="gramEnd"/>
      <w:r w:rsidRPr="005311CC">
        <w:rPr>
          <w:rFonts w:ascii="Calibri" w:eastAsia="Times New Roman" w:hAnsi="Calibri" w:cs="Times New Roman"/>
          <w:color w:val="000000"/>
          <w:sz w:val="20"/>
          <w:szCs w:val="20"/>
          <w:lang w:eastAsia="pt-BR"/>
        </w:rPr>
        <w:t xml:space="preserve"> do uso de salvaguardas de proteção individual e coletiva. Bem como, assegurar um ambiente laboral adequado para desenvolvimento de tarefas, em conformidade com a legislação e normas aplicáveis.</w:t>
      </w:r>
    </w:p>
    <w:p w:rsidR="00932292" w:rsidRPr="00932292" w:rsidRDefault="00932292" w:rsidP="00932292">
      <w:pPr>
        <w:spacing w:before="100" w:beforeAutospacing="1" w:after="100" w:afterAutospacing="1" w:line="240" w:lineRule="auto"/>
        <w:outlineLvl w:val="1"/>
        <w:rPr>
          <w:rFonts w:ascii="Calibri" w:eastAsia="Times New Roman" w:hAnsi="Calibri" w:cs="Times New Roman"/>
          <w:b/>
          <w:bCs/>
          <w:color w:val="000000"/>
          <w:sz w:val="24"/>
          <w:szCs w:val="24"/>
          <w:lang w:eastAsia="pt-BR"/>
        </w:rPr>
      </w:pPr>
      <w:r w:rsidRPr="00932292">
        <w:rPr>
          <w:rFonts w:ascii="Calibri" w:eastAsia="Times New Roman" w:hAnsi="Calibri" w:cs="Times New Roman"/>
          <w:b/>
          <w:bCs/>
          <w:color w:val="000000"/>
          <w:sz w:val="24"/>
          <w:szCs w:val="24"/>
          <w:lang w:eastAsia="pt-BR"/>
        </w:rPr>
        <w:t>3.0  CLASSIFICAÇÃO DOS BENS E FORMA DE CONTRATAÇÃO                                                                                        </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3.1 Os bens a serem contratados classificam-se como bens comuns, cujos padrões de desempenho e qualidade estão objetivamente definidos neste instrumento, por meio de especificações usuais de mercado.</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3.2 Os bens serão adquiridos mediante dispensa de licitação, em razão do valor, nos termos do inciso II do art. 78 do Regulamento de Licitações e Contratos da Empresa Brasileira de Serviços Hospitalares – RLCE e do inciso II do art. 29 da Lei Federal nº 13.303, de 30 de junho de 2016.</w:t>
      </w:r>
    </w:p>
    <w:p w:rsidR="00932292" w:rsidRPr="00932292" w:rsidRDefault="00932292" w:rsidP="00932292">
      <w:pPr>
        <w:spacing w:before="100" w:beforeAutospacing="1" w:after="100" w:afterAutospacing="1" w:line="240" w:lineRule="auto"/>
        <w:outlineLvl w:val="1"/>
        <w:rPr>
          <w:rFonts w:ascii="Calibri" w:eastAsia="Times New Roman" w:hAnsi="Calibri" w:cs="Times New Roman"/>
          <w:b/>
          <w:bCs/>
          <w:color w:val="000000"/>
          <w:sz w:val="24"/>
          <w:szCs w:val="24"/>
          <w:lang w:eastAsia="pt-BR"/>
        </w:rPr>
      </w:pPr>
      <w:r w:rsidRPr="00932292">
        <w:rPr>
          <w:rFonts w:ascii="Calibri" w:eastAsia="Times New Roman" w:hAnsi="Calibri" w:cs="Times New Roman"/>
          <w:b/>
          <w:bCs/>
          <w:color w:val="000000"/>
          <w:sz w:val="24"/>
          <w:szCs w:val="24"/>
          <w:lang w:eastAsia="pt-BR"/>
        </w:rPr>
        <w:t>4.0  REQUISITOS DA CONTRATAÇÃO                                                                                                                                   </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4.1 O prazo de entrega dos bens é de até </w:t>
      </w:r>
      <w:r w:rsidR="00EF20AA">
        <w:rPr>
          <w:rFonts w:ascii="Calibri" w:eastAsia="Times New Roman" w:hAnsi="Calibri" w:cs="Times New Roman"/>
          <w:b/>
          <w:bCs/>
          <w:color w:val="000000"/>
          <w:sz w:val="20"/>
          <w:szCs w:val="20"/>
          <w:lang w:eastAsia="pt-BR"/>
        </w:rPr>
        <w:t>60 (sessenta</w:t>
      </w:r>
      <w:r w:rsidRPr="00932292">
        <w:rPr>
          <w:rFonts w:ascii="Calibri" w:eastAsia="Times New Roman" w:hAnsi="Calibri" w:cs="Times New Roman"/>
          <w:b/>
          <w:bCs/>
          <w:color w:val="000000"/>
          <w:sz w:val="20"/>
          <w:szCs w:val="20"/>
          <w:lang w:eastAsia="pt-BR"/>
        </w:rPr>
        <w:t>) dias corridos, </w:t>
      </w:r>
      <w:r w:rsidRPr="00932292">
        <w:rPr>
          <w:rFonts w:ascii="Calibri" w:eastAsia="Times New Roman" w:hAnsi="Calibri" w:cs="Times New Roman"/>
          <w:color w:val="000000"/>
          <w:sz w:val="20"/>
          <w:szCs w:val="20"/>
          <w:lang w:eastAsia="pt-BR"/>
        </w:rPr>
        <w:t>contadas do envio da Nota de Empenho, em remessa única, no seguinte endereço: Sede do Complexo HUPES, sito à </w:t>
      </w:r>
      <w:r w:rsidRPr="00932292">
        <w:rPr>
          <w:rFonts w:ascii="Calibri" w:eastAsia="Times New Roman" w:hAnsi="Calibri" w:cs="Times New Roman"/>
          <w:b/>
          <w:bCs/>
          <w:color w:val="000000"/>
          <w:sz w:val="20"/>
          <w:szCs w:val="20"/>
          <w:lang w:eastAsia="pt-BR"/>
        </w:rPr>
        <w:t xml:space="preserve">Rua Augusto Viana, s/nº, Canela, Salvador/Bahia, na Unidade de Almoxarifado </w:t>
      </w:r>
      <w:proofErr w:type="gramStart"/>
      <w:r w:rsidRPr="00932292">
        <w:rPr>
          <w:rFonts w:ascii="Calibri" w:eastAsia="Times New Roman" w:hAnsi="Calibri" w:cs="Times New Roman"/>
          <w:b/>
          <w:bCs/>
          <w:color w:val="000000"/>
          <w:sz w:val="20"/>
          <w:szCs w:val="20"/>
          <w:lang w:eastAsia="pt-BR"/>
        </w:rPr>
        <w:t>Central ,</w:t>
      </w:r>
      <w:proofErr w:type="gramEnd"/>
      <w:r w:rsidRPr="00932292">
        <w:rPr>
          <w:rFonts w:ascii="Calibri" w:eastAsia="Times New Roman" w:hAnsi="Calibri" w:cs="Times New Roman"/>
          <w:b/>
          <w:bCs/>
          <w:color w:val="000000"/>
          <w:sz w:val="20"/>
          <w:szCs w:val="20"/>
          <w:lang w:eastAsia="pt-BR"/>
        </w:rPr>
        <w:t xml:space="preserve"> no horário das 08h às 12h e de 14h às 17h, nos dias úteis</w:t>
      </w:r>
      <w:r w:rsidR="003551AB">
        <w:rPr>
          <w:rFonts w:ascii="Calibri" w:eastAsia="Times New Roman" w:hAnsi="Calibri" w:cs="Times New Roman"/>
          <w:b/>
          <w:bCs/>
          <w:color w:val="000000"/>
          <w:sz w:val="20"/>
          <w:szCs w:val="20"/>
          <w:lang w:eastAsia="pt-BR"/>
        </w:rPr>
        <w:t>- USOST</w:t>
      </w:r>
      <w:r w:rsidRPr="00932292">
        <w:rPr>
          <w:rFonts w:ascii="Calibri" w:eastAsia="Times New Roman" w:hAnsi="Calibri" w:cs="Times New Roman"/>
          <w:color w:val="000000"/>
          <w:sz w:val="20"/>
          <w:szCs w:val="20"/>
          <w:lang w:eastAsia="pt-BR"/>
        </w:rPr>
        <w:t>, com despesas de transporte assumidas pela Contratada.</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4.2 Para a entrega dos bens, deverá ser realizado um agendamento com a Unidade de Patrimônio para</w:t>
      </w:r>
      <w:bookmarkStart w:id="0" w:name="_GoBack"/>
      <w:bookmarkEnd w:id="0"/>
      <w:r w:rsidRPr="00932292">
        <w:rPr>
          <w:rFonts w:ascii="Calibri" w:eastAsia="Times New Roman" w:hAnsi="Calibri" w:cs="Times New Roman"/>
          <w:color w:val="000000"/>
          <w:sz w:val="20"/>
          <w:szCs w:val="20"/>
          <w:lang w:eastAsia="pt-BR"/>
        </w:rPr>
        <w:t xml:space="preserve"> acompanhamento da </w:t>
      </w:r>
      <w:proofErr w:type="gramStart"/>
      <w:r w:rsidRPr="00932292">
        <w:rPr>
          <w:rFonts w:ascii="Calibri" w:eastAsia="Times New Roman" w:hAnsi="Calibri" w:cs="Times New Roman"/>
          <w:color w:val="000000"/>
          <w:sz w:val="20"/>
          <w:szCs w:val="20"/>
          <w:lang w:eastAsia="pt-BR"/>
        </w:rPr>
        <w:t>entrega(</w:t>
      </w:r>
      <w:proofErr w:type="gramEnd"/>
      <w:r w:rsidRPr="00932292">
        <w:rPr>
          <w:rFonts w:ascii="Calibri" w:eastAsia="Times New Roman" w:hAnsi="Calibri" w:cs="Times New Roman"/>
          <w:color w:val="000000"/>
          <w:sz w:val="20"/>
          <w:szCs w:val="20"/>
          <w:lang w:eastAsia="pt-BR"/>
        </w:rPr>
        <w:t>71- 3283-8280).</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4.3 A nota de empenho será enviada para o e-mail registrado no Sistema de Cadastramento Unificado de Fornecedores – SICAF, que constitui o registro cadastral do Poder Executivo Federal e é mantido pelos órgãos e entidades que compõem o Sistema de Serviços Gerais – SISG (Decretos nº 1.094, de 23 de março de 1994 e nº 4.485, de 25 de novembro de 2002), ou em outro e-mail indicado pelo fornecedor.</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 xml:space="preserve">4.4 Não </w:t>
      </w:r>
      <w:proofErr w:type="gramStart"/>
      <w:r w:rsidRPr="00932292">
        <w:rPr>
          <w:rFonts w:ascii="Calibri" w:eastAsia="Times New Roman" w:hAnsi="Calibri" w:cs="Times New Roman"/>
          <w:color w:val="000000"/>
          <w:sz w:val="20"/>
          <w:szCs w:val="20"/>
          <w:lang w:eastAsia="pt-BR"/>
        </w:rPr>
        <w:t>poderá ser</w:t>
      </w:r>
      <w:proofErr w:type="gramEnd"/>
      <w:r w:rsidRPr="00932292">
        <w:rPr>
          <w:rFonts w:ascii="Calibri" w:eastAsia="Times New Roman" w:hAnsi="Calibri" w:cs="Times New Roman"/>
          <w:color w:val="000000"/>
          <w:sz w:val="20"/>
          <w:szCs w:val="20"/>
          <w:lang w:eastAsia="pt-BR"/>
        </w:rPr>
        <w:t xml:space="preserve"> contratada a empresa proibida de participar de licitações e celebrar contratos administrativos, na forma da legislação vigente, em especial do art. 19 do Regulamento de Licitações e Contratos da </w:t>
      </w:r>
      <w:proofErr w:type="spellStart"/>
      <w:r w:rsidRPr="00932292">
        <w:rPr>
          <w:rFonts w:ascii="Calibri" w:eastAsia="Times New Roman" w:hAnsi="Calibri" w:cs="Times New Roman"/>
          <w:color w:val="000000"/>
          <w:sz w:val="20"/>
          <w:szCs w:val="20"/>
          <w:lang w:eastAsia="pt-BR"/>
        </w:rPr>
        <w:t>Ebserh</w:t>
      </w:r>
      <w:proofErr w:type="spellEnd"/>
      <w:r w:rsidRPr="00932292">
        <w:rPr>
          <w:rFonts w:ascii="Calibri" w:eastAsia="Times New Roman" w:hAnsi="Calibri" w:cs="Times New Roman"/>
          <w:color w:val="000000"/>
          <w:sz w:val="20"/>
          <w:szCs w:val="20"/>
          <w:lang w:eastAsia="pt-BR"/>
        </w:rPr>
        <w:t>, que diz:</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4.5 A regularidade fiscal e trabalhista, assim como a qualificação jurídica, será avaliada através da consulta ao SICAF e/ou aos sites oficiais ou através de diligências com o próprio fornecedor visando à comprovação de sua situação regular.</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lastRenderedPageBreak/>
        <w:t xml:space="preserve">4.6 </w:t>
      </w:r>
      <w:proofErr w:type="gramStart"/>
      <w:r w:rsidRPr="00932292">
        <w:rPr>
          <w:rFonts w:ascii="Calibri" w:eastAsia="Times New Roman" w:hAnsi="Calibri" w:cs="Times New Roman"/>
          <w:color w:val="000000"/>
          <w:sz w:val="20"/>
          <w:szCs w:val="20"/>
          <w:lang w:eastAsia="pt-BR"/>
        </w:rPr>
        <w:t>Será</w:t>
      </w:r>
      <w:proofErr w:type="gramEnd"/>
      <w:r w:rsidRPr="00932292">
        <w:rPr>
          <w:rFonts w:ascii="Calibri" w:eastAsia="Times New Roman" w:hAnsi="Calibri" w:cs="Times New Roman"/>
          <w:color w:val="000000"/>
          <w:sz w:val="20"/>
          <w:szCs w:val="20"/>
          <w:lang w:eastAsia="pt-BR"/>
        </w:rPr>
        <w:t xml:space="preserve"> consultado à existência de algum impedimento de contratar com o Poder Público:</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proofErr w:type="gramStart"/>
      <w:r w:rsidRPr="00932292">
        <w:rPr>
          <w:rFonts w:ascii="Calibri" w:eastAsia="Times New Roman" w:hAnsi="Calibri" w:cs="Times New Roman"/>
          <w:color w:val="000000"/>
          <w:sz w:val="20"/>
          <w:szCs w:val="20"/>
          <w:lang w:eastAsia="pt-BR"/>
        </w:rPr>
        <w:t>4.7 Cadastro</w:t>
      </w:r>
      <w:proofErr w:type="gramEnd"/>
      <w:r w:rsidRPr="00932292">
        <w:rPr>
          <w:rFonts w:ascii="Calibri" w:eastAsia="Times New Roman" w:hAnsi="Calibri" w:cs="Times New Roman"/>
          <w:color w:val="000000"/>
          <w:sz w:val="20"/>
          <w:szCs w:val="20"/>
          <w:lang w:eastAsia="pt-BR"/>
        </w:rPr>
        <w:t xml:space="preserve"> Nacional de Empresas Inidôneas e Suspensas – CEIS, mantido pela Controladoria-Geral da União;</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proofErr w:type="gramStart"/>
      <w:r w:rsidRPr="00932292">
        <w:rPr>
          <w:rFonts w:ascii="Calibri" w:eastAsia="Times New Roman" w:hAnsi="Calibri" w:cs="Times New Roman"/>
          <w:color w:val="000000"/>
          <w:sz w:val="20"/>
          <w:szCs w:val="20"/>
          <w:lang w:eastAsia="pt-BR"/>
        </w:rPr>
        <w:t>4.8 Cadastro</w:t>
      </w:r>
      <w:proofErr w:type="gramEnd"/>
      <w:r w:rsidRPr="00932292">
        <w:rPr>
          <w:rFonts w:ascii="Calibri" w:eastAsia="Times New Roman" w:hAnsi="Calibri" w:cs="Times New Roman"/>
          <w:color w:val="000000"/>
          <w:sz w:val="20"/>
          <w:szCs w:val="20"/>
          <w:lang w:eastAsia="pt-BR"/>
        </w:rPr>
        <w:t xml:space="preserve"> Nacional de Condenações Cíveis por Atos de Improbidade Administrava, mantido pelo Conselho Nacional de Justiça; e</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proofErr w:type="gramStart"/>
      <w:r w:rsidRPr="00932292">
        <w:rPr>
          <w:rFonts w:ascii="Calibri" w:eastAsia="Times New Roman" w:hAnsi="Calibri" w:cs="Times New Roman"/>
          <w:color w:val="000000"/>
          <w:sz w:val="20"/>
          <w:szCs w:val="20"/>
          <w:lang w:eastAsia="pt-BR"/>
        </w:rPr>
        <w:t>4.9 Lista</w:t>
      </w:r>
      <w:proofErr w:type="gramEnd"/>
      <w:r w:rsidRPr="00932292">
        <w:rPr>
          <w:rFonts w:ascii="Calibri" w:eastAsia="Times New Roman" w:hAnsi="Calibri" w:cs="Times New Roman"/>
          <w:color w:val="000000"/>
          <w:sz w:val="20"/>
          <w:szCs w:val="20"/>
          <w:lang w:eastAsia="pt-BR"/>
        </w:rPr>
        <w:t xml:space="preserve"> de Inidôneos e o Cadastro Integrado de Condenações por Ilícitos Administrativos, mantido pelo Tribunal de Contas da União.</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 xml:space="preserve">4.10 Art. 19 </w:t>
      </w:r>
      <w:proofErr w:type="gramStart"/>
      <w:r w:rsidRPr="00932292">
        <w:rPr>
          <w:rFonts w:ascii="Calibri" w:eastAsia="Times New Roman" w:hAnsi="Calibri" w:cs="Times New Roman"/>
          <w:color w:val="000000"/>
          <w:sz w:val="20"/>
          <w:szCs w:val="20"/>
          <w:lang w:eastAsia="pt-BR"/>
        </w:rPr>
        <w:t>Estará</w:t>
      </w:r>
      <w:proofErr w:type="gramEnd"/>
      <w:r w:rsidRPr="00932292">
        <w:rPr>
          <w:rFonts w:ascii="Calibri" w:eastAsia="Times New Roman" w:hAnsi="Calibri" w:cs="Times New Roman"/>
          <w:color w:val="000000"/>
          <w:sz w:val="20"/>
          <w:szCs w:val="20"/>
          <w:lang w:eastAsia="pt-BR"/>
        </w:rPr>
        <w:t xml:space="preserve"> impedida de participar de licitações e de ser contratada pela </w:t>
      </w:r>
      <w:proofErr w:type="spellStart"/>
      <w:r w:rsidRPr="00932292">
        <w:rPr>
          <w:rFonts w:ascii="Calibri" w:eastAsia="Times New Roman" w:hAnsi="Calibri" w:cs="Times New Roman"/>
          <w:color w:val="000000"/>
          <w:sz w:val="20"/>
          <w:szCs w:val="20"/>
          <w:lang w:eastAsia="pt-BR"/>
        </w:rPr>
        <w:t>Ebserh</w:t>
      </w:r>
      <w:proofErr w:type="spellEnd"/>
      <w:r w:rsidRPr="00932292">
        <w:rPr>
          <w:rFonts w:ascii="Calibri" w:eastAsia="Times New Roman" w:hAnsi="Calibri" w:cs="Times New Roman"/>
          <w:color w:val="000000"/>
          <w:sz w:val="20"/>
          <w:szCs w:val="20"/>
          <w:lang w:eastAsia="pt-BR"/>
        </w:rPr>
        <w:t xml:space="preserve"> a empresa:</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 xml:space="preserve">I - cujo administrador ou sócio detentor de mais de 5% (cinco por cento) do capital social seja integrante de órgão estatutário, empregado, servidor cedido ou em exercício na </w:t>
      </w:r>
      <w:proofErr w:type="spellStart"/>
      <w:r w:rsidRPr="00932292">
        <w:rPr>
          <w:rFonts w:ascii="Calibri" w:eastAsia="Times New Roman" w:hAnsi="Calibri" w:cs="Times New Roman"/>
          <w:color w:val="000000"/>
          <w:sz w:val="20"/>
          <w:szCs w:val="20"/>
          <w:lang w:eastAsia="pt-BR"/>
        </w:rPr>
        <w:t>Ebserh</w:t>
      </w:r>
      <w:proofErr w:type="spellEnd"/>
      <w:r w:rsidRPr="00932292">
        <w:rPr>
          <w:rFonts w:ascii="Calibri" w:eastAsia="Times New Roman" w:hAnsi="Calibri" w:cs="Times New Roman"/>
          <w:color w:val="000000"/>
          <w:sz w:val="20"/>
          <w:szCs w:val="20"/>
          <w:lang w:eastAsia="pt-BR"/>
        </w:rPr>
        <w:t>;</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 xml:space="preserve">II - suspensa pela </w:t>
      </w:r>
      <w:proofErr w:type="spellStart"/>
      <w:r w:rsidRPr="00932292">
        <w:rPr>
          <w:rFonts w:ascii="Calibri" w:eastAsia="Times New Roman" w:hAnsi="Calibri" w:cs="Times New Roman"/>
          <w:color w:val="000000"/>
          <w:sz w:val="20"/>
          <w:szCs w:val="20"/>
          <w:lang w:eastAsia="pt-BR"/>
        </w:rPr>
        <w:t>Ebserh</w:t>
      </w:r>
      <w:proofErr w:type="spellEnd"/>
      <w:r w:rsidRPr="00932292">
        <w:rPr>
          <w:rFonts w:ascii="Calibri" w:eastAsia="Times New Roman" w:hAnsi="Calibri" w:cs="Times New Roman"/>
          <w:color w:val="000000"/>
          <w:sz w:val="20"/>
          <w:szCs w:val="20"/>
          <w:lang w:eastAsia="pt-BR"/>
        </w:rPr>
        <w:t>;</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III - declarada inidônea pela União, por Estado ou pelo Distrito Federal, enquanto perdurarem os efeitos da sanção;</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IV - constituída por sócio de empresa que estiver suspensa, impedida ou declarada inidônea;</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V - cujo administrador seja sócio de empresa suspensa, impedida ou declarada inidônea;</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VI - constituída por sócio que tenha sido sócio ou administrador de empresa suspensa, impedida ou declarada inidônea, no período dos fatos que deram ensejo à sanção;</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VII - cujo administrador tenha sido sócio ou administrador de empresa suspensa, impedida ou declarada inidônea, no período dos fatos que deram ensejo à sanção;</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VIII - que tiver, nos seus quadros de diretoria, pessoa que participou, em razão de vínculo de mesma natureza, de empresa declarada inidônea.</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 xml:space="preserve">Parágrafo único.  Aplica-se a vedação prevista no caput: Página 11 de </w:t>
      </w:r>
      <w:proofErr w:type="gramStart"/>
      <w:r w:rsidRPr="00932292">
        <w:rPr>
          <w:rFonts w:ascii="Calibri" w:eastAsia="Times New Roman" w:hAnsi="Calibri" w:cs="Times New Roman"/>
          <w:color w:val="000000"/>
          <w:sz w:val="20"/>
          <w:szCs w:val="20"/>
          <w:lang w:eastAsia="pt-BR"/>
        </w:rPr>
        <w:t>48</w:t>
      </w:r>
      <w:proofErr w:type="gramEnd"/>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I - à contratação das pessoas elencadas no inciso I do caput, como pessoa física, bem como à participação delas em procedimentos licitatórios, na condição de licitante;</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 xml:space="preserve">II - à contratação de empresa cujo administrador ou sócio detentor de mais de 5% (cinco por cento) do capital social seja integrante do Ministério da Educação ou de Instituições Federais de Ensino Superior e congêneres signatárias de contratos de gestão com a </w:t>
      </w:r>
      <w:proofErr w:type="spellStart"/>
      <w:r w:rsidRPr="00932292">
        <w:rPr>
          <w:rFonts w:ascii="Calibri" w:eastAsia="Times New Roman" w:hAnsi="Calibri" w:cs="Times New Roman"/>
          <w:color w:val="000000"/>
          <w:sz w:val="20"/>
          <w:szCs w:val="20"/>
          <w:lang w:eastAsia="pt-BR"/>
        </w:rPr>
        <w:t>Ebserh</w:t>
      </w:r>
      <w:proofErr w:type="spellEnd"/>
      <w:r w:rsidRPr="00932292">
        <w:rPr>
          <w:rFonts w:ascii="Calibri" w:eastAsia="Times New Roman" w:hAnsi="Calibri" w:cs="Times New Roman"/>
          <w:color w:val="000000"/>
          <w:sz w:val="20"/>
          <w:szCs w:val="20"/>
          <w:lang w:eastAsia="pt-BR"/>
        </w:rPr>
        <w:t>;</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 xml:space="preserve">III - a quem tenha relação de parentesco, até o terceiro grau civil, com: a) integrantes de órgãos estatutários da </w:t>
      </w:r>
      <w:proofErr w:type="spellStart"/>
      <w:r w:rsidRPr="00932292">
        <w:rPr>
          <w:rFonts w:ascii="Calibri" w:eastAsia="Times New Roman" w:hAnsi="Calibri" w:cs="Times New Roman"/>
          <w:color w:val="000000"/>
          <w:sz w:val="20"/>
          <w:szCs w:val="20"/>
          <w:lang w:eastAsia="pt-BR"/>
        </w:rPr>
        <w:t>Ebserh</w:t>
      </w:r>
      <w:proofErr w:type="spellEnd"/>
      <w:r w:rsidRPr="00932292">
        <w:rPr>
          <w:rFonts w:ascii="Calibri" w:eastAsia="Times New Roman" w:hAnsi="Calibri" w:cs="Times New Roman"/>
          <w:color w:val="000000"/>
          <w:sz w:val="20"/>
          <w:szCs w:val="20"/>
          <w:lang w:eastAsia="pt-BR"/>
        </w:rPr>
        <w:t xml:space="preserve">; b) empregado, servidor cedido ou em exercício na </w:t>
      </w:r>
      <w:proofErr w:type="spellStart"/>
      <w:r w:rsidRPr="00932292">
        <w:rPr>
          <w:rFonts w:ascii="Calibri" w:eastAsia="Times New Roman" w:hAnsi="Calibri" w:cs="Times New Roman"/>
          <w:color w:val="000000"/>
          <w:sz w:val="20"/>
          <w:szCs w:val="20"/>
          <w:lang w:eastAsia="pt-BR"/>
        </w:rPr>
        <w:t>Ebserh</w:t>
      </w:r>
      <w:proofErr w:type="spellEnd"/>
      <w:r w:rsidRPr="00932292">
        <w:rPr>
          <w:rFonts w:ascii="Calibri" w:eastAsia="Times New Roman" w:hAnsi="Calibri" w:cs="Times New Roman"/>
          <w:color w:val="000000"/>
          <w:sz w:val="20"/>
          <w:szCs w:val="20"/>
          <w:lang w:eastAsia="pt-BR"/>
        </w:rPr>
        <w:t xml:space="preserve"> cujas atribuições envolvam a atuação na área responsável pela licitação ou contratação; c) autoridade do Ministério da Educação; d) autoridade das Instituições Federais de Ensino Superior signatárias de contratos de gestão com a </w:t>
      </w:r>
      <w:proofErr w:type="spellStart"/>
      <w:r w:rsidRPr="00932292">
        <w:rPr>
          <w:rFonts w:ascii="Calibri" w:eastAsia="Times New Roman" w:hAnsi="Calibri" w:cs="Times New Roman"/>
          <w:color w:val="000000"/>
          <w:sz w:val="20"/>
          <w:szCs w:val="20"/>
          <w:lang w:eastAsia="pt-BR"/>
        </w:rPr>
        <w:t>Ebserh</w:t>
      </w:r>
      <w:proofErr w:type="spellEnd"/>
      <w:r w:rsidRPr="00932292">
        <w:rPr>
          <w:rFonts w:ascii="Calibri" w:eastAsia="Times New Roman" w:hAnsi="Calibri" w:cs="Times New Roman"/>
          <w:color w:val="000000"/>
          <w:sz w:val="20"/>
          <w:szCs w:val="20"/>
          <w:lang w:eastAsia="pt-BR"/>
        </w:rPr>
        <w:t>.</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 xml:space="preserve">IV - cujo proprietário, mesmo na condição de sócio, tenha terminado seu prazo de gestão ou rompido seu vínculo com a </w:t>
      </w:r>
      <w:proofErr w:type="spellStart"/>
      <w:r w:rsidRPr="00932292">
        <w:rPr>
          <w:rFonts w:ascii="Calibri" w:eastAsia="Times New Roman" w:hAnsi="Calibri" w:cs="Times New Roman"/>
          <w:color w:val="000000"/>
          <w:sz w:val="20"/>
          <w:szCs w:val="20"/>
          <w:lang w:eastAsia="pt-BR"/>
        </w:rPr>
        <w:t>Ebserh</w:t>
      </w:r>
      <w:proofErr w:type="spellEnd"/>
      <w:r w:rsidRPr="00932292">
        <w:rPr>
          <w:rFonts w:ascii="Calibri" w:eastAsia="Times New Roman" w:hAnsi="Calibri" w:cs="Times New Roman"/>
          <w:color w:val="000000"/>
          <w:sz w:val="20"/>
          <w:szCs w:val="20"/>
          <w:lang w:eastAsia="pt-BR"/>
        </w:rPr>
        <w:t xml:space="preserve"> há menos de </w:t>
      </w:r>
      <w:proofErr w:type="gramStart"/>
      <w:r w:rsidRPr="00932292">
        <w:rPr>
          <w:rFonts w:ascii="Calibri" w:eastAsia="Times New Roman" w:hAnsi="Calibri" w:cs="Times New Roman"/>
          <w:color w:val="000000"/>
          <w:sz w:val="20"/>
          <w:szCs w:val="20"/>
          <w:lang w:eastAsia="pt-BR"/>
        </w:rPr>
        <w:t>6</w:t>
      </w:r>
      <w:proofErr w:type="gramEnd"/>
      <w:r w:rsidRPr="00932292">
        <w:rPr>
          <w:rFonts w:ascii="Calibri" w:eastAsia="Times New Roman" w:hAnsi="Calibri" w:cs="Times New Roman"/>
          <w:color w:val="000000"/>
          <w:sz w:val="20"/>
          <w:szCs w:val="20"/>
          <w:lang w:eastAsia="pt-BR"/>
        </w:rPr>
        <w:t xml:space="preserve"> (seis) meses.</w:t>
      </w:r>
    </w:p>
    <w:p w:rsidR="00932292" w:rsidRPr="00932292" w:rsidRDefault="00932292" w:rsidP="00932292">
      <w:pPr>
        <w:spacing w:before="100" w:beforeAutospacing="1" w:after="100" w:afterAutospacing="1" w:line="240" w:lineRule="auto"/>
        <w:outlineLvl w:val="1"/>
        <w:rPr>
          <w:rFonts w:ascii="Calibri" w:eastAsia="Times New Roman" w:hAnsi="Calibri" w:cs="Times New Roman"/>
          <w:b/>
          <w:bCs/>
          <w:color w:val="000000"/>
          <w:sz w:val="24"/>
          <w:szCs w:val="24"/>
          <w:lang w:eastAsia="pt-BR"/>
        </w:rPr>
      </w:pPr>
      <w:r w:rsidRPr="00932292">
        <w:rPr>
          <w:rFonts w:ascii="Calibri" w:eastAsia="Times New Roman" w:hAnsi="Calibri" w:cs="Times New Roman"/>
          <w:b/>
          <w:bCs/>
          <w:color w:val="000000"/>
          <w:sz w:val="24"/>
          <w:szCs w:val="24"/>
          <w:lang w:eastAsia="pt-BR"/>
        </w:rPr>
        <w:t>5.0  RECEBIMENTO E ACEITAÇÃO DO OBJETO                                                                                                                   </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lastRenderedPageBreak/>
        <w:t>5.1 Os bens serão recebidos provisoriamente, a partir da entrega, pelo (a) responsável pelo acompanhamento e fiscalização do contrato, para efeito de posterior verificação de sua conformidade com as especificações constantes neste Termo de Referência e na proposta.</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5.2 Os bens poderão ser rejeitados, no todo ou em parte, quando em desacordo com as especificações constantes neste Termo de Referência e na proposta, devendo ser substituídos no prazo de até 48 (quarenta e oito) horas, a contar da notificação da contratada, às suas custas, sem prejuízo da aplicação das penalidades.</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5.3 Os bens serão recebidos definitivamente no prazo de 05 (cinco) dias, contados do recebimento provisório, após a verificação da qualidade e quantidade do material e consequente aceitação mediante termo circunstanciado.</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5.4 O recebimento do objeto não exclui a responsabilidade da contratada pelos prejuízos resultantes da incorreta execução do contrato.</w:t>
      </w:r>
    </w:p>
    <w:p w:rsidR="00932292" w:rsidRPr="00932292" w:rsidRDefault="00932292" w:rsidP="00932292">
      <w:pPr>
        <w:spacing w:before="100" w:beforeAutospacing="1" w:after="100" w:afterAutospacing="1" w:line="240" w:lineRule="auto"/>
        <w:outlineLvl w:val="1"/>
        <w:rPr>
          <w:rFonts w:ascii="Calibri" w:eastAsia="Times New Roman" w:hAnsi="Calibri" w:cs="Times New Roman"/>
          <w:b/>
          <w:bCs/>
          <w:color w:val="000000"/>
          <w:sz w:val="24"/>
          <w:szCs w:val="24"/>
          <w:lang w:eastAsia="pt-BR"/>
        </w:rPr>
      </w:pPr>
      <w:r w:rsidRPr="00932292">
        <w:rPr>
          <w:rFonts w:ascii="Calibri" w:eastAsia="Times New Roman" w:hAnsi="Calibri" w:cs="Times New Roman"/>
          <w:b/>
          <w:bCs/>
          <w:color w:val="000000"/>
          <w:sz w:val="36"/>
          <w:szCs w:val="36"/>
          <w:lang w:eastAsia="pt-BR"/>
        </w:rPr>
        <w:t> </w:t>
      </w:r>
      <w:r w:rsidRPr="00932292">
        <w:rPr>
          <w:rFonts w:ascii="Calibri" w:eastAsia="Times New Roman" w:hAnsi="Calibri" w:cs="Times New Roman"/>
          <w:b/>
          <w:bCs/>
          <w:color w:val="000000"/>
          <w:sz w:val="24"/>
          <w:szCs w:val="24"/>
          <w:lang w:eastAsia="pt-BR"/>
        </w:rPr>
        <w:t>6.0 CRITÉRIOS DE SUSTENTABILIDADE                                                                                                                               </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6.1 Os materiais a serem fornecidos deverão ser produzidos, armazenados e transportados de acordo com os critérios de sustentabilidade ambiental contidos na Instrução Normativa nº 01 de 19 de janeiro de 2010, da Secretaria de Logística e Tecnologia da Informação do Ministério do Planejamento, Orçamento e Gestão – SLTI/MPOG, no que couber.</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6.2 Os critérios de sustentabilidade da demanda deverão estar alinhados a diretriz do art. 31 da Lei nº 13.303/16, Guia Nacional de Contratações Sustentáveis da Advocacia Geral da União e normativos correlatos.</w:t>
      </w:r>
    </w:p>
    <w:p w:rsidR="00932292" w:rsidRPr="00932292" w:rsidRDefault="00932292" w:rsidP="00932292">
      <w:pPr>
        <w:spacing w:before="100" w:beforeAutospacing="1" w:after="100" w:afterAutospacing="1" w:line="240" w:lineRule="auto"/>
        <w:outlineLvl w:val="1"/>
        <w:rPr>
          <w:rFonts w:ascii="Calibri" w:eastAsia="Times New Roman" w:hAnsi="Calibri" w:cs="Times New Roman"/>
          <w:b/>
          <w:bCs/>
          <w:color w:val="000000"/>
          <w:sz w:val="24"/>
          <w:szCs w:val="24"/>
          <w:lang w:eastAsia="pt-BR"/>
        </w:rPr>
      </w:pPr>
      <w:r w:rsidRPr="00932292">
        <w:rPr>
          <w:rFonts w:ascii="Calibri" w:eastAsia="Times New Roman" w:hAnsi="Calibri" w:cs="Times New Roman"/>
          <w:b/>
          <w:bCs/>
          <w:color w:val="000000"/>
          <w:sz w:val="24"/>
          <w:szCs w:val="24"/>
          <w:lang w:eastAsia="pt-BR"/>
        </w:rPr>
        <w:t>7.0  PAGAMENTO                                                                                                                                                                     </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7.1 O pagamento será realizado no prazo máximo de até </w:t>
      </w:r>
      <w:r w:rsidRPr="00932292">
        <w:rPr>
          <w:rFonts w:ascii="Calibri" w:eastAsia="Times New Roman" w:hAnsi="Calibri" w:cs="Times New Roman"/>
          <w:b/>
          <w:bCs/>
          <w:color w:val="000000"/>
          <w:sz w:val="20"/>
          <w:szCs w:val="20"/>
          <w:lang w:eastAsia="pt-BR"/>
        </w:rPr>
        <w:t>30 (trinta) dias</w:t>
      </w:r>
      <w:r w:rsidRPr="00932292">
        <w:rPr>
          <w:rFonts w:ascii="Calibri" w:eastAsia="Times New Roman" w:hAnsi="Calibri" w:cs="Times New Roman"/>
          <w:color w:val="000000"/>
          <w:sz w:val="20"/>
          <w:szCs w:val="20"/>
          <w:lang w:eastAsia="pt-BR"/>
        </w:rPr>
        <w:t xml:space="preserve">, contados a partir do recebimento da Nota Fiscal ou Fatura, através de ordem bancária, para crédito em banco, agência e conta </w:t>
      </w:r>
      <w:proofErr w:type="gramStart"/>
      <w:r w:rsidRPr="00932292">
        <w:rPr>
          <w:rFonts w:ascii="Calibri" w:eastAsia="Times New Roman" w:hAnsi="Calibri" w:cs="Times New Roman"/>
          <w:color w:val="000000"/>
          <w:sz w:val="20"/>
          <w:szCs w:val="20"/>
          <w:lang w:eastAsia="pt-BR"/>
        </w:rPr>
        <w:t>corrente indicados pelo contratado</w:t>
      </w:r>
      <w:proofErr w:type="gramEnd"/>
      <w:r w:rsidRPr="00932292">
        <w:rPr>
          <w:rFonts w:ascii="Calibri" w:eastAsia="Times New Roman" w:hAnsi="Calibri" w:cs="Times New Roman"/>
          <w:color w:val="000000"/>
          <w:sz w:val="20"/>
          <w:szCs w:val="20"/>
          <w:lang w:eastAsia="pt-BR"/>
        </w:rPr>
        <w:t>.</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 xml:space="preserve">7.2 </w:t>
      </w:r>
      <w:proofErr w:type="gramStart"/>
      <w:r w:rsidRPr="00932292">
        <w:rPr>
          <w:rFonts w:ascii="Calibri" w:eastAsia="Times New Roman" w:hAnsi="Calibri" w:cs="Times New Roman"/>
          <w:color w:val="000000"/>
          <w:sz w:val="20"/>
          <w:szCs w:val="20"/>
          <w:lang w:eastAsia="pt-BR"/>
        </w:rPr>
        <w:t>Será</w:t>
      </w:r>
      <w:proofErr w:type="gramEnd"/>
      <w:r w:rsidRPr="00932292">
        <w:rPr>
          <w:rFonts w:ascii="Calibri" w:eastAsia="Times New Roman" w:hAnsi="Calibri" w:cs="Times New Roman"/>
          <w:color w:val="000000"/>
          <w:sz w:val="20"/>
          <w:szCs w:val="20"/>
          <w:lang w:eastAsia="pt-BR"/>
        </w:rPr>
        <w:t xml:space="preserve"> considerada data do pagamento o dia em que constar como emitida a ordem bancária para pagamento.</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7.3 Quando do pagamento, será efetuada a retenção tributária prevista na legislação aplicável.</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7.4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7.5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EM = I x N x VP, sendo:</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lastRenderedPageBreak/>
        <w:t>EM = Encargos moratórios;</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N = Número de dias entre a data prevista para o pagamento e a do efetivo pagamento; VP = Valor da parcela a ser paga.</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 xml:space="preserve">I = Índice de compensação financeira = </w:t>
      </w:r>
      <w:proofErr w:type="gramStart"/>
      <w:r w:rsidRPr="00932292">
        <w:rPr>
          <w:rFonts w:ascii="Calibri" w:eastAsia="Times New Roman" w:hAnsi="Calibri" w:cs="Times New Roman"/>
          <w:color w:val="000000"/>
          <w:sz w:val="20"/>
          <w:szCs w:val="20"/>
          <w:lang w:eastAsia="pt-BR"/>
        </w:rPr>
        <w:t>0,00016438, assim apurado</w:t>
      </w:r>
      <w:proofErr w:type="gramEnd"/>
      <w:r w:rsidRPr="00932292">
        <w:rPr>
          <w:rFonts w:ascii="Calibri" w:eastAsia="Times New Roman" w:hAnsi="Calibri" w:cs="Times New Roman"/>
          <w:color w:val="000000"/>
          <w:sz w:val="20"/>
          <w:szCs w:val="20"/>
          <w:lang w:eastAsia="pt-BR"/>
        </w:rPr>
        <w:t>:</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2"/>
        <w:gridCol w:w="966"/>
        <w:gridCol w:w="2951"/>
      </w:tblGrid>
      <w:tr w:rsidR="00932292" w:rsidRPr="00932292" w:rsidTr="00932292">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i/>
                <w:iCs/>
                <w:color w:val="000000"/>
                <w:sz w:val="20"/>
                <w:szCs w:val="20"/>
                <w:lang w:eastAsia="pt-BR"/>
              </w:rPr>
              <w:t>I = TX</w:t>
            </w:r>
          </w:p>
        </w:tc>
        <w:tc>
          <w:tcPr>
            <w:tcW w:w="0" w:type="auto"/>
            <w:tcBorders>
              <w:top w:val="outset" w:sz="6" w:space="0" w:color="auto"/>
              <w:left w:val="outset" w:sz="6" w:space="0" w:color="auto"/>
              <w:bottom w:val="outset" w:sz="6" w:space="0" w:color="auto"/>
              <w:right w:val="outset" w:sz="6" w:space="0" w:color="auto"/>
            </w:tcBorders>
            <w:vAlign w:val="center"/>
            <w:hideMark/>
          </w:tcPr>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i/>
                <w:iCs/>
                <w:color w:val="000000"/>
                <w:sz w:val="20"/>
                <w:szCs w:val="20"/>
                <w:lang w:eastAsia="pt-BR"/>
              </w:rPr>
              <w:t>I = </w:t>
            </w:r>
            <w:r w:rsidRPr="00932292">
              <w:rPr>
                <w:rFonts w:ascii="Calibri" w:eastAsia="Times New Roman" w:hAnsi="Calibri" w:cs="Times New Roman"/>
                <w:i/>
                <w:iCs/>
                <w:color w:val="000000"/>
                <w:sz w:val="20"/>
                <w:szCs w:val="20"/>
                <w:u w:val="single"/>
                <w:lang w:eastAsia="pt-BR"/>
              </w:rPr>
              <w:t>(6 / 100)</w:t>
            </w:r>
          </w:p>
        </w:tc>
        <w:tc>
          <w:tcPr>
            <w:tcW w:w="0" w:type="auto"/>
            <w:tcBorders>
              <w:top w:val="outset" w:sz="6" w:space="0" w:color="auto"/>
              <w:left w:val="outset" w:sz="6" w:space="0" w:color="auto"/>
              <w:bottom w:val="outset" w:sz="6" w:space="0" w:color="auto"/>
              <w:right w:val="outset" w:sz="6" w:space="0" w:color="auto"/>
            </w:tcBorders>
            <w:vAlign w:val="center"/>
            <w:hideMark/>
          </w:tcPr>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i/>
                <w:iCs/>
                <w:color w:val="000000"/>
                <w:sz w:val="20"/>
                <w:szCs w:val="20"/>
                <w:lang w:eastAsia="pt-BR"/>
              </w:rPr>
              <w:t>I                    =                    0,00016438</w:t>
            </w:r>
          </w:p>
        </w:tc>
      </w:tr>
      <w:tr w:rsidR="00932292" w:rsidRPr="00932292" w:rsidTr="00932292">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932292" w:rsidRPr="00932292" w:rsidRDefault="00932292" w:rsidP="00932292">
            <w:pPr>
              <w:spacing w:after="0" w:line="240" w:lineRule="auto"/>
              <w:rPr>
                <w:rFonts w:ascii="Calibri" w:eastAsia="Times New Roman" w:hAnsi="Calibri" w:cs="Times New Roman"/>
                <w:color w:val="000000"/>
                <w:sz w:val="20"/>
                <w:szCs w:val="20"/>
                <w:lang w:eastAsia="pt-BR"/>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i/>
                <w:iCs/>
                <w:color w:val="000000"/>
                <w:sz w:val="20"/>
                <w:szCs w:val="20"/>
                <w:lang w:eastAsia="pt-BR"/>
              </w:rPr>
              <w:t>365</w:t>
            </w:r>
          </w:p>
        </w:tc>
        <w:tc>
          <w:tcPr>
            <w:tcW w:w="0" w:type="auto"/>
            <w:tcBorders>
              <w:top w:val="outset" w:sz="6" w:space="0" w:color="auto"/>
              <w:left w:val="outset" w:sz="6" w:space="0" w:color="auto"/>
              <w:bottom w:val="outset" w:sz="6" w:space="0" w:color="auto"/>
              <w:right w:val="outset" w:sz="6" w:space="0" w:color="auto"/>
            </w:tcBorders>
            <w:vAlign w:val="center"/>
            <w:hideMark/>
          </w:tcPr>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i/>
                <w:iCs/>
                <w:color w:val="000000"/>
                <w:sz w:val="20"/>
                <w:szCs w:val="20"/>
                <w:lang w:eastAsia="pt-BR"/>
              </w:rPr>
              <w:t>TX = Percentual da Taxa Anual = 6%</w:t>
            </w:r>
          </w:p>
        </w:tc>
      </w:tr>
    </w:tbl>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7.6 A Nota Fiscal deverá ser preenchida com os dados a seguir indicados:  Hospital    Universitário    </w:t>
      </w:r>
      <w:proofErr w:type="gramStart"/>
      <w:r w:rsidRPr="00932292">
        <w:rPr>
          <w:rFonts w:ascii="Calibri" w:eastAsia="Times New Roman" w:hAnsi="Calibri" w:cs="Times New Roman"/>
          <w:color w:val="000000"/>
          <w:sz w:val="20"/>
          <w:szCs w:val="20"/>
          <w:lang w:eastAsia="pt-BR"/>
        </w:rPr>
        <w:t>Prof.</w:t>
      </w:r>
      <w:proofErr w:type="gramEnd"/>
      <w:r w:rsidRPr="00932292">
        <w:rPr>
          <w:rFonts w:ascii="Calibri" w:eastAsia="Times New Roman" w:hAnsi="Calibri" w:cs="Times New Roman"/>
          <w:color w:val="000000"/>
          <w:sz w:val="20"/>
          <w:szCs w:val="20"/>
          <w:lang w:eastAsia="pt-BR"/>
        </w:rPr>
        <w:t>  Edgard   Santos     CNPJ: 15.126.437/0029-44, </w:t>
      </w:r>
      <w:r w:rsidRPr="00932292">
        <w:rPr>
          <w:rFonts w:ascii="Calibri" w:eastAsia="Times New Roman" w:hAnsi="Calibri" w:cs="Times New Roman"/>
          <w:b/>
          <w:bCs/>
          <w:color w:val="000000"/>
          <w:sz w:val="20"/>
          <w:szCs w:val="20"/>
          <w:lang w:eastAsia="pt-BR"/>
        </w:rPr>
        <w:t>Endereço: Rua Augusto Viana, S/Nº – Canela – Salvador/BA CEP: 40.110-060.</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b/>
          <w:bCs/>
          <w:color w:val="000000"/>
          <w:sz w:val="20"/>
          <w:szCs w:val="20"/>
          <w:lang w:eastAsia="pt-BR"/>
        </w:rPr>
        <w:t>8.0  OBRIGAÇÕES DA CONTRATADA     </w:t>
      </w:r>
      <w:r w:rsidRPr="00932292">
        <w:rPr>
          <w:rFonts w:ascii="Calibri" w:eastAsia="Times New Roman" w:hAnsi="Calibri" w:cs="Times New Roman"/>
          <w:color w:val="000000"/>
          <w:sz w:val="20"/>
          <w:szCs w:val="20"/>
          <w:lang w:eastAsia="pt-BR"/>
        </w:rPr>
        <w:t> </w:t>
      </w:r>
      <w:proofErr w:type="gramStart"/>
      <w:r w:rsidRPr="00932292">
        <w:rPr>
          <w:rFonts w:ascii="Calibri" w:eastAsia="Times New Roman" w:hAnsi="Calibri" w:cs="Times New Roman"/>
          <w:color w:val="000000"/>
          <w:sz w:val="20"/>
          <w:szCs w:val="20"/>
          <w:lang w:eastAsia="pt-BR"/>
        </w:rPr>
        <w:t xml:space="preserve">  </w:t>
      </w:r>
      <w:proofErr w:type="gramEnd"/>
      <w:r w:rsidRPr="00932292">
        <w:rPr>
          <w:rFonts w:ascii="Calibri" w:eastAsia="Times New Roman" w:hAnsi="Calibri" w:cs="Times New Roman"/>
          <w:color w:val="000000"/>
          <w:sz w:val="20"/>
          <w:szCs w:val="20"/>
          <w:lang w:eastAsia="pt-BR"/>
        </w:rPr>
        <w:t xml:space="preserve">                                                                                                                           </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8.1 A Contratada deve cumprir todas as obrigações constantes no Termo de Referência e sua proposta, assumindo como exclusivamente seus os riscos e as despesas decorrentes da boa e perfeita execução do objeto e, ainda:</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 xml:space="preserve">8.2 Efetuar a entrega do objeto em perfeitas condições, conforme especificações, prazo e local constantes no Termo de Referência, acompanhado da respectiva nota fiscal, na qual constarão as indicações referentes </w:t>
      </w:r>
      <w:proofErr w:type="gramStart"/>
      <w:r w:rsidRPr="00932292">
        <w:rPr>
          <w:rFonts w:ascii="Calibri" w:eastAsia="Times New Roman" w:hAnsi="Calibri" w:cs="Times New Roman"/>
          <w:color w:val="000000"/>
          <w:sz w:val="20"/>
          <w:szCs w:val="20"/>
          <w:lang w:eastAsia="pt-BR"/>
        </w:rPr>
        <w:t>a</w:t>
      </w:r>
      <w:proofErr w:type="gramEnd"/>
      <w:r w:rsidRPr="00932292">
        <w:rPr>
          <w:rFonts w:ascii="Calibri" w:eastAsia="Times New Roman" w:hAnsi="Calibri" w:cs="Times New Roman"/>
          <w:color w:val="000000"/>
          <w:sz w:val="20"/>
          <w:szCs w:val="20"/>
          <w:lang w:eastAsia="pt-BR"/>
        </w:rPr>
        <w:t>: marca, fabricante, modelo, procedência e prazo de garantia ou validade.</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8.3 Responsabilizar-se pelos vícios e danos decorrentes do objeto, de acordo com os artigos 12, 13 e 17 a 27, do Código de Defesa do Consumidor (Lei nº 8.078, de 1990);</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8.4 Substituir, reparar ou corrigir, às suas expensas, no prazo fixado neste Termo de Referência, o objeto com avarias ou defeitos;</w:t>
      </w:r>
    </w:p>
    <w:p w:rsidR="00932292" w:rsidRPr="00932292" w:rsidRDefault="00932292" w:rsidP="00932292">
      <w:pPr>
        <w:spacing w:before="100" w:beforeAutospacing="1" w:after="100" w:afterAutospacing="1" w:line="240" w:lineRule="auto"/>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8.5 Manter, durante toda a execução do contrato, em compatibilidade com as obrigações assumidas, todas as condições de definidas neste Termo de Referência.</w:t>
      </w:r>
    </w:p>
    <w:p w:rsidR="00932292" w:rsidRPr="00932292" w:rsidRDefault="00932292" w:rsidP="00932292">
      <w:pPr>
        <w:spacing w:before="100" w:beforeAutospacing="1" w:after="100" w:afterAutospacing="1" w:line="240" w:lineRule="auto"/>
        <w:outlineLvl w:val="1"/>
        <w:rPr>
          <w:rFonts w:ascii="Calibri" w:eastAsia="Times New Roman" w:hAnsi="Calibri" w:cs="Times New Roman"/>
          <w:b/>
          <w:bCs/>
          <w:color w:val="000000"/>
          <w:sz w:val="24"/>
          <w:szCs w:val="24"/>
          <w:lang w:eastAsia="pt-BR"/>
        </w:rPr>
      </w:pPr>
      <w:r w:rsidRPr="00932292">
        <w:rPr>
          <w:rFonts w:ascii="Calibri" w:eastAsia="Times New Roman" w:hAnsi="Calibri" w:cs="Times New Roman"/>
          <w:b/>
          <w:bCs/>
          <w:color w:val="000000"/>
          <w:sz w:val="24"/>
          <w:szCs w:val="24"/>
          <w:lang w:eastAsia="pt-BR"/>
        </w:rPr>
        <w:t>9.0  OBRIGAÇÕES DA    CONTRATANTE                                                                                                                                  </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9.1 São obrigações da Contratante:</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9.1.1 Receber o objeto no prazo e condições estabelecidas no Termo de Referência;</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9.1.2 Verificar minuciosamente, no prazo fixado, a conformidade dos bens recebidos provisoriamente com as especificações constantes do Termo de Referência e da proposta, para fins de aceitação e recebimento definitivo;</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9.1.3 Comunicar à Contratada, por escrito, sobre imperfeições, falhas ou irregularidades verificadas no objeto fornecido, para que seja substituído, reparado ou corrigido;</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9.1.4 Acompanhar e fiscalizar o cumprimento das obrigações da Contratada, através de comissão/servidor especialmente designado;</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lastRenderedPageBreak/>
        <w:t>9.1.5 Efetuar o pagamento à Contratada no valor correspondente ao fornecimento do objeto, no prazo e forma estabelecidos no Termo de Referência.</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9.1.6 A Administração não responderá por quaisquer compromissos assumidos pela Contratada com terceiros, ainda que vinculados à execução da contratação, bem como por qualquer dano causado a terceiros em decorrência de ato da Contratada, de seus empregados, prepostos ou subordinados.</w:t>
      </w:r>
    </w:p>
    <w:p w:rsidR="00932292" w:rsidRPr="00932292" w:rsidRDefault="00932292" w:rsidP="00932292">
      <w:pPr>
        <w:spacing w:before="100" w:beforeAutospacing="1" w:after="100" w:afterAutospacing="1" w:line="240" w:lineRule="auto"/>
        <w:outlineLvl w:val="1"/>
        <w:rPr>
          <w:rFonts w:ascii="Calibri" w:eastAsia="Times New Roman" w:hAnsi="Calibri" w:cs="Times New Roman"/>
          <w:b/>
          <w:bCs/>
          <w:color w:val="000000"/>
          <w:sz w:val="24"/>
          <w:szCs w:val="24"/>
          <w:lang w:eastAsia="pt-BR"/>
        </w:rPr>
      </w:pPr>
      <w:proofErr w:type="gramStart"/>
      <w:r>
        <w:rPr>
          <w:rFonts w:ascii="Calibri" w:eastAsia="Times New Roman" w:hAnsi="Calibri" w:cs="Times New Roman"/>
          <w:b/>
          <w:bCs/>
          <w:color w:val="000000"/>
          <w:sz w:val="24"/>
          <w:szCs w:val="24"/>
          <w:lang w:eastAsia="pt-BR"/>
        </w:rPr>
        <w:t>10.0</w:t>
      </w:r>
      <w:r w:rsidRPr="00932292">
        <w:rPr>
          <w:rFonts w:ascii="Calibri" w:eastAsia="Times New Roman" w:hAnsi="Calibri" w:cs="Times New Roman"/>
          <w:b/>
          <w:bCs/>
          <w:color w:val="000000"/>
          <w:sz w:val="24"/>
          <w:szCs w:val="24"/>
          <w:lang w:eastAsia="pt-BR"/>
        </w:rPr>
        <w:t>ALTERAÇÃO</w:t>
      </w:r>
      <w:proofErr w:type="gramEnd"/>
      <w:r w:rsidRPr="00932292">
        <w:rPr>
          <w:rFonts w:ascii="Calibri" w:eastAsia="Times New Roman" w:hAnsi="Calibri" w:cs="Times New Roman"/>
          <w:b/>
          <w:bCs/>
          <w:color w:val="000000"/>
          <w:sz w:val="24"/>
          <w:szCs w:val="24"/>
          <w:lang w:eastAsia="pt-BR"/>
        </w:rPr>
        <w:t> SUBJETIVA                                                                                                                                                  </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 xml:space="preserve">10.1 </w:t>
      </w:r>
      <w:proofErr w:type="gramStart"/>
      <w:r w:rsidRPr="00932292">
        <w:rPr>
          <w:rFonts w:ascii="Calibri" w:eastAsia="Times New Roman" w:hAnsi="Calibri" w:cs="Times New Roman"/>
          <w:color w:val="000000"/>
          <w:sz w:val="20"/>
          <w:szCs w:val="20"/>
          <w:lang w:eastAsia="pt-BR"/>
        </w:rPr>
        <w:t>É</w:t>
      </w:r>
      <w:proofErr w:type="gramEnd"/>
      <w:r w:rsidRPr="00932292">
        <w:rPr>
          <w:rFonts w:ascii="Calibri" w:eastAsia="Times New Roman" w:hAnsi="Calibri" w:cs="Times New Roman"/>
          <w:color w:val="000000"/>
          <w:sz w:val="20"/>
          <w:szCs w:val="20"/>
          <w:lang w:eastAsia="pt-BR"/>
        </w:rPr>
        <w:t xml:space="preserve"> admissível a fusão, cisão ou incorporação da Contratada com/em outra pessoa jurídica, desde que sejam observados pela nova pessoa jurídica todos os requisitos exigidos na contratação; sejam mantidas as demais cláusulas e condições do contrato; não haja prejuízo à execução do objeto pactuado e haja a anuência expressa da Administração à continuidade do contrato.</w:t>
      </w:r>
    </w:p>
    <w:p w:rsidR="00932292" w:rsidRPr="00932292" w:rsidRDefault="00932292" w:rsidP="00932292">
      <w:pPr>
        <w:spacing w:before="100" w:beforeAutospacing="1" w:after="100" w:afterAutospacing="1" w:line="240" w:lineRule="auto"/>
        <w:outlineLvl w:val="1"/>
        <w:rPr>
          <w:rFonts w:ascii="Calibri" w:eastAsia="Times New Roman" w:hAnsi="Calibri" w:cs="Times New Roman"/>
          <w:b/>
          <w:bCs/>
          <w:color w:val="000000"/>
          <w:sz w:val="24"/>
          <w:szCs w:val="24"/>
          <w:lang w:eastAsia="pt-BR"/>
        </w:rPr>
      </w:pPr>
      <w:r w:rsidRPr="00932292">
        <w:rPr>
          <w:rFonts w:ascii="Calibri" w:eastAsia="Times New Roman" w:hAnsi="Calibri" w:cs="Times New Roman"/>
          <w:b/>
          <w:bCs/>
          <w:color w:val="000000"/>
          <w:sz w:val="36"/>
          <w:szCs w:val="36"/>
          <w:lang w:eastAsia="pt-BR"/>
        </w:rPr>
        <w:t> </w:t>
      </w:r>
      <w:r>
        <w:rPr>
          <w:rFonts w:ascii="Calibri" w:eastAsia="Times New Roman" w:hAnsi="Calibri" w:cs="Times New Roman"/>
          <w:b/>
          <w:bCs/>
          <w:color w:val="000000"/>
          <w:sz w:val="24"/>
          <w:szCs w:val="24"/>
          <w:lang w:eastAsia="pt-BR"/>
        </w:rPr>
        <w:t xml:space="preserve">11.0 GESTÃO E </w:t>
      </w:r>
      <w:r w:rsidRPr="00932292">
        <w:rPr>
          <w:rFonts w:ascii="Calibri" w:eastAsia="Times New Roman" w:hAnsi="Calibri" w:cs="Times New Roman"/>
          <w:b/>
          <w:bCs/>
          <w:color w:val="000000"/>
          <w:sz w:val="24"/>
          <w:szCs w:val="24"/>
          <w:lang w:eastAsia="pt-BR"/>
        </w:rPr>
        <w:t>FISCALIZAÇÃO CONTRATUAL                                                                                                                     </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 xml:space="preserve">11.1 Nos termos do art. 101 do Regulamento de Licitações e Contratos da EBSERH, de 2019, </w:t>
      </w:r>
      <w:proofErr w:type="gramStart"/>
      <w:r w:rsidRPr="00932292">
        <w:rPr>
          <w:rFonts w:ascii="Calibri" w:eastAsia="Times New Roman" w:hAnsi="Calibri" w:cs="Times New Roman"/>
          <w:color w:val="000000"/>
          <w:sz w:val="20"/>
          <w:szCs w:val="20"/>
          <w:lang w:eastAsia="pt-BR"/>
        </w:rPr>
        <w:t>será designado</w:t>
      </w:r>
      <w:proofErr w:type="gramEnd"/>
      <w:r w:rsidRPr="00932292">
        <w:rPr>
          <w:rFonts w:ascii="Calibri" w:eastAsia="Times New Roman" w:hAnsi="Calibri" w:cs="Times New Roman"/>
          <w:color w:val="000000"/>
          <w:sz w:val="20"/>
          <w:szCs w:val="20"/>
          <w:lang w:eastAsia="pt-BR"/>
        </w:rPr>
        <w:t xml:space="preserve"> representante para acompanhar e fiscalizar a entrega dos bens, anotando em registro próprio todas as ocorrências relacionadas com a execução e determinando o que for necessário à regularização de falhas ou defeitos observados.</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11.2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em conformidade com o art. 102 da do Regulamento de Licitações e Contratos da EBSERH, de 2019.</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11.3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932292" w:rsidRPr="00932292" w:rsidRDefault="00932292" w:rsidP="00932292">
      <w:pPr>
        <w:spacing w:before="100" w:beforeAutospacing="1" w:after="100" w:afterAutospacing="1" w:line="240" w:lineRule="auto"/>
        <w:outlineLvl w:val="1"/>
        <w:rPr>
          <w:rFonts w:ascii="Calibri" w:eastAsia="Times New Roman" w:hAnsi="Calibri" w:cs="Times New Roman"/>
          <w:color w:val="000000"/>
          <w:sz w:val="20"/>
          <w:szCs w:val="20"/>
          <w:lang w:eastAsia="pt-BR"/>
        </w:rPr>
      </w:pPr>
      <w:r w:rsidRPr="00932292">
        <w:rPr>
          <w:rFonts w:ascii="Calibri" w:eastAsia="Times New Roman" w:hAnsi="Calibri" w:cs="Times New Roman"/>
          <w:b/>
          <w:bCs/>
          <w:color w:val="000000"/>
          <w:sz w:val="24"/>
          <w:szCs w:val="24"/>
          <w:lang w:eastAsia="pt-BR"/>
        </w:rPr>
        <w:t> </w:t>
      </w:r>
      <w:proofErr w:type="gramStart"/>
      <w:r w:rsidRPr="00932292">
        <w:rPr>
          <w:rFonts w:ascii="Calibri" w:eastAsia="Times New Roman" w:hAnsi="Calibri" w:cs="Times New Roman"/>
          <w:b/>
          <w:bCs/>
          <w:color w:val="000000"/>
          <w:sz w:val="24"/>
          <w:szCs w:val="24"/>
          <w:lang w:eastAsia="pt-BR"/>
        </w:rPr>
        <w:t>12.0 INSTRUMENTO</w:t>
      </w:r>
      <w:proofErr w:type="gramEnd"/>
      <w:r w:rsidRPr="00932292">
        <w:rPr>
          <w:rFonts w:ascii="Calibri" w:eastAsia="Times New Roman" w:hAnsi="Calibri" w:cs="Times New Roman"/>
          <w:b/>
          <w:bCs/>
          <w:color w:val="000000"/>
          <w:sz w:val="24"/>
          <w:szCs w:val="24"/>
          <w:lang w:eastAsia="pt-BR"/>
        </w:rPr>
        <w:t> CONTRATUAL        </w:t>
      </w:r>
      <w:r w:rsidRPr="00932292">
        <w:rPr>
          <w:rFonts w:ascii="Calibri" w:eastAsia="Times New Roman" w:hAnsi="Calibri" w:cs="Times New Roman"/>
          <w:color w:val="000000"/>
          <w:sz w:val="20"/>
          <w:szCs w:val="20"/>
          <w:lang w:eastAsia="pt-BR"/>
        </w:rPr>
        <w:t>                                                                                                                               </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12.1 De acordo com o art. 95 do Regulamento de Licitações e Contratos da EBSERH e com o art. 73 da Lei nº 13.303/2016, para esta aquisição não haverá Termo de Contrato, sendo substituído pela Nota de Empenho, tendo em vista se tratar de pequenas despesas de pronta entrega e pagamento e ser uma prática de mercado.</w:t>
      </w:r>
    </w:p>
    <w:p w:rsidR="00932292" w:rsidRPr="00932292" w:rsidRDefault="00932292" w:rsidP="00932292">
      <w:pPr>
        <w:spacing w:before="100" w:beforeAutospacing="1" w:after="100" w:afterAutospacing="1" w:line="240" w:lineRule="auto"/>
        <w:outlineLvl w:val="1"/>
        <w:rPr>
          <w:rFonts w:ascii="Calibri" w:eastAsia="Times New Roman" w:hAnsi="Calibri" w:cs="Times New Roman"/>
          <w:b/>
          <w:bCs/>
          <w:color w:val="000000"/>
          <w:sz w:val="24"/>
          <w:szCs w:val="24"/>
          <w:lang w:eastAsia="pt-BR"/>
        </w:rPr>
      </w:pPr>
      <w:r w:rsidRPr="00932292">
        <w:rPr>
          <w:rFonts w:ascii="Calibri" w:eastAsia="Times New Roman" w:hAnsi="Calibri" w:cs="Times New Roman"/>
          <w:b/>
          <w:bCs/>
          <w:color w:val="000000"/>
          <w:sz w:val="24"/>
          <w:szCs w:val="24"/>
          <w:lang w:eastAsia="pt-BR"/>
        </w:rPr>
        <w:t>13.0  SANÇÕES ADMINISTRATIVAS                                                                                                                                        </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proofErr w:type="gramStart"/>
      <w:r w:rsidRPr="00932292">
        <w:rPr>
          <w:rFonts w:ascii="Calibri" w:eastAsia="Times New Roman" w:hAnsi="Calibri" w:cs="Times New Roman"/>
          <w:color w:val="000000"/>
          <w:sz w:val="20"/>
          <w:szCs w:val="20"/>
          <w:lang w:eastAsia="pt-BR"/>
        </w:rPr>
        <w:t>13.1 Em caso de inexecução total ou parcial e/ou atraso</w:t>
      </w:r>
      <w:proofErr w:type="gramEnd"/>
      <w:r w:rsidRPr="00932292">
        <w:rPr>
          <w:rFonts w:ascii="Calibri" w:eastAsia="Times New Roman" w:hAnsi="Calibri" w:cs="Times New Roman"/>
          <w:color w:val="000000"/>
          <w:sz w:val="20"/>
          <w:szCs w:val="20"/>
          <w:lang w:eastAsia="pt-BR"/>
        </w:rPr>
        <w:t xml:space="preserve"> injustificado na execução do contrato, o Complexo HUPES poderá, garantida a prévia defesa, aplicar ao Contratado as seguintes sanções, conforme previsto nos termos da Lei nº 13.303, de 2016 e Regulamento de Licitações e Contratos da EBSERH:</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13.1.1 Advertência; Multa;</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lastRenderedPageBreak/>
        <w:t xml:space="preserve">13.1.2 Suspensão temporária de participação em licitação e impedimento de contratar com a </w:t>
      </w:r>
      <w:proofErr w:type="spellStart"/>
      <w:r w:rsidRPr="00932292">
        <w:rPr>
          <w:rFonts w:ascii="Calibri" w:eastAsia="Times New Roman" w:hAnsi="Calibri" w:cs="Times New Roman"/>
          <w:color w:val="000000"/>
          <w:sz w:val="20"/>
          <w:szCs w:val="20"/>
          <w:lang w:eastAsia="pt-BR"/>
        </w:rPr>
        <w:t>Ebserh</w:t>
      </w:r>
      <w:proofErr w:type="spellEnd"/>
      <w:r w:rsidRPr="00932292">
        <w:rPr>
          <w:rFonts w:ascii="Calibri" w:eastAsia="Times New Roman" w:hAnsi="Calibri" w:cs="Times New Roman"/>
          <w:color w:val="000000"/>
          <w:sz w:val="20"/>
          <w:szCs w:val="20"/>
          <w:lang w:eastAsia="pt-BR"/>
        </w:rPr>
        <w:t xml:space="preserve">, por prazo não superior a </w:t>
      </w:r>
      <w:proofErr w:type="gramStart"/>
      <w:r w:rsidRPr="00932292">
        <w:rPr>
          <w:rFonts w:ascii="Calibri" w:eastAsia="Times New Roman" w:hAnsi="Calibri" w:cs="Times New Roman"/>
          <w:color w:val="000000"/>
          <w:sz w:val="20"/>
          <w:szCs w:val="20"/>
          <w:lang w:eastAsia="pt-BR"/>
        </w:rPr>
        <w:t>2</w:t>
      </w:r>
      <w:proofErr w:type="gramEnd"/>
      <w:r w:rsidRPr="00932292">
        <w:rPr>
          <w:rFonts w:ascii="Calibri" w:eastAsia="Times New Roman" w:hAnsi="Calibri" w:cs="Times New Roman"/>
          <w:color w:val="000000"/>
          <w:sz w:val="20"/>
          <w:szCs w:val="20"/>
          <w:lang w:eastAsia="pt-BR"/>
        </w:rPr>
        <w:t xml:space="preserve"> (dois) anos.</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13.1.3 A Advertência poderá ser aplicada quando não houver o cumprimento de quaisquer das obrigações assumidas e a ocorrência for considerada como falta leve, assim entendidas aquelas ocorrências que não acarretam ou potencialmente não possam acarretar prejuízos significativos para o objeto contratado.</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 xml:space="preserve">13.1.4 A Multa poderá ser aplicada quando não houver o cumprimento das obrigações assumidas e a ocorrência for considerada como falta </w:t>
      </w:r>
      <w:proofErr w:type="gramStart"/>
      <w:r w:rsidRPr="00932292">
        <w:rPr>
          <w:rFonts w:ascii="Calibri" w:eastAsia="Times New Roman" w:hAnsi="Calibri" w:cs="Times New Roman"/>
          <w:color w:val="000000"/>
          <w:sz w:val="20"/>
          <w:szCs w:val="20"/>
          <w:lang w:eastAsia="pt-BR"/>
        </w:rPr>
        <w:t>média ou grave, assim entendidas</w:t>
      </w:r>
      <w:proofErr w:type="gramEnd"/>
      <w:r w:rsidRPr="00932292">
        <w:rPr>
          <w:rFonts w:ascii="Calibri" w:eastAsia="Times New Roman" w:hAnsi="Calibri" w:cs="Times New Roman"/>
          <w:color w:val="000000"/>
          <w:sz w:val="20"/>
          <w:szCs w:val="20"/>
          <w:lang w:eastAsia="pt-BR"/>
        </w:rPr>
        <w:t xml:space="preserve"> aquelas ocorrências que acarretam ou potencialmente possam acarretar prejuízos significativos para o objeto contratado.</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13.1.5 As multas serão de:</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13.1.5.1 Multa  </w:t>
      </w:r>
      <w:proofErr w:type="gramStart"/>
      <w:r w:rsidRPr="00932292">
        <w:rPr>
          <w:rFonts w:ascii="Calibri" w:eastAsia="Times New Roman" w:hAnsi="Calibri" w:cs="Times New Roman"/>
          <w:color w:val="000000"/>
          <w:sz w:val="20"/>
          <w:szCs w:val="20"/>
          <w:lang w:eastAsia="pt-BR"/>
        </w:rPr>
        <w:t xml:space="preserve">  </w:t>
      </w:r>
      <w:proofErr w:type="gramEnd"/>
      <w:r w:rsidRPr="00932292">
        <w:rPr>
          <w:rFonts w:ascii="Calibri" w:eastAsia="Times New Roman" w:hAnsi="Calibri" w:cs="Times New Roman"/>
          <w:color w:val="000000"/>
          <w:sz w:val="20"/>
          <w:szCs w:val="20"/>
          <w:lang w:eastAsia="pt-BR"/>
        </w:rPr>
        <w:t>moratória      de     0,5%      (meio     por     cento)      por    dia     de  atraso injustificado sobre o valor da parcela inadimplida, até o limite de 20 (vinte) dias;</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 xml:space="preserve">13.1. </w:t>
      </w:r>
      <w:proofErr w:type="gramStart"/>
      <w:r w:rsidRPr="00932292">
        <w:rPr>
          <w:rFonts w:ascii="Calibri" w:eastAsia="Times New Roman" w:hAnsi="Calibri" w:cs="Times New Roman"/>
          <w:color w:val="000000"/>
          <w:sz w:val="20"/>
          <w:szCs w:val="20"/>
          <w:lang w:eastAsia="pt-BR"/>
        </w:rPr>
        <w:t>5.2 Multa</w:t>
      </w:r>
      <w:proofErr w:type="gramEnd"/>
      <w:r w:rsidRPr="00932292">
        <w:rPr>
          <w:rFonts w:ascii="Calibri" w:eastAsia="Times New Roman" w:hAnsi="Calibri" w:cs="Times New Roman"/>
          <w:color w:val="000000"/>
          <w:sz w:val="20"/>
          <w:szCs w:val="20"/>
          <w:lang w:eastAsia="pt-BR"/>
        </w:rPr>
        <w:t xml:space="preserve"> compensatória de 10% (dez por cento) sobre o valor total do contrato, no caso de inexecução total do objeto;</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13.1.5.3 Em caso de inexecução parcial, a multa compensatória, no mesmo percentual do subitem acima, será aplicada de forma proporcional à obrigação inadimplida.</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13.1.5.4 Além das multas acima descritas, poderá ser aplicada sanção de suspensão temporária de participação em licitação e impedimento de contratar com a Contratante sancionadora à empresa ou ao profissional que:</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13.1.5.5 Tenha sofrido condenação definitiva por praticar, por meios dolosos, fraude fiscal no recolhimento de quaisquer tributos;</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13.1.5.6 Tenha praticado atos ilícitos visando a frustrar os objetivos da seleção;</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 xml:space="preserve">13.1.5.7 Demonstre não possuir idoneidade para contratar com a </w:t>
      </w:r>
      <w:proofErr w:type="spellStart"/>
      <w:r w:rsidRPr="00932292">
        <w:rPr>
          <w:rFonts w:ascii="Calibri" w:eastAsia="Times New Roman" w:hAnsi="Calibri" w:cs="Times New Roman"/>
          <w:color w:val="000000"/>
          <w:sz w:val="20"/>
          <w:szCs w:val="20"/>
          <w:lang w:eastAsia="pt-BR"/>
        </w:rPr>
        <w:t>Ebserh</w:t>
      </w:r>
      <w:proofErr w:type="spellEnd"/>
      <w:r w:rsidRPr="00932292">
        <w:rPr>
          <w:rFonts w:ascii="Calibri" w:eastAsia="Times New Roman" w:hAnsi="Calibri" w:cs="Times New Roman"/>
          <w:color w:val="000000"/>
          <w:sz w:val="20"/>
          <w:szCs w:val="20"/>
          <w:lang w:eastAsia="pt-BR"/>
        </w:rPr>
        <w:t xml:space="preserve"> em virtude de atos ilícitos praticados; Convocado dentro do prazo de validade da sua proposta, não celebrar o contrato;</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13.1.5.8 Apresentar documentação falsa exigida para a seleção; Ensejar o retardamento da execução do objeto da seleção; Não mantiver a proposta.</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 xml:space="preserve">13.1.5.9 A suspensão de licitar e impedimento de contratar com a entidade Contratante e sancionadora, </w:t>
      </w:r>
      <w:proofErr w:type="gramStart"/>
      <w:r w:rsidRPr="00932292">
        <w:rPr>
          <w:rFonts w:ascii="Calibri" w:eastAsia="Times New Roman" w:hAnsi="Calibri" w:cs="Times New Roman"/>
          <w:color w:val="000000"/>
          <w:sz w:val="20"/>
          <w:szCs w:val="20"/>
          <w:lang w:eastAsia="pt-BR"/>
        </w:rPr>
        <w:t>poderá ser aplicada</w:t>
      </w:r>
      <w:proofErr w:type="gramEnd"/>
      <w:r w:rsidRPr="00932292">
        <w:rPr>
          <w:rFonts w:ascii="Calibri" w:eastAsia="Times New Roman" w:hAnsi="Calibri" w:cs="Times New Roman"/>
          <w:color w:val="000000"/>
          <w:sz w:val="20"/>
          <w:szCs w:val="20"/>
          <w:lang w:eastAsia="pt-BR"/>
        </w:rPr>
        <w:t xml:space="preserve"> por prazo não superior a 02 (dois) anos.</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13.1.5.10 As sanções previstas poderão ser aplicadas à Contratada juntamente.</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13.1.5.11 Poderá ser emitida Guia de Recolhimento da União - GRU para pagamento das multas aplicadas à Contratada.</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13.1.5.12 Se não houver o recolhimento da GRU emitida, a multa poderá ser descontada dos créditos a receber até a composição do montante devido ou, ainda, quando for o caso, ser cobrada judicialmente.</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 xml:space="preserve">13.1.5.13 A aplicação de qualquer das penalidades previstas realizar-se-á em processo administrativo, que assegurará o contraditório e a ampla defesa à Contratada, observando-se o procedimento previsto na Lei </w:t>
      </w:r>
      <w:proofErr w:type="gramStart"/>
      <w:r w:rsidRPr="00932292">
        <w:rPr>
          <w:rFonts w:ascii="Calibri" w:eastAsia="Times New Roman" w:hAnsi="Calibri" w:cs="Times New Roman"/>
          <w:color w:val="000000"/>
          <w:sz w:val="20"/>
          <w:szCs w:val="20"/>
          <w:lang w:eastAsia="pt-BR"/>
        </w:rPr>
        <w:t xml:space="preserve">nº </w:t>
      </w:r>
      <w:proofErr w:type="spellStart"/>
      <w:r w:rsidRPr="00932292">
        <w:rPr>
          <w:rFonts w:ascii="Calibri" w:eastAsia="Times New Roman" w:hAnsi="Calibri" w:cs="Times New Roman"/>
          <w:color w:val="000000"/>
          <w:sz w:val="20"/>
          <w:szCs w:val="20"/>
          <w:lang w:eastAsia="pt-BR"/>
        </w:rPr>
        <w:t>nº</w:t>
      </w:r>
      <w:proofErr w:type="spellEnd"/>
      <w:proofErr w:type="gramEnd"/>
      <w:r w:rsidRPr="00932292">
        <w:rPr>
          <w:rFonts w:ascii="Calibri" w:eastAsia="Times New Roman" w:hAnsi="Calibri" w:cs="Times New Roman"/>
          <w:color w:val="000000"/>
          <w:sz w:val="20"/>
          <w:szCs w:val="20"/>
          <w:lang w:eastAsia="pt-BR"/>
        </w:rPr>
        <w:t xml:space="preserve"> 13.303, de 2016 e Regulamento de Licitações e Contratos da EBSERH.</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lastRenderedPageBreak/>
        <w:t>13.1.5.14 Os efeitos da rescisão do contrato serão operados a partir da comunicação formal sobre o seu julgamento, preferencialmente por meio eletrônico, ou, na impossibilidade de notificação do interessado, por meio de publicação oficial.</w:t>
      </w:r>
    </w:p>
    <w:p w:rsidR="00932292" w:rsidRPr="00932292" w:rsidRDefault="00932292" w:rsidP="00932292">
      <w:pPr>
        <w:spacing w:before="100" w:beforeAutospacing="1" w:after="100" w:afterAutospacing="1" w:line="240" w:lineRule="auto"/>
        <w:jc w:val="both"/>
        <w:rPr>
          <w:rFonts w:ascii="Calibri" w:eastAsia="Times New Roman" w:hAnsi="Calibri" w:cs="Times New Roman"/>
          <w:color w:val="000000"/>
          <w:sz w:val="20"/>
          <w:szCs w:val="20"/>
          <w:lang w:eastAsia="pt-BR"/>
        </w:rPr>
      </w:pPr>
      <w:r w:rsidRPr="00932292">
        <w:rPr>
          <w:rFonts w:ascii="Calibri" w:eastAsia="Times New Roman" w:hAnsi="Calibri" w:cs="Times New Roman"/>
          <w:color w:val="000000"/>
          <w:sz w:val="20"/>
          <w:szCs w:val="20"/>
          <w:lang w:eastAsia="pt-BR"/>
        </w:rPr>
        <w:t xml:space="preserve">13.1.5.15 A Contratante deverá informar os dados relativos às sanções aplicadas à Contratada de forma a manter atualizado o CEIS - Cadastro Nacional de Empresas Inidôneas e Suspensas de que trata a Lei nº 12.846/13, bem como no SICAF - Sistema de Cadastramento Unificado de Fornecedores, nos termos do art. 113 do Regulamento de Licitações e Contratos da </w:t>
      </w:r>
      <w:proofErr w:type="spellStart"/>
      <w:r w:rsidRPr="00932292">
        <w:rPr>
          <w:rFonts w:ascii="Calibri" w:eastAsia="Times New Roman" w:hAnsi="Calibri" w:cs="Times New Roman"/>
          <w:color w:val="000000"/>
          <w:sz w:val="20"/>
          <w:szCs w:val="20"/>
          <w:lang w:eastAsia="pt-BR"/>
        </w:rPr>
        <w:t>Ebserh</w:t>
      </w:r>
      <w:proofErr w:type="spellEnd"/>
      <w:r w:rsidRPr="00932292">
        <w:rPr>
          <w:rFonts w:ascii="Calibri" w:eastAsia="Times New Roman" w:hAnsi="Calibri" w:cs="Times New Roman"/>
          <w:color w:val="000000"/>
          <w:sz w:val="20"/>
          <w:szCs w:val="20"/>
          <w:lang w:eastAsia="pt-BR"/>
        </w:rPr>
        <w:t>.</w:t>
      </w:r>
    </w:p>
    <w:p w:rsidR="005311CC" w:rsidRPr="005311CC" w:rsidRDefault="005311CC" w:rsidP="00932292">
      <w:pPr>
        <w:shd w:val="clear" w:color="auto" w:fill="E6E6E6"/>
        <w:spacing w:before="100" w:beforeAutospacing="1" w:after="100" w:afterAutospacing="1" w:line="240" w:lineRule="auto"/>
        <w:jc w:val="both"/>
        <w:rPr>
          <w:rFonts w:ascii="Calibri" w:eastAsia="Times New Roman" w:hAnsi="Calibri" w:cs="Times New Roman"/>
          <w:color w:val="000000"/>
          <w:sz w:val="16"/>
          <w:szCs w:val="16"/>
          <w:lang w:eastAsia="pt-BR"/>
        </w:rPr>
      </w:pPr>
    </w:p>
    <w:sectPr w:rsidR="005311CC" w:rsidRPr="005311C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4A12C7"/>
    <w:multiLevelType w:val="hybridMultilevel"/>
    <w:tmpl w:val="266C574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1CC"/>
    <w:rsid w:val="000076CB"/>
    <w:rsid w:val="00283BC5"/>
    <w:rsid w:val="003551AB"/>
    <w:rsid w:val="004E0B24"/>
    <w:rsid w:val="005311CC"/>
    <w:rsid w:val="00602A72"/>
    <w:rsid w:val="00932292"/>
    <w:rsid w:val="00EF20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har"/>
    <w:uiPriority w:val="9"/>
    <w:qFormat/>
    <w:rsid w:val="00932292"/>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5311C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5311C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5311C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5311CC"/>
    <w:rPr>
      <w:b/>
      <w:bCs/>
    </w:rPr>
  </w:style>
  <w:style w:type="character" w:styleId="Hyperlink">
    <w:name w:val="Hyperlink"/>
    <w:basedOn w:val="Fontepargpadro"/>
    <w:uiPriority w:val="99"/>
    <w:semiHidden/>
    <w:unhideWhenUsed/>
    <w:rsid w:val="005311CC"/>
    <w:rPr>
      <w:color w:val="0000FF"/>
      <w:u w:val="single"/>
    </w:rPr>
  </w:style>
  <w:style w:type="paragraph" w:customStyle="1" w:styleId="itemnivel3">
    <w:name w:val="item_nivel3"/>
    <w:basedOn w:val="Normal"/>
    <w:rsid w:val="005311C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bserhtabelatexto8">
    <w:name w:val="ebserh_tabela_texto_8"/>
    <w:basedOn w:val="Normal"/>
    <w:rsid w:val="005311C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bserhtabelatextoalinhadoesquerda">
    <w:name w:val="ebserh_tabela_texto_alinhado_esquerda"/>
    <w:basedOn w:val="Normal"/>
    <w:rsid w:val="005311C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5311C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bserhtextoalinhadoesquerda">
    <w:name w:val="ebserh_texto_alinhado_esquerda"/>
    <w:basedOn w:val="Normal"/>
    <w:rsid w:val="005311C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bserhtextocentralizado">
    <w:name w:val="ebserh_texto_centralizado"/>
    <w:basedOn w:val="Normal"/>
    <w:rsid w:val="005311C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rsid w:val="00932292"/>
    <w:rPr>
      <w:rFonts w:ascii="Times New Roman" w:eastAsia="Times New Roman" w:hAnsi="Times New Roman" w:cs="Times New Roman"/>
      <w:b/>
      <w:bCs/>
      <w:sz w:val="36"/>
      <w:szCs w:val="36"/>
      <w:lang w:eastAsia="pt-BR"/>
    </w:rPr>
  </w:style>
  <w:style w:type="paragraph" w:customStyle="1" w:styleId="ebserhtextojustificado">
    <w:name w:val="ebserh_texto_justificado"/>
    <w:basedOn w:val="Normal"/>
    <w:rsid w:val="0093229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932292"/>
    <w:rPr>
      <w:i/>
      <w:iCs/>
    </w:rPr>
  </w:style>
  <w:style w:type="paragraph" w:styleId="PargrafodaLista">
    <w:name w:val="List Paragraph"/>
    <w:basedOn w:val="Normal"/>
    <w:uiPriority w:val="34"/>
    <w:qFormat/>
    <w:rsid w:val="009322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har"/>
    <w:uiPriority w:val="9"/>
    <w:qFormat/>
    <w:rsid w:val="00932292"/>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5311C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5311C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5311C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5311CC"/>
    <w:rPr>
      <w:b/>
      <w:bCs/>
    </w:rPr>
  </w:style>
  <w:style w:type="character" w:styleId="Hyperlink">
    <w:name w:val="Hyperlink"/>
    <w:basedOn w:val="Fontepargpadro"/>
    <w:uiPriority w:val="99"/>
    <w:semiHidden/>
    <w:unhideWhenUsed/>
    <w:rsid w:val="005311CC"/>
    <w:rPr>
      <w:color w:val="0000FF"/>
      <w:u w:val="single"/>
    </w:rPr>
  </w:style>
  <w:style w:type="paragraph" w:customStyle="1" w:styleId="itemnivel3">
    <w:name w:val="item_nivel3"/>
    <w:basedOn w:val="Normal"/>
    <w:rsid w:val="005311C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bserhtabelatexto8">
    <w:name w:val="ebserh_tabela_texto_8"/>
    <w:basedOn w:val="Normal"/>
    <w:rsid w:val="005311C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bserhtabelatextoalinhadoesquerda">
    <w:name w:val="ebserh_tabela_texto_alinhado_esquerda"/>
    <w:basedOn w:val="Normal"/>
    <w:rsid w:val="005311C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5311C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bserhtextoalinhadoesquerda">
    <w:name w:val="ebserh_texto_alinhado_esquerda"/>
    <w:basedOn w:val="Normal"/>
    <w:rsid w:val="005311C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bserhtextocentralizado">
    <w:name w:val="ebserh_texto_centralizado"/>
    <w:basedOn w:val="Normal"/>
    <w:rsid w:val="005311C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rsid w:val="00932292"/>
    <w:rPr>
      <w:rFonts w:ascii="Times New Roman" w:eastAsia="Times New Roman" w:hAnsi="Times New Roman" w:cs="Times New Roman"/>
      <w:b/>
      <w:bCs/>
      <w:sz w:val="36"/>
      <w:szCs w:val="36"/>
      <w:lang w:eastAsia="pt-BR"/>
    </w:rPr>
  </w:style>
  <w:style w:type="paragraph" w:customStyle="1" w:styleId="ebserhtextojustificado">
    <w:name w:val="ebserh_texto_justificado"/>
    <w:basedOn w:val="Normal"/>
    <w:rsid w:val="0093229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932292"/>
    <w:rPr>
      <w:i/>
      <w:iCs/>
    </w:rPr>
  </w:style>
  <w:style w:type="paragraph" w:styleId="PargrafodaLista">
    <w:name w:val="List Paragraph"/>
    <w:basedOn w:val="Normal"/>
    <w:uiPriority w:val="34"/>
    <w:qFormat/>
    <w:rsid w:val="009322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205190">
      <w:bodyDiv w:val="1"/>
      <w:marLeft w:val="0"/>
      <w:marRight w:val="0"/>
      <w:marTop w:val="0"/>
      <w:marBottom w:val="0"/>
      <w:divBdr>
        <w:top w:val="none" w:sz="0" w:space="0" w:color="auto"/>
        <w:left w:val="none" w:sz="0" w:space="0" w:color="auto"/>
        <w:bottom w:val="none" w:sz="0" w:space="0" w:color="auto"/>
        <w:right w:val="none" w:sz="0" w:space="0" w:color="auto"/>
      </w:divBdr>
      <w:divsChild>
        <w:div w:id="2001958636">
          <w:marLeft w:val="666"/>
          <w:marRight w:val="333"/>
          <w:marTop w:val="0"/>
          <w:marBottom w:val="0"/>
          <w:divBdr>
            <w:top w:val="none" w:sz="0" w:space="0" w:color="auto"/>
            <w:left w:val="none" w:sz="0" w:space="0" w:color="auto"/>
            <w:bottom w:val="none" w:sz="0" w:space="0" w:color="auto"/>
            <w:right w:val="none" w:sz="0" w:space="0" w:color="auto"/>
          </w:divBdr>
        </w:div>
        <w:div w:id="1271426916">
          <w:marLeft w:val="666"/>
          <w:marRight w:val="333"/>
          <w:marTop w:val="0"/>
          <w:marBottom w:val="0"/>
          <w:divBdr>
            <w:top w:val="none" w:sz="0" w:space="0" w:color="auto"/>
            <w:left w:val="none" w:sz="0" w:space="0" w:color="auto"/>
            <w:bottom w:val="none" w:sz="0" w:space="0" w:color="auto"/>
            <w:right w:val="none" w:sz="0" w:space="0" w:color="auto"/>
          </w:divBdr>
        </w:div>
      </w:divsChild>
    </w:div>
    <w:div w:id="1930656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10</Pages>
  <Words>3322</Words>
  <Characters>17944</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Josiane Paixao Soeira</dc:creator>
  <cp:lastModifiedBy>Josiane Paixao Soeira</cp:lastModifiedBy>
  <cp:revision>4</cp:revision>
  <dcterms:created xsi:type="dcterms:W3CDTF">2021-11-23T16:22:00Z</dcterms:created>
  <dcterms:modified xsi:type="dcterms:W3CDTF">2021-11-24T20:07:00Z</dcterms:modified>
</cp:coreProperties>
</file>