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4391FE">
      <w:pPr>
        <w:jc w:val="both"/>
        <w:rPr>
          <w:rFonts w:asciiTheme="majorHAnsi" w:hAnsiTheme="majorHAnsi" w:cstheme="majorHAnsi"/>
          <w:b/>
          <w:bCs/>
          <w:color w:val="405CA1"/>
          <w:sz w:val="22"/>
          <w:szCs w:val="22"/>
        </w:rPr>
      </w:pPr>
      <w:r>
        <w:rPr>
          <w:rFonts w:asciiTheme="majorHAnsi" w:hAnsiTheme="majorHAnsi" w:cstheme="majorHAnsi"/>
          <w:color w:val="405CA1"/>
          <w:sz w:val="22"/>
          <w:szCs w:val="22"/>
        </w:rPr>
        <w:t>PREGÃO ELETRÔNICO</w:t>
      </w:r>
    </w:p>
    <w:p w14:paraId="514484C1">
      <w:pPr>
        <w:jc w:val="both"/>
        <w:rPr>
          <w:rFonts w:asciiTheme="majorHAnsi" w:hAnsiTheme="majorHAnsi" w:cstheme="majorHAnsi"/>
          <w:b/>
          <w:iCs/>
          <w:sz w:val="22"/>
          <w:szCs w:val="22"/>
        </w:rPr>
      </w:pPr>
      <w:r>
        <w:rPr>
          <w:rFonts w:asciiTheme="majorHAnsi" w:hAnsiTheme="majorHAnsi" w:cstheme="majorHAnsi"/>
          <w:b/>
          <w:iCs/>
          <w:sz w:val="22"/>
          <w:szCs w:val="22"/>
        </w:rPr>
        <w:t>90086/2026</w:t>
      </w:r>
    </w:p>
    <w:p w14:paraId="0CBC7B05">
      <w:pPr>
        <w:jc w:val="both"/>
        <w:rPr>
          <w:rFonts w:asciiTheme="majorHAnsi" w:hAnsiTheme="majorHAnsi" w:cstheme="majorHAnsi"/>
          <w:b/>
          <w:iCs/>
          <w:sz w:val="22"/>
          <w:szCs w:val="22"/>
        </w:rPr>
      </w:pPr>
    </w:p>
    <w:p w14:paraId="063136D9">
      <w:pPr>
        <w:jc w:val="both"/>
        <w:rPr>
          <w:rFonts w:asciiTheme="majorHAnsi" w:hAnsiTheme="majorHAnsi" w:cstheme="majorHAnsi"/>
          <w:bCs/>
          <w:iCs/>
          <w:sz w:val="22"/>
          <w:szCs w:val="22"/>
        </w:rPr>
      </w:pPr>
      <w:r>
        <w:rPr>
          <w:rFonts w:asciiTheme="majorHAnsi" w:hAnsiTheme="majorHAnsi" w:cstheme="majorHAnsi"/>
          <w:bCs/>
          <w:iCs/>
          <w:color w:val="1F497D" w:themeColor="text2"/>
          <w:sz w:val="22"/>
          <w:szCs w:val="22"/>
          <w14:textFill>
            <w14:solidFill>
              <w14:schemeClr w14:val="tx2"/>
            </w14:solidFill>
          </w14:textFill>
        </w:rPr>
        <w:t>NÚMERO DA CONTRATAÇÃO</w:t>
      </w:r>
    </w:p>
    <w:p w14:paraId="4E99FAD0">
      <w:pPr>
        <w:jc w:val="both"/>
        <w:rPr>
          <w:rFonts w:asciiTheme="majorHAnsi" w:hAnsiTheme="majorHAnsi" w:cstheme="majorHAnsi"/>
          <w:b/>
          <w:iCs/>
          <w:sz w:val="22"/>
          <w:szCs w:val="22"/>
        </w:rPr>
      </w:pPr>
      <w:r>
        <w:rPr>
          <w:rFonts w:asciiTheme="majorHAnsi" w:hAnsiTheme="majorHAnsi" w:cstheme="majorHAnsi"/>
          <w:b/>
          <w:iCs/>
          <w:sz w:val="22"/>
          <w:szCs w:val="22"/>
        </w:rPr>
        <w:t>SRP 150247 66/2026</w:t>
      </w:r>
    </w:p>
    <w:p w14:paraId="0E7F446F">
      <w:pPr>
        <w:jc w:val="both"/>
        <w:rPr>
          <w:rFonts w:asciiTheme="majorHAnsi" w:hAnsiTheme="majorHAnsi" w:cstheme="majorHAnsi"/>
          <w:b/>
          <w:bCs/>
          <w:color w:val="405CA1"/>
          <w:sz w:val="22"/>
          <w:szCs w:val="22"/>
        </w:rPr>
      </w:pPr>
    </w:p>
    <w:p w14:paraId="4371157D">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CONTRATANTE/GERENCIADOR (UASG)</w:t>
      </w:r>
    </w:p>
    <w:p w14:paraId="64523AF8">
      <w:pPr>
        <w:jc w:val="both"/>
        <w:rPr>
          <w:rFonts w:asciiTheme="majorHAnsi" w:hAnsiTheme="majorHAnsi" w:cstheme="majorHAnsi"/>
          <w:b/>
          <w:sz w:val="22"/>
          <w:szCs w:val="22"/>
        </w:rPr>
      </w:pPr>
      <w:r>
        <w:rPr>
          <w:rFonts w:asciiTheme="majorHAnsi" w:hAnsiTheme="majorHAnsi" w:cstheme="majorHAnsi"/>
          <w:b/>
          <w:sz w:val="22"/>
          <w:szCs w:val="22"/>
        </w:rPr>
        <w:t>150247</w:t>
      </w:r>
    </w:p>
    <w:p w14:paraId="41AD1EC6">
      <w:pPr>
        <w:jc w:val="both"/>
        <w:rPr>
          <w:rFonts w:asciiTheme="majorHAnsi" w:hAnsiTheme="majorHAnsi" w:cstheme="majorHAnsi"/>
          <w:color w:val="5B5B5F"/>
          <w:sz w:val="22"/>
          <w:szCs w:val="22"/>
        </w:rPr>
      </w:pPr>
    </w:p>
    <w:p w14:paraId="2982743D">
      <w:pPr>
        <w:jc w:val="both"/>
        <w:rPr>
          <w:rFonts w:asciiTheme="majorHAnsi" w:hAnsiTheme="majorHAnsi" w:cstheme="majorHAnsi"/>
          <w:b/>
          <w:bCs/>
          <w:color w:val="405CA1"/>
          <w:sz w:val="22"/>
          <w:szCs w:val="22"/>
        </w:rPr>
      </w:pPr>
    </w:p>
    <w:p w14:paraId="0CB207A1">
      <w:pPr>
        <w:jc w:val="both"/>
        <w:rPr>
          <w:rFonts w:asciiTheme="majorHAnsi" w:hAnsiTheme="majorHAnsi" w:cstheme="majorHAnsi"/>
          <w:b/>
          <w:bCs/>
          <w:color w:val="5B5B5F"/>
          <w:sz w:val="22"/>
          <w:szCs w:val="22"/>
        </w:rPr>
      </w:pPr>
      <w:r>
        <w:rPr>
          <w:rFonts w:asciiTheme="majorHAnsi" w:hAnsiTheme="majorHAnsi" w:cstheme="majorHAnsi"/>
          <w:b/>
          <w:bCs/>
          <w:color w:val="405CA1"/>
          <w:sz w:val="22"/>
          <w:szCs w:val="22"/>
        </w:rPr>
        <w:t>OBJETO</w:t>
      </w:r>
    </w:p>
    <w:p w14:paraId="24DB5932">
      <w:pPr>
        <w:jc w:val="both"/>
        <w:rPr>
          <w:rFonts w:asciiTheme="majorHAnsi" w:hAnsiTheme="majorHAnsi" w:cstheme="majorHAnsi"/>
          <w:b/>
          <w:bCs/>
          <w:sz w:val="22"/>
          <w:szCs w:val="22"/>
        </w:rPr>
      </w:pPr>
      <w:r>
        <w:rPr>
          <w:rFonts w:asciiTheme="majorHAnsi" w:hAnsiTheme="majorHAnsi" w:cstheme="majorHAnsi"/>
          <w:b/>
          <w:bCs/>
          <w:sz w:val="22"/>
          <w:szCs w:val="22"/>
        </w:rPr>
        <w:t>MATERIAL MÉDICO HOSPITALAR</w:t>
      </w:r>
    </w:p>
    <w:p w14:paraId="0DF9A55D">
      <w:pPr>
        <w:jc w:val="both"/>
        <w:rPr>
          <w:rFonts w:asciiTheme="majorHAnsi" w:hAnsiTheme="majorHAnsi" w:cstheme="majorHAnsi"/>
          <w:b/>
          <w:sz w:val="22"/>
          <w:szCs w:val="22"/>
        </w:rPr>
      </w:pPr>
    </w:p>
    <w:p w14:paraId="3D499E3A">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VALOR TOTAL DA CONTRATAÇÃO</w:t>
      </w:r>
    </w:p>
    <w:p w14:paraId="4C47EED0">
      <w:pPr>
        <w:jc w:val="both"/>
        <w:rPr>
          <w:rFonts w:asciiTheme="majorHAnsi" w:hAnsiTheme="majorHAnsi" w:cstheme="majorHAnsi"/>
          <w:b/>
          <w:sz w:val="22"/>
          <w:szCs w:val="22"/>
        </w:rPr>
      </w:pPr>
      <w:r>
        <w:rPr>
          <w:rFonts w:asciiTheme="majorHAnsi" w:hAnsiTheme="majorHAnsi" w:cstheme="majorHAnsi"/>
          <w:b/>
          <w:sz w:val="22"/>
          <w:szCs w:val="22"/>
        </w:rPr>
        <w:t>R$ 420.449,80</w:t>
      </w:r>
    </w:p>
    <w:p w14:paraId="7EA16FEF">
      <w:pPr>
        <w:jc w:val="both"/>
        <w:rPr>
          <w:rFonts w:asciiTheme="majorHAnsi" w:hAnsiTheme="majorHAnsi" w:cstheme="majorHAnsi"/>
          <w:b/>
          <w:sz w:val="22"/>
          <w:szCs w:val="22"/>
        </w:rPr>
      </w:pPr>
    </w:p>
    <w:p w14:paraId="125023E1">
      <w:pPr>
        <w:jc w:val="both"/>
        <w:rPr>
          <w:rFonts w:asciiTheme="majorHAnsi" w:hAnsiTheme="majorHAnsi" w:cstheme="majorHAnsi"/>
          <w:b/>
          <w:sz w:val="22"/>
          <w:szCs w:val="22"/>
        </w:rPr>
      </w:pPr>
    </w:p>
    <w:p w14:paraId="277D328D">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DATA DA SESSÃO PÚBLICA</w:t>
      </w:r>
    </w:p>
    <w:p w14:paraId="09090D77">
      <w:pPr>
        <w:jc w:val="both"/>
        <w:rPr>
          <w:rFonts w:asciiTheme="majorHAnsi" w:hAnsiTheme="majorHAnsi" w:cstheme="majorHAnsi"/>
          <w:b/>
          <w:bCs/>
          <w:sz w:val="22"/>
          <w:szCs w:val="22"/>
        </w:rPr>
      </w:pPr>
      <w:r>
        <w:rPr>
          <w:rFonts w:asciiTheme="majorHAnsi" w:hAnsiTheme="majorHAnsi" w:cstheme="majorHAnsi"/>
          <w:b/>
          <w:sz w:val="22"/>
          <w:szCs w:val="22"/>
        </w:rPr>
        <w:t xml:space="preserve">Dia </w:t>
      </w:r>
      <w:r>
        <w:rPr>
          <w:rFonts w:hint="default" w:asciiTheme="majorHAnsi" w:hAnsiTheme="majorHAnsi" w:cstheme="majorHAnsi"/>
          <w:b/>
          <w:sz w:val="22"/>
          <w:szCs w:val="22"/>
          <w:lang w:val="pt-BR"/>
        </w:rPr>
        <w:t>11</w:t>
      </w:r>
      <w:bookmarkStart w:id="146" w:name="_GoBack"/>
      <w:bookmarkEnd w:id="146"/>
      <w:r>
        <w:rPr>
          <w:rFonts w:asciiTheme="majorHAnsi" w:hAnsiTheme="majorHAnsi" w:cstheme="majorHAnsi"/>
          <w:b/>
          <w:bCs/>
          <w:sz w:val="22"/>
          <w:szCs w:val="22"/>
        </w:rPr>
        <w:t xml:space="preserve">/08/2026 </w:t>
      </w:r>
      <w:r>
        <w:rPr>
          <w:rFonts w:asciiTheme="majorHAnsi" w:hAnsiTheme="majorHAnsi" w:cstheme="majorHAnsi"/>
          <w:b/>
          <w:sz w:val="22"/>
          <w:szCs w:val="22"/>
        </w:rPr>
        <w:t>às 09:00</w:t>
      </w:r>
      <w:r>
        <w:rPr>
          <w:rFonts w:asciiTheme="majorHAnsi" w:hAnsiTheme="majorHAnsi" w:cstheme="majorHAnsi"/>
          <w:b/>
          <w:bCs/>
          <w:sz w:val="22"/>
          <w:szCs w:val="22"/>
        </w:rPr>
        <w:t>h (horário de Brasília)</w:t>
      </w:r>
    </w:p>
    <w:p w14:paraId="3B563139">
      <w:pPr>
        <w:jc w:val="both"/>
        <w:rPr>
          <w:rFonts w:asciiTheme="majorHAnsi" w:hAnsiTheme="majorHAnsi" w:cstheme="majorHAnsi"/>
          <w:b/>
          <w:bCs/>
          <w:color w:val="5B5B5F"/>
          <w:sz w:val="22"/>
          <w:szCs w:val="22"/>
        </w:rPr>
      </w:pPr>
    </w:p>
    <w:p w14:paraId="74AB2AE0">
      <w:pPr>
        <w:jc w:val="both"/>
        <w:rPr>
          <w:rFonts w:asciiTheme="majorHAnsi" w:hAnsiTheme="majorHAnsi" w:cstheme="majorHAnsi"/>
          <w:b/>
          <w:bCs/>
          <w:color w:val="405CA1"/>
          <w:sz w:val="22"/>
          <w:szCs w:val="22"/>
        </w:rPr>
      </w:pPr>
    </w:p>
    <w:p w14:paraId="6598C50A">
      <w:pPr>
        <w:jc w:val="both"/>
        <w:rPr>
          <w:rFonts w:asciiTheme="majorHAnsi" w:hAnsiTheme="majorHAnsi" w:cstheme="majorHAnsi"/>
          <w:b/>
          <w:bCs/>
          <w:caps/>
          <w:color w:val="405CA1"/>
          <w:sz w:val="22"/>
          <w:szCs w:val="22"/>
        </w:rPr>
      </w:pPr>
      <w:r>
        <w:rPr>
          <w:rFonts w:asciiTheme="majorHAnsi" w:hAnsiTheme="majorHAnsi" w:cstheme="majorHAnsi"/>
          <w:b/>
          <w:bCs/>
          <w:caps/>
          <w:color w:val="405CA1"/>
          <w:sz w:val="22"/>
          <w:szCs w:val="22"/>
        </w:rPr>
        <w:t>Critério de Julgamento:</w:t>
      </w:r>
    </w:p>
    <w:p w14:paraId="30CBFF9A">
      <w:pPr>
        <w:jc w:val="both"/>
        <w:rPr>
          <w:rFonts w:asciiTheme="majorHAnsi" w:hAnsiTheme="majorHAnsi" w:cstheme="majorHAnsi"/>
          <w:b/>
          <w:sz w:val="22"/>
          <w:szCs w:val="22"/>
        </w:rPr>
      </w:pPr>
      <w:r>
        <w:rPr>
          <w:rFonts w:asciiTheme="majorHAnsi" w:hAnsiTheme="majorHAnsi" w:cstheme="majorHAnsi"/>
          <w:b/>
          <w:sz w:val="22"/>
          <w:szCs w:val="22"/>
        </w:rPr>
        <w:t>MENOR PREÇO POR GRUPO E ITENS</w:t>
      </w:r>
    </w:p>
    <w:p w14:paraId="1D199129">
      <w:pPr>
        <w:jc w:val="both"/>
        <w:rPr>
          <w:rFonts w:asciiTheme="majorHAnsi" w:hAnsiTheme="majorHAnsi" w:cstheme="majorHAnsi"/>
          <w:color w:val="5B5B5F"/>
          <w:sz w:val="22"/>
          <w:szCs w:val="22"/>
        </w:rPr>
      </w:pPr>
    </w:p>
    <w:p w14:paraId="78E2A00B">
      <w:pPr>
        <w:jc w:val="both"/>
        <w:rPr>
          <w:rFonts w:asciiTheme="majorHAnsi" w:hAnsiTheme="majorHAnsi" w:cstheme="majorHAnsi"/>
          <w:b/>
          <w:bCs/>
          <w:color w:val="405CA1"/>
          <w:sz w:val="22"/>
          <w:szCs w:val="22"/>
        </w:rPr>
      </w:pPr>
    </w:p>
    <w:p w14:paraId="2922B125">
      <w:pPr>
        <w:jc w:val="both"/>
        <w:rPr>
          <w:rFonts w:asciiTheme="majorHAnsi" w:hAnsiTheme="majorHAnsi" w:cstheme="majorHAnsi"/>
          <w:caps/>
          <w:sz w:val="22"/>
          <w:szCs w:val="22"/>
        </w:rPr>
      </w:pPr>
      <w:r>
        <w:rPr>
          <w:rFonts w:asciiTheme="majorHAnsi" w:hAnsiTheme="majorHAnsi" w:cstheme="majorHAnsi"/>
          <w:b/>
          <w:bCs/>
          <w:caps/>
          <w:color w:val="405CA1"/>
          <w:sz w:val="22"/>
          <w:szCs w:val="22"/>
        </w:rPr>
        <w:t>Modo de disputa:</w:t>
      </w:r>
    </w:p>
    <w:p w14:paraId="32F2A8B1">
      <w:pPr>
        <w:jc w:val="both"/>
        <w:rPr>
          <w:rFonts w:asciiTheme="majorHAnsi" w:hAnsiTheme="majorHAnsi" w:cstheme="majorHAnsi"/>
          <w:b/>
          <w:sz w:val="22"/>
          <w:szCs w:val="22"/>
        </w:rPr>
      </w:pPr>
      <w:r>
        <w:rPr>
          <w:rFonts w:asciiTheme="majorHAnsi" w:hAnsiTheme="majorHAnsi" w:cstheme="majorHAnsi"/>
          <w:b/>
          <w:sz w:val="22"/>
          <w:szCs w:val="22"/>
        </w:rPr>
        <w:t>ABERTO E FECHADO</w:t>
      </w:r>
    </w:p>
    <w:p w14:paraId="223E5662">
      <w:pPr>
        <w:jc w:val="both"/>
        <w:rPr>
          <w:rFonts w:asciiTheme="majorHAnsi" w:hAnsiTheme="majorHAnsi" w:cstheme="majorHAnsi"/>
          <w:color w:val="5B5B5F"/>
          <w:sz w:val="22"/>
          <w:szCs w:val="22"/>
        </w:rPr>
      </w:pPr>
    </w:p>
    <w:p w14:paraId="4C84BD66">
      <w:pPr>
        <w:jc w:val="both"/>
        <w:rPr>
          <w:rFonts w:asciiTheme="majorHAnsi" w:hAnsiTheme="majorHAnsi" w:cstheme="majorHAnsi"/>
          <w:b/>
          <w:bCs/>
          <w:color w:val="405CA1"/>
          <w:sz w:val="22"/>
          <w:szCs w:val="22"/>
        </w:rPr>
      </w:pPr>
    </w:p>
    <w:p w14:paraId="1B62DD0E">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TRATAMENTO FAVORECIDO ME/EPP/EQUIPARADAS</w:t>
      </w:r>
    </w:p>
    <w:p w14:paraId="3AC72440">
      <w:pPr>
        <w:jc w:val="both"/>
        <w:rPr>
          <w:rFonts w:asciiTheme="majorHAnsi" w:hAnsiTheme="majorHAnsi" w:cstheme="majorHAnsi"/>
          <w:b/>
          <w:bCs/>
          <w:sz w:val="22"/>
          <w:szCs w:val="22"/>
        </w:rPr>
      </w:pPr>
      <w:r>
        <w:rPr>
          <w:rFonts w:asciiTheme="majorHAnsi" w:hAnsiTheme="majorHAnsi" w:cstheme="majorHAnsi"/>
          <w:b/>
          <w:bCs/>
          <w:sz w:val="22"/>
          <w:szCs w:val="22"/>
        </w:rPr>
        <w:t>[NÃO]</w:t>
      </w:r>
    </w:p>
    <w:p w14:paraId="04C66DA4">
      <w:pPr>
        <w:jc w:val="both"/>
        <w:rPr>
          <w:rFonts w:asciiTheme="majorHAnsi" w:hAnsiTheme="majorHAnsi" w:cstheme="majorHAnsi"/>
          <w:b/>
          <w:bCs/>
          <w:color w:val="5B5B5F"/>
          <w:sz w:val="22"/>
          <w:szCs w:val="22"/>
        </w:rPr>
      </w:pPr>
    </w:p>
    <w:p w14:paraId="4B68DD82">
      <w:pPr>
        <w:jc w:val="both"/>
        <w:rPr>
          <w:rFonts w:asciiTheme="majorHAnsi" w:hAnsiTheme="majorHAnsi" w:cstheme="majorHAnsi"/>
          <w:b/>
          <w:bCs/>
          <w:color w:val="405CA1"/>
          <w:sz w:val="22"/>
          <w:szCs w:val="22"/>
        </w:rPr>
      </w:pPr>
    </w:p>
    <w:p w14:paraId="11068F28">
      <w:pPr>
        <w:jc w:val="both"/>
        <w:rPr>
          <w:rFonts w:asciiTheme="majorHAnsi" w:hAnsiTheme="majorHAnsi" w:cstheme="majorHAnsi"/>
          <w:b/>
          <w:bCs/>
          <w:color w:val="405CA1"/>
          <w:sz w:val="22"/>
          <w:szCs w:val="22"/>
        </w:rPr>
      </w:pPr>
      <w:r>
        <w:rPr>
          <w:rFonts w:asciiTheme="majorHAnsi" w:hAnsiTheme="majorHAnsi" w:cstheme="majorHAnsi"/>
          <w:b/>
          <w:bCs/>
          <w:color w:val="405CA1"/>
          <w:sz w:val="22"/>
          <w:szCs w:val="22"/>
        </w:rPr>
        <w:t>MARGEM DE PREFERÊNCIA PARA ALGUM ITEM</w:t>
      </w:r>
    </w:p>
    <w:p w14:paraId="43AEBD95">
      <w:pPr>
        <w:jc w:val="both"/>
        <w:rPr>
          <w:rFonts w:asciiTheme="majorHAnsi" w:hAnsiTheme="majorHAnsi" w:cstheme="majorHAnsi"/>
          <w:b/>
          <w:bCs/>
          <w:sz w:val="22"/>
          <w:szCs w:val="22"/>
        </w:rPr>
      </w:pPr>
      <w:r>
        <w:rPr>
          <w:rFonts w:asciiTheme="majorHAnsi" w:hAnsiTheme="majorHAnsi" w:cstheme="majorHAnsi"/>
          <w:b/>
          <w:bCs/>
          <w:sz w:val="22"/>
          <w:szCs w:val="22"/>
        </w:rPr>
        <w:t xml:space="preserve">[NÃO] </w:t>
      </w:r>
      <w:r>
        <w:rPr>
          <w:rFonts w:asciiTheme="majorHAnsi" w:hAnsiTheme="majorHAnsi" w:cstheme="majorHAnsi"/>
          <w:b/>
          <w:bCs/>
          <w:sz w:val="22"/>
          <w:szCs w:val="22"/>
        </w:rPr>
        <w:br w:type="page"/>
      </w:r>
    </w:p>
    <w:p w14:paraId="21ABE4FB">
      <w:pPr>
        <w:pStyle w:val="36"/>
        <w:tabs>
          <w:tab w:val="left" w:pos="284"/>
        </w:tabs>
        <w:rPr>
          <w:rFonts w:asciiTheme="majorHAnsi" w:hAnsiTheme="majorHAnsi" w:cstheme="majorHAnsi"/>
          <w:sz w:val="22"/>
          <w:szCs w:val="22"/>
        </w:rPr>
      </w:pPr>
      <w:r>
        <w:rPr>
          <w:rFonts w:asciiTheme="majorHAnsi" w:hAnsiTheme="majorHAnsi" w:cstheme="majorHAnsi"/>
          <w:sz w:val="22"/>
          <w:szCs w:val="22"/>
        </w:rPr>
        <w:t>SUMÁRIO:</w:t>
      </w:r>
    </w:p>
    <w:p w14:paraId="5A7C4195">
      <w:pPr>
        <w:pStyle w:val="36"/>
        <w:tabs>
          <w:tab w:val="left" w:pos="284"/>
        </w:tabs>
        <w:rPr>
          <w:rFonts w:asciiTheme="majorHAnsi" w:hAnsiTheme="majorHAnsi" w:cstheme="majorHAnsi"/>
          <w:sz w:val="22"/>
          <w:szCs w:val="22"/>
        </w:rPr>
      </w:pPr>
    </w:p>
    <w:p w14:paraId="6BECC725">
      <w:pPr>
        <w:pStyle w:val="36"/>
        <w:tabs>
          <w:tab w:val="left" w:pos="284"/>
        </w:tabs>
        <w:rPr>
          <w:rFonts w:asciiTheme="majorHAnsi" w:hAnsiTheme="majorHAnsi" w:eastAsiaTheme="minorEastAsia" w:cstheme="majorHAnsi"/>
          <w:sz w:val="22"/>
          <w:szCs w:val="22"/>
        </w:rPr>
      </w:pPr>
      <w:r>
        <w:rPr>
          <w:rFonts w:asciiTheme="majorHAnsi" w:hAnsiTheme="majorHAnsi" w:cstheme="majorHAnsi"/>
          <w:sz w:val="22"/>
          <w:szCs w:val="22"/>
        </w:rPr>
        <w:t>DO OBJETO</w:t>
      </w:r>
      <w:r>
        <w:rPr>
          <w:rFonts w:asciiTheme="majorHAnsi" w:hAnsiTheme="majorHAnsi" w:cstheme="majorHAnsi"/>
          <w:sz w:val="22"/>
          <w:szCs w:val="22"/>
        </w:rPr>
        <w:tab/>
      </w:r>
      <w:r>
        <w:rPr>
          <w:rFonts w:asciiTheme="majorHAnsi" w:hAnsiTheme="majorHAnsi" w:cstheme="majorHAnsi"/>
          <w:sz w:val="22"/>
          <w:szCs w:val="22"/>
        </w:rPr>
        <w:t>3</w:t>
      </w:r>
    </w:p>
    <w:p w14:paraId="75A0C45C">
      <w:pPr>
        <w:pStyle w:val="36"/>
        <w:tabs>
          <w:tab w:val="left" w:pos="284"/>
        </w:tabs>
        <w:rPr>
          <w:rFonts w:asciiTheme="majorHAnsi" w:hAnsiTheme="majorHAnsi" w:eastAsiaTheme="minorEastAsia" w:cstheme="majorHAnsi"/>
          <w:sz w:val="22"/>
          <w:szCs w:val="22"/>
        </w:rPr>
      </w:pPr>
      <w:r>
        <w:rPr>
          <w:rFonts w:asciiTheme="majorHAnsi" w:hAnsiTheme="majorHAnsi" w:cstheme="majorHAnsi"/>
          <w:sz w:val="22"/>
          <w:szCs w:val="22"/>
          <w:highlight w:val="cyan"/>
        </w:rPr>
        <w:t xml:space="preserve">DO REGISTRO DE PREÇOS </w:t>
      </w:r>
      <w:r>
        <w:rPr>
          <w:rFonts w:asciiTheme="majorHAnsi" w:hAnsiTheme="majorHAnsi" w:cstheme="majorHAnsi"/>
          <w:sz w:val="22"/>
          <w:szCs w:val="22"/>
          <w:highlight w:val="cyan"/>
        </w:rPr>
        <w:tab/>
      </w:r>
      <w:r>
        <w:rPr>
          <w:rFonts w:asciiTheme="majorHAnsi" w:hAnsiTheme="majorHAnsi" w:cstheme="majorHAnsi"/>
          <w:sz w:val="22"/>
          <w:szCs w:val="22"/>
          <w:highlight w:val="cyan"/>
        </w:rPr>
        <w:t>3</w:t>
      </w:r>
    </w:p>
    <w:p w14:paraId="3399E93F">
      <w:pPr>
        <w:pStyle w:val="36"/>
        <w:tabs>
          <w:tab w:val="left" w:pos="284"/>
        </w:tabs>
        <w:rPr>
          <w:rFonts w:asciiTheme="majorHAnsi" w:hAnsiTheme="majorHAnsi" w:cstheme="majorHAnsi"/>
          <w:sz w:val="22"/>
          <w:szCs w:val="22"/>
        </w:rPr>
      </w:pPr>
      <w:r>
        <w:rPr>
          <w:rFonts w:asciiTheme="majorHAnsi" w:hAnsiTheme="majorHAnsi" w:cstheme="majorHAnsi"/>
          <w:sz w:val="22"/>
          <w:szCs w:val="22"/>
        </w:rPr>
        <w:t>DA PARTICIPAÇÃO NA LICITAÇÃO</w:t>
      </w:r>
      <w:r>
        <w:rPr>
          <w:rFonts w:asciiTheme="majorHAnsi" w:hAnsiTheme="majorHAnsi" w:cstheme="majorHAnsi"/>
          <w:sz w:val="22"/>
          <w:szCs w:val="22"/>
        </w:rPr>
        <w:tab/>
      </w:r>
      <w:r>
        <w:rPr>
          <w:rFonts w:asciiTheme="majorHAnsi" w:hAnsiTheme="majorHAnsi" w:cstheme="majorHAnsi"/>
          <w:sz w:val="22"/>
          <w:szCs w:val="22"/>
        </w:rPr>
        <w:t>4</w:t>
      </w:r>
    </w:p>
    <w:p w14:paraId="3295D80D">
      <w:pPr>
        <w:pStyle w:val="36"/>
        <w:tabs>
          <w:tab w:val="left" w:pos="284"/>
        </w:tabs>
        <w:rPr>
          <w:rFonts w:asciiTheme="majorHAnsi" w:hAnsiTheme="majorHAnsi" w:cstheme="majorHAnsi"/>
          <w:sz w:val="22"/>
          <w:szCs w:val="22"/>
        </w:rPr>
      </w:pPr>
      <w:r>
        <w:rPr>
          <w:rFonts w:asciiTheme="majorHAnsi" w:hAnsiTheme="majorHAnsi" w:cstheme="majorHAnsi"/>
          <w:sz w:val="22"/>
          <w:szCs w:val="22"/>
        </w:rPr>
        <w:t>DO ORÇAMENTO ESTIMADO ......................................................................................................................6</w:t>
      </w:r>
    </w:p>
    <w:p w14:paraId="398E2D1C">
      <w:pPr>
        <w:pStyle w:val="36"/>
        <w:tabs>
          <w:tab w:val="left" w:pos="284"/>
        </w:tabs>
        <w:rPr>
          <w:rFonts w:asciiTheme="majorHAnsi" w:hAnsiTheme="majorHAnsi" w:eastAsiaTheme="minorEastAsia" w:cstheme="majorHAnsi"/>
          <w:sz w:val="22"/>
          <w:szCs w:val="22"/>
        </w:rPr>
      </w:pPr>
      <w:r>
        <w:rPr>
          <w:rFonts w:asciiTheme="majorHAnsi" w:hAnsiTheme="majorHAnsi" w:cstheme="majorHAnsi"/>
          <w:sz w:val="22"/>
          <w:szCs w:val="22"/>
        </w:rPr>
        <w:t>DA APRESENTAÇÃO DA PROPOSTA E DOS DOCUMENTOS DE HABILITAÇÃO</w:t>
      </w:r>
      <w:r>
        <w:rPr>
          <w:rFonts w:asciiTheme="majorHAnsi" w:hAnsiTheme="majorHAnsi" w:cstheme="majorHAnsi"/>
          <w:sz w:val="22"/>
          <w:szCs w:val="22"/>
        </w:rPr>
        <w:tab/>
      </w:r>
      <w:r>
        <w:rPr>
          <w:rFonts w:asciiTheme="majorHAnsi" w:hAnsiTheme="majorHAnsi" w:cstheme="majorHAnsi"/>
          <w:sz w:val="22"/>
          <w:szCs w:val="22"/>
        </w:rPr>
        <w:t>6</w:t>
      </w:r>
    </w:p>
    <w:p w14:paraId="1E656277">
      <w:pPr>
        <w:pStyle w:val="36"/>
        <w:tabs>
          <w:tab w:val="left" w:pos="284"/>
        </w:tabs>
        <w:rPr>
          <w:rFonts w:asciiTheme="majorHAnsi" w:hAnsiTheme="majorHAnsi" w:eastAsiaTheme="minorEastAsia" w:cstheme="majorHAnsi"/>
          <w:sz w:val="22"/>
          <w:szCs w:val="22"/>
        </w:rPr>
      </w:pPr>
      <w:r>
        <w:rPr>
          <w:rFonts w:asciiTheme="majorHAnsi" w:hAnsiTheme="majorHAnsi" w:cstheme="majorHAnsi"/>
          <w:sz w:val="22"/>
          <w:szCs w:val="22"/>
        </w:rPr>
        <w:t>DO PREENCHIMENTO DA PROPOSTA</w:t>
      </w:r>
      <w:r>
        <w:rPr>
          <w:rFonts w:asciiTheme="majorHAnsi" w:hAnsiTheme="majorHAnsi" w:cstheme="majorHAnsi"/>
          <w:sz w:val="22"/>
          <w:szCs w:val="22"/>
        </w:rPr>
        <w:tab/>
      </w:r>
      <w:r>
        <w:rPr>
          <w:rFonts w:asciiTheme="majorHAnsi" w:hAnsiTheme="majorHAnsi" w:cstheme="majorHAnsi"/>
          <w:sz w:val="22"/>
          <w:szCs w:val="22"/>
        </w:rPr>
        <w:t>9</w:t>
      </w:r>
    </w:p>
    <w:p w14:paraId="327F3A29">
      <w:pPr>
        <w:pStyle w:val="36"/>
        <w:tabs>
          <w:tab w:val="left" w:pos="284"/>
        </w:tabs>
        <w:rPr>
          <w:rFonts w:asciiTheme="majorHAnsi" w:hAnsiTheme="majorHAnsi" w:eastAsiaTheme="minorEastAsia" w:cstheme="majorHAnsi"/>
          <w:sz w:val="22"/>
          <w:szCs w:val="22"/>
        </w:rPr>
      </w:pPr>
      <w:r>
        <w:rPr>
          <w:rFonts w:asciiTheme="majorHAnsi" w:hAnsiTheme="majorHAnsi" w:cstheme="majorHAnsi"/>
          <w:sz w:val="22"/>
          <w:szCs w:val="22"/>
        </w:rPr>
        <w:t>DA ABERTURA DA SESSÃO, CLASSIFICAÇÃO DAS PROPOSTAS E FORMULAÇÃO DE LANCES..........................</w:t>
      </w:r>
      <w:r>
        <w:rPr>
          <w:rFonts w:asciiTheme="majorHAnsi" w:hAnsiTheme="majorHAnsi" w:cstheme="majorHAnsi"/>
          <w:sz w:val="22"/>
          <w:szCs w:val="22"/>
        </w:rPr>
        <w:tab/>
      </w:r>
      <w:r>
        <w:rPr>
          <w:rFonts w:asciiTheme="majorHAnsi" w:hAnsiTheme="majorHAnsi" w:cstheme="majorHAnsi"/>
          <w:sz w:val="22"/>
          <w:szCs w:val="22"/>
        </w:rPr>
        <w:t>.11</w:t>
      </w:r>
    </w:p>
    <w:p w14:paraId="55E702F2">
      <w:pPr>
        <w:pStyle w:val="36"/>
        <w:tabs>
          <w:tab w:val="left" w:pos="284"/>
        </w:tabs>
        <w:rPr>
          <w:rFonts w:asciiTheme="majorHAnsi" w:hAnsiTheme="majorHAnsi" w:eastAsiaTheme="minorEastAsia" w:cstheme="majorHAnsi"/>
          <w:sz w:val="22"/>
          <w:szCs w:val="22"/>
        </w:rPr>
      </w:pPr>
      <w:r>
        <w:rPr>
          <w:rFonts w:asciiTheme="majorHAnsi" w:hAnsiTheme="majorHAnsi" w:cstheme="majorHAnsi"/>
          <w:sz w:val="22"/>
          <w:szCs w:val="22"/>
        </w:rPr>
        <w:t>DA FASE DE JULGAMENTO</w:t>
      </w:r>
      <w:r>
        <w:rPr>
          <w:rFonts w:asciiTheme="majorHAnsi" w:hAnsiTheme="majorHAnsi" w:cstheme="majorHAnsi"/>
          <w:sz w:val="22"/>
          <w:szCs w:val="22"/>
        </w:rPr>
        <w:tab/>
      </w:r>
      <w:r>
        <w:rPr>
          <w:rFonts w:asciiTheme="majorHAnsi" w:hAnsiTheme="majorHAnsi" w:cstheme="majorHAnsi"/>
          <w:sz w:val="22"/>
          <w:szCs w:val="22"/>
        </w:rPr>
        <w:t>15</w:t>
      </w:r>
    </w:p>
    <w:p w14:paraId="1A68E5C4">
      <w:pPr>
        <w:pStyle w:val="36"/>
        <w:tabs>
          <w:tab w:val="left" w:pos="284"/>
        </w:tabs>
        <w:rPr>
          <w:rFonts w:asciiTheme="majorHAnsi" w:hAnsiTheme="majorHAnsi" w:cstheme="majorHAnsi"/>
          <w:sz w:val="22"/>
          <w:szCs w:val="22"/>
        </w:rPr>
      </w:pPr>
      <w:r>
        <w:rPr>
          <w:rFonts w:asciiTheme="majorHAnsi" w:hAnsiTheme="majorHAnsi" w:cstheme="majorHAnsi"/>
          <w:sz w:val="22"/>
          <w:szCs w:val="22"/>
        </w:rPr>
        <w:t>DA FASE DE HABILITAÇÃO .......................................................................................................................19</w:t>
      </w:r>
    </w:p>
    <w:p w14:paraId="4543609A">
      <w:pPr>
        <w:pStyle w:val="36"/>
        <w:tabs>
          <w:tab w:val="left" w:pos="284"/>
        </w:tabs>
        <w:rPr>
          <w:rFonts w:asciiTheme="majorHAnsi" w:hAnsiTheme="majorHAnsi" w:cstheme="majorHAnsi"/>
          <w:sz w:val="22"/>
          <w:szCs w:val="22"/>
        </w:rPr>
      </w:pPr>
      <w:r>
        <w:rPr>
          <w:rFonts w:asciiTheme="majorHAnsi" w:hAnsiTheme="majorHAnsi" w:cstheme="majorHAnsi"/>
          <w:sz w:val="22"/>
          <w:szCs w:val="22"/>
        </w:rPr>
        <w:t>DO TERMO DE CONTRATO ........................................................................................................................21</w:t>
      </w:r>
    </w:p>
    <w:p w14:paraId="44DDC9F7">
      <w:pPr>
        <w:pStyle w:val="36"/>
        <w:tabs>
          <w:tab w:val="left" w:pos="284"/>
        </w:tabs>
        <w:rPr>
          <w:rFonts w:asciiTheme="majorHAnsi" w:hAnsiTheme="majorHAnsi" w:eastAsiaTheme="minorEastAsia" w:cstheme="majorHAnsi"/>
          <w:sz w:val="22"/>
          <w:szCs w:val="22"/>
          <w:highlight w:val="cyan"/>
        </w:rPr>
      </w:pPr>
      <w:r>
        <w:rPr>
          <w:rFonts w:asciiTheme="majorHAnsi" w:hAnsiTheme="majorHAnsi" w:cstheme="majorHAnsi"/>
          <w:sz w:val="22"/>
          <w:szCs w:val="22"/>
          <w:highlight w:val="cyan"/>
        </w:rPr>
        <w:t>DA ATA DE REGISTRO DE PREÇOS</w:t>
      </w:r>
      <w:r>
        <w:rPr>
          <w:rFonts w:asciiTheme="majorHAnsi" w:hAnsiTheme="majorHAnsi" w:cstheme="majorHAnsi"/>
          <w:sz w:val="22"/>
          <w:szCs w:val="22"/>
          <w:highlight w:val="cyan"/>
        </w:rPr>
        <w:tab/>
      </w:r>
      <w:r>
        <w:rPr>
          <w:rFonts w:asciiTheme="majorHAnsi" w:hAnsiTheme="majorHAnsi" w:cstheme="majorHAnsi"/>
          <w:sz w:val="22"/>
          <w:szCs w:val="22"/>
          <w:highlight w:val="cyan"/>
        </w:rPr>
        <w:t>23</w:t>
      </w:r>
    </w:p>
    <w:p w14:paraId="0B99D04A">
      <w:pPr>
        <w:pStyle w:val="36"/>
        <w:tabs>
          <w:tab w:val="left" w:pos="284"/>
        </w:tabs>
        <w:rPr>
          <w:rFonts w:asciiTheme="majorHAnsi" w:hAnsiTheme="majorHAnsi" w:eastAsiaTheme="minorEastAsia" w:cstheme="majorHAnsi"/>
          <w:sz w:val="22"/>
          <w:szCs w:val="22"/>
        </w:rPr>
      </w:pPr>
      <w:r>
        <w:rPr>
          <w:rFonts w:asciiTheme="majorHAnsi" w:hAnsiTheme="majorHAnsi" w:cstheme="majorHAnsi"/>
          <w:sz w:val="22"/>
          <w:szCs w:val="22"/>
          <w:highlight w:val="cyan"/>
        </w:rPr>
        <w:t>DA FORMAÇÃO DO CADASTRO DE RESERVA</w:t>
      </w:r>
      <w:r>
        <w:rPr>
          <w:rFonts w:asciiTheme="majorHAnsi" w:hAnsiTheme="majorHAnsi" w:cstheme="majorHAnsi"/>
          <w:sz w:val="22"/>
          <w:szCs w:val="22"/>
          <w:highlight w:val="cyan"/>
        </w:rPr>
        <w:tab/>
      </w:r>
      <w:r>
        <w:rPr>
          <w:rFonts w:asciiTheme="majorHAnsi" w:hAnsiTheme="majorHAnsi" w:cstheme="majorHAnsi"/>
          <w:sz w:val="22"/>
          <w:szCs w:val="22"/>
          <w:highlight w:val="cyan"/>
        </w:rPr>
        <w:t>24</w:t>
      </w:r>
    </w:p>
    <w:p w14:paraId="26D86C45">
      <w:pPr>
        <w:pStyle w:val="36"/>
        <w:tabs>
          <w:tab w:val="left" w:pos="284"/>
        </w:tabs>
        <w:rPr>
          <w:rFonts w:asciiTheme="majorHAnsi" w:hAnsiTheme="majorHAnsi" w:eastAsiaTheme="minorEastAsia" w:cstheme="majorHAnsi"/>
          <w:sz w:val="22"/>
          <w:szCs w:val="22"/>
        </w:rPr>
      </w:pPr>
      <w:r>
        <w:rPr>
          <w:rFonts w:asciiTheme="majorHAnsi" w:hAnsiTheme="majorHAnsi" w:cstheme="majorHAnsi"/>
          <w:sz w:val="22"/>
          <w:szCs w:val="22"/>
        </w:rPr>
        <w:t>DOS RECURSOS</w:t>
      </w:r>
      <w:r>
        <w:rPr>
          <w:rFonts w:asciiTheme="majorHAnsi" w:hAnsiTheme="majorHAnsi" w:cstheme="majorHAnsi"/>
          <w:sz w:val="22"/>
          <w:szCs w:val="22"/>
        </w:rPr>
        <w:tab/>
      </w:r>
      <w:r>
        <w:rPr>
          <w:rFonts w:asciiTheme="majorHAnsi" w:hAnsiTheme="majorHAnsi" w:cstheme="majorHAnsi"/>
          <w:sz w:val="22"/>
          <w:szCs w:val="22"/>
        </w:rPr>
        <w:t>25</w:t>
      </w:r>
    </w:p>
    <w:p w14:paraId="57BE4E2F">
      <w:pPr>
        <w:pStyle w:val="36"/>
        <w:tabs>
          <w:tab w:val="left" w:pos="284"/>
        </w:tabs>
        <w:rPr>
          <w:rFonts w:asciiTheme="majorHAnsi" w:hAnsiTheme="majorHAnsi" w:eastAsiaTheme="minorEastAsia" w:cstheme="majorHAnsi"/>
          <w:sz w:val="22"/>
          <w:szCs w:val="22"/>
        </w:rPr>
      </w:pPr>
      <w:r>
        <w:rPr>
          <w:rFonts w:asciiTheme="majorHAnsi" w:hAnsiTheme="majorHAnsi" w:cstheme="majorHAnsi"/>
          <w:sz w:val="22"/>
          <w:szCs w:val="22"/>
        </w:rPr>
        <w:t>DAS INFRAÇÕES ADMINISTRATIVAS E SANÇÕES</w:t>
      </w:r>
      <w:r>
        <w:rPr>
          <w:rFonts w:asciiTheme="majorHAnsi" w:hAnsiTheme="majorHAnsi" w:cstheme="majorHAnsi"/>
          <w:sz w:val="22"/>
          <w:szCs w:val="22"/>
        </w:rPr>
        <w:tab/>
      </w:r>
      <w:r>
        <w:rPr>
          <w:rFonts w:asciiTheme="majorHAnsi" w:hAnsiTheme="majorHAnsi" w:cstheme="majorHAnsi"/>
          <w:sz w:val="22"/>
          <w:szCs w:val="22"/>
        </w:rPr>
        <w:t>26</w:t>
      </w:r>
    </w:p>
    <w:p w14:paraId="3ACA46FA">
      <w:pPr>
        <w:pStyle w:val="36"/>
        <w:tabs>
          <w:tab w:val="left" w:pos="284"/>
        </w:tabs>
        <w:rPr>
          <w:rFonts w:asciiTheme="majorHAnsi" w:hAnsiTheme="majorHAnsi" w:cstheme="majorHAnsi"/>
          <w:sz w:val="22"/>
          <w:szCs w:val="22"/>
        </w:rPr>
      </w:pPr>
      <w:r>
        <w:rPr>
          <w:rFonts w:asciiTheme="majorHAnsi" w:hAnsiTheme="majorHAnsi" w:cstheme="majorHAnsi"/>
          <w:sz w:val="22"/>
          <w:szCs w:val="22"/>
        </w:rPr>
        <w:t>DA IMPUGNAÇÃO AO EDITAL E DO PEDIDO DE ESCLARECIMENTO ............................................29</w:t>
      </w:r>
    </w:p>
    <w:p w14:paraId="7D11BFDB">
      <w:pPr>
        <w:pStyle w:val="36"/>
        <w:tabs>
          <w:tab w:val="left" w:pos="284"/>
        </w:tabs>
        <w:rPr>
          <w:rFonts w:asciiTheme="majorHAnsi" w:hAnsiTheme="majorHAnsi" w:cstheme="majorHAnsi"/>
          <w:sz w:val="22"/>
          <w:szCs w:val="22"/>
        </w:rPr>
      </w:pPr>
      <w:r>
        <w:rPr>
          <w:rFonts w:asciiTheme="majorHAnsi" w:hAnsiTheme="majorHAnsi" w:cstheme="majorHAnsi"/>
          <w:sz w:val="22"/>
          <w:szCs w:val="22"/>
        </w:rPr>
        <w:t>DAS DISPOSIÇÕES GERAIS ........................................................................................................................29</w:t>
      </w:r>
    </w:p>
    <w:p w14:paraId="2CFA2900">
      <w:pPr>
        <w:rPr>
          <w:rFonts w:asciiTheme="majorHAnsi" w:hAnsiTheme="majorHAnsi" w:cstheme="majorHAnsi"/>
          <w:b/>
          <w:bCs/>
          <w:color w:val="5B5B5F"/>
          <w:sz w:val="22"/>
          <w:szCs w:val="22"/>
        </w:rPr>
      </w:pPr>
    </w:p>
    <w:p w14:paraId="1403A2F8">
      <w:pPr>
        <w:rPr>
          <w:rFonts w:asciiTheme="majorHAnsi" w:hAnsiTheme="majorHAnsi" w:cstheme="majorHAnsi"/>
          <w:b/>
          <w:bCs/>
          <w:color w:val="5B5B5F"/>
          <w:sz w:val="22"/>
          <w:szCs w:val="22"/>
        </w:rPr>
      </w:pPr>
    </w:p>
    <w:p w14:paraId="6A8FBFE2">
      <w:pPr>
        <w:rPr>
          <w:rFonts w:asciiTheme="majorHAnsi" w:hAnsiTheme="majorHAnsi" w:cstheme="majorHAnsi"/>
          <w:b/>
          <w:bCs/>
          <w:color w:val="5B5B5F"/>
          <w:sz w:val="22"/>
          <w:szCs w:val="22"/>
        </w:rPr>
      </w:pPr>
    </w:p>
    <w:p w14:paraId="27C13F5C">
      <w:pPr>
        <w:rPr>
          <w:rFonts w:asciiTheme="majorHAnsi" w:hAnsiTheme="majorHAnsi" w:cstheme="majorHAnsi"/>
          <w:b/>
          <w:bCs/>
          <w:color w:val="5B5B5F"/>
          <w:sz w:val="22"/>
          <w:szCs w:val="22"/>
        </w:rPr>
      </w:pPr>
    </w:p>
    <w:p w14:paraId="3BA8625F">
      <w:pPr>
        <w:rPr>
          <w:rFonts w:asciiTheme="majorHAnsi" w:hAnsiTheme="majorHAnsi" w:cstheme="majorHAnsi"/>
          <w:b/>
          <w:bCs/>
          <w:color w:val="5B5B5F"/>
          <w:sz w:val="22"/>
          <w:szCs w:val="22"/>
        </w:rPr>
      </w:pPr>
    </w:p>
    <w:p w14:paraId="45D2A7F5">
      <w:pPr>
        <w:rPr>
          <w:rFonts w:asciiTheme="majorHAnsi" w:hAnsiTheme="majorHAnsi" w:cstheme="majorHAnsi"/>
          <w:b/>
          <w:bCs/>
          <w:color w:val="5B5B5F"/>
          <w:sz w:val="22"/>
          <w:szCs w:val="22"/>
        </w:rPr>
      </w:pPr>
    </w:p>
    <w:p w14:paraId="3D824CDA">
      <w:pPr>
        <w:rPr>
          <w:rFonts w:asciiTheme="majorHAnsi" w:hAnsiTheme="majorHAnsi" w:cstheme="majorHAnsi"/>
          <w:b/>
          <w:bCs/>
          <w:color w:val="5B5B5F"/>
          <w:sz w:val="22"/>
          <w:szCs w:val="22"/>
        </w:rPr>
      </w:pPr>
    </w:p>
    <w:p w14:paraId="4ACB21C9">
      <w:pPr>
        <w:rPr>
          <w:rFonts w:asciiTheme="majorHAnsi" w:hAnsiTheme="majorHAnsi" w:cstheme="majorHAnsi"/>
          <w:b/>
          <w:bCs/>
          <w:color w:val="5B5B5F"/>
          <w:sz w:val="22"/>
          <w:szCs w:val="22"/>
        </w:rPr>
      </w:pPr>
    </w:p>
    <w:p w14:paraId="6DDBE6A5">
      <w:pPr>
        <w:rPr>
          <w:rFonts w:asciiTheme="majorHAnsi" w:hAnsiTheme="majorHAnsi" w:cstheme="majorHAnsi"/>
          <w:b/>
          <w:bCs/>
          <w:color w:val="5B5B5F"/>
          <w:sz w:val="22"/>
          <w:szCs w:val="22"/>
        </w:rPr>
      </w:pPr>
    </w:p>
    <w:p w14:paraId="282C44D9">
      <w:pPr>
        <w:rPr>
          <w:rFonts w:asciiTheme="majorHAnsi" w:hAnsiTheme="majorHAnsi" w:cstheme="majorHAnsi"/>
          <w:b/>
          <w:bCs/>
          <w:color w:val="5B5B5F"/>
          <w:sz w:val="22"/>
          <w:szCs w:val="22"/>
        </w:rPr>
      </w:pPr>
    </w:p>
    <w:p w14:paraId="455A0AE1">
      <w:pPr>
        <w:rPr>
          <w:rFonts w:asciiTheme="majorHAnsi" w:hAnsiTheme="majorHAnsi" w:cstheme="majorHAnsi"/>
          <w:b/>
          <w:bCs/>
          <w:color w:val="5B5B5F"/>
          <w:sz w:val="22"/>
          <w:szCs w:val="22"/>
        </w:rPr>
      </w:pPr>
    </w:p>
    <w:p w14:paraId="2A602F9C">
      <w:pPr>
        <w:rPr>
          <w:rFonts w:asciiTheme="majorHAnsi" w:hAnsiTheme="majorHAnsi" w:cstheme="majorHAnsi"/>
          <w:b/>
          <w:bCs/>
          <w:color w:val="5B5B5F"/>
          <w:sz w:val="22"/>
          <w:szCs w:val="22"/>
        </w:rPr>
      </w:pPr>
    </w:p>
    <w:p w14:paraId="470F2D4B">
      <w:pPr>
        <w:rPr>
          <w:rFonts w:asciiTheme="majorHAnsi" w:hAnsiTheme="majorHAnsi" w:cstheme="majorHAnsi"/>
          <w:b/>
          <w:bCs/>
          <w:color w:val="5B5B5F"/>
          <w:sz w:val="22"/>
          <w:szCs w:val="22"/>
        </w:rPr>
      </w:pPr>
    </w:p>
    <w:p w14:paraId="2C4963E0">
      <w:pPr>
        <w:rPr>
          <w:rFonts w:asciiTheme="majorHAnsi" w:hAnsiTheme="majorHAnsi" w:cstheme="majorHAnsi"/>
          <w:b/>
          <w:bCs/>
          <w:color w:val="5B5B5F"/>
          <w:sz w:val="22"/>
          <w:szCs w:val="22"/>
        </w:rPr>
      </w:pPr>
    </w:p>
    <w:p w14:paraId="168942BF">
      <w:pPr>
        <w:rPr>
          <w:rFonts w:asciiTheme="majorHAnsi" w:hAnsiTheme="majorHAnsi" w:cstheme="majorHAnsi"/>
          <w:b/>
          <w:bCs/>
          <w:color w:val="5B5B5F"/>
          <w:sz w:val="22"/>
          <w:szCs w:val="22"/>
        </w:rPr>
      </w:pPr>
    </w:p>
    <w:p w14:paraId="2AD25FF9">
      <w:pPr>
        <w:rPr>
          <w:rFonts w:asciiTheme="majorHAnsi" w:hAnsiTheme="majorHAnsi" w:cstheme="majorHAnsi"/>
          <w:b/>
          <w:bCs/>
          <w:color w:val="5B5B5F"/>
          <w:sz w:val="22"/>
          <w:szCs w:val="22"/>
        </w:rPr>
      </w:pPr>
    </w:p>
    <w:p w14:paraId="63B88AFA">
      <w:pPr>
        <w:rPr>
          <w:rFonts w:asciiTheme="majorHAnsi" w:hAnsiTheme="majorHAnsi" w:cstheme="majorHAnsi"/>
          <w:b/>
          <w:bCs/>
          <w:color w:val="5B5B5F"/>
          <w:sz w:val="22"/>
          <w:szCs w:val="22"/>
        </w:rPr>
      </w:pPr>
    </w:p>
    <w:p w14:paraId="39B88983">
      <w:pPr>
        <w:rPr>
          <w:rFonts w:asciiTheme="majorHAnsi" w:hAnsiTheme="majorHAnsi" w:cstheme="majorHAnsi"/>
          <w:b/>
          <w:bCs/>
          <w:color w:val="5B5B5F"/>
          <w:sz w:val="22"/>
          <w:szCs w:val="22"/>
        </w:rPr>
      </w:pPr>
    </w:p>
    <w:p w14:paraId="7780479E">
      <w:pPr>
        <w:rPr>
          <w:rFonts w:asciiTheme="majorHAnsi" w:hAnsiTheme="majorHAnsi" w:cstheme="majorHAnsi"/>
          <w:b/>
          <w:bCs/>
          <w:color w:val="5B5B5F"/>
          <w:sz w:val="22"/>
          <w:szCs w:val="22"/>
        </w:rPr>
      </w:pPr>
    </w:p>
    <w:p w14:paraId="0F488139">
      <w:pPr>
        <w:spacing w:before="120" w:after="120" w:line="360" w:lineRule="auto"/>
        <w:jc w:val="center"/>
        <w:rPr>
          <w:rFonts w:asciiTheme="majorHAnsi" w:hAnsiTheme="majorHAnsi" w:cstheme="majorHAnsi"/>
          <w:b/>
          <w:bCs/>
          <w:color w:val="FF0000"/>
          <w:sz w:val="22"/>
          <w:szCs w:val="22"/>
        </w:rPr>
      </w:pPr>
      <w:r>
        <w:rPr>
          <w:rFonts w:asciiTheme="majorHAnsi" w:hAnsiTheme="majorHAnsi" w:cstheme="majorHAnsi"/>
          <w:b/>
          <w:color w:val="FF0000"/>
          <w:sz w:val="22"/>
          <w:szCs w:val="22"/>
        </w:rPr>
        <w:t>COMPLEXO HOSPITALAR E DE SAÚDE - UFBA</w:t>
      </w:r>
    </w:p>
    <w:p w14:paraId="6B920EE4">
      <w:pPr>
        <w:jc w:val="center"/>
        <w:rPr>
          <w:rFonts w:asciiTheme="majorHAnsi" w:hAnsiTheme="majorHAnsi" w:cstheme="majorHAnsi"/>
          <w:b/>
          <w:sz w:val="22"/>
          <w:szCs w:val="22"/>
        </w:rPr>
      </w:pPr>
      <w:r>
        <w:rPr>
          <w:rFonts w:asciiTheme="majorHAnsi" w:hAnsiTheme="majorHAnsi" w:cstheme="majorHAnsi"/>
          <w:b/>
          <w:color w:val="FF0000"/>
          <w:sz w:val="22"/>
          <w:szCs w:val="22"/>
        </w:rPr>
        <w:t xml:space="preserve">PREGÃO ELETRÔNICO </w:t>
      </w:r>
      <w:r>
        <w:rPr>
          <w:rFonts w:asciiTheme="majorHAnsi" w:hAnsiTheme="majorHAnsi" w:cstheme="majorHAnsi"/>
          <w:b/>
          <w:sz w:val="22"/>
          <w:szCs w:val="22"/>
        </w:rPr>
        <w:t>Nº 90086/2026</w:t>
      </w:r>
    </w:p>
    <w:p w14:paraId="5D5240F4">
      <w:pPr>
        <w:jc w:val="center"/>
        <w:rPr>
          <w:rFonts w:asciiTheme="majorHAnsi" w:hAnsiTheme="majorHAnsi" w:cstheme="majorHAnsi"/>
          <w:b/>
          <w:bCs/>
          <w:color w:val="FF0000"/>
          <w:sz w:val="22"/>
          <w:szCs w:val="22"/>
        </w:rPr>
      </w:pPr>
      <w:r>
        <w:rPr>
          <w:rFonts w:asciiTheme="majorHAnsi" w:hAnsiTheme="majorHAnsi" w:cstheme="majorHAnsi"/>
          <w:b/>
          <w:bCs/>
          <w:color w:val="FF0000"/>
          <w:sz w:val="22"/>
          <w:szCs w:val="22"/>
        </w:rPr>
        <w:t xml:space="preserve">NÚMERO DA CONTRATAÇÃO: 150247- 66/2026 </w:t>
      </w:r>
    </w:p>
    <w:p w14:paraId="3792C1DC">
      <w:pPr>
        <w:spacing w:before="120" w:after="120" w:line="360" w:lineRule="auto"/>
        <w:jc w:val="center"/>
        <w:rPr>
          <w:rFonts w:asciiTheme="majorHAnsi" w:hAnsiTheme="majorHAnsi" w:cstheme="majorHAnsi"/>
          <w:b/>
          <w:sz w:val="22"/>
          <w:szCs w:val="22"/>
        </w:rPr>
      </w:pPr>
      <w:r>
        <w:rPr>
          <w:rFonts w:asciiTheme="majorHAnsi" w:hAnsiTheme="majorHAnsi" w:cstheme="majorHAnsi"/>
          <w:b/>
          <w:sz w:val="22"/>
          <w:szCs w:val="22"/>
        </w:rPr>
        <w:t>(Processo Administrativo n° 23066.033818/2026-97)</w:t>
      </w:r>
    </w:p>
    <w:p w14:paraId="1423DA02">
      <w:pPr>
        <w:ind w:firstLine="567"/>
        <w:jc w:val="center"/>
        <w:rPr>
          <w:rFonts w:asciiTheme="majorHAnsi" w:hAnsiTheme="majorHAnsi" w:cstheme="majorHAnsi"/>
          <w:bCs/>
          <w:color w:val="000000"/>
          <w:sz w:val="22"/>
          <w:szCs w:val="22"/>
        </w:rPr>
      </w:pPr>
    </w:p>
    <w:p w14:paraId="3E6F4456">
      <w:pPr>
        <w:ind w:firstLine="567"/>
        <w:jc w:val="center"/>
        <w:rPr>
          <w:rFonts w:asciiTheme="majorHAnsi" w:hAnsiTheme="majorHAnsi" w:cstheme="majorHAnsi"/>
          <w:bCs/>
          <w:color w:val="000000"/>
          <w:sz w:val="22"/>
          <w:szCs w:val="22"/>
        </w:rPr>
      </w:pPr>
    </w:p>
    <w:p w14:paraId="4D9D6744">
      <w:pPr>
        <w:ind w:firstLine="567"/>
        <w:jc w:val="center"/>
        <w:rPr>
          <w:rFonts w:asciiTheme="majorHAnsi" w:hAnsiTheme="majorHAnsi" w:cstheme="majorHAnsi"/>
          <w:bCs/>
          <w:color w:val="000000"/>
          <w:sz w:val="22"/>
          <w:szCs w:val="22"/>
        </w:rPr>
      </w:pPr>
    </w:p>
    <w:p w14:paraId="2A8F753E">
      <w:pPr>
        <w:ind w:firstLine="567"/>
        <w:jc w:val="center"/>
        <w:rPr>
          <w:rFonts w:asciiTheme="majorHAnsi" w:hAnsiTheme="majorHAnsi" w:cstheme="majorHAnsi"/>
          <w:bCs/>
          <w:color w:val="000000"/>
          <w:sz w:val="22"/>
          <w:szCs w:val="22"/>
        </w:rPr>
      </w:pPr>
    </w:p>
    <w:p w14:paraId="5C91A7AF">
      <w:pPr>
        <w:ind w:firstLine="567"/>
        <w:jc w:val="center"/>
        <w:rPr>
          <w:rFonts w:asciiTheme="majorHAnsi" w:hAnsiTheme="majorHAnsi" w:cstheme="majorHAnsi"/>
          <w:bCs/>
          <w:color w:val="000000"/>
          <w:sz w:val="22"/>
          <w:szCs w:val="22"/>
        </w:rPr>
      </w:pPr>
    </w:p>
    <w:p w14:paraId="5ADACE72">
      <w:pPr>
        <w:ind w:firstLine="567"/>
        <w:jc w:val="center"/>
        <w:rPr>
          <w:rFonts w:asciiTheme="majorHAnsi" w:hAnsiTheme="majorHAnsi" w:cstheme="majorHAnsi"/>
          <w:bCs/>
          <w:color w:val="000000"/>
          <w:sz w:val="22"/>
          <w:szCs w:val="22"/>
        </w:rPr>
      </w:pPr>
    </w:p>
    <w:p w14:paraId="172EDE82">
      <w:pPr>
        <w:ind w:firstLine="567"/>
        <w:jc w:val="center"/>
        <w:rPr>
          <w:rFonts w:asciiTheme="majorHAnsi" w:hAnsiTheme="majorHAnsi" w:cstheme="majorHAnsi"/>
          <w:bCs/>
          <w:color w:val="000000"/>
          <w:sz w:val="22"/>
          <w:szCs w:val="22"/>
        </w:rPr>
      </w:pPr>
    </w:p>
    <w:p w14:paraId="7C1AD4B3">
      <w:pPr>
        <w:pStyle w:val="70"/>
        <w:numPr>
          <w:ilvl w:val="0"/>
          <w:numId w:val="0"/>
        </w:numPr>
        <w:rPr>
          <w:rFonts w:asciiTheme="majorHAnsi" w:hAnsiTheme="majorHAnsi" w:cstheme="majorHAnsi"/>
        </w:rPr>
      </w:pPr>
      <w:r>
        <w:rPr>
          <w:rFonts w:asciiTheme="majorHAnsi" w:hAnsiTheme="majorHAnsi" w:cstheme="majorHAnsi"/>
        </w:rPr>
        <w:t xml:space="preserve">Torna-se público que o(a) </w:t>
      </w:r>
      <w:r>
        <w:rPr>
          <w:rFonts w:asciiTheme="majorHAnsi" w:hAnsiTheme="majorHAnsi" w:cstheme="majorHAnsi"/>
          <w:color w:val="FF0000"/>
        </w:rPr>
        <w:t>UNIVERSIDADE FEDERAL DA BAHIA</w:t>
      </w:r>
      <w:r>
        <w:rPr>
          <w:rFonts w:asciiTheme="majorHAnsi" w:hAnsiTheme="majorHAnsi" w:cstheme="majorHAnsi"/>
        </w:rPr>
        <w:t xml:space="preserve">, por meio do(a) </w:t>
      </w:r>
      <w:r>
        <w:rPr>
          <w:rFonts w:asciiTheme="majorHAnsi" w:hAnsiTheme="majorHAnsi" w:cstheme="majorHAnsi"/>
          <w:color w:val="FF0000"/>
        </w:rPr>
        <w:t>COMPLEXO HOSPITALAR E DE SAÚDE</w:t>
      </w:r>
      <w:r>
        <w:rPr>
          <w:rFonts w:asciiTheme="majorHAnsi" w:hAnsiTheme="majorHAnsi" w:cstheme="majorHAnsi"/>
        </w:rPr>
        <w:t xml:space="preserve">, sediado(a) no </w:t>
      </w:r>
      <w:r>
        <w:rPr>
          <w:rFonts w:asciiTheme="majorHAnsi" w:hAnsiTheme="majorHAnsi" w:cstheme="majorHAnsi"/>
          <w:color w:val="FF0000"/>
        </w:rPr>
        <w:t xml:space="preserve">Campus Universitário de Ondina, PAF IV, </w:t>
      </w:r>
      <w:r>
        <w:rPr>
          <w:rStyle w:val="143"/>
          <w:rFonts w:asciiTheme="majorHAnsi" w:hAnsiTheme="majorHAnsi" w:cstheme="majorHAnsi"/>
          <w:color w:val="FF0000"/>
        </w:rPr>
        <w:t>Rua Barão de Jeremoabo</w:t>
      </w:r>
      <w:r>
        <w:rPr>
          <w:rFonts w:asciiTheme="majorHAnsi" w:hAnsiTheme="majorHAnsi" w:cstheme="majorHAnsi"/>
          <w:color w:val="FF0000"/>
        </w:rPr>
        <w:t>,</w:t>
      </w:r>
      <w:r>
        <w:rPr>
          <w:rStyle w:val="142"/>
          <w:rFonts w:asciiTheme="majorHAnsi" w:hAnsiTheme="majorHAnsi" w:cstheme="majorHAnsi"/>
          <w:color w:val="FF0000"/>
        </w:rPr>
        <w:t> </w:t>
      </w:r>
      <w:r>
        <w:rPr>
          <w:rStyle w:val="143"/>
          <w:rFonts w:asciiTheme="majorHAnsi" w:hAnsiTheme="majorHAnsi" w:cstheme="majorHAnsi"/>
          <w:color w:val="FF0000"/>
        </w:rPr>
        <w:t>s/n</w:t>
      </w:r>
      <w:r>
        <w:rPr>
          <w:rStyle w:val="142"/>
          <w:rFonts w:asciiTheme="majorHAnsi" w:hAnsiTheme="majorHAnsi" w:cstheme="majorHAnsi"/>
          <w:color w:val="FF0000"/>
        </w:rPr>
        <w:t>,</w:t>
      </w:r>
      <w:r>
        <w:rPr>
          <w:rFonts w:asciiTheme="majorHAnsi" w:hAnsiTheme="majorHAnsi" w:cstheme="majorHAnsi"/>
          <w:color w:val="FF0000"/>
        </w:rPr>
        <w:t xml:space="preserve"> 1º andar,</w:t>
      </w:r>
      <w:r>
        <w:rPr>
          <w:rStyle w:val="143"/>
          <w:rFonts w:asciiTheme="majorHAnsi" w:hAnsiTheme="majorHAnsi" w:cstheme="majorHAnsi"/>
          <w:color w:val="FF0000"/>
        </w:rPr>
        <w:t xml:space="preserve"> Ondina</w:t>
      </w:r>
      <w:r>
        <w:rPr>
          <w:rFonts w:asciiTheme="majorHAnsi" w:hAnsiTheme="majorHAnsi" w:cstheme="majorHAnsi"/>
          <w:color w:val="FF0000"/>
        </w:rPr>
        <w:t>,</w:t>
      </w:r>
      <w:r>
        <w:rPr>
          <w:rStyle w:val="142"/>
          <w:rFonts w:asciiTheme="majorHAnsi" w:hAnsiTheme="majorHAnsi" w:cstheme="majorHAnsi"/>
          <w:color w:val="FF0000"/>
        </w:rPr>
        <w:t xml:space="preserve"> CEP: </w:t>
      </w:r>
      <w:r>
        <w:rPr>
          <w:rStyle w:val="143"/>
          <w:rFonts w:asciiTheme="majorHAnsi" w:hAnsiTheme="majorHAnsi" w:cstheme="majorHAnsi"/>
          <w:color w:val="FF0000"/>
        </w:rPr>
        <w:t>40170-115</w:t>
      </w:r>
      <w:r>
        <w:rPr>
          <w:rFonts w:asciiTheme="majorHAnsi" w:hAnsiTheme="majorHAnsi" w:cstheme="majorHAnsi"/>
          <w:color w:val="FF0000"/>
        </w:rPr>
        <w:t>, Salvador-Ba</w:t>
      </w:r>
      <w:r>
        <w:rPr>
          <w:rFonts w:asciiTheme="majorHAnsi" w:hAnsiTheme="majorHAnsi" w:cstheme="majorHAnsi"/>
        </w:rPr>
        <w:t xml:space="preserve">, realizará licitação, </w:t>
      </w:r>
      <w:r>
        <w:rPr>
          <w:rFonts w:asciiTheme="majorHAnsi" w:hAnsiTheme="majorHAnsi" w:cstheme="majorHAnsi"/>
          <w:highlight w:val="cyan"/>
        </w:rPr>
        <w:t>para registro de preços</w:t>
      </w:r>
      <w:r>
        <w:rPr>
          <w:rFonts w:asciiTheme="majorHAnsi" w:hAnsiTheme="majorHAnsi" w:cstheme="majorHAnsi"/>
        </w:rPr>
        <w:t xml:space="preserve">, na modalidade </w:t>
      </w:r>
      <w:r>
        <w:rPr>
          <w:rFonts w:asciiTheme="majorHAnsi" w:hAnsiTheme="majorHAnsi" w:cstheme="majorHAnsi"/>
          <w:b/>
          <w:bCs/>
          <w:color w:val="FF0000"/>
        </w:rPr>
        <w:t>PREGÃO ELETRÔNICO</w:t>
      </w:r>
      <w:r>
        <w:rPr>
          <w:rFonts w:asciiTheme="majorHAnsi" w:hAnsiTheme="majorHAnsi" w:cstheme="majorHAnsi"/>
        </w:rPr>
        <w:t xml:space="preserve">, na forma ELETRÔNICA, nos termos da Lei nº 14.133, de 1º de abril de 2021, </w:t>
      </w:r>
      <w:r>
        <w:rPr>
          <w:rFonts w:asciiTheme="majorHAnsi" w:hAnsiTheme="majorHAnsi" w:cstheme="majorHAnsi"/>
          <w:highlight w:val="cyan"/>
        </w:rPr>
        <w:t>do Decreto nº 11.462, de 31 de março de 2023</w:t>
      </w:r>
      <w:r>
        <w:rPr>
          <w:rFonts w:asciiTheme="majorHAnsi" w:hAnsiTheme="majorHAnsi" w:cstheme="majorHAnsi"/>
        </w:rPr>
        <w:t>, e demais legislação aplicável e, ainda, de acordo com as condições estabelecidas neste Edital.</w:t>
      </w:r>
    </w:p>
    <w:p w14:paraId="2C5ECF10">
      <w:pPr>
        <w:pStyle w:val="70"/>
        <w:numPr>
          <w:ilvl w:val="0"/>
          <w:numId w:val="0"/>
        </w:numPr>
        <w:ind w:left="786"/>
        <w:rPr>
          <w:rFonts w:asciiTheme="majorHAnsi" w:hAnsiTheme="majorHAnsi" w:cstheme="majorHAnsi"/>
        </w:rPr>
      </w:pPr>
    </w:p>
    <w:p w14:paraId="4C3A725A">
      <w:pPr>
        <w:pStyle w:val="70"/>
        <w:numPr>
          <w:ilvl w:val="0"/>
          <w:numId w:val="0"/>
        </w:numPr>
        <w:ind w:left="786"/>
        <w:rPr>
          <w:rFonts w:asciiTheme="majorHAnsi" w:hAnsiTheme="majorHAnsi" w:cstheme="majorHAnsi"/>
        </w:rPr>
      </w:pPr>
    </w:p>
    <w:p w14:paraId="7941C2DB">
      <w:pPr>
        <w:pStyle w:val="53"/>
        <w:tabs>
          <w:tab w:val="left" w:pos="0"/>
          <w:tab w:val="clear" w:pos="567"/>
        </w:tabs>
        <w:spacing w:before="120" w:beforeLines="0" w:after="120" w:afterLines="0" w:line="360" w:lineRule="auto"/>
        <w:ind w:left="0" w:firstLine="0"/>
        <w:rPr>
          <w:rFonts w:asciiTheme="majorHAnsi" w:hAnsiTheme="majorHAnsi" w:cstheme="majorHAnsi"/>
          <w:sz w:val="22"/>
          <w:szCs w:val="22"/>
          <w:lang w:eastAsia="en-US"/>
        </w:rPr>
      </w:pPr>
      <w:bookmarkStart w:id="0" w:name="_Toc193719190"/>
      <w:bookmarkStart w:id="1" w:name="_Toc135469195"/>
      <w:r>
        <w:rPr>
          <w:rFonts w:asciiTheme="majorHAnsi" w:hAnsiTheme="majorHAnsi" w:cstheme="majorHAnsi"/>
          <w:sz w:val="22"/>
          <w:szCs w:val="22"/>
          <w:lang w:eastAsia="en-US"/>
        </w:rPr>
        <w:t>DO OBJETO</w:t>
      </w:r>
      <w:bookmarkEnd w:id="0"/>
      <w:bookmarkEnd w:id="1"/>
    </w:p>
    <w:p w14:paraId="6ADD356E">
      <w:pPr>
        <w:pStyle w:val="70"/>
        <w:tabs>
          <w:tab w:val="left" w:pos="0"/>
        </w:tabs>
        <w:ind w:left="0" w:firstLine="0"/>
        <w:rPr>
          <w:rFonts w:asciiTheme="majorHAnsi" w:hAnsiTheme="majorHAnsi" w:cstheme="majorHAnsi"/>
        </w:rPr>
      </w:pPr>
      <w:r>
        <w:rPr>
          <w:rFonts w:asciiTheme="majorHAnsi" w:hAnsiTheme="majorHAnsi" w:cstheme="majorHAnsi"/>
          <w:color w:val="auto"/>
        </w:rPr>
        <w:t xml:space="preserve">O objeto da presente licitação é aquisição </w:t>
      </w:r>
      <w:r>
        <w:rPr>
          <w:rFonts w:asciiTheme="majorHAnsi" w:hAnsiTheme="majorHAnsi" w:cstheme="majorHAnsi"/>
          <w:b/>
          <w:bCs/>
          <w:color w:val="FF0000"/>
        </w:rPr>
        <w:t>MATERIAL MÉDICO HOSPITALAR</w:t>
      </w:r>
      <w:r>
        <w:rPr>
          <w:rFonts w:asciiTheme="majorHAnsi" w:hAnsiTheme="majorHAnsi" w:cstheme="majorHAnsi"/>
          <w:color w:val="auto"/>
        </w:rPr>
        <w:t xml:space="preserve">, </w:t>
      </w:r>
      <w:r>
        <w:rPr>
          <w:rFonts w:asciiTheme="majorHAnsi" w:hAnsiTheme="majorHAnsi" w:cstheme="majorHAnsi"/>
        </w:rPr>
        <w:t>conforme condições, quantidades e exigências estabelecidas neste Edital e seus anexos.</w:t>
      </w:r>
    </w:p>
    <w:p w14:paraId="4357B020">
      <w:pPr>
        <w:pStyle w:val="70"/>
        <w:tabs>
          <w:tab w:val="left" w:pos="0"/>
        </w:tabs>
        <w:ind w:left="0" w:firstLine="0"/>
        <w:rPr>
          <w:rFonts w:asciiTheme="majorHAnsi" w:hAnsiTheme="majorHAnsi" w:cstheme="majorHAnsi"/>
          <w:i/>
          <w:color w:val="FF0000"/>
        </w:rPr>
      </w:pPr>
      <w:bookmarkStart w:id="2" w:name="_Toc193719191"/>
      <w:bookmarkStart w:id="3" w:name="_Toc135469196"/>
      <w:r>
        <w:rPr>
          <w:rFonts w:asciiTheme="majorHAnsi" w:hAnsiTheme="majorHAnsi" w:cstheme="majorHAnsi"/>
          <w:i/>
          <w:color w:val="FF0000"/>
        </w:rPr>
        <w:t>A licitação será realizada em itens e grupos, conforme tabela constante no Termo de Referência/Projeto Básico, devendo o licitante oferecer proposta para todos os itens que o compõem.</w:t>
      </w:r>
    </w:p>
    <w:p w14:paraId="160C9C83">
      <w:pPr>
        <w:pStyle w:val="70"/>
        <w:numPr>
          <w:ilvl w:val="0"/>
          <w:numId w:val="0"/>
        </w:numPr>
        <w:tabs>
          <w:tab w:val="left" w:pos="0"/>
        </w:tabs>
        <w:rPr>
          <w:rFonts w:asciiTheme="majorHAnsi" w:hAnsiTheme="majorHAnsi" w:cstheme="majorHAnsi"/>
        </w:rPr>
      </w:pPr>
    </w:p>
    <w:bookmarkEnd w:id="2"/>
    <w:bookmarkEnd w:id="3"/>
    <w:p w14:paraId="7CDCFBBE">
      <w:pPr>
        <w:pStyle w:val="53"/>
        <w:tabs>
          <w:tab w:val="left" w:pos="0"/>
          <w:tab w:val="clear" w:pos="567"/>
        </w:tabs>
        <w:spacing w:line="360" w:lineRule="auto"/>
        <w:ind w:left="0" w:firstLine="0"/>
        <w:rPr>
          <w:rFonts w:asciiTheme="majorHAnsi" w:hAnsiTheme="majorHAnsi" w:cstheme="majorHAnsi"/>
          <w:sz w:val="22"/>
          <w:szCs w:val="22"/>
          <w:highlight w:val="cyan"/>
        </w:rPr>
      </w:pPr>
      <w:r>
        <w:rPr>
          <w:rFonts w:asciiTheme="majorHAnsi" w:hAnsiTheme="majorHAnsi" w:cstheme="majorHAnsi"/>
          <w:sz w:val="22"/>
          <w:szCs w:val="22"/>
          <w:highlight w:val="cyan"/>
        </w:rPr>
        <w:t>DO REGISTRO DE PREÇOS</w:t>
      </w:r>
    </w:p>
    <w:p w14:paraId="44B2A40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highlight w:val="cyan"/>
        </w:rPr>
        <w:t>As regras referentes aos órgãos gerenciador e participantes, bem como a eventuais adesões são as que constam da minuta de Ata de Registro de Preços</w:t>
      </w:r>
      <w:r>
        <w:rPr>
          <w:rFonts w:asciiTheme="majorHAnsi" w:hAnsiTheme="majorHAnsi" w:cstheme="majorHAnsi"/>
        </w:rPr>
        <w:t>.</w:t>
      </w:r>
    </w:p>
    <w:p w14:paraId="144B9210">
      <w:pPr>
        <w:pStyle w:val="53"/>
        <w:tabs>
          <w:tab w:val="left" w:pos="0"/>
          <w:tab w:val="clear" w:pos="567"/>
        </w:tabs>
        <w:spacing w:line="360" w:lineRule="auto"/>
        <w:ind w:left="0" w:firstLine="0"/>
        <w:rPr>
          <w:rFonts w:asciiTheme="majorHAnsi" w:hAnsiTheme="majorHAnsi" w:cstheme="majorHAnsi"/>
          <w:sz w:val="22"/>
          <w:szCs w:val="22"/>
        </w:rPr>
      </w:pPr>
      <w:bookmarkStart w:id="4" w:name="_Toc135469197"/>
      <w:bookmarkStart w:id="5" w:name="_Toc193719192"/>
      <w:r>
        <w:rPr>
          <w:rFonts w:asciiTheme="majorHAnsi" w:hAnsiTheme="majorHAnsi" w:cstheme="majorHAnsi"/>
          <w:sz w:val="22"/>
          <w:szCs w:val="22"/>
        </w:rPr>
        <w:t>DA PARTICIPAÇÃO NA LICITAÇÃO</w:t>
      </w:r>
      <w:bookmarkEnd w:id="4"/>
      <w:bookmarkEnd w:id="5"/>
    </w:p>
    <w:p w14:paraId="322F2A68">
      <w:pPr>
        <w:pStyle w:val="70"/>
        <w:numPr>
          <w:ilvl w:val="1"/>
          <w:numId w:val="2"/>
        </w:numPr>
        <w:tabs>
          <w:tab w:val="left" w:pos="0"/>
        </w:tabs>
        <w:ind w:left="0" w:firstLine="0"/>
        <w:rPr>
          <w:rFonts w:asciiTheme="majorHAnsi" w:hAnsiTheme="majorHAnsi" w:cstheme="majorHAnsi"/>
        </w:rPr>
      </w:pPr>
      <w:bookmarkStart w:id="6" w:name="_Hlk135302270"/>
      <w:r>
        <w:rPr>
          <w:rFonts w:asciiTheme="majorHAnsi" w:hAnsiTheme="majorHAnsi" w:cstheme="majorHAnsi"/>
        </w:rPr>
        <w:t>Poderão participar deste certame os interessados previamente credenciados no Sistema de Cadastramento Unificado de Fornecedores - SICAF e no Sistema de Compras do Governo Federal (www.gov.br/compras).</w:t>
      </w:r>
      <w:bookmarkEnd w:id="6"/>
    </w:p>
    <w:p w14:paraId="567AB345">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w:t>
      </w:r>
      <w:bookmarkStart w:id="7" w:name="_Hlk135304247"/>
      <w:r>
        <w:rPr>
          <w:rFonts w:asciiTheme="majorHAnsi" w:hAnsiTheme="majorHAnsi" w:cstheme="majorHAnsi"/>
        </w:rPr>
        <w:t>s interessados deverão atender às condições exigidas no cadastramento no Sicaf até o terceiro dia útil anterior à data prevista para recebimento das propostas.</w:t>
      </w:r>
    </w:p>
    <w:bookmarkEnd w:id="7"/>
    <w:p w14:paraId="3C3C2F97">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FA7F4E">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3F2D02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 não observância do disposto no item anterior poderá ensejar desclassificação no momento da habilitação.</w:t>
      </w:r>
    </w:p>
    <w:p w14:paraId="1528CCC7">
      <w:pPr>
        <w:pStyle w:val="70"/>
        <w:numPr>
          <w:ilvl w:val="1"/>
          <w:numId w:val="2"/>
        </w:numPr>
        <w:tabs>
          <w:tab w:val="left" w:pos="0"/>
        </w:tabs>
        <w:ind w:left="0" w:firstLine="0"/>
        <w:rPr>
          <w:rFonts w:asciiTheme="majorHAnsi" w:hAnsiTheme="majorHAnsi" w:cstheme="majorHAnsi"/>
        </w:rPr>
      </w:pPr>
      <w:bookmarkStart w:id="8" w:name="_Ref117015508"/>
      <w:r>
        <w:rPr>
          <w:rFonts w:asciiTheme="majorHAnsi" w:hAnsiTheme="majorHAnsi" w:cstheme="majorHAnsi"/>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8"/>
    </w:p>
    <w:p w14:paraId="5944A8E3">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3A0FE7F4">
      <w:pPr>
        <w:pStyle w:val="70"/>
        <w:numPr>
          <w:ilvl w:val="1"/>
          <w:numId w:val="2"/>
        </w:numPr>
        <w:tabs>
          <w:tab w:val="left" w:pos="0"/>
        </w:tabs>
        <w:ind w:left="0" w:firstLine="0"/>
        <w:rPr>
          <w:rFonts w:asciiTheme="majorHAnsi" w:hAnsiTheme="majorHAnsi" w:cstheme="majorHAnsi"/>
        </w:rPr>
      </w:pPr>
      <w:bookmarkStart w:id="9" w:name="_Ref117000692"/>
      <w:r>
        <w:rPr>
          <w:rFonts w:asciiTheme="majorHAnsi" w:hAnsiTheme="majorHAnsi" w:cstheme="majorHAnsi"/>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F424D2A">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Não poderão disputar esta licitação:</w:t>
      </w:r>
      <w:bookmarkEnd w:id="9"/>
    </w:p>
    <w:p w14:paraId="7D970FB5">
      <w:pPr>
        <w:pStyle w:val="72"/>
        <w:tabs>
          <w:tab w:val="left" w:pos="0"/>
        </w:tabs>
        <w:rPr>
          <w:rFonts w:asciiTheme="majorHAnsi" w:hAnsiTheme="majorHAnsi" w:cstheme="majorHAnsi"/>
          <w:sz w:val="22"/>
          <w:szCs w:val="22"/>
        </w:rPr>
      </w:pPr>
      <w:bookmarkStart w:id="10" w:name="_Ref113883338"/>
      <w:r>
        <w:rPr>
          <w:rFonts w:asciiTheme="majorHAnsi" w:hAnsiTheme="majorHAnsi" w:cstheme="majorHAnsi"/>
          <w:sz w:val="22"/>
          <w:szCs w:val="22"/>
        </w:rPr>
        <w:t>aquele que não atenda às condições deste Edital e seu(s) anexo(s);</w:t>
      </w:r>
    </w:p>
    <w:p w14:paraId="27428F96">
      <w:pPr>
        <w:pStyle w:val="72"/>
        <w:tabs>
          <w:tab w:val="left" w:pos="0"/>
        </w:tabs>
        <w:rPr>
          <w:rFonts w:asciiTheme="majorHAnsi" w:hAnsiTheme="majorHAnsi" w:cstheme="majorHAnsi"/>
          <w:sz w:val="22"/>
          <w:szCs w:val="22"/>
        </w:rPr>
      </w:pPr>
      <w:r>
        <w:rPr>
          <w:rFonts w:asciiTheme="majorHAnsi" w:hAnsiTheme="majorHAnsi" w:cstheme="majorHAnsi"/>
          <w:sz w:val="22"/>
          <w:szCs w:val="22"/>
        </w:rPr>
        <w:t>sociedade que desempenhe atividade incompatível com o objeto da licitação;</w:t>
      </w:r>
    </w:p>
    <w:p w14:paraId="3F8B38A5">
      <w:pPr>
        <w:pStyle w:val="72"/>
        <w:tabs>
          <w:tab w:val="left" w:pos="0"/>
        </w:tabs>
        <w:rPr>
          <w:rFonts w:asciiTheme="majorHAnsi" w:hAnsiTheme="majorHAnsi" w:cstheme="majorHAnsi"/>
          <w:sz w:val="22"/>
          <w:szCs w:val="22"/>
        </w:rPr>
      </w:pPr>
      <w:r>
        <w:rPr>
          <w:rFonts w:asciiTheme="majorHAnsi" w:hAnsiTheme="majorHAnsi" w:cstheme="majorHAnsi"/>
          <w:sz w:val="22"/>
          <w:szCs w:val="22"/>
        </w:rPr>
        <w:t>empresas estrangeiras que não tenham representação legal no Brasil com poderes expressos para receber citação e responder administrativa ou judicialmente;</w:t>
      </w:r>
    </w:p>
    <w:p w14:paraId="5B08F2E6">
      <w:pPr>
        <w:pStyle w:val="72"/>
        <w:tabs>
          <w:tab w:val="left" w:pos="0"/>
        </w:tabs>
        <w:rPr>
          <w:rFonts w:asciiTheme="majorHAnsi" w:hAnsiTheme="majorHAnsi" w:cstheme="majorHAnsi"/>
          <w:sz w:val="22"/>
          <w:szCs w:val="22"/>
        </w:rPr>
      </w:pPr>
      <w:bookmarkStart w:id="11" w:name="_Ref114659912"/>
      <w:r>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bookmarkEnd w:id="10"/>
      <w:bookmarkEnd w:id="11"/>
    </w:p>
    <w:p w14:paraId="015B3D0C">
      <w:pPr>
        <w:pStyle w:val="72"/>
        <w:tabs>
          <w:tab w:val="left" w:pos="0"/>
        </w:tabs>
        <w:rPr>
          <w:rFonts w:asciiTheme="majorHAnsi" w:hAnsiTheme="majorHAnsi" w:cstheme="majorHAnsi"/>
          <w:sz w:val="22"/>
          <w:szCs w:val="22"/>
        </w:rPr>
      </w:pPr>
      <w:bookmarkStart w:id="12" w:name="_Ref114659913"/>
      <w:bookmarkStart w:id="13"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Pr>
          <w:rFonts w:asciiTheme="majorHAnsi" w:hAnsiTheme="majorHAnsi" w:cstheme="majorHAnsi"/>
          <w:sz w:val="22"/>
          <w:szCs w:val="22"/>
        </w:rPr>
        <w:t xml:space="preserve"> </w:t>
      </w:r>
      <w:bookmarkEnd w:id="13"/>
    </w:p>
    <w:p w14:paraId="2441A085">
      <w:pPr>
        <w:pStyle w:val="72"/>
        <w:tabs>
          <w:tab w:val="left" w:pos="0"/>
        </w:tabs>
        <w:rPr>
          <w:rFonts w:asciiTheme="majorHAnsi" w:hAnsiTheme="majorHAnsi" w:cstheme="majorHAnsi"/>
          <w:sz w:val="22"/>
          <w:szCs w:val="22"/>
        </w:rPr>
      </w:pPr>
      <w:bookmarkStart w:id="14"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4"/>
    </w:p>
    <w:p w14:paraId="04B7D9C6">
      <w:pPr>
        <w:pStyle w:val="72"/>
        <w:tabs>
          <w:tab w:val="left" w:pos="0"/>
        </w:tabs>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2A3C8A">
      <w:pPr>
        <w:pStyle w:val="72"/>
        <w:tabs>
          <w:tab w:val="left" w:pos="0"/>
        </w:tabs>
        <w:rPr>
          <w:rFonts w:asciiTheme="majorHAnsi" w:hAnsiTheme="majorHAnsi" w:cstheme="majorHAnsi"/>
          <w:sz w:val="22"/>
          <w:szCs w:val="22"/>
        </w:rPr>
      </w:pPr>
      <w:bookmarkStart w:id="15" w:name="_Ref113883579"/>
      <w:r>
        <w:rPr>
          <w:rFonts w:asciiTheme="majorHAnsi" w:hAnsiTheme="majorHAnsi" w:cstheme="majorHAnsi"/>
          <w:sz w:val="22"/>
          <w:szCs w:val="22"/>
        </w:rPr>
        <w:t>empresas controladoras, controladas ou coligadas, nos termos da Lei nº 6.404, de 15 de dezembro de 1976, concorrendo entre si;</w:t>
      </w:r>
      <w:bookmarkEnd w:id="15"/>
    </w:p>
    <w:p w14:paraId="1B612D6C">
      <w:pPr>
        <w:pStyle w:val="72"/>
        <w:tabs>
          <w:tab w:val="left" w:pos="0"/>
        </w:tabs>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185BAA">
      <w:pPr>
        <w:pStyle w:val="72"/>
        <w:tabs>
          <w:tab w:val="left" w:pos="0"/>
        </w:tabs>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13817FA2">
      <w:pPr>
        <w:pStyle w:val="70"/>
        <w:numPr>
          <w:ilvl w:val="1"/>
          <w:numId w:val="2"/>
        </w:numPr>
        <w:tabs>
          <w:tab w:val="left" w:pos="0"/>
        </w:tabs>
        <w:ind w:left="0" w:firstLine="0"/>
        <w:rPr>
          <w:rFonts w:asciiTheme="majorHAnsi" w:hAnsiTheme="majorHAnsi" w:cstheme="majorHAnsi"/>
        </w:rPr>
      </w:pPr>
      <w:bookmarkStart w:id="16" w:name="_Ref168486586"/>
      <w:r>
        <w:rPr>
          <w:rFonts w:asciiTheme="majorHAnsi" w:hAnsiTheme="majorHAnsi" w:cstheme="majorHAns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6A0A3740">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impedimento de que trata o item </w:t>
      </w:r>
      <w:r>
        <w:rPr>
          <w:rFonts w:asciiTheme="majorHAnsi" w:hAnsiTheme="majorHAnsi" w:cstheme="majorHAnsi"/>
        </w:rPr>
        <w:fldChar w:fldCharType="begin"/>
      </w:r>
      <w:r>
        <w:rPr>
          <w:rFonts w:asciiTheme="majorHAnsi" w:hAnsiTheme="majorHAnsi" w:cstheme="majorHAnsi"/>
        </w:rPr>
        <w:instrText xml:space="preserve"> REF _Ref113883003 \r \h  \* MERGEFORMAT </w:instrText>
      </w:r>
      <w:r>
        <w:rPr>
          <w:rFonts w:asciiTheme="majorHAnsi" w:hAnsiTheme="majorHAnsi" w:cstheme="majorHAnsi"/>
        </w:rPr>
        <w:fldChar w:fldCharType="separate"/>
      </w:r>
      <w:r>
        <w:rPr>
          <w:rFonts w:asciiTheme="majorHAnsi" w:hAnsiTheme="majorHAnsi" w:cstheme="majorHAnsi"/>
        </w:rPr>
        <w:t>3.9.6</w:t>
      </w:r>
      <w:r>
        <w:rPr>
          <w:rFonts w:asciiTheme="majorHAnsi" w:hAnsiTheme="majorHAnsi" w:cstheme="majorHAnsi"/>
        </w:rPr>
        <w:fldChar w:fldCharType="end"/>
      </w:r>
      <w:r>
        <w:rPr>
          <w:rFonts w:asciiTheme="majorHAnsi" w:hAnsiTheme="majorHAnsi" w:cstheme="majorHAnsi"/>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F68471">
      <w:pPr>
        <w:pStyle w:val="70"/>
        <w:numPr>
          <w:ilvl w:val="1"/>
          <w:numId w:val="2"/>
        </w:numPr>
        <w:tabs>
          <w:tab w:val="left" w:pos="0"/>
        </w:tabs>
        <w:ind w:left="0" w:firstLine="0"/>
        <w:rPr>
          <w:rFonts w:asciiTheme="majorHAnsi" w:hAnsiTheme="majorHAnsi" w:cstheme="majorHAnsi"/>
        </w:rPr>
      </w:pPr>
      <w:bookmarkStart w:id="17" w:name="art14§2"/>
      <w:bookmarkEnd w:id="17"/>
      <w:r>
        <w:rPr>
          <w:rFonts w:asciiTheme="majorHAnsi" w:hAnsiTheme="majorHAnsi" w:cstheme="majorHAnsi"/>
        </w:rPr>
        <w:t xml:space="preserve">A critério da Administração e exclusivamente a seu serviço, o autor dos projetos e a empresa a que se referem 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fldChar w:fldCharType="separate"/>
      </w:r>
      <w:r>
        <w:rPr>
          <w:rFonts w:asciiTheme="majorHAnsi" w:hAnsiTheme="majorHAnsi" w:cstheme="majorHAnsi"/>
        </w:rPr>
        <w:t>3.9.4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fldChar w:fldCharType="separate"/>
      </w:r>
      <w:r>
        <w:rPr>
          <w:rFonts w:asciiTheme="majorHAnsi" w:hAnsiTheme="majorHAnsi" w:cstheme="majorHAnsi"/>
        </w:rPr>
        <w:t>3.9.5</w:t>
      </w:r>
      <w:r>
        <w:rPr>
          <w:rFonts w:asciiTheme="majorHAnsi" w:hAnsiTheme="majorHAnsi" w:cstheme="majorHAnsi"/>
        </w:rPr>
        <w:fldChar w:fldCharType="end"/>
      </w:r>
      <w:r>
        <w:rPr>
          <w:rFonts w:asciiTheme="majorHAnsi"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2043B600">
      <w:pPr>
        <w:pStyle w:val="70"/>
        <w:numPr>
          <w:ilvl w:val="1"/>
          <w:numId w:val="2"/>
        </w:numPr>
        <w:tabs>
          <w:tab w:val="left" w:pos="0"/>
        </w:tabs>
        <w:ind w:left="0" w:firstLine="0"/>
        <w:rPr>
          <w:rFonts w:asciiTheme="majorHAnsi" w:hAnsiTheme="majorHAnsi" w:cstheme="majorHAnsi"/>
        </w:rPr>
      </w:pPr>
      <w:bookmarkStart w:id="18" w:name="art14§3"/>
      <w:bookmarkEnd w:id="18"/>
      <w:r>
        <w:rPr>
          <w:rFonts w:asciiTheme="majorHAnsi" w:hAnsiTheme="majorHAnsi" w:cstheme="majorHAnsi"/>
        </w:rPr>
        <w:t>Equiparam-se aos autores do projeto as empresas integrantes do mesmo grupo econômico.</w:t>
      </w:r>
    </w:p>
    <w:p w14:paraId="60A9D465">
      <w:pPr>
        <w:pStyle w:val="70"/>
        <w:numPr>
          <w:ilvl w:val="1"/>
          <w:numId w:val="2"/>
        </w:numPr>
        <w:tabs>
          <w:tab w:val="left" w:pos="0"/>
        </w:tabs>
        <w:ind w:left="0" w:firstLine="0"/>
        <w:rPr>
          <w:rFonts w:asciiTheme="majorHAnsi" w:hAnsiTheme="majorHAnsi" w:cstheme="majorHAnsi"/>
        </w:rPr>
      </w:pPr>
      <w:bookmarkStart w:id="19" w:name="art14§4"/>
      <w:bookmarkEnd w:id="19"/>
      <w:r>
        <w:rPr>
          <w:rFonts w:asciiTheme="majorHAnsi" w:hAnsiTheme="majorHAnsi" w:cstheme="majorHAnsi"/>
        </w:rPr>
        <w:t xml:space="preserve">O disposto nos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fldChar w:fldCharType="separate"/>
      </w:r>
      <w:r>
        <w:rPr>
          <w:rFonts w:asciiTheme="majorHAnsi" w:hAnsiTheme="majorHAnsi" w:cstheme="majorHAnsi"/>
        </w:rPr>
        <w:t>3.9.4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fldChar w:fldCharType="separate"/>
      </w:r>
      <w:r>
        <w:rPr>
          <w:rFonts w:asciiTheme="majorHAnsi" w:hAnsiTheme="majorHAnsi" w:cstheme="majorHAnsi"/>
        </w:rPr>
        <w:t>3.9.5</w:t>
      </w:r>
      <w:r>
        <w:rPr>
          <w:rFonts w:asciiTheme="majorHAnsi" w:hAnsiTheme="majorHAnsi" w:cstheme="majorHAnsi"/>
        </w:rPr>
        <w:fldChar w:fldCharType="end"/>
      </w:r>
      <w:r>
        <w:rPr>
          <w:rFonts w:asciiTheme="majorHAnsi"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E4621F2">
      <w:pPr>
        <w:pStyle w:val="70"/>
        <w:numPr>
          <w:ilvl w:val="1"/>
          <w:numId w:val="2"/>
        </w:numPr>
        <w:tabs>
          <w:tab w:val="left" w:pos="0"/>
        </w:tabs>
        <w:ind w:left="0" w:firstLine="0"/>
        <w:rPr>
          <w:rFonts w:asciiTheme="majorHAnsi" w:hAnsiTheme="majorHAnsi" w:cstheme="majorHAnsi"/>
        </w:rPr>
      </w:pPr>
      <w:bookmarkStart w:id="20" w:name="art14§5"/>
      <w:bookmarkEnd w:id="20"/>
      <w:r>
        <w:rPr>
          <w:rFonts w:asciiTheme="majorHAnsi" w:hAnsiTheme="majorHAnsi" w:cstheme="maj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3913967">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vedação de que trata o item </w:t>
      </w:r>
      <w:r>
        <w:rPr>
          <w:rFonts w:asciiTheme="majorHAnsi" w:hAnsiTheme="majorHAnsi" w:cstheme="majorHAnsi"/>
        </w:rPr>
        <w:fldChar w:fldCharType="begin"/>
      </w:r>
      <w:r>
        <w:rPr>
          <w:rFonts w:asciiTheme="majorHAnsi" w:hAnsiTheme="majorHAnsi" w:cstheme="majorHAnsi"/>
        </w:rPr>
        <w:instrText xml:space="preserve"> REF _Ref168486586 \r \h  \* MERGEFORMAT </w:instrText>
      </w:r>
      <w:r>
        <w:rPr>
          <w:rFonts w:asciiTheme="majorHAnsi" w:hAnsiTheme="majorHAnsi" w:cstheme="majorHAnsi"/>
        </w:rPr>
        <w:fldChar w:fldCharType="separate"/>
      </w:r>
      <w:r>
        <w:rPr>
          <w:rFonts w:asciiTheme="majorHAnsi" w:hAnsiTheme="majorHAnsi" w:cstheme="majorHAnsi"/>
        </w:rPr>
        <w:t>3.10</w:t>
      </w:r>
      <w:r>
        <w:rPr>
          <w:rFonts w:asciiTheme="majorHAnsi" w:hAnsiTheme="majorHAnsi" w:cstheme="majorHAnsi"/>
        </w:rPr>
        <w:fldChar w:fldCharType="end"/>
      </w:r>
      <w:r>
        <w:rPr>
          <w:rFonts w:asciiTheme="majorHAnsi" w:hAnsiTheme="majorHAnsi" w:cstheme="majorHAnsi"/>
        </w:rPr>
        <w:t xml:space="preserve"> estende-se a terceiro que auxilie a condução da contratação na qualidade de integrante de equipe de apoio, profissional especializado ou funcionário ou representante de empresa que preste assessoria técnica.</w:t>
      </w:r>
    </w:p>
    <w:p w14:paraId="4553DAE4">
      <w:pPr>
        <w:pStyle w:val="53"/>
        <w:tabs>
          <w:tab w:val="left" w:pos="0"/>
          <w:tab w:val="clear" w:pos="567"/>
        </w:tabs>
        <w:spacing w:line="360" w:lineRule="auto"/>
        <w:ind w:left="0" w:firstLine="0"/>
        <w:rPr>
          <w:rFonts w:asciiTheme="majorHAnsi" w:hAnsiTheme="majorHAnsi" w:cstheme="majorHAnsi"/>
          <w:color w:val="FF0000"/>
          <w:sz w:val="22"/>
          <w:szCs w:val="22"/>
        </w:rPr>
      </w:pPr>
      <w:bookmarkStart w:id="21" w:name="_Toc193719193"/>
      <w:r>
        <w:rPr>
          <w:rFonts w:asciiTheme="majorHAnsi" w:hAnsiTheme="majorHAnsi" w:cstheme="majorHAnsi"/>
          <w:color w:val="FF0000"/>
          <w:sz w:val="22"/>
          <w:szCs w:val="22"/>
        </w:rPr>
        <w:t>DO ORÇAMENTO ESTIMADO</w:t>
      </w:r>
      <w:bookmarkEnd w:id="21"/>
      <w:r>
        <w:rPr>
          <w:rFonts w:asciiTheme="majorHAnsi" w:hAnsiTheme="majorHAnsi" w:cstheme="majorHAnsi"/>
          <w:color w:val="FF0000"/>
          <w:sz w:val="22"/>
          <w:szCs w:val="22"/>
        </w:rPr>
        <w:t xml:space="preserve"> </w:t>
      </w:r>
    </w:p>
    <w:p w14:paraId="3D0138B1">
      <w:pPr>
        <w:pStyle w:val="117"/>
        <w:numPr>
          <w:ilvl w:val="1"/>
          <w:numId w:val="2"/>
        </w:numPr>
        <w:tabs>
          <w:tab w:val="left" w:pos="0"/>
        </w:tabs>
        <w:ind w:left="0" w:firstLine="0"/>
        <w:rPr>
          <w:rFonts w:asciiTheme="majorHAnsi" w:hAnsiTheme="majorHAnsi" w:cstheme="majorHAnsi"/>
        </w:rPr>
      </w:pPr>
      <w:r>
        <w:rPr>
          <w:rFonts w:asciiTheme="majorHAnsi" w:hAnsiTheme="majorHAnsi" w:cstheme="majorHAnsi"/>
        </w:rPr>
        <w:t>O orçamento estimado da presente contratação não será de caráter sigiloso.</w:t>
      </w:r>
    </w:p>
    <w:p w14:paraId="72E8AC4C">
      <w:pPr>
        <w:pStyle w:val="53"/>
        <w:tabs>
          <w:tab w:val="left" w:pos="0"/>
          <w:tab w:val="clear" w:pos="567"/>
        </w:tabs>
        <w:spacing w:line="360" w:lineRule="auto"/>
        <w:ind w:left="0" w:firstLine="0"/>
        <w:rPr>
          <w:rFonts w:asciiTheme="majorHAnsi" w:hAnsiTheme="majorHAnsi" w:cstheme="majorHAnsi"/>
          <w:sz w:val="22"/>
          <w:szCs w:val="22"/>
        </w:rPr>
      </w:pPr>
      <w:bookmarkStart w:id="22" w:name="_Toc135469198"/>
      <w:bookmarkStart w:id="23" w:name="_Toc193719194"/>
      <w:r>
        <w:rPr>
          <w:rFonts w:asciiTheme="majorHAnsi" w:hAnsiTheme="majorHAnsi" w:cstheme="majorHAnsi"/>
          <w:sz w:val="22"/>
          <w:szCs w:val="22"/>
        </w:rPr>
        <w:t>DA APRESENTAÇÃO DA PROPOSTA E DOS DOCUMENTOS DE HABILITAÇÃO</w:t>
      </w:r>
      <w:bookmarkEnd w:id="22"/>
      <w:bookmarkEnd w:id="23"/>
    </w:p>
    <w:p w14:paraId="6326E32E">
      <w:pPr>
        <w:pStyle w:val="117"/>
        <w:numPr>
          <w:ilvl w:val="1"/>
          <w:numId w:val="2"/>
        </w:numPr>
        <w:tabs>
          <w:tab w:val="left" w:pos="0"/>
        </w:tabs>
        <w:ind w:left="0" w:firstLine="0"/>
        <w:rPr>
          <w:rFonts w:asciiTheme="majorHAnsi" w:hAnsiTheme="majorHAnsi" w:cstheme="majorHAnsi"/>
        </w:rPr>
      </w:pPr>
      <w:r>
        <w:rPr>
          <w:rFonts w:asciiTheme="majorHAnsi" w:hAnsiTheme="majorHAnsi" w:cstheme="majorHAnsi"/>
        </w:rPr>
        <w:t>Na presente licitação, a fase de habilitação sucederá as fases de apresentação de propostas e lances e de julgamento.</w:t>
      </w:r>
    </w:p>
    <w:p w14:paraId="65E65A6A">
      <w:pPr>
        <w:pStyle w:val="70"/>
        <w:numPr>
          <w:ilvl w:val="1"/>
          <w:numId w:val="2"/>
        </w:numPr>
        <w:tabs>
          <w:tab w:val="left" w:pos="0"/>
        </w:tabs>
        <w:ind w:left="0" w:firstLine="0"/>
        <w:rPr>
          <w:rFonts w:asciiTheme="majorHAnsi" w:hAnsiTheme="majorHAnsi" w:cstheme="majorHAnsi"/>
        </w:rPr>
      </w:pPr>
      <w:bookmarkStart w:id="24" w:name="_Ref113886867"/>
      <w:r>
        <w:rPr>
          <w:rFonts w:asciiTheme="majorHAnsi" w:hAnsiTheme="majorHAnsi" w:cstheme="majorHAnsi"/>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4"/>
    </w:p>
    <w:p w14:paraId="51277444">
      <w:pPr>
        <w:pStyle w:val="70"/>
        <w:numPr>
          <w:ilvl w:val="1"/>
          <w:numId w:val="2"/>
        </w:numPr>
        <w:tabs>
          <w:tab w:val="left" w:pos="0"/>
        </w:tabs>
        <w:ind w:left="0" w:firstLine="0"/>
        <w:rPr>
          <w:rFonts w:asciiTheme="majorHAnsi" w:hAnsiTheme="majorHAnsi" w:cstheme="majorHAnsi"/>
        </w:rPr>
      </w:pPr>
      <w:bookmarkStart w:id="25" w:name="_Ref113889589"/>
      <w:r>
        <w:rPr>
          <w:rFonts w:asciiTheme="majorHAnsi" w:hAnsiTheme="majorHAnsi" w:cstheme="majorHAnsi"/>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Theme="majorHAnsi" w:hAnsiTheme="majorHAnsi" w:cstheme="majorHAnsi"/>
          <w:highlight w:val="yellow"/>
        </w:rPr>
        <w:fldChar w:fldCharType="begin"/>
      </w:r>
      <w:r>
        <w:rPr>
          <w:rFonts w:asciiTheme="majorHAnsi" w:hAnsiTheme="majorHAnsi" w:cstheme="majorHAnsi"/>
        </w:rPr>
        <w:instrText xml:space="preserve"> REF _Ref114663777 \r \h  \* MERGEFORMAT </w:instrText>
      </w:r>
      <w:r>
        <w:rPr>
          <w:rFonts w:asciiTheme="majorHAnsi" w:hAnsiTheme="majorHAnsi" w:cstheme="majorHAnsi"/>
          <w:highlight w:val="yellow"/>
        </w:rPr>
        <w:fldChar w:fldCharType="separate"/>
      </w:r>
      <w:r>
        <w:rPr>
          <w:rFonts w:asciiTheme="majorHAnsi" w:hAnsiTheme="majorHAnsi" w:cstheme="majorHAnsi"/>
        </w:rPr>
        <w:t>9.1.1</w:t>
      </w:r>
      <w:r>
        <w:rPr>
          <w:rFonts w:asciiTheme="majorHAnsi" w:hAnsiTheme="majorHAnsi" w:cstheme="majorHAnsi"/>
          <w:highlight w:val="yellow"/>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deste Edital.</w:t>
      </w:r>
      <w:bookmarkEnd w:id="25"/>
    </w:p>
    <w:p w14:paraId="71A433C9">
      <w:pPr>
        <w:pStyle w:val="70"/>
        <w:numPr>
          <w:ilvl w:val="1"/>
          <w:numId w:val="2"/>
        </w:numPr>
        <w:tabs>
          <w:tab w:val="left" w:pos="0"/>
        </w:tabs>
        <w:ind w:left="0" w:firstLine="0"/>
        <w:rPr>
          <w:rFonts w:asciiTheme="majorHAnsi" w:hAnsiTheme="majorHAnsi" w:cstheme="majorHAnsi"/>
        </w:rPr>
      </w:pPr>
      <w:bookmarkStart w:id="26" w:name="_Ref113968921"/>
      <w:r>
        <w:rPr>
          <w:rFonts w:asciiTheme="majorHAnsi" w:hAnsiTheme="majorHAnsi" w:cstheme="majorHAnsi"/>
        </w:rPr>
        <w:t>No cadastramento da proposta inicial, o licitante declarará, em campo próprio do sistema, que:</w:t>
      </w:r>
      <w:bookmarkEnd w:id="26"/>
    </w:p>
    <w:p w14:paraId="4363931E">
      <w:pPr>
        <w:pStyle w:val="72"/>
        <w:tabs>
          <w:tab w:val="left" w:pos="0"/>
        </w:tabs>
        <w:rPr>
          <w:rFonts w:asciiTheme="majorHAnsi" w:hAnsiTheme="majorHAnsi" w:cstheme="majorHAnsi"/>
          <w:color w:val="auto"/>
          <w:sz w:val="22"/>
          <w:szCs w:val="22"/>
        </w:rPr>
      </w:pPr>
      <w:r>
        <w:rPr>
          <w:rFonts w:asciiTheme="majorHAnsi" w:hAnsiTheme="majorHAnsi" w:cstheme="majorHAnsi"/>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E0FAB5B">
      <w:pPr>
        <w:pStyle w:val="72"/>
        <w:tabs>
          <w:tab w:val="left" w:pos="0"/>
        </w:tabs>
        <w:rPr>
          <w:rFonts w:asciiTheme="majorHAnsi" w:hAnsiTheme="majorHAnsi" w:cstheme="majorHAnsi"/>
          <w:sz w:val="22"/>
          <w:szCs w:val="22"/>
        </w:rPr>
      </w:pPr>
      <w:r>
        <w:rPr>
          <w:rFonts w:asciiTheme="majorHAnsi" w:hAnsiTheme="majorHAnsi" w:cstheme="majorHAnsi"/>
          <w:sz w:val="22"/>
          <w:szCs w:val="22"/>
        </w:rPr>
        <w:t>não emprega menor de 18 anos em trabalho noturno, perigoso ou insalubre e não emprega menor de 16 anos, salvo menor, a partir de 14 anos, na condição de aprendiz, nos termos do artigo 7°, XXXIII, da Constituição;</w:t>
      </w:r>
    </w:p>
    <w:p w14:paraId="1A2DAA83">
      <w:pPr>
        <w:pStyle w:val="72"/>
        <w:tabs>
          <w:tab w:val="left" w:pos="0"/>
        </w:tabs>
        <w:rPr>
          <w:rFonts w:asciiTheme="majorHAnsi" w:hAnsiTheme="majorHAnsi" w:cstheme="majorHAnsi"/>
          <w:sz w:val="22"/>
          <w:szCs w:val="22"/>
        </w:rPr>
      </w:pPr>
      <w:r>
        <w:rPr>
          <w:rFonts w:asciiTheme="majorHAnsi" w:hAnsiTheme="majorHAnsi" w:cstheme="majorHAnsi"/>
          <w:sz w:val="22"/>
          <w:szCs w:val="22"/>
        </w:rPr>
        <w:t>não possui empregados executando trabalho degradante ou forçado, observando o disposto nos incisos III e IV do art. 1º e no inciso III do art. 5º da Constituição Federal;</w:t>
      </w:r>
    </w:p>
    <w:p w14:paraId="64F31F02">
      <w:pPr>
        <w:pStyle w:val="72"/>
        <w:tabs>
          <w:tab w:val="left" w:pos="0"/>
        </w:tabs>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5DF96B23">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licitante organizado em cooperativa deverá declarar, ainda, em campo próprio do sistema eletrônico, que cumpre os requisitos estabelecidos no artigo 16 da Lei nº 14.133, de 2021.</w:t>
      </w:r>
    </w:p>
    <w:p w14:paraId="44900EA2">
      <w:pPr>
        <w:pStyle w:val="70"/>
        <w:numPr>
          <w:ilvl w:val="1"/>
          <w:numId w:val="2"/>
        </w:numPr>
        <w:tabs>
          <w:tab w:val="left" w:pos="0"/>
        </w:tabs>
        <w:ind w:left="0" w:firstLine="0"/>
        <w:rPr>
          <w:rFonts w:asciiTheme="majorHAnsi" w:hAnsiTheme="majorHAnsi" w:cstheme="majorHAnsi"/>
          <w:highlight w:val="green"/>
        </w:rPr>
      </w:pPr>
      <w:r>
        <w:rPr>
          <w:rFonts w:asciiTheme="majorHAnsi" w:hAnsiTheme="majorHAnsi" w:cstheme="majorHAnsi"/>
          <w:highlight w:val="green"/>
        </w:rPr>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658E2C6C">
      <w:pPr>
        <w:pStyle w:val="70"/>
        <w:numPr>
          <w:ilvl w:val="1"/>
          <w:numId w:val="2"/>
        </w:numPr>
        <w:tabs>
          <w:tab w:val="left" w:pos="0"/>
        </w:tabs>
        <w:ind w:left="0" w:firstLine="0"/>
        <w:rPr>
          <w:rFonts w:asciiTheme="majorHAnsi" w:hAnsiTheme="majorHAnsi" w:cstheme="majorHAnsi"/>
        </w:rPr>
      </w:pPr>
      <w:bookmarkStart w:id="27" w:name="_Ref117000019"/>
      <w:r>
        <w:rPr>
          <w:rFonts w:asciiTheme="majorHAnsi" w:hAnsiTheme="majorHAnsi" w:cstheme="majorHAnsi"/>
        </w:rPr>
        <w:t>No caso das empresas que foram beneficiadas pela Lei nº 12.546, de 2011, as propostas de preços deverão ser apresentadas com as alíquotas em vigor, nos termos da Lei nº 14.973, de 2024, aplicáveis para o ano de apresentação da proposta.</w:t>
      </w:r>
    </w:p>
    <w:p w14:paraId="1A4B27B1">
      <w:pPr>
        <w:pStyle w:val="70"/>
        <w:numPr>
          <w:ilvl w:val="2"/>
          <w:numId w:val="9"/>
        </w:numPr>
        <w:tabs>
          <w:tab w:val="left" w:pos="0"/>
        </w:tabs>
        <w:ind w:left="0" w:firstLine="0"/>
        <w:rPr>
          <w:rFonts w:asciiTheme="majorHAnsi" w:hAnsiTheme="majorHAnsi" w:cstheme="majorHAnsi"/>
        </w:rPr>
      </w:pPr>
      <w:r>
        <w:rPr>
          <w:rFonts w:asciiTheme="majorHAnsi" w:hAnsiTheme="majorHAnsi" w:cstheme="majorHAnsi"/>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503E7FD3">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7"/>
      <w:r>
        <w:rPr>
          <w:rFonts w:asciiTheme="majorHAnsi" w:hAnsiTheme="majorHAnsi" w:cstheme="majorHAnsi"/>
        </w:rPr>
        <w:t>arts. 42 a 49, observado o disposto nos §§ 1º ao 3º do art. 4º, da Lei nº 14.133, de 2021.</w:t>
      </w:r>
    </w:p>
    <w:p w14:paraId="08BAA948">
      <w:pPr>
        <w:pStyle w:val="72"/>
        <w:tabs>
          <w:tab w:val="left" w:pos="0"/>
        </w:tabs>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7BFCEAA5">
      <w:pPr>
        <w:pStyle w:val="72"/>
        <w:tabs>
          <w:tab w:val="left" w:pos="0"/>
        </w:tabs>
        <w:rPr>
          <w:rFonts w:asciiTheme="majorHAnsi" w:hAnsiTheme="majorHAnsi" w:cstheme="majorHAnsi"/>
          <w:sz w:val="22"/>
          <w:szCs w:val="22"/>
        </w:rPr>
      </w:pPr>
      <w:r>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0C2C4B0">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Não poderá se beneficiar do tratamento jurídico diferenciado estabelecido nos arts. 42 a 49 da Lei Complementar nº 123, de 2006, a pessoa jurídica:</w:t>
      </w:r>
    </w:p>
    <w:p w14:paraId="3B005A72">
      <w:pPr>
        <w:pStyle w:val="72"/>
        <w:tabs>
          <w:tab w:val="left" w:pos="0"/>
        </w:tabs>
        <w:rPr>
          <w:rFonts w:asciiTheme="majorHAnsi" w:hAnsiTheme="majorHAnsi" w:cstheme="majorHAnsi"/>
          <w:sz w:val="22"/>
          <w:szCs w:val="22"/>
        </w:rPr>
      </w:pPr>
      <w:r>
        <w:rPr>
          <w:rFonts w:asciiTheme="majorHAnsi" w:hAnsiTheme="majorHAnsi" w:cstheme="majorHAnsi"/>
          <w:sz w:val="22"/>
          <w:szCs w:val="22"/>
        </w:rPr>
        <w:t>de cujo capital participe outra pessoa jurídica;</w:t>
      </w:r>
    </w:p>
    <w:p w14:paraId="179A9E55">
      <w:pPr>
        <w:pStyle w:val="72"/>
        <w:tabs>
          <w:tab w:val="left" w:pos="0"/>
        </w:tabs>
        <w:rPr>
          <w:rFonts w:asciiTheme="majorHAnsi" w:hAnsiTheme="majorHAnsi" w:cstheme="majorHAnsi"/>
          <w:sz w:val="22"/>
          <w:szCs w:val="22"/>
        </w:rPr>
      </w:pPr>
      <w:r>
        <w:rPr>
          <w:rFonts w:asciiTheme="majorHAnsi" w:hAnsiTheme="majorHAnsi" w:cstheme="majorHAnsi"/>
          <w:sz w:val="22"/>
          <w:szCs w:val="22"/>
        </w:rPr>
        <w:t>que seja filial, sucursal, agência ou representação, no País, de pessoa jurídica com sede no exterior;</w:t>
      </w:r>
    </w:p>
    <w:p w14:paraId="21B8F155">
      <w:pPr>
        <w:pStyle w:val="72"/>
        <w:tabs>
          <w:tab w:val="left" w:pos="0"/>
        </w:tabs>
        <w:rPr>
          <w:rFonts w:asciiTheme="majorHAnsi" w:hAnsiTheme="majorHAnsi" w:cstheme="majorHAnsi"/>
          <w:sz w:val="22"/>
          <w:szCs w:val="22"/>
        </w:rPr>
      </w:pPr>
      <w:r>
        <w:rPr>
          <w:rFonts w:asciiTheme="majorHAnsi" w:hAnsiTheme="majorHAnsi" w:cstheme="majorHAnsi"/>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F0F042C">
      <w:pPr>
        <w:pStyle w:val="72"/>
        <w:tabs>
          <w:tab w:val="left" w:pos="0"/>
        </w:tabs>
        <w:rPr>
          <w:rFonts w:asciiTheme="majorHAnsi" w:hAnsiTheme="majorHAnsi" w:cstheme="majorHAnsi"/>
          <w:sz w:val="22"/>
          <w:szCs w:val="22"/>
        </w:rPr>
      </w:pPr>
      <w:r>
        <w:rPr>
          <w:rFonts w:asciiTheme="majorHAnsi" w:hAnsiTheme="majorHAnsi" w:cstheme="majorHAnsi"/>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0E1FF1F7">
      <w:pPr>
        <w:pStyle w:val="72"/>
        <w:tabs>
          <w:tab w:val="left" w:pos="0"/>
        </w:tabs>
        <w:rPr>
          <w:rFonts w:asciiTheme="majorHAnsi" w:hAnsiTheme="majorHAnsi" w:cstheme="majorHAnsi"/>
          <w:sz w:val="22"/>
          <w:szCs w:val="22"/>
        </w:rPr>
      </w:pPr>
      <w:r>
        <w:rPr>
          <w:rFonts w:asciiTheme="majorHAnsi" w:hAnsiTheme="majorHAnsi" w:cstheme="majorHAnsi"/>
          <w:sz w:val="22"/>
          <w:szCs w:val="22"/>
        </w:rPr>
        <w:t>cujo sócio ou titular seja administrador ou equiparado de outra pessoa jurídica com fins lucrativos, desde que a receita bruta global ultrapasse o limite de que trata o inciso II do art. 3º da referida lei;</w:t>
      </w:r>
    </w:p>
    <w:p w14:paraId="7A924C5F">
      <w:pPr>
        <w:pStyle w:val="72"/>
        <w:tabs>
          <w:tab w:val="left" w:pos="0"/>
        </w:tabs>
        <w:rPr>
          <w:rFonts w:asciiTheme="majorHAnsi" w:hAnsiTheme="majorHAnsi" w:cstheme="majorHAnsi"/>
          <w:sz w:val="22"/>
          <w:szCs w:val="22"/>
        </w:rPr>
      </w:pPr>
      <w:r>
        <w:rPr>
          <w:rFonts w:asciiTheme="majorHAnsi" w:hAnsiTheme="majorHAnsi" w:cstheme="majorHAnsi"/>
          <w:sz w:val="22"/>
          <w:szCs w:val="22"/>
        </w:rPr>
        <w:t>constituída sob a forma de cooperativas, salvo as de consumo;</w:t>
      </w:r>
    </w:p>
    <w:p w14:paraId="5988C8D4">
      <w:pPr>
        <w:pStyle w:val="72"/>
        <w:tabs>
          <w:tab w:val="left" w:pos="0"/>
        </w:tabs>
        <w:rPr>
          <w:rFonts w:asciiTheme="majorHAnsi" w:hAnsiTheme="majorHAnsi" w:cstheme="majorHAnsi"/>
          <w:sz w:val="22"/>
          <w:szCs w:val="22"/>
        </w:rPr>
      </w:pPr>
      <w:r>
        <w:rPr>
          <w:rFonts w:asciiTheme="majorHAnsi" w:hAnsiTheme="majorHAnsi" w:cstheme="majorHAnsi"/>
          <w:sz w:val="22"/>
          <w:szCs w:val="22"/>
        </w:rPr>
        <w:t>que participe do capital de outra pessoa jurídica;</w:t>
      </w:r>
    </w:p>
    <w:p w14:paraId="6F8D51A4">
      <w:pPr>
        <w:pStyle w:val="72"/>
        <w:tabs>
          <w:tab w:val="left" w:pos="0"/>
        </w:tabs>
        <w:rPr>
          <w:rFonts w:asciiTheme="majorHAnsi" w:hAnsiTheme="majorHAnsi" w:cstheme="majorHAnsi"/>
          <w:sz w:val="22"/>
          <w:szCs w:val="22"/>
        </w:rPr>
      </w:pPr>
      <w:r>
        <w:rPr>
          <w:rFonts w:asciiTheme="majorHAnsi" w:hAnsiTheme="majorHAnsi" w:cstheme="majorHAnsi"/>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B81FE9C">
      <w:pPr>
        <w:pStyle w:val="72"/>
        <w:tabs>
          <w:tab w:val="left" w:pos="0"/>
        </w:tabs>
        <w:rPr>
          <w:rFonts w:asciiTheme="majorHAnsi" w:hAnsiTheme="majorHAnsi" w:cstheme="majorHAnsi"/>
          <w:sz w:val="22"/>
          <w:szCs w:val="22"/>
        </w:rPr>
      </w:pPr>
      <w:r>
        <w:rPr>
          <w:rFonts w:asciiTheme="majorHAnsi" w:hAnsiTheme="majorHAnsi" w:cstheme="majorHAnsi"/>
          <w:sz w:val="22"/>
          <w:szCs w:val="22"/>
        </w:rPr>
        <w:t>resultante ou remanescente de cisão ou qualquer outra forma de desmembramento de pessoa jurídica que tenha ocorrido em um dos 5 (cinco) anos-calendário anteriores;</w:t>
      </w:r>
    </w:p>
    <w:p w14:paraId="65116E3A">
      <w:pPr>
        <w:pStyle w:val="72"/>
        <w:tabs>
          <w:tab w:val="left" w:pos="0"/>
        </w:tabs>
        <w:rPr>
          <w:rFonts w:asciiTheme="majorHAnsi" w:hAnsiTheme="majorHAnsi" w:cstheme="majorHAnsi"/>
          <w:sz w:val="22"/>
          <w:szCs w:val="22"/>
        </w:rPr>
      </w:pPr>
      <w:r>
        <w:rPr>
          <w:rFonts w:asciiTheme="majorHAnsi" w:hAnsiTheme="majorHAnsi" w:cstheme="majorHAnsi"/>
          <w:sz w:val="22"/>
          <w:szCs w:val="22"/>
        </w:rPr>
        <w:t>constituída sob a forma de sociedade por ações.</w:t>
      </w:r>
    </w:p>
    <w:p w14:paraId="68BE92D1">
      <w:pPr>
        <w:pStyle w:val="72"/>
        <w:tabs>
          <w:tab w:val="left" w:pos="0"/>
        </w:tabs>
        <w:rPr>
          <w:rFonts w:asciiTheme="majorHAnsi" w:hAnsiTheme="majorHAnsi" w:cstheme="majorHAnsi"/>
          <w:sz w:val="22"/>
          <w:szCs w:val="22"/>
        </w:rPr>
      </w:pPr>
      <w:r>
        <w:rPr>
          <w:rFonts w:asciiTheme="majorHAnsi" w:hAnsiTheme="majorHAnsi" w:cstheme="majorHAnsi"/>
          <w:sz w:val="22"/>
          <w:szCs w:val="22"/>
        </w:rPr>
        <w:t>cujos titulares ou sócios guardem, cumulativamente, com o contratante do serviço, relação de pessoalidade, subordinação e habitualidade.</w:t>
      </w:r>
    </w:p>
    <w:p w14:paraId="72133D68">
      <w:pPr>
        <w:pStyle w:val="70"/>
        <w:numPr>
          <w:ilvl w:val="1"/>
          <w:numId w:val="2"/>
        </w:numPr>
        <w:tabs>
          <w:tab w:val="left" w:pos="0"/>
        </w:tabs>
        <w:ind w:left="0" w:firstLine="0"/>
        <w:rPr>
          <w:rFonts w:asciiTheme="majorHAnsi" w:hAnsiTheme="majorHAnsi" w:cstheme="majorHAnsi"/>
          <w:color w:val="FF0000"/>
          <w:highlight w:val="yellow"/>
        </w:rPr>
      </w:pPr>
      <w:bookmarkStart w:id="28" w:name="_Ref211935755"/>
      <w:r>
        <w:rPr>
          <w:rFonts w:asciiTheme="majorHAnsi" w:hAnsiTheme="majorHAnsi" w:cstheme="majorHAnsi"/>
          <w:color w:val="FF0000"/>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8"/>
    </w:p>
    <w:p w14:paraId="6727A4A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falsidade da declaração de que trata os itens </w:t>
      </w:r>
      <w:r>
        <w:rPr>
          <w:rFonts w:asciiTheme="majorHAnsi" w:hAnsiTheme="majorHAnsi" w:cstheme="majorHAnsi"/>
        </w:rPr>
        <w:fldChar w:fldCharType="begin"/>
      </w:r>
      <w:r>
        <w:rPr>
          <w:rFonts w:asciiTheme="majorHAnsi" w:hAnsiTheme="majorHAnsi" w:cstheme="majorHAnsi"/>
        </w:rPr>
        <w:instrText xml:space="preserve"> REF _Ref113968921 \r \h  \* MERGEFORMAT </w:instrText>
      </w:r>
      <w:r>
        <w:rPr>
          <w:rFonts w:asciiTheme="majorHAnsi" w:hAnsiTheme="majorHAnsi" w:cstheme="majorHAnsi"/>
        </w:rPr>
        <w:fldChar w:fldCharType="separate"/>
      </w:r>
      <w:r>
        <w:rPr>
          <w:rFonts w:asciiTheme="majorHAnsi" w:hAnsiTheme="majorHAnsi" w:cstheme="majorHAnsi"/>
        </w:rPr>
        <w:t>5.4</w:t>
      </w:r>
      <w:r>
        <w:rPr>
          <w:rFonts w:asciiTheme="majorHAnsi" w:hAnsiTheme="majorHAnsi" w:cstheme="majorHAnsi"/>
        </w:rPr>
        <w:fldChar w:fldCharType="end"/>
      </w:r>
      <w:r>
        <w:rPr>
          <w:rFonts w:asciiTheme="majorHAnsi" w:hAnsiTheme="majorHAnsi" w:cstheme="majorHAnsi"/>
        </w:rPr>
        <w:t xml:space="preserve"> ou </w:t>
      </w:r>
      <w:r>
        <w:rPr>
          <w:rFonts w:asciiTheme="majorHAnsi" w:hAnsiTheme="majorHAnsi" w:cstheme="majorHAnsi"/>
        </w:rPr>
        <w:fldChar w:fldCharType="begin"/>
      </w:r>
      <w:r>
        <w:rPr>
          <w:rFonts w:asciiTheme="majorHAnsi" w:hAnsiTheme="majorHAnsi" w:cstheme="majorHAnsi"/>
        </w:rPr>
        <w:instrText xml:space="preserve"> REF _Ref117000019 \r \h  \* MERGEFORMAT </w:instrText>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xml:space="preserve"> sujeitará o licitante às sanções previstas na Lei nº 14.133, de 2021, e neste Edital.</w:t>
      </w:r>
    </w:p>
    <w:p w14:paraId="76E5A89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3825D1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Não haverá ordem de classificação na etapa de apresentação da proposta e dos documentos de habilitação pelo licitante, o que ocorrerá somente após os procedimentos de abertura da sessão pública e da fase de envio de lances.</w:t>
      </w:r>
    </w:p>
    <w:p w14:paraId="1B3ADF8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Serão disponibilizados para acesso público os documentos que compõem a proposta dos licitantes convocados para apresentação de propostas, após a fase de envio de lances.</w:t>
      </w:r>
    </w:p>
    <w:p w14:paraId="3C9D13A8">
      <w:pPr>
        <w:pStyle w:val="70"/>
        <w:numPr>
          <w:ilvl w:val="1"/>
          <w:numId w:val="2"/>
        </w:numPr>
        <w:tabs>
          <w:tab w:val="left" w:pos="0"/>
        </w:tabs>
        <w:ind w:left="0" w:firstLine="0"/>
        <w:rPr>
          <w:rFonts w:asciiTheme="majorHAnsi" w:hAnsiTheme="majorHAnsi" w:cstheme="majorHAnsi"/>
        </w:rPr>
      </w:pPr>
      <w:bookmarkStart w:id="29" w:name="_Ref116992247"/>
      <w:r>
        <w:rPr>
          <w:rFonts w:asciiTheme="majorHAnsi" w:hAnsiTheme="majorHAnsi" w:cstheme="majorHAnsi"/>
        </w:rPr>
        <w:t>Desde que disponibilizada a funcionalidade no sistema, o licitante poderá parametrizar o seu valor final mínimo ou o seu percentual de desconto máximo quando do cadastramento da proposta e obedecerá às seguintes regras:</w:t>
      </w:r>
      <w:bookmarkEnd w:id="29"/>
    </w:p>
    <w:p w14:paraId="7107EBEB">
      <w:pPr>
        <w:pStyle w:val="72"/>
        <w:tabs>
          <w:tab w:val="left" w:pos="0"/>
        </w:tabs>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57F2990B">
      <w:pPr>
        <w:pStyle w:val="72"/>
        <w:tabs>
          <w:tab w:val="left" w:pos="0"/>
        </w:tabs>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10E632C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valor final mínimo ou o percentual de desconto final máximo parametrizado no sistema poderá ser alterado pelo fornecedor durante a fase de disputa, sendo vedado:</w:t>
      </w:r>
    </w:p>
    <w:p w14:paraId="6A37F3AE">
      <w:pPr>
        <w:pStyle w:val="72"/>
        <w:tabs>
          <w:tab w:val="left" w:pos="0"/>
        </w:tabs>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7F8C5B29">
      <w:pPr>
        <w:pStyle w:val="72"/>
        <w:tabs>
          <w:tab w:val="left" w:pos="0"/>
        </w:tabs>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469224E3">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valor final mínimo ou o percentual de desconto final máximo parametrizado na forma do item </w:t>
      </w:r>
      <w:r>
        <w:rPr>
          <w:rFonts w:asciiTheme="majorHAnsi" w:hAnsiTheme="majorHAnsi" w:cstheme="majorHAnsi"/>
        </w:rPr>
        <w:fldChar w:fldCharType="begin"/>
      </w:r>
      <w:r>
        <w:rPr>
          <w:rFonts w:asciiTheme="majorHAnsi" w:hAnsiTheme="majorHAnsi" w:cstheme="majorHAnsi"/>
        </w:rPr>
        <w:instrText xml:space="preserve"> REF _Ref116992247 \r \h  \* MERGEFORMAT </w:instrText>
      </w:r>
      <w:r>
        <w:rPr>
          <w:rFonts w:asciiTheme="majorHAnsi" w:hAnsiTheme="majorHAnsi" w:cstheme="majorHAnsi"/>
        </w:rPr>
        <w:fldChar w:fldCharType="separate"/>
      </w:r>
      <w:r>
        <w:rPr>
          <w:rFonts w:asciiTheme="majorHAnsi" w:hAnsiTheme="majorHAnsi" w:cstheme="majorHAnsi"/>
        </w:rPr>
        <w:t>5.15</w:t>
      </w:r>
      <w:r>
        <w:rPr>
          <w:rFonts w:asciiTheme="majorHAnsi" w:hAnsiTheme="majorHAnsi" w:cstheme="majorHAnsi"/>
        </w:rPr>
        <w:fldChar w:fldCharType="end"/>
      </w:r>
      <w:r>
        <w:rPr>
          <w:rFonts w:asciiTheme="majorHAnsi" w:hAnsiTheme="majorHAnsi" w:cstheme="majorHAnsi"/>
        </w:rPr>
        <w:t xml:space="preserve"> possuirá caráter sigiloso para os demais fornecedores e para o órgão ou entidade promotora da licitação, podendo ser disponibilizado estrita e permanentemente aos órgãos de controle externo e interno.</w:t>
      </w:r>
    </w:p>
    <w:p w14:paraId="6F9DEF0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8E6F1B3">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licitante deverá comunicar imediatamente ao provedor do sistema qualquer acontecimento que possa comprometer o sigilo ou a segurança, para imediato bloqueio de acesso.</w:t>
      </w:r>
    </w:p>
    <w:p w14:paraId="6ED32F13">
      <w:pPr>
        <w:pStyle w:val="53"/>
        <w:tabs>
          <w:tab w:val="left" w:pos="0"/>
          <w:tab w:val="clear" w:pos="567"/>
        </w:tabs>
        <w:spacing w:line="360" w:lineRule="auto"/>
        <w:ind w:left="0" w:firstLine="0"/>
        <w:rPr>
          <w:rFonts w:asciiTheme="majorHAnsi" w:hAnsiTheme="majorHAnsi" w:cstheme="majorHAnsi"/>
          <w:sz w:val="22"/>
          <w:szCs w:val="22"/>
        </w:rPr>
      </w:pPr>
      <w:bookmarkStart w:id="30" w:name="_Toc135469199"/>
      <w:bookmarkStart w:id="31" w:name="_Toc193719195"/>
      <w:r>
        <w:rPr>
          <w:rFonts w:asciiTheme="majorHAnsi" w:hAnsiTheme="majorHAnsi" w:cstheme="majorHAnsi"/>
          <w:sz w:val="22"/>
          <w:szCs w:val="22"/>
        </w:rPr>
        <w:t>DO PREENCHIMENTO DA PROPOSTA</w:t>
      </w:r>
      <w:bookmarkEnd w:id="30"/>
      <w:bookmarkEnd w:id="31"/>
    </w:p>
    <w:p w14:paraId="36C1DDF2">
      <w:pPr>
        <w:pStyle w:val="70"/>
        <w:numPr>
          <w:ilvl w:val="1"/>
          <w:numId w:val="2"/>
        </w:numPr>
        <w:tabs>
          <w:tab w:val="left" w:pos="0"/>
        </w:tabs>
        <w:ind w:left="0" w:firstLine="0"/>
        <w:rPr>
          <w:rFonts w:eastAsia="Times New Roman" w:asciiTheme="majorHAnsi" w:hAnsiTheme="majorHAnsi" w:cstheme="majorHAnsi"/>
        </w:rPr>
      </w:pPr>
      <w:r>
        <w:rPr>
          <w:rFonts w:asciiTheme="majorHAnsi" w:hAnsiTheme="majorHAnsi" w:cstheme="majorHAnsi"/>
        </w:rPr>
        <w:t xml:space="preserve">O </w:t>
      </w:r>
      <w:r>
        <w:rPr>
          <w:rFonts w:eastAsia="Times New Roman" w:asciiTheme="majorHAnsi" w:hAnsiTheme="majorHAnsi" w:cstheme="majorHAnsi"/>
        </w:rPr>
        <w:t>licitante</w:t>
      </w:r>
      <w:r>
        <w:rPr>
          <w:rFonts w:asciiTheme="majorHAnsi" w:hAnsiTheme="majorHAnsi" w:cstheme="majorHAnsi"/>
        </w:rPr>
        <w:t xml:space="preserve"> deverá enviar sua proposta mediante o preenchimento, no sistema eletrônico, dos seguintes campos:</w:t>
      </w:r>
    </w:p>
    <w:p w14:paraId="466C5213">
      <w:pPr>
        <w:pStyle w:val="118"/>
        <w:tabs>
          <w:tab w:val="left" w:pos="0"/>
        </w:tabs>
        <w:rPr>
          <w:rFonts w:asciiTheme="majorHAnsi" w:hAnsiTheme="majorHAnsi" w:cstheme="majorHAnsi"/>
          <w:sz w:val="22"/>
          <w:szCs w:val="22"/>
        </w:rPr>
      </w:pPr>
      <w:r>
        <w:rPr>
          <w:rFonts w:asciiTheme="majorHAnsi" w:hAnsiTheme="majorHAnsi" w:cstheme="majorHAnsi"/>
          <w:sz w:val="22"/>
          <w:szCs w:val="22"/>
        </w:rPr>
        <w:t>valor unitário e  total  do item;</w:t>
      </w:r>
    </w:p>
    <w:p w14:paraId="44956F7B">
      <w:pPr>
        <w:pStyle w:val="118"/>
        <w:tabs>
          <w:tab w:val="left" w:pos="0"/>
        </w:tabs>
        <w:rPr>
          <w:rFonts w:asciiTheme="majorHAnsi" w:hAnsiTheme="majorHAnsi" w:cstheme="majorHAnsi"/>
          <w:sz w:val="22"/>
          <w:szCs w:val="22"/>
        </w:rPr>
      </w:pPr>
      <w:r>
        <w:rPr>
          <w:rFonts w:asciiTheme="majorHAnsi" w:hAnsiTheme="majorHAnsi" w:cstheme="majorHAnsi"/>
          <w:sz w:val="22"/>
          <w:szCs w:val="22"/>
        </w:rPr>
        <w:t>marca;</w:t>
      </w:r>
    </w:p>
    <w:p w14:paraId="33E28D96">
      <w:pPr>
        <w:pStyle w:val="118"/>
        <w:tabs>
          <w:tab w:val="left" w:pos="0"/>
        </w:tabs>
        <w:rPr>
          <w:rFonts w:asciiTheme="majorHAnsi" w:hAnsiTheme="majorHAnsi" w:cstheme="majorHAnsi"/>
          <w:sz w:val="22"/>
          <w:szCs w:val="22"/>
        </w:rPr>
      </w:pPr>
      <w:r>
        <w:rPr>
          <w:rFonts w:asciiTheme="majorHAnsi" w:hAnsiTheme="majorHAnsi" w:cstheme="majorHAnsi"/>
          <w:sz w:val="22"/>
          <w:szCs w:val="22"/>
        </w:rPr>
        <w:t xml:space="preserve">fabricante; </w:t>
      </w:r>
    </w:p>
    <w:p w14:paraId="155E8D69">
      <w:pPr>
        <w:pStyle w:val="72"/>
        <w:tabs>
          <w:tab w:val="left" w:pos="0"/>
        </w:tabs>
        <w:rPr>
          <w:rFonts w:asciiTheme="majorHAnsi" w:hAnsiTheme="majorHAnsi" w:cstheme="majorHAnsi"/>
          <w:color w:val="auto"/>
          <w:sz w:val="22"/>
          <w:szCs w:val="22"/>
          <w:highlight w:val="cyan"/>
        </w:rPr>
      </w:pPr>
      <w:r>
        <w:rPr>
          <w:rStyle w:val="63"/>
          <w:rFonts w:asciiTheme="majorHAnsi" w:hAnsiTheme="majorHAnsi" w:cstheme="majorHAnsi"/>
          <w:color w:val="FF0000"/>
          <w:sz w:val="22"/>
          <w:szCs w:val="22"/>
          <w:highlight w:val="cyan"/>
        </w:rPr>
        <w:t>Quantidade cotada, devendo respeitar o mínimo de 100% do item.</w:t>
      </w:r>
    </w:p>
    <w:p w14:paraId="6763A76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Todas as </w:t>
      </w:r>
      <w:r>
        <w:rPr>
          <w:rFonts w:eastAsia="Times New Roman" w:asciiTheme="majorHAnsi" w:hAnsiTheme="majorHAnsi" w:cstheme="majorHAnsi"/>
        </w:rPr>
        <w:t>especificações</w:t>
      </w:r>
      <w:r>
        <w:rPr>
          <w:rFonts w:asciiTheme="majorHAnsi" w:hAnsiTheme="majorHAnsi" w:cstheme="majorHAnsi"/>
        </w:rPr>
        <w:t xml:space="preserve"> do objeto contidas na proposta vinculam o licitante.</w:t>
      </w:r>
    </w:p>
    <w:p w14:paraId="751AAF80">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 xml:space="preserve">O licitante </w:t>
      </w:r>
      <w:r>
        <w:rPr>
          <w:rFonts w:asciiTheme="majorHAnsi" w:hAnsiTheme="majorHAnsi" w:cstheme="majorHAnsi"/>
          <w:i/>
          <w:color w:val="FF0000"/>
          <w:sz w:val="22"/>
          <w:szCs w:val="22"/>
          <w:highlight w:val="cyan"/>
        </w:rPr>
        <w:t>[NÃO]</w:t>
      </w:r>
      <w:r>
        <w:rPr>
          <w:rFonts w:asciiTheme="majorHAnsi" w:hAnsiTheme="majorHAnsi" w:cstheme="majorHAnsi"/>
          <w:color w:val="FF0000"/>
          <w:sz w:val="22"/>
          <w:szCs w:val="22"/>
          <w:highlight w:val="cyan"/>
        </w:rPr>
        <w:t xml:space="preserve"> </w:t>
      </w:r>
      <w:r>
        <w:rPr>
          <w:rFonts w:asciiTheme="majorHAnsi" w:hAnsiTheme="majorHAnsi" w:cstheme="majorHAnsi"/>
          <w:sz w:val="22"/>
          <w:szCs w:val="22"/>
          <w:highlight w:val="cyan"/>
        </w:rPr>
        <w:t>poderá oferecer proposta em quantitativo inferior ao máximo previsto para contratação.</w:t>
      </w:r>
    </w:p>
    <w:p w14:paraId="1BCBB677">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Nos valores propostos estarão inclusos todos os custos operacionais, encargos previdenciários, trabalhistas, tributários, comerciais e quaisquer outros que incidam direta ou indiretamente na execução do objeto.</w:t>
      </w:r>
    </w:p>
    <w:p w14:paraId="7123BB89">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02DE5B7A">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Se o regime tributário da empresa implicar o recolhimento de tributos em percentuais variáveis, a cotação adequada será a que corresponde à média dos efetivos recolhimentos da empresa nos últimos doze meses.</w:t>
      </w:r>
    </w:p>
    <w:p w14:paraId="27680F98">
      <w:pPr>
        <w:pStyle w:val="72"/>
        <w:tabs>
          <w:tab w:val="left" w:pos="0"/>
        </w:tabs>
        <w:rPr>
          <w:rFonts w:asciiTheme="majorHAnsi" w:hAnsiTheme="majorHAnsi" w:cstheme="majorHAnsi"/>
          <w:sz w:val="22"/>
          <w:szCs w:val="22"/>
        </w:rPr>
      </w:pPr>
      <w:r>
        <w:rPr>
          <w:rFonts w:asciiTheme="majorHAnsi" w:hAnsiTheme="majorHAnsi" w:cstheme="majorHAnsi"/>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E2AFD8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Independentemente do percentual de tributo inserido na planilha, no pagamento serão retidos na fonte os percentuais estabelecidos na legislação vigente.</w:t>
      </w:r>
    </w:p>
    <w:p w14:paraId="324C330D">
      <w:pPr>
        <w:pStyle w:val="117"/>
        <w:numPr>
          <w:ilvl w:val="1"/>
          <w:numId w:val="2"/>
        </w:numPr>
        <w:tabs>
          <w:tab w:val="left" w:pos="0"/>
        </w:tabs>
        <w:ind w:left="0" w:firstLine="0"/>
        <w:rPr>
          <w:rFonts w:asciiTheme="majorHAnsi" w:hAnsiTheme="majorHAnsi" w:cstheme="majorHAnsi"/>
        </w:rPr>
      </w:pPr>
      <w:r>
        <w:rPr>
          <w:rFonts w:asciiTheme="majorHAnsi" w:hAnsiTheme="majorHAnsi" w:cstheme="majorHAnsi"/>
        </w:rPr>
        <w:t>Na presente licitação, a Microempresa e a Empresa de Pequeno Porte poderão se beneficiar do regime de tributação pelo Simples Nacional.</w:t>
      </w:r>
    </w:p>
    <w:p w14:paraId="304F56D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EC4074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prazo de validade da proposta não será inferior a </w:t>
      </w:r>
      <w:r>
        <w:rPr>
          <w:rFonts w:asciiTheme="majorHAnsi" w:hAnsiTheme="majorHAnsi" w:cstheme="majorHAnsi"/>
          <w:b/>
          <w:bCs/>
          <w:color w:val="FF0000"/>
        </w:rPr>
        <w:t>60 (sessenta)</w:t>
      </w:r>
      <w:r>
        <w:rPr>
          <w:rFonts w:asciiTheme="majorHAnsi" w:hAnsiTheme="majorHAnsi" w:cstheme="majorHAnsi"/>
          <w:color w:val="FF0000"/>
        </w:rPr>
        <w:t xml:space="preserve"> </w:t>
      </w:r>
      <w:r>
        <w:rPr>
          <w:rFonts w:asciiTheme="majorHAnsi" w:hAnsiTheme="majorHAnsi" w:cstheme="majorHAnsi"/>
        </w:rPr>
        <w:t>dias</w:t>
      </w:r>
      <w:r>
        <w:rPr>
          <w:rFonts w:asciiTheme="majorHAnsi" w:hAnsiTheme="majorHAnsi" w:cstheme="majorHAnsi"/>
          <w:b/>
          <w:bCs/>
        </w:rPr>
        <w:t>,</w:t>
      </w:r>
      <w:r>
        <w:rPr>
          <w:rFonts w:asciiTheme="majorHAnsi" w:hAnsiTheme="majorHAnsi" w:cstheme="majorHAnsi"/>
        </w:rPr>
        <w:t xml:space="preserve"> a contar da data de sua apresentação.</w:t>
      </w:r>
    </w:p>
    <w:p w14:paraId="7158AC1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licitantes devem respeitar os preços máximos estabelecidos nas normas de regência de contratações públicas federais, quando participarem de licitações públicas;</w:t>
      </w:r>
    </w:p>
    <w:p w14:paraId="71D0266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Caso o critério de julgamento seja o de menor preço, os licitantes devem respeitar os preços máximos previstos no Termo de Referência/Projeto Básico;</w:t>
      </w:r>
    </w:p>
    <w:p w14:paraId="595E5B7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Caso o critério de julgamento seja o de maior desconto, o preço já decorrente da aplicação do desconto ofertado deverá respeitar os preços máximos previstos no Termo de Referência/Projeto Básico.</w:t>
      </w:r>
    </w:p>
    <w:p w14:paraId="13E6DB0A">
      <w:pPr>
        <w:pStyle w:val="70"/>
        <w:numPr>
          <w:ilvl w:val="1"/>
          <w:numId w:val="2"/>
        </w:numPr>
        <w:tabs>
          <w:tab w:val="left" w:pos="0"/>
        </w:tabs>
        <w:ind w:left="0" w:firstLine="0"/>
        <w:rPr>
          <w:rFonts w:eastAsia="Times New Roman" w:asciiTheme="majorHAnsi" w:hAnsiTheme="majorHAnsi" w:cstheme="majorHAnsi"/>
        </w:rPr>
      </w:pPr>
      <w:r>
        <w:rPr>
          <w:rFonts w:asciiTheme="majorHAnsi" w:hAnsiTheme="majorHAnsi" w:cstheme="majorHAnsi"/>
        </w:rPr>
        <w:t xml:space="preserve">O descumprimento das regras supramencionadas pode ensejar a </w:t>
      </w:r>
      <w:r>
        <w:rPr>
          <w:rFonts w:asciiTheme="majorHAnsi" w:hAnsiTheme="majorHAnsi" w:cstheme="majorHAnsi"/>
          <w:color w:val="000000" w:themeColor="text1"/>
          <w14:textFill>
            <w14:solidFill>
              <w14:schemeClr w14:val="tx1"/>
            </w14:solidFill>
          </w14:textFill>
        </w:rPr>
        <w:t>responsabilização pelo</w:t>
      </w:r>
      <w:r>
        <w:rPr>
          <w:rFonts w:asciiTheme="majorHAnsi" w:hAnsiTheme="majorHAnsi" w:cstheme="majorHAnsi"/>
        </w:rPr>
        <w:t xml:space="preserve"> Tribunal de Contas da União e, após o devido processo legal, gerar as seguintes consequências: assinatura de prazo para a adoção das medidas </w:t>
      </w:r>
      <w:r>
        <w:rPr>
          <w:rFonts w:eastAsia="Times New Roman" w:asciiTheme="majorHAnsi" w:hAnsiTheme="majorHAnsi" w:cstheme="majorHAnsi"/>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A6DD212">
      <w:pPr>
        <w:pStyle w:val="117"/>
        <w:numPr>
          <w:ilvl w:val="0"/>
          <w:numId w:val="0"/>
        </w:numPr>
        <w:tabs>
          <w:tab w:val="left" w:pos="0"/>
        </w:tabs>
        <w:rPr>
          <w:rFonts w:asciiTheme="majorHAnsi" w:hAnsiTheme="majorHAnsi" w:cstheme="majorHAnsi"/>
        </w:rPr>
      </w:pPr>
    </w:p>
    <w:p w14:paraId="0220C24D">
      <w:pPr>
        <w:pStyle w:val="53"/>
        <w:tabs>
          <w:tab w:val="left" w:pos="0"/>
          <w:tab w:val="clear" w:pos="567"/>
        </w:tabs>
        <w:spacing w:line="360" w:lineRule="auto"/>
        <w:ind w:left="0" w:firstLine="0"/>
        <w:rPr>
          <w:rFonts w:asciiTheme="majorHAnsi" w:hAnsiTheme="majorHAnsi" w:cstheme="majorHAnsi"/>
          <w:sz w:val="22"/>
          <w:szCs w:val="22"/>
        </w:rPr>
      </w:pPr>
      <w:bookmarkStart w:id="32" w:name="_Toc135469200"/>
      <w:bookmarkStart w:id="33" w:name="_Toc193719196"/>
      <w:r>
        <w:rPr>
          <w:rFonts w:asciiTheme="majorHAnsi" w:hAnsiTheme="majorHAnsi" w:cstheme="majorHAnsi"/>
          <w:sz w:val="22"/>
          <w:szCs w:val="22"/>
        </w:rPr>
        <w:t>DA ABERTURA DA SESSÃO, CLASSIFICAÇÃO DAS PROPOSTAS E FORMULAÇÃO DE LANCES</w:t>
      </w:r>
      <w:bookmarkEnd w:id="32"/>
      <w:bookmarkEnd w:id="33"/>
    </w:p>
    <w:p w14:paraId="3DCABB92">
      <w:pPr>
        <w:pStyle w:val="70"/>
        <w:numPr>
          <w:ilvl w:val="1"/>
          <w:numId w:val="2"/>
        </w:numPr>
        <w:tabs>
          <w:tab w:val="left" w:pos="0"/>
        </w:tabs>
        <w:ind w:left="0" w:firstLine="0"/>
        <w:rPr>
          <w:rFonts w:asciiTheme="majorHAnsi" w:hAnsiTheme="majorHAnsi" w:cstheme="majorHAnsi"/>
        </w:rPr>
      </w:pPr>
      <w:bookmarkStart w:id="34" w:name="_Hlk114646655"/>
      <w:r>
        <w:rPr>
          <w:rFonts w:asciiTheme="majorHAnsi" w:hAnsiTheme="majorHAnsi" w:cstheme="majorHAnsi"/>
        </w:rPr>
        <w:t>A abertura da presente licitação dar-se-á automaticamente em sessão pública, por meio de sistema eletrônico, na data, horário e local indicados neste Edital.</w:t>
      </w:r>
    </w:p>
    <w:p w14:paraId="258AA157">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licitantes poderão retirar ou substituir a proposta ou os documentos de habilitação, quando for o caso, anteriormente inseridos no sistema, até a abertura da sessão pública.</w:t>
      </w:r>
    </w:p>
    <w:p w14:paraId="525C542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sistema disponibilizará campo próprio para troca de mensagens entre o Pregoeiro/Agente de Contratação/Comissão e os licitantes.</w:t>
      </w:r>
    </w:p>
    <w:p w14:paraId="3B155C4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Iniciada a etapa competitiva, os licitantes deverão encaminhar lances exclusivamente por meio de sistema eletrônico, sendo imediatamente informados do seu recebimento e do valor consignado no registro. </w:t>
      </w:r>
    </w:p>
    <w:p w14:paraId="3D829A50">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lance deverá ser ofertado pelo valor unitário do item.</w:t>
      </w:r>
    </w:p>
    <w:p w14:paraId="5666CC92">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licitantes poderão oferecer lances sucessivos, observando o horário fixado para abertura da sessão e as regras estabelecidas no Edital.</w:t>
      </w:r>
    </w:p>
    <w:p w14:paraId="40C2F14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licitante somente poderá oferecer lance de valor inferior ou percentual de desconto superior ao último por ele ofertado e registrado pelo sistema. </w:t>
      </w:r>
    </w:p>
    <w:p w14:paraId="11AE19E4">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rPr>
        <w:t xml:space="preserve"> </w:t>
      </w:r>
      <w:r>
        <w:rPr>
          <w:rFonts w:asciiTheme="majorHAnsi" w:hAnsiTheme="majorHAnsi" w:cstheme="majorHAnsi"/>
          <w:b/>
          <w:i/>
          <w:color w:val="FF0000"/>
        </w:rPr>
        <w:t>de R$ 0,01</w:t>
      </w:r>
      <w:r>
        <w:rPr>
          <w:rFonts w:asciiTheme="majorHAnsi" w:hAnsiTheme="majorHAnsi" w:cstheme="majorHAnsi"/>
          <w:b/>
          <w:i/>
        </w:rPr>
        <w:t>.</w:t>
      </w:r>
    </w:p>
    <w:p w14:paraId="5F23FA0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licitante poderá, uma única vez, excluir seu último lance ofertado, no intervalo de quinze segundos após o registro no sistema, na hipótese de lance inconsistente ou inexequível.</w:t>
      </w:r>
    </w:p>
    <w:p w14:paraId="023C7D5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procedimento seguirá de acordo com o modo de disputa adotado.</w:t>
      </w:r>
    </w:p>
    <w:p w14:paraId="65A26546">
      <w:pPr>
        <w:pStyle w:val="70"/>
        <w:numPr>
          <w:ilvl w:val="1"/>
          <w:numId w:val="2"/>
        </w:numPr>
        <w:tabs>
          <w:tab w:val="left" w:pos="0"/>
        </w:tabs>
        <w:ind w:left="0" w:firstLine="0"/>
        <w:rPr>
          <w:rFonts w:asciiTheme="majorHAnsi" w:hAnsiTheme="majorHAnsi" w:cstheme="majorHAnsi"/>
        </w:rPr>
      </w:pPr>
      <w:bookmarkStart w:id="35" w:name="_Hlk113697759"/>
      <w:r>
        <w:rPr>
          <w:rFonts w:asciiTheme="majorHAnsi" w:hAnsiTheme="majorHAnsi" w:cstheme="majorHAnsi"/>
        </w:rPr>
        <w:t>Caso seja adotado para o envio de lances na licitação o modo de disputa “aberto”, os licitantes apresentarão lances públicos e sucessivos, com prorrogações.</w:t>
      </w:r>
    </w:p>
    <w:bookmarkEnd w:id="35"/>
    <w:p w14:paraId="22141E61">
      <w:pPr>
        <w:pStyle w:val="72"/>
        <w:tabs>
          <w:tab w:val="left" w:pos="0"/>
        </w:tabs>
        <w:rPr>
          <w:rFonts w:asciiTheme="majorHAnsi" w:hAnsiTheme="majorHAnsi" w:cstheme="majorHAnsi"/>
          <w:sz w:val="22"/>
          <w:szCs w:val="22"/>
        </w:rPr>
      </w:pPr>
      <w:bookmarkStart w:id="36" w:name="_Hlk113697816"/>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8DE2196">
      <w:pPr>
        <w:pStyle w:val="72"/>
        <w:tabs>
          <w:tab w:val="left" w:pos="0"/>
        </w:tabs>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CBB7A17">
      <w:pPr>
        <w:pStyle w:val="72"/>
        <w:tabs>
          <w:tab w:val="left" w:pos="0"/>
        </w:tabs>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de classificação</w:t>
      </w:r>
      <w:r>
        <w:rPr>
          <w:rFonts w:asciiTheme="majorHAnsi" w:hAnsiTheme="majorHAnsi" w:cstheme="majorHAnsi"/>
          <w:sz w:val="22"/>
          <w:szCs w:val="22"/>
          <w:highlight w:val="green"/>
        </w:rPr>
        <w:t>, sem prejuízo da aplicação da margem de preferência e do desempate ficto, conforme disposto neste edital, quando for o caso.</w:t>
      </w:r>
    </w:p>
    <w:p w14:paraId="3F47B546">
      <w:pPr>
        <w:pStyle w:val="72"/>
        <w:tabs>
          <w:tab w:val="left" w:pos="0"/>
        </w:tabs>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D020E14">
      <w:pPr>
        <w:pStyle w:val="72"/>
        <w:tabs>
          <w:tab w:val="left" w:pos="0"/>
        </w:tabs>
        <w:rPr>
          <w:rFonts w:asciiTheme="majorHAnsi" w:hAnsiTheme="majorHAnsi" w:cstheme="majorHAnsi"/>
          <w:sz w:val="22"/>
          <w:szCs w:val="22"/>
        </w:rPr>
      </w:pPr>
      <w:r>
        <w:rPr>
          <w:rFonts w:asciiTheme="majorHAnsi" w:hAnsiTheme="majorHAnsi" w:cstheme="majorHAnsi"/>
          <w:sz w:val="22"/>
          <w:szCs w:val="22"/>
        </w:rPr>
        <w:t>Após o reinício previsto no item supra, os licitantes serão convocados para apresentar lances intermediários.</w:t>
      </w:r>
      <w:bookmarkEnd w:id="36"/>
      <w:bookmarkStart w:id="37" w:name="_Hlk113631522"/>
    </w:p>
    <w:bookmarkEnd w:id="37"/>
    <w:p w14:paraId="12E2F254">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Caso seja adotado para o envio de lances na licitação o modo de disputa “aberto e fechado”, os licitantes apresentarão lances públicos e sucessivos, com lance final e fechado.</w:t>
      </w:r>
    </w:p>
    <w:p w14:paraId="27774AEC">
      <w:pPr>
        <w:pStyle w:val="72"/>
        <w:tabs>
          <w:tab w:val="left" w:pos="0"/>
        </w:tabs>
        <w:rPr>
          <w:rFonts w:asciiTheme="majorHAnsi" w:hAnsiTheme="majorHAnsi" w:cstheme="majorHAnsi"/>
          <w:sz w:val="22"/>
          <w:szCs w:val="22"/>
        </w:rPr>
      </w:pPr>
      <w:r>
        <w:rPr>
          <w:rFonts w:asciiTheme="majorHAnsi" w:hAnsiTheme="majorHAnsi" w:cstheme="majorHAnsi"/>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6820160">
      <w:pPr>
        <w:pStyle w:val="72"/>
        <w:tabs>
          <w:tab w:val="left" w:pos="0"/>
        </w:tabs>
        <w:rPr>
          <w:rFonts w:asciiTheme="majorHAnsi" w:hAnsiTheme="majorHAnsi" w:cstheme="majorHAnsi"/>
          <w:sz w:val="22"/>
          <w:szCs w:val="22"/>
        </w:rPr>
      </w:pPr>
      <w:r>
        <w:rPr>
          <w:rFonts w:asciiTheme="majorHAnsi" w:hAnsiTheme="majorHAnsi" w:cstheme="majorHAnsi"/>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47B77D8">
      <w:pPr>
        <w:pStyle w:val="72"/>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6FB18D9B">
      <w:pPr>
        <w:pStyle w:val="72"/>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No procedimento de que trata o subitem supra, o licitante poderá optar por manter o seu último lance da etapa aberta, ou por ofertar melhor lance.</w:t>
      </w:r>
    </w:p>
    <w:p w14:paraId="099261FB">
      <w:pPr>
        <w:pStyle w:val="72"/>
        <w:tabs>
          <w:tab w:val="left" w:pos="0"/>
        </w:tabs>
        <w:rPr>
          <w:rFonts w:asciiTheme="majorHAnsi" w:hAnsiTheme="majorHAnsi" w:cstheme="majorHAnsi"/>
          <w:sz w:val="22"/>
          <w:szCs w:val="22"/>
        </w:rPr>
      </w:pPr>
      <w:r>
        <w:rPr>
          <w:rFonts w:asciiTheme="majorHAnsi" w:hAnsiTheme="majorHAnsi" w:cstheme="majorHAnsi"/>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FC59899">
      <w:pPr>
        <w:pStyle w:val="72"/>
        <w:tabs>
          <w:tab w:val="left" w:pos="0"/>
        </w:tabs>
        <w:rPr>
          <w:rFonts w:asciiTheme="majorHAnsi" w:hAnsiTheme="majorHAnsi" w:cstheme="majorHAnsi"/>
          <w:sz w:val="22"/>
          <w:szCs w:val="22"/>
        </w:rPr>
      </w:pPr>
      <w:bookmarkStart w:id="38" w:name="_Hlk113698144"/>
      <w:r>
        <w:rPr>
          <w:rFonts w:asciiTheme="majorHAnsi" w:hAnsiTheme="majorHAnsi" w:cstheme="majorHAnsi"/>
          <w:sz w:val="22"/>
          <w:szCs w:val="22"/>
        </w:rPr>
        <w:t>Após o término dos prazos estabelecidos nos itens anteriores, o sistema ordenará e divulgará os lances segundo a ordem crescente de valores.</w:t>
      </w:r>
    </w:p>
    <w:bookmarkEnd w:id="38"/>
    <w:p w14:paraId="6A7C0B2F">
      <w:pPr>
        <w:pStyle w:val="70"/>
        <w:numPr>
          <w:ilvl w:val="1"/>
          <w:numId w:val="2"/>
        </w:numPr>
        <w:tabs>
          <w:tab w:val="left" w:pos="0"/>
        </w:tabs>
        <w:ind w:left="0" w:firstLine="0"/>
        <w:rPr>
          <w:rFonts w:asciiTheme="majorHAnsi" w:hAnsiTheme="majorHAnsi" w:cstheme="majorHAnsi"/>
        </w:rPr>
      </w:pPr>
      <w:bookmarkStart w:id="39" w:name="_Ref116973524"/>
      <w:r>
        <w:rPr>
          <w:rFonts w:asciiTheme="majorHAnsi" w:hAnsiTheme="majorHAnsi" w:cstheme="majorHAnsi"/>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9"/>
    </w:p>
    <w:p w14:paraId="33C5EF9A">
      <w:pPr>
        <w:pStyle w:val="72"/>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4B85C581">
      <w:pPr>
        <w:pStyle w:val="72"/>
        <w:tabs>
          <w:tab w:val="left" w:pos="0"/>
        </w:tabs>
        <w:rPr>
          <w:rFonts w:asciiTheme="majorHAnsi" w:hAnsiTheme="majorHAnsi" w:cstheme="majorHAnsi"/>
          <w:sz w:val="22"/>
          <w:szCs w:val="22"/>
        </w:rPr>
      </w:pPr>
      <w:r>
        <w:rPr>
          <w:rFonts w:asciiTheme="majorHAnsi" w:hAnsiTheme="majorHAnsi" w:cstheme="majorHAnsi"/>
          <w:sz w:val="22"/>
          <w:szCs w:val="22"/>
        </w:rPr>
        <w:t xml:space="preserve">Não havendo pelo menos 3 (três) propostas nas condições definidas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_Ref116973524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7.13</w:t>
      </w:r>
      <w:r>
        <w:rPr>
          <w:rFonts w:asciiTheme="majorHAnsi" w:hAnsiTheme="majorHAnsi" w:cstheme="majorHAnsi"/>
          <w:sz w:val="22"/>
          <w:szCs w:val="22"/>
        </w:rPr>
        <w:fldChar w:fldCharType="end"/>
      </w:r>
      <w:r>
        <w:rPr>
          <w:rFonts w:asciiTheme="majorHAnsi" w:hAnsiTheme="majorHAnsi" w:cstheme="majorHAnsi"/>
          <w:sz w:val="22"/>
          <w:szCs w:val="22"/>
        </w:rPr>
        <w:t>, poderão os licitantes que apresentaram as três melhores propostas, consideradas as empatadas, oferecer novos lances sucessivos.</w:t>
      </w:r>
    </w:p>
    <w:p w14:paraId="65F6C88B">
      <w:pPr>
        <w:pStyle w:val="72"/>
        <w:tabs>
          <w:tab w:val="left" w:pos="0"/>
        </w:tabs>
        <w:rPr>
          <w:rFonts w:asciiTheme="majorHAnsi" w:hAnsiTheme="majorHAnsi" w:cstheme="majorHAnsi"/>
          <w:sz w:val="22"/>
          <w:szCs w:val="22"/>
        </w:rPr>
      </w:pPr>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7785ECD">
      <w:pPr>
        <w:pStyle w:val="72"/>
        <w:tabs>
          <w:tab w:val="left" w:pos="0"/>
        </w:tabs>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6FD9C44C">
      <w:pPr>
        <w:pStyle w:val="72"/>
        <w:tabs>
          <w:tab w:val="left" w:pos="0"/>
        </w:tabs>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final de classificação.</w:t>
      </w:r>
    </w:p>
    <w:p w14:paraId="104C920C">
      <w:pPr>
        <w:pStyle w:val="72"/>
        <w:tabs>
          <w:tab w:val="left" w:pos="0"/>
        </w:tabs>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648B8257">
      <w:pPr>
        <w:pStyle w:val="72"/>
        <w:tabs>
          <w:tab w:val="left" w:pos="0"/>
        </w:tabs>
        <w:rPr>
          <w:rFonts w:asciiTheme="majorHAnsi" w:hAnsiTheme="majorHAnsi" w:cstheme="majorHAnsi"/>
          <w:sz w:val="22"/>
          <w:szCs w:val="22"/>
        </w:rPr>
      </w:pPr>
      <w:r>
        <w:rPr>
          <w:rFonts w:asciiTheme="majorHAnsi" w:hAnsiTheme="majorHAnsi" w:cstheme="majorHAnsi"/>
          <w:sz w:val="22"/>
          <w:szCs w:val="22"/>
        </w:rPr>
        <w:t xml:space="preserve">Após o reinício previsto no subitem supra, os licitantes serão convocados para apresentar lances intermediários.  </w:t>
      </w:r>
    </w:p>
    <w:p w14:paraId="5714355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Após o término dos prazos estabelecidos nos subitens anteriores, o sistema ordenará e divulgará os lances segundo a ordem crescente de valores.</w:t>
      </w:r>
    </w:p>
    <w:p w14:paraId="3D4F66D5">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Não serão aceitos dois ou mais lances de mesmo valor, prevalecendo aquele que for recebido e registrado em primeiro lugar. </w:t>
      </w:r>
    </w:p>
    <w:p w14:paraId="2A28C88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Durante o transcurso da sessão pública, os licitantes serão informados, em tempo real, do valor do menor lance registrado, vedada a identificação do licitante. </w:t>
      </w:r>
    </w:p>
    <w:p w14:paraId="79A0CF82">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No caso de desconexão com o Pregoeiro/Agente de Contratação/Comissão, no decorrer da etapa competitiva da licitação, o sistema eletrônico poderá permanecer acessível aos licitantes para a recepção dos lances. </w:t>
      </w:r>
    </w:p>
    <w:p w14:paraId="2945957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6D844ED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Caso o licitante não apresente lances, concorrerá com o valor de sua proposta.</w:t>
      </w:r>
    </w:p>
    <w:p w14:paraId="07D1B965">
      <w:pPr>
        <w:pStyle w:val="70"/>
        <w:numPr>
          <w:ilvl w:val="1"/>
          <w:numId w:val="2"/>
        </w:numPr>
        <w:tabs>
          <w:tab w:val="left" w:pos="0"/>
        </w:tabs>
        <w:ind w:left="0" w:firstLine="0"/>
        <w:rPr>
          <w:rFonts w:asciiTheme="majorHAnsi" w:hAnsiTheme="majorHAnsi" w:cstheme="majorHAnsi"/>
          <w:highlight w:val="green"/>
        </w:rPr>
      </w:pPr>
      <w:r>
        <w:rPr>
          <w:rFonts w:asciiTheme="majorHAnsi" w:hAnsiTheme="majorHAnsi" w:cstheme="majorHAnsi"/>
          <w:highlight w:val="green"/>
        </w:rPr>
        <w:t>Ao final da fase de lances, será aplicado o benefício da margem de preferência, nos termos do art. 26 da Lei nº 14.133, de 2021.</w:t>
      </w:r>
    </w:p>
    <w:p w14:paraId="13C21429">
      <w:pPr>
        <w:pStyle w:val="72"/>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178C32C7">
      <w:pPr>
        <w:pStyle w:val="72"/>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Nestas situações, a proposta beneficiada pela aplicação da margem de preferência normal ou adicional, conforme o caso, tornar-se-á a proposta classificada em primeiro lugar.</w:t>
      </w:r>
    </w:p>
    <w:p w14:paraId="7884B383">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Em relação a itens não exclusivos para participação de microempresas e empresas de pequeno porte, uma vez encerrada a etapa de la</w:t>
      </w:r>
      <w:r>
        <w:rPr>
          <w:rFonts w:eastAsia="Arial" w:asciiTheme="majorHAnsi" w:hAnsiTheme="majorHAnsi" w:cstheme="majorHAnsi"/>
        </w:rPr>
        <w:t>nces, será efetivada a verificação automática, junto à Receita Federal, do porte da entidade empresarial,</w:t>
      </w:r>
      <w:r>
        <w:rPr>
          <w:rFonts w:eastAsia="Arial" w:asciiTheme="majorHAnsi" w:hAnsiTheme="majorHAnsi" w:cstheme="majorHAnsi"/>
          <w:color w:val="000000" w:themeColor="text1"/>
          <w14:textFill>
            <w14:solidFill>
              <w14:schemeClr w14:val="tx1"/>
            </w14:solidFill>
          </w14:textFill>
        </w:rPr>
        <w:t xml:space="preserve"> caso a contratação não se enquadre nas vedações dos </w:t>
      </w:r>
      <w:r>
        <w:rPr>
          <w:rFonts w:eastAsia="Arial" w:asciiTheme="majorHAnsi" w:hAnsiTheme="majorHAnsi" w:cstheme="majorHAnsi"/>
        </w:rPr>
        <w:t>§§1º e 2º do art. 4º da Lei nº 14.133, de 2021. O sistema ide</w:t>
      </w:r>
      <w:r>
        <w:rPr>
          <w:rFonts w:eastAsia="Zurich BT" w:asciiTheme="majorHAnsi" w:hAnsiTheme="majorHAnsi" w:cstheme="majorHAnsi"/>
        </w:rPr>
        <w:t xml:space="preserve">ntificará em coluna própria as microempresas e empresas de pequeno porte </w:t>
      </w:r>
      <w:r>
        <w:rPr>
          <w:rFonts w:asciiTheme="majorHAnsi" w:hAnsiTheme="majorHAnsi" w:cstheme="majorHAnsi"/>
        </w:rPr>
        <w:t>participantes</w:t>
      </w:r>
      <w:r>
        <w:rPr>
          <w:rFonts w:eastAsia="Zurich BT" w:asciiTheme="majorHAnsi" w:hAnsiTheme="majorHAnsi" w:cstheme="majorHAnsi"/>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15E7A3C6">
      <w:pPr>
        <w:pStyle w:val="72"/>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7282AE14">
      <w:pPr>
        <w:pStyle w:val="72"/>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O parâmetro para o empate ficto, nesse caso, consistirá no preço ofertado pela fornecedora classificada em primeiro lugar em razão da aplicação da margem de preferência.</w:t>
      </w:r>
    </w:p>
    <w:p w14:paraId="1A5D3C97">
      <w:pPr>
        <w:pStyle w:val="72"/>
        <w:tabs>
          <w:tab w:val="left" w:pos="0"/>
        </w:tabs>
        <w:rPr>
          <w:rFonts w:asciiTheme="majorHAnsi" w:hAnsiTheme="majorHAnsi" w:cstheme="majorHAnsi"/>
          <w:sz w:val="22"/>
          <w:szCs w:val="22"/>
        </w:rPr>
      </w:pPr>
      <w:r>
        <w:rPr>
          <w:rFonts w:asciiTheme="majorHAnsi" w:hAnsiTheme="majorHAnsi" w:cstheme="majorHAnsi"/>
          <w:sz w:val="22"/>
          <w:szCs w:val="22"/>
        </w:rPr>
        <w:t xml:space="preserve">Nessas condições, as propostas de </w:t>
      </w:r>
      <w:r>
        <w:rPr>
          <w:rFonts w:eastAsia="Zurich BT" w:asciiTheme="majorHAnsi" w:hAnsiTheme="majorHAnsi" w:cstheme="majorHAnsi"/>
          <w:sz w:val="22"/>
          <w:szCs w:val="22"/>
        </w:rPr>
        <w:t xml:space="preserve">microempresas e empresas de pequeno porte </w:t>
      </w:r>
      <w:r>
        <w:rPr>
          <w:rFonts w:asciiTheme="majorHAnsi" w:hAnsiTheme="majorHAnsi" w:cstheme="majorHAnsi"/>
          <w:sz w:val="22"/>
          <w:szCs w:val="22"/>
        </w:rPr>
        <w:t xml:space="preserve">que se encontrarem na faixa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serão consideradas empatadas com a primeira colocada.</w:t>
      </w:r>
    </w:p>
    <w:p w14:paraId="05EA2222">
      <w:pPr>
        <w:pStyle w:val="72"/>
        <w:tabs>
          <w:tab w:val="left" w:pos="0"/>
        </w:tabs>
        <w:rPr>
          <w:rFonts w:asciiTheme="majorHAnsi" w:hAnsiTheme="majorHAnsi" w:cstheme="majorHAnsi"/>
          <w:sz w:val="22"/>
          <w:szCs w:val="22"/>
        </w:rPr>
      </w:pPr>
      <w:r>
        <w:rPr>
          <w:rFonts w:asciiTheme="majorHAnsi" w:hAnsiTheme="majorHAnsi" w:cstheme="majorHAnsi"/>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2C2B73">
      <w:pPr>
        <w:pStyle w:val="72"/>
        <w:tabs>
          <w:tab w:val="left" w:pos="0"/>
        </w:tabs>
        <w:rPr>
          <w:rFonts w:asciiTheme="majorHAnsi" w:hAnsiTheme="majorHAnsi" w:cstheme="majorHAnsi"/>
          <w:sz w:val="22"/>
          <w:szCs w:val="22"/>
        </w:rPr>
      </w:pPr>
      <w:r>
        <w:rPr>
          <w:rFonts w:asciiTheme="majorHAnsi" w:hAnsiTheme="majorHAnsi" w:cstheme="majorHAnsi"/>
          <w:sz w:val="22"/>
          <w:szCs w:val="22"/>
        </w:rPr>
        <w:t xml:space="preserve">Caso a </w:t>
      </w:r>
      <w:r>
        <w:rPr>
          <w:rFonts w:eastAsia="Zurich BT" w:asciiTheme="majorHAnsi"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eastAsia="Zurich BT" w:asciiTheme="majorHAnsi"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xml:space="preserve"> na ordem de classificação, para o exercício do mesmo direito, no prazo estabelecido no subitem anterior.</w:t>
      </w:r>
    </w:p>
    <w:p w14:paraId="738B9DFC">
      <w:pPr>
        <w:pStyle w:val="72"/>
        <w:tabs>
          <w:tab w:val="left" w:pos="0"/>
        </w:tabs>
        <w:rPr>
          <w:rFonts w:asciiTheme="majorHAnsi" w:hAnsiTheme="majorHAnsi" w:cstheme="majorHAnsi"/>
          <w:sz w:val="22"/>
          <w:szCs w:val="22"/>
        </w:rPr>
      </w:pPr>
      <w:r>
        <w:rPr>
          <w:rFonts w:asciiTheme="majorHAnsi" w:hAnsiTheme="majorHAnsi" w:cstheme="maj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38CA21">
      <w:pPr>
        <w:pStyle w:val="72"/>
        <w:tabs>
          <w:tab w:val="left" w:pos="0"/>
        </w:tabs>
        <w:rPr>
          <w:rFonts w:asciiTheme="majorHAnsi" w:hAnsiTheme="majorHAnsi" w:cstheme="majorHAnsi"/>
          <w:sz w:val="22"/>
          <w:szCs w:val="22"/>
        </w:rPr>
      </w:pPr>
      <w:r>
        <w:rPr>
          <w:rFonts w:asciiTheme="majorHAnsi" w:hAnsiTheme="majorHAnsi" w:cstheme="majorHAnsi"/>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AF2F06">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Só poderá haver empate entre propostas iguais (não seguidas de lances), ou entre lances finais da fase fechada do modo de disputa aberto e fechado. </w:t>
      </w:r>
    </w:p>
    <w:p w14:paraId="22ABED9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Havendo eventual empate entre propostas ou lances, o critério de desempate será aquele previsto no art. 60 da Lei nº 14.133, de 2021, nesta ordem:</w:t>
      </w:r>
    </w:p>
    <w:p w14:paraId="38C7AABA">
      <w:pPr>
        <w:pStyle w:val="72"/>
        <w:tabs>
          <w:tab w:val="left" w:pos="0"/>
        </w:tabs>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5EED83BA">
      <w:pPr>
        <w:pStyle w:val="72"/>
        <w:tabs>
          <w:tab w:val="left" w:pos="0"/>
        </w:tabs>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58E34E76">
      <w:pPr>
        <w:pStyle w:val="72"/>
        <w:tabs>
          <w:tab w:val="left" w:pos="0"/>
        </w:tabs>
        <w:rPr>
          <w:rFonts w:asciiTheme="majorHAnsi" w:hAnsiTheme="majorHAnsi" w:cstheme="majorHAnsi"/>
          <w:sz w:val="22"/>
          <w:szCs w:val="22"/>
          <w:highlight w:val="yellow"/>
        </w:rPr>
      </w:pPr>
      <w:r>
        <w:rPr>
          <w:rFonts w:asciiTheme="majorHAnsi" w:hAnsiTheme="majorHAnsi" w:cstheme="majorHAnsi"/>
          <w:sz w:val="22"/>
          <w:szCs w:val="22"/>
        </w:rPr>
        <w:t xml:space="preserve">desenvolvimento pelo licitante de ações de equidade entre homens e mulheres no ambiente de trabalho, nos termos do Decreto nº 11.430, de 2023, </w:t>
      </w:r>
      <w:r>
        <w:rPr>
          <w:rFonts w:asciiTheme="majorHAnsi" w:hAnsiTheme="majorHAnsi" w:cstheme="majorHAnsi"/>
          <w:sz w:val="22"/>
          <w:szCs w:val="22"/>
          <w:highlight w:val="yellow"/>
        </w:rPr>
        <w:t>e da Instrução Normativa SEGES/MGI nº 382, de 17 de setembro de 2025;</w:t>
      </w:r>
    </w:p>
    <w:p w14:paraId="2345E12E">
      <w:pPr>
        <w:pStyle w:val="72"/>
        <w:tabs>
          <w:tab w:val="left" w:pos="0"/>
        </w:tabs>
        <w:rPr>
          <w:rFonts w:asciiTheme="majorHAnsi" w:hAnsiTheme="majorHAnsi" w:cstheme="majorHAnsi"/>
          <w:sz w:val="22"/>
          <w:szCs w:val="22"/>
          <w:highlight w:val="yellow"/>
        </w:rPr>
      </w:pPr>
      <w:r>
        <w:rPr>
          <w:rFonts w:asciiTheme="majorHAnsi" w:hAnsiTheme="majorHAnsi" w:cstheme="majorHAnsi"/>
          <w:sz w:val="22"/>
          <w:szCs w:val="22"/>
          <w:highlight w:val="yellow"/>
        </w:rPr>
        <w:t>declaração do licitante de que desenvolve programa de integridade, conforme Decreto n° 12.304, de 2024, e Portaria Normativa SE/CGU n° 226, de 9 de setembro de 2025.</w:t>
      </w:r>
    </w:p>
    <w:p w14:paraId="4ADC732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Persistindo o empate, será assegurada preferência, sucessivamente, aos bens e serviços produzidos ou prestados por:</w:t>
      </w:r>
    </w:p>
    <w:p w14:paraId="063AB062">
      <w:pPr>
        <w:pStyle w:val="72"/>
        <w:tabs>
          <w:tab w:val="left" w:pos="0"/>
        </w:tabs>
        <w:rPr>
          <w:rFonts w:asciiTheme="majorHAnsi" w:hAnsiTheme="majorHAnsi" w:cstheme="majorHAnsi"/>
          <w:sz w:val="22"/>
          <w:szCs w:val="22"/>
        </w:rPr>
      </w:pPr>
      <w:bookmarkStart w:id="40" w:name="art60§1i"/>
      <w:bookmarkEnd w:id="40"/>
      <w:bookmarkStart w:id="41" w:name="art60§1ii"/>
      <w:bookmarkEnd w:id="41"/>
      <w:r>
        <w:rPr>
          <w:rFonts w:asciiTheme="majorHAnsi" w:hAnsiTheme="majorHAnsi" w:cstheme="majorHAnsi"/>
          <w:sz w:val="22"/>
          <w:szCs w:val="22"/>
        </w:rPr>
        <w:t>empresas brasileiras;</w:t>
      </w:r>
    </w:p>
    <w:p w14:paraId="148D53D4">
      <w:pPr>
        <w:pStyle w:val="72"/>
        <w:tabs>
          <w:tab w:val="left" w:pos="0"/>
        </w:tabs>
        <w:rPr>
          <w:rFonts w:asciiTheme="majorHAnsi" w:hAnsiTheme="majorHAnsi" w:cstheme="majorHAnsi"/>
          <w:sz w:val="22"/>
          <w:szCs w:val="22"/>
        </w:rPr>
      </w:pPr>
      <w:bookmarkStart w:id="42" w:name="art60§1iii"/>
      <w:bookmarkEnd w:id="42"/>
      <w:r>
        <w:rPr>
          <w:rFonts w:asciiTheme="majorHAnsi" w:hAnsiTheme="majorHAnsi" w:cstheme="majorHAnsi"/>
          <w:sz w:val="22"/>
          <w:szCs w:val="22"/>
        </w:rPr>
        <w:t>empresas que invistam em pesquisa e no desenvolvimento de tecnologia no País;</w:t>
      </w:r>
    </w:p>
    <w:p w14:paraId="0CD5B6A6">
      <w:pPr>
        <w:pStyle w:val="72"/>
        <w:tabs>
          <w:tab w:val="left" w:pos="0"/>
        </w:tabs>
        <w:rPr>
          <w:rFonts w:asciiTheme="majorHAnsi" w:hAnsiTheme="majorHAnsi" w:cstheme="majorHAnsi"/>
          <w:sz w:val="22"/>
          <w:szCs w:val="22"/>
        </w:rPr>
      </w:pPr>
      <w:bookmarkStart w:id="43" w:name="art60§1iv"/>
      <w:bookmarkEnd w:id="43"/>
      <w:r>
        <w:rPr>
          <w:rFonts w:asciiTheme="majorHAnsi" w:hAnsiTheme="majorHAnsi" w:cstheme="majorHAnsi"/>
          <w:sz w:val="22"/>
          <w:szCs w:val="22"/>
        </w:rPr>
        <w:t>empresas que comprovem a prática de mitigação, nos termos da Lei nº 12.187, de 29 de dezembro de 2009.</w:t>
      </w:r>
    </w:p>
    <w:p w14:paraId="7DCCAE7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Esgotados todos os demais critérios de desempate previstos em lei, a escolha do licitante vencedor ocorrerá por sorteio, em ato público, para o qual todos os licitantes serão convocados, vedado qualquer outro processo.</w:t>
      </w:r>
    </w:p>
    <w:p w14:paraId="304E9D05">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2EA97DD">
      <w:pPr>
        <w:pStyle w:val="72"/>
        <w:tabs>
          <w:tab w:val="left" w:pos="0"/>
        </w:tabs>
        <w:rPr>
          <w:rFonts w:asciiTheme="majorHAnsi" w:hAnsiTheme="majorHAnsi" w:cstheme="majorHAnsi"/>
          <w:sz w:val="22"/>
          <w:szCs w:val="22"/>
        </w:rPr>
      </w:pPr>
      <w:r>
        <w:rPr>
          <w:rFonts w:asciiTheme="majorHAnsi" w:hAnsiTheme="majorHAnsi" w:cstheme="majorHAnsi"/>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heme="majorHAnsi" w:hAnsiTheme="majorHAnsi" w:cstheme="majorHAnsi"/>
          <w:sz w:val="22"/>
          <w:szCs w:val="22"/>
        </w:rPr>
        <w:t>Termo de Referência</w:t>
      </w:r>
      <w:r>
        <w:rPr>
          <w:rFonts w:asciiTheme="majorHAnsi" w:hAnsiTheme="majorHAnsi" w:cstheme="majorHAnsi"/>
          <w:sz w:val="22"/>
          <w:szCs w:val="22"/>
          <w:highlight w:val="cyan"/>
        </w:rPr>
        <w:t xml:space="preserve">. </w:t>
      </w:r>
    </w:p>
    <w:p w14:paraId="0CD0EB54">
      <w:pPr>
        <w:pStyle w:val="72"/>
        <w:tabs>
          <w:tab w:val="left" w:pos="0"/>
        </w:tabs>
        <w:rPr>
          <w:rFonts w:asciiTheme="majorHAnsi" w:hAnsiTheme="majorHAnsi" w:cstheme="majorHAnsi"/>
          <w:sz w:val="22"/>
          <w:szCs w:val="22"/>
        </w:rPr>
      </w:pPr>
      <w:r>
        <w:rPr>
          <w:rFonts w:asciiTheme="majorHAnsi" w:hAnsiTheme="majorHAnsi" w:cstheme="maj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E0BA86">
      <w:pPr>
        <w:pStyle w:val="72"/>
        <w:tabs>
          <w:tab w:val="left" w:pos="0"/>
        </w:tabs>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A </w:t>
      </w:r>
      <w:r>
        <w:rPr>
          <w:rFonts w:asciiTheme="majorHAnsi" w:hAnsiTheme="majorHAnsi" w:cstheme="majorHAnsi"/>
          <w:sz w:val="22"/>
          <w:szCs w:val="22"/>
        </w:rPr>
        <w:t>negociação será realizada por meio do sistema, podendo ser acompanhada pelos demais licitantes.</w:t>
      </w:r>
    </w:p>
    <w:p w14:paraId="59608BAF">
      <w:pPr>
        <w:pStyle w:val="72"/>
        <w:tabs>
          <w:tab w:val="left" w:pos="0"/>
        </w:tabs>
        <w:rPr>
          <w:rFonts w:asciiTheme="majorHAnsi" w:hAnsiTheme="majorHAnsi" w:cstheme="majorHAnsi"/>
          <w:sz w:val="22"/>
          <w:szCs w:val="22"/>
        </w:rPr>
      </w:pPr>
      <w:r>
        <w:rPr>
          <w:rFonts w:asciiTheme="majorHAnsi" w:hAnsiTheme="majorHAnsi" w:cstheme="majorHAnsi"/>
          <w:sz w:val="22"/>
          <w:szCs w:val="22"/>
        </w:rPr>
        <w:t>O resultado da negociação será divulgado a todos os licitantes e anexado aos autos do processo licitatório.</w:t>
      </w:r>
    </w:p>
    <w:p w14:paraId="67DB8CB7">
      <w:pPr>
        <w:pStyle w:val="72"/>
        <w:tabs>
          <w:tab w:val="left" w:pos="0"/>
        </w:tabs>
        <w:rPr>
          <w:rFonts w:asciiTheme="majorHAnsi" w:hAnsiTheme="majorHAnsi" w:cstheme="majorHAnsi"/>
          <w:sz w:val="22"/>
          <w:szCs w:val="22"/>
        </w:rPr>
      </w:pPr>
      <w:r>
        <w:rPr>
          <w:rFonts w:asciiTheme="majorHAnsi" w:hAnsiTheme="majorHAnsi" w:cstheme="majorHAnsi"/>
          <w:sz w:val="22"/>
          <w:szCs w:val="22"/>
        </w:rPr>
        <w:t xml:space="preserve">O </w:t>
      </w:r>
      <w:r>
        <w:rPr>
          <w:rFonts w:asciiTheme="majorHAnsi" w:hAnsiTheme="majorHAnsi" w:cstheme="majorHAnsi"/>
          <w:sz w:val="22"/>
          <w:szCs w:val="22"/>
          <w:highlight w:val="yellow"/>
        </w:rPr>
        <w:t>Pregoeiro/Agente de Contratação/Comissão s</w:t>
      </w:r>
      <w:r>
        <w:rPr>
          <w:rFonts w:asciiTheme="majorHAnsi" w:hAnsiTheme="majorHAnsi" w:cstheme="majorHAnsi"/>
          <w:sz w:val="22"/>
          <w:szCs w:val="22"/>
        </w:rPr>
        <w:t xml:space="preserve">olicitará ao licitante mais bem classificado que, no prazo de </w:t>
      </w:r>
      <w:r>
        <w:rPr>
          <w:rFonts w:asciiTheme="majorHAnsi" w:hAnsiTheme="majorHAnsi" w:cstheme="majorHAnsi"/>
          <w:color w:val="FF0000"/>
          <w:sz w:val="22"/>
          <w:szCs w:val="22"/>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4" w:name="_Hlk117016948"/>
    </w:p>
    <w:bookmarkEnd w:id="44"/>
    <w:p w14:paraId="6CB24802">
      <w:pPr>
        <w:pStyle w:val="72"/>
        <w:tabs>
          <w:tab w:val="left" w:pos="0"/>
        </w:tabs>
        <w:rPr>
          <w:rFonts w:asciiTheme="majorHAnsi" w:hAnsiTheme="majorHAnsi" w:cstheme="majorHAnsi"/>
          <w:iCs/>
          <w:sz w:val="22"/>
          <w:szCs w:val="22"/>
        </w:rPr>
      </w:pPr>
      <w:r>
        <w:rPr>
          <w:rFonts w:asciiTheme="majorHAnsi" w:hAnsiTheme="majorHAnsi" w:cstheme="majorHAnsi"/>
          <w:sz w:val="22"/>
          <w:szCs w:val="22"/>
        </w:rPr>
        <w:t>É facultado ao Pregoeiro/Agente de Contratação/Comissão prorrogar o prazo estabelecido, a partir de solicitação fundamentada feita no chat pelo licitante, antes de findo o prazo.</w:t>
      </w:r>
    </w:p>
    <w:p w14:paraId="0E81546A">
      <w:pPr>
        <w:pStyle w:val="70"/>
        <w:numPr>
          <w:ilvl w:val="1"/>
          <w:numId w:val="2"/>
        </w:numPr>
        <w:tabs>
          <w:tab w:val="left" w:pos="0"/>
        </w:tabs>
        <w:ind w:left="0" w:firstLine="0"/>
        <w:rPr>
          <w:rFonts w:eastAsia="Times New Roman" w:asciiTheme="majorHAnsi" w:hAnsiTheme="majorHAnsi" w:cstheme="majorHAnsi"/>
        </w:rPr>
      </w:pPr>
      <w:r>
        <w:rPr>
          <w:rFonts w:asciiTheme="majorHAnsi" w:hAnsiTheme="majorHAnsi" w:cstheme="majorHAnsi"/>
        </w:rPr>
        <w:t>Após a negociação do preço, o Pregoeiro/Agente de Contratação/Comissão iniciará a fase de aceitação e julgamento da proposta.</w:t>
      </w:r>
      <w:bookmarkEnd w:id="34"/>
    </w:p>
    <w:p w14:paraId="12901857">
      <w:pPr>
        <w:pStyle w:val="70"/>
        <w:numPr>
          <w:ilvl w:val="0"/>
          <w:numId w:val="0"/>
        </w:numPr>
        <w:tabs>
          <w:tab w:val="left" w:pos="0"/>
        </w:tabs>
        <w:rPr>
          <w:rFonts w:asciiTheme="majorHAnsi" w:hAnsiTheme="majorHAnsi" w:cstheme="majorHAnsi"/>
        </w:rPr>
      </w:pPr>
    </w:p>
    <w:p w14:paraId="3D026D10">
      <w:pPr>
        <w:pStyle w:val="53"/>
        <w:tabs>
          <w:tab w:val="left" w:pos="0"/>
          <w:tab w:val="clear" w:pos="567"/>
        </w:tabs>
        <w:spacing w:before="120" w:beforeLines="0" w:after="120" w:afterLines="0" w:line="360" w:lineRule="auto"/>
        <w:ind w:left="0" w:firstLine="0"/>
        <w:rPr>
          <w:rFonts w:asciiTheme="majorHAnsi" w:hAnsiTheme="majorHAnsi" w:cstheme="majorHAnsi"/>
          <w:sz w:val="22"/>
          <w:szCs w:val="22"/>
        </w:rPr>
      </w:pPr>
      <w:bookmarkStart w:id="45" w:name="_Toc135469201"/>
      <w:bookmarkStart w:id="46" w:name="_Toc193719197"/>
      <w:r>
        <w:rPr>
          <w:rFonts w:asciiTheme="majorHAnsi" w:hAnsiTheme="majorHAnsi" w:cstheme="majorHAnsi"/>
          <w:sz w:val="22"/>
          <w:szCs w:val="22"/>
        </w:rPr>
        <w:t>DA FASE DE JULGAMENTO</w:t>
      </w:r>
      <w:bookmarkEnd w:id="45"/>
      <w:bookmarkEnd w:id="46"/>
    </w:p>
    <w:p w14:paraId="211EE624">
      <w:pPr>
        <w:pStyle w:val="70"/>
        <w:numPr>
          <w:ilvl w:val="1"/>
          <w:numId w:val="2"/>
        </w:numPr>
        <w:tabs>
          <w:tab w:val="left" w:pos="0"/>
        </w:tabs>
        <w:ind w:left="0" w:firstLine="0"/>
        <w:rPr>
          <w:rFonts w:asciiTheme="majorHAnsi" w:hAnsiTheme="majorHAnsi" w:cstheme="majorHAnsi"/>
          <w:b/>
          <w:bCs/>
          <w:lang w:eastAsia="ar-SA"/>
        </w:rPr>
      </w:pPr>
      <w:bookmarkStart w:id="47" w:name="_Ref117019424"/>
      <w:r>
        <w:rPr>
          <w:rFonts w:asciiTheme="majorHAnsi" w:hAnsiTheme="majorHAnsi" w:cstheme="majorHAnsi"/>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heme="majorHAnsi" w:hAnsiTheme="majorHAnsi" w:cstheme="majorHAnsi"/>
        </w:rPr>
        <w:fldChar w:fldCharType="begin"/>
      </w:r>
      <w:r>
        <w:rPr>
          <w:rFonts w:asciiTheme="majorHAnsi" w:hAnsiTheme="majorHAnsi" w:cstheme="majorHAnsi"/>
        </w:rPr>
        <w:instrText xml:space="preserve"> REF _Ref117000692 \r \h  \* MERGEFORMAT </w:instrText>
      </w:r>
      <w:r>
        <w:rPr>
          <w:rFonts w:asciiTheme="majorHAnsi" w:hAnsiTheme="majorHAnsi" w:cstheme="majorHAnsi"/>
        </w:rPr>
        <w:fldChar w:fldCharType="separate"/>
      </w:r>
      <w:r>
        <w:rPr>
          <w:rFonts w:asciiTheme="majorHAnsi" w:hAnsiTheme="majorHAnsi" w:cstheme="majorHAnsi"/>
        </w:rPr>
        <w:t>3.8</w:t>
      </w:r>
      <w:r>
        <w:rPr>
          <w:rFonts w:asciiTheme="majorHAnsi" w:hAnsiTheme="majorHAnsi" w:cstheme="majorHAnsi"/>
        </w:rPr>
        <w:fldChar w:fldCharType="end"/>
      </w:r>
      <w:r>
        <w:rPr>
          <w:rFonts w:asciiTheme="majorHAnsi" w:hAnsiTheme="majorHAnsi" w:cstheme="majorHAnsi"/>
        </w:rPr>
        <w:t xml:space="preserve"> do edital, </w:t>
      </w:r>
      <w:bookmarkEnd w:id="47"/>
      <w:r>
        <w:rPr>
          <w:rFonts w:asciiTheme="majorHAnsi" w:hAnsiTheme="majorHAnsi" w:cstheme="majorHAnsi"/>
          <w:lang w:eastAsia="ar-SA"/>
        </w:rPr>
        <w:t>especialmente quanto à existência de sanção que impeça a participação no certame ou a futura contratação, mediante a consulta aos seguintes cadastros:</w:t>
      </w:r>
    </w:p>
    <w:p w14:paraId="396FB910">
      <w:pPr>
        <w:pStyle w:val="72"/>
        <w:tabs>
          <w:tab w:val="left" w:pos="0"/>
        </w:tabs>
        <w:rPr>
          <w:rFonts w:asciiTheme="majorHAnsi" w:hAnsiTheme="majorHAnsi" w:cstheme="majorHAnsi"/>
          <w:sz w:val="22"/>
          <w:szCs w:val="22"/>
        </w:rPr>
      </w:pPr>
      <w:r>
        <w:rPr>
          <w:rFonts w:asciiTheme="majorHAnsi" w:hAnsiTheme="majorHAnsi" w:cstheme="majorHAnsi"/>
          <w:sz w:val="22"/>
          <w:szCs w:val="22"/>
        </w:rPr>
        <w:t>SICAF;</w:t>
      </w:r>
    </w:p>
    <w:p w14:paraId="0E1B6751">
      <w:pPr>
        <w:pStyle w:val="72"/>
        <w:tabs>
          <w:tab w:val="left" w:pos="0"/>
        </w:tabs>
        <w:rPr>
          <w:rFonts w:asciiTheme="majorHAnsi" w:hAnsiTheme="majorHAnsi" w:cstheme="majorHAnsi"/>
          <w:sz w:val="22"/>
          <w:szCs w:val="22"/>
          <w:highlight w:val="yellow"/>
        </w:rPr>
      </w:pPr>
      <w:r>
        <w:rPr>
          <w:rFonts w:asciiTheme="majorHAnsi" w:hAnsiTheme="majorHAnsi" w:cstheme="majorHAnsi"/>
          <w:sz w:val="22"/>
          <w:szCs w:val="22"/>
          <w:highlight w:val="yellow"/>
        </w:rPr>
        <w:t xml:space="preserve">Cadastro Nacional de Empresas Inidôneas e Suspensas – CEIS, </w:t>
      </w:r>
    </w:p>
    <w:p w14:paraId="4C57535C">
      <w:pPr>
        <w:pStyle w:val="72"/>
        <w:tabs>
          <w:tab w:val="left" w:pos="0"/>
        </w:tabs>
        <w:rPr>
          <w:rFonts w:asciiTheme="majorHAnsi" w:hAnsiTheme="majorHAnsi" w:cstheme="majorHAnsi"/>
          <w:sz w:val="22"/>
          <w:szCs w:val="22"/>
        </w:rPr>
      </w:pPr>
      <w:r>
        <w:rPr>
          <w:rFonts w:asciiTheme="majorHAnsi" w:hAnsiTheme="majorHAnsi" w:cstheme="majorHAnsi"/>
          <w:sz w:val="22"/>
          <w:szCs w:val="22"/>
        </w:rPr>
        <w:t>Cadastro Nacional de Empresas Punidas – CNEP e</w:t>
      </w:r>
    </w:p>
    <w:p w14:paraId="4D25CE75">
      <w:pPr>
        <w:pStyle w:val="72"/>
        <w:tabs>
          <w:tab w:val="left" w:pos="0"/>
        </w:tabs>
        <w:rPr>
          <w:rFonts w:asciiTheme="majorHAnsi" w:hAnsiTheme="majorHAnsi" w:cstheme="majorHAnsi"/>
          <w:sz w:val="22"/>
          <w:szCs w:val="22"/>
          <w:highlight w:val="yellow"/>
        </w:rPr>
      </w:pPr>
      <w:r>
        <w:rPr>
          <w:rFonts w:asciiTheme="majorHAnsi" w:hAnsiTheme="majorHAnsi" w:cstheme="majorHAnsi"/>
          <w:sz w:val="22"/>
          <w:szCs w:val="22"/>
          <w:highlight w:val="yellow"/>
        </w:rPr>
        <w:t>Lista de licitantes inidôneos, mantida pelo Tribunal de Contas da União.</w:t>
      </w:r>
    </w:p>
    <w:p w14:paraId="3E6E36C5">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 consulta aos cadastros será realizada no nome e no CNPJ da empresa licitante.</w:t>
      </w:r>
    </w:p>
    <w:p w14:paraId="2537FC5C">
      <w:pPr>
        <w:pStyle w:val="72"/>
        <w:tabs>
          <w:tab w:val="left" w:pos="0"/>
        </w:tabs>
        <w:rPr>
          <w:rFonts w:asciiTheme="majorHAnsi" w:hAnsiTheme="majorHAnsi" w:cstheme="majorHAnsi"/>
          <w:color w:val="auto"/>
          <w:sz w:val="22"/>
          <w:szCs w:val="22"/>
        </w:rPr>
      </w:pPr>
      <w:r>
        <w:rPr>
          <w:rFonts w:asciiTheme="majorHAnsi" w:hAnsiTheme="majorHAnsi" w:cstheme="majorHAnsi"/>
          <w:sz w:val="22"/>
          <w:szCs w:val="22"/>
        </w:rPr>
        <w:t xml:space="preserve">A consulta no </w:t>
      </w:r>
      <w:r>
        <w:rPr>
          <w:rFonts w:asciiTheme="majorHAnsi" w:hAnsiTheme="majorHAnsi" w:cstheme="majorHAnsi"/>
          <w:sz w:val="22"/>
          <w:szCs w:val="22"/>
          <w:highlight w:val="yellow"/>
        </w:rPr>
        <w:t>CEIS</w:t>
      </w:r>
      <w:r>
        <w:rPr>
          <w:rFonts w:asciiTheme="majorHAnsi" w:hAnsiTheme="majorHAnsi" w:cstheme="majorHAnsi"/>
          <w:sz w:val="22"/>
          <w:szCs w:val="22"/>
        </w:rPr>
        <w:t xml:space="preserve"> quanto às sanções previstas na Lei nº 8.429, de 1992, também ocorrerá no nome e no CPF do sócio majoritário da empresa licitante, se houver, por força do art. 12 da citada lei.</w:t>
      </w:r>
    </w:p>
    <w:p w14:paraId="6FD91243">
      <w:pPr>
        <w:pStyle w:val="70"/>
        <w:numPr>
          <w:ilvl w:val="1"/>
          <w:numId w:val="2"/>
        </w:numPr>
        <w:tabs>
          <w:tab w:val="left" w:pos="0"/>
        </w:tabs>
        <w:ind w:left="0" w:firstLine="0"/>
        <w:rPr>
          <w:rFonts w:asciiTheme="majorHAnsi" w:hAnsiTheme="majorHAnsi" w:cstheme="majorHAnsi"/>
          <w:highlight w:val="yellow"/>
        </w:rPr>
      </w:pPr>
      <w:r>
        <w:rPr>
          <w:rFonts w:asciiTheme="majorHAnsi" w:hAnsiTheme="majorHAnsi" w:cstheme="majorHAnsi"/>
          <w:highlight w:val="yellow"/>
        </w:rPr>
        <w:t>Para a consulta de licitantes pessoa jurídica poderá haver a substituição das consultas ao CEIS, CNEP e Lista de licitantes inidôneos pela Consulta Consolidada de Pessoa Jurídica do TCU.</w:t>
      </w:r>
    </w:p>
    <w:p w14:paraId="759E810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5CCA0BDE">
      <w:pPr>
        <w:pStyle w:val="72"/>
        <w:tabs>
          <w:tab w:val="left" w:pos="0"/>
        </w:tabs>
        <w:rPr>
          <w:rFonts w:asciiTheme="majorHAnsi" w:hAnsiTheme="majorHAnsi" w:cstheme="majorHAnsi"/>
          <w:sz w:val="22"/>
          <w:szCs w:val="22"/>
        </w:rPr>
      </w:pPr>
      <w:r>
        <w:rPr>
          <w:rFonts w:asciiTheme="majorHAnsi" w:hAnsiTheme="majorHAnsi" w:cstheme="majorHAnsi"/>
          <w:sz w:val="22"/>
          <w:szCs w:val="22"/>
        </w:rPr>
        <w:t>A tentativa de burla será verificada por meio dos vínculos societários, linhas de fornecimento similares, dentre outros.</w:t>
      </w:r>
    </w:p>
    <w:p w14:paraId="4E362162">
      <w:pPr>
        <w:pStyle w:val="72"/>
        <w:tabs>
          <w:tab w:val="left" w:pos="0"/>
        </w:tabs>
        <w:rPr>
          <w:rFonts w:asciiTheme="majorHAnsi" w:hAnsiTheme="majorHAnsi" w:cstheme="majorHAnsi"/>
          <w:sz w:val="22"/>
          <w:szCs w:val="22"/>
        </w:rPr>
      </w:pPr>
      <w:r>
        <w:rPr>
          <w:rFonts w:asciiTheme="majorHAnsi" w:hAnsiTheme="majorHAnsi" w:cstheme="majorHAnsi"/>
          <w:sz w:val="22"/>
          <w:szCs w:val="22"/>
        </w:rPr>
        <w:t>O licitante será convocado para manifestação previamente a uma eventual desclassificação.</w:t>
      </w:r>
    </w:p>
    <w:p w14:paraId="0DAB8F5C">
      <w:pPr>
        <w:pStyle w:val="72"/>
        <w:tabs>
          <w:tab w:val="left" w:pos="0"/>
        </w:tabs>
        <w:rPr>
          <w:rFonts w:asciiTheme="majorHAnsi" w:hAnsiTheme="majorHAnsi" w:cstheme="majorHAnsi"/>
          <w:sz w:val="22"/>
          <w:szCs w:val="22"/>
        </w:rPr>
      </w:pPr>
      <w:r>
        <w:rPr>
          <w:rFonts w:asciiTheme="majorHAnsi" w:hAnsiTheme="majorHAnsi" w:cstheme="majorHAnsi"/>
          <w:sz w:val="22"/>
          <w:szCs w:val="22"/>
        </w:rPr>
        <w:t>Constatada a existência de sanção, o licitante será reputado inabilitado, por falta de condição de participação.</w:t>
      </w:r>
    </w:p>
    <w:p w14:paraId="09A77F56">
      <w:pPr>
        <w:pStyle w:val="70"/>
        <w:numPr>
          <w:ilvl w:val="1"/>
          <w:numId w:val="2"/>
        </w:numPr>
        <w:tabs>
          <w:tab w:val="left" w:pos="0"/>
        </w:tabs>
        <w:ind w:left="0" w:firstLine="0"/>
        <w:rPr>
          <w:rFonts w:asciiTheme="majorHAnsi" w:hAnsiTheme="majorHAnsi" w:cstheme="majorHAnsi"/>
        </w:rPr>
      </w:pPr>
      <w:bookmarkStart w:id="48" w:name="_Hlk135317550"/>
      <w:r>
        <w:rPr>
          <w:rFonts w:asciiTheme="majorHAnsi" w:hAnsiTheme="majorHAnsi" w:cstheme="majorHAnsi"/>
        </w:rPr>
        <w:t>Na hipótese de inversão das fases de habilitação e julgamento, caso atendidas as condições de participação, será iniciado o procedimento de habilitação.</w:t>
      </w:r>
    </w:p>
    <w:bookmarkEnd w:id="48"/>
    <w:p w14:paraId="79CCC195">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highlight w:val="green"/>
        </w:rPr>
        <w:t>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r>
        <w:rPr>
          <w:rFonts w:asciiTheme="majorHAnsi" w:hAnsiTheme="majorHAnsi" w:cstheme="majorHAnsi"/>
        </w:rPr>
        <w:t>.</w:t>
      </w:r>
    </w:p>
    <w:p w14:paraId="3F2B6BF0">
      <w:pPr>
        <w:pStyle w:val="72"/>
        <w:tabs>
          <w:tab w:val="left" w:pos="0"/>
        </w:tabs>
        <w:rPr>
          <w:rFonts w:asciiTheme="majorHAnsi" w:hAnsiTheme="majorHAnsi" w:cstheme="majorHAnsi"/>
          <w:sz w:val="22"/>
          <w:szCs w:val="22"/>
          <w:highlight w:val="green"/>
        </w:rPr>
      </w:pPr>
      <w:r>
        <w:rPr>
          <w:rFonts w:asciiTheme="majorHAnsi" w:hAnsiTheme="majorHAnsi" w:cstheme="majorHAnsi"/>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7FD8A4E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353C615B">
      <w:pPr>
        <w:pStyle w:val="70"/>
        <w:numPr>
          <w:ilvl w:val="1"/>
          <w:numId w:val="2"/>
        </w:numPr>
        <w:tabs>
          <w:tab w:val="left" w:pos="0"/>
        </w:tabs>
        <w:ind w:left="0" w:firstLine="0"/>
        <w:rPr>
          <w:rFonts w:asciiTheme="majorHAnsi" w:hAnsiTheme="majorHAnsi" w:cstheme="majorHAnsi"/>
          <w:b/>
        </w:rPr>
      </w:pPr>
      <w:r>
        <w:rPr>
          <w:rFonts w:asciiTheme="majorHAnsi" w:hAnsiTheme="majorHAnsi" w:cstheme="majorHAnsi"/>
        </w:rPr>
        <w:t xml:space="preserve">Será desclassificada a proposta vencedora que: </w:t>
      </w:r>
    </w:p>
    <w:p w14:paraId="686FB5B3">
      <w:pPr>
        <w:pStyle w:val="72"/>
        <w:tabs>
          <w:tab w:val="left" w:pos="0"/>
        </w:tabs>
        <w:rPr>
          <w:rFonts w:asciiTheme="majorHAnsi" w:hAnsiTheme="majorHAnsi" w:cstheme="majorHAnsi"/>
          <w:sz w:val="22"/>
          <w:szCs w:val="22"/>
        </w:rPr>
      </w:pPr>
      <w:r>
        <w:rPr>
          <w:rFonts w:asciiTheme="majorHAnsi" w:hAnsiTheme="majorHAnsi" w:cstheme="majorHAnsi"/>
          <w:sz w:val="22"/>
          <w:szCs w:val="22"/>
        </w:rPr>
        <w:t>contiver vícios insanáveis;</w:t>
      </w:r>
    </w:p>
    <w:p w14:paraId="209A8579">
      <w:pPr>
        <w:pStyle w:val="72"/>
        <w:tabs>
          <w:tab w:val="left" w:pos="0"/>
        </w:tabs>
        <w:rPr>
          <w:rFonts w:asciiTheme="majorHAnsi" w:hAnsiTheme="majorHAnsi" w:cstheme="majorHAnsi"/>
          <w:sz w:val="22"/>
          <w:szCs w:val="22"/>
        </w:rPr>
      </w:pPr>
      <w:r>
        <w:rPr>
          <w:rFonts w:asciiTheme="majorHAnsi" w:hAnsiTheme="majorHAnsi" w:cstheme="majorHAnsi"/>
          <w:sz w:val="22"/>
          <w:szCs w:val="22"/>
        </w:rPr>
        <w:t>não obedecer às especificações técnicas contidas no Termo de Referência/Projeto Básico;</w:t>
      </w:r>
    </w:p>
    <w:p w14:paraId="62FF2695">
      <w:pPr>
        <w:pStyle w:val="72"/>
        <w:tabs>
          <w:tab w:val="left" w:pos="0"/>
        </w:tabs>
        <w:rPr>
          <w:rFonts w:asciiTheme="majorHAnsi" w:hAnsiTheme="majorHAnsi" w:cstheme="majorHAnsi"/>
          <w:sz w:val="22"/>
          <w:szCs w:val="22"/>
        </w:rPr>
      </w:pPr>
      <w:r>
        <w:rPr>
          <w:rFonts w:asciiTheme="majorHAnsi" w:hAnsiTheme="majorHAnsi" w:cstheme="majorHAnsi"/>
          <w:sz w:val="22"/>
          <w:szCs w:val="22"/>
        </w:rPr>
        <w:t>apresentar preços inexequíveis ou permanecerem acima do preço máximo definido para a contratação;</w:t>
      </w:r>
    </w:p>
    <w:p w14:paraId="717801BC">
      <w:pPr>
        <w:pStyle w:val="72"/>
        <w:tabs>
          <w:tab w:val="left" w:pos="0"/>
        </w:tabs>
        <w:rPr>
          <w:rFonts w:asciiTheme="majorHAnsi" w:hAnsiTheme="majorHAnsi" w:cstheme="majorHAnsi"/>
          <w:sz w:val="22"/>
          <w:szCs w:val="22"/>
        </w:rPr>
      </w:pPr>
      <w:r>
        <w:rPr>
          <w:rFonts w:asciiTheme="majorHAnsi" w:hAnsiTheme="majorHAnsi" w:cstheme="majorHAnsi"/>
          <w:sz w:val="22"/>
          <w:szCs w:val="22"/>
        </w:rPr>
        <w:t>não tiver sua exequibilidade demonstrada, quando exigido pela Administração;</w:t>
      </w:r>
    </w:p>
    <w:p w14:paraId="23E780CF">
      <w:pPr>
        <w:pStyle w:val="72"/>
        <w:tabs>
          <w:tab w:val="left" w:pos="0"/>
        </w:tabs>
        <w:rPr>
          <w:rFonts w:asciiTheme="majorHAnsi" w:hAnsiTheme="majorHAnsi" w:cstheme="majorHAnsi"/>
          <w:sz w:val="22"/>
          <w:szCs w:val="22"/>
          <w:highlight w:val="yellow"/>
        </w:rPr>
      </w:pPr>
      <w:r>
        <w:rPr>
          <w:rFonts w:asciiTheme="majorHAnsi" w:hAnsiTheme="majorHAnsi" w:cstheme="majorHAnsi"/>
          <w:sz w:val="22"/>
          <w:szCs w:val="22"/>
          <w:highlight w:val="yellow"/>
        </w:rPr>
        <w:t>não cumpra os critérios de aceitabilidade de preços definidos no Termo de Referência;</w:t>
      </w:r>
    </w:p>
    <w:p w14:paraId="03455441">
      <w:pPr>
        <w:pStyle w:val="72"/>
        <w:tabs>
          <w:tab w:val="left" w:pos="0"/>
        </w:tabs>
        <w:rPr>
          <w:rFonts w:asciiTheme="majorHAnsi" w:hAnsiTheme="majorHAnsi" w:cstheme="majorHAnsi"/>
          <w:sz w:val="22"/>
          <w:szCs w:val="22"/>
        </w:rPr>
      </w:pPr>
      <w:r>
        <w:rPr>
          <w:rFonts w:asciiTheme="majorHAnsi" w:hAnsiTheme="majorHAnsi" w:cstheme="majorHAnsi"/>
          <w:sz w:val="22"/>
          <w:szCs w:val="22"/>
        </w:rPr>
        <w:t>apresentar desconformidade com quaisquer outras exigências deste Edital ou seus anexos, desde que insanável.</w:t>
      </w:r>
    </w:p>
    <w:p w14:paraId="15BDE6EE">
      <w:pPr>
        <w:pStyle w:val="70"/>
        <w:numPr>
          <w:ilvl w:val="1"/>
          <w:numId w:val="2"/>
        </w:numPr>
        <w:tabs>
          <w:tab w:val="left" w:pos="0"/>
        </w:tabs>
        <w:ind w:left="0" w:firstLine="0"/>
        <w:rPr>
          <w:rFonts w:asciiTheme="majorHAnsi" w:hAnsiTheme="majorHAnsi" w:cstheme="majorHAnsi"/>
          <w:b/>
          <w:bCs/>
        </w:rPr>
      </w:pPr>
      <w:r>
        <w:rPr>
          <w:rFonts w:asciiTheme="majorHAnsi" w:hAnsiTheme="majorHAnsi" w:cstheme="majorHAnsi"/>
        </w:rPr>
        <w:t>No caso de bens e serviços em geral, é indício de inexequibilidade das propostas valores inferiores a 50% (cinquenta por cento) do valor orçado pela Administração.</w:t>
      </w:r>
    </w:p>
    <w:p w14:paraId="3150FD79">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 inexequibilidade, na hipótese de que trata o item anterior, só será considerada após diligência do Pregoeiro/Agente de Contratação/Comissão, que comprove:</w:t>
      </w:r>
    </w:p>
    <w:p w14:paraId="0B18E09B">
      <w:pPr>
        <w:pStyle w:val="72"/>
        <w:tabs>
          <w:tab w:val="left" w:pos="0"/>
        </w:tabs>
        <w:rPr>
          <w:rFonts w:asciiTheme="majorHAnsi" w:hAnsiTheme="majorHAnsi" w:cstheme="majorHAnsi"/>
          <w:sz w:val="22"/>
          <w:szCs w:val="22"/>
        </w:rPr>
      </w:pPr>
      <w:r>
        <w:rPr>
          <w:rFonts w:asciiTheme="majorHAnsi" w:hAnsiTheme="majorHAnsi" w:cstheme="majorHAnsi"/>
          <w:sz w:val="22"/>
          <w:szCs w:val="22"/>
        </w:rPr>
        <w:t>que o custo do licitante ultrapassa o valor da proposta; e</w:t>
      </w:r>
    </w:p>
    <w:p w14:paraId="546D3F06">
      <w:pPr>
        <w:pStyle w:val="72"/>
        <w:tabs>
          <w:tab w:val="left" w:pos="0"/>
        </w:tabs>
        <w:rPr>
          <w:rFonts w:asciiTheme="majorHAnsi" w:hAnsiTheme="majorHAnsi" w:cstheme="majorHAnsi"/>
          <w:sz w:val="22"/>
          <w:szCs w:val="22"/>
        </w:rPr>
      </w:pPr>
      <w:r>
        <w:rPr>
          <w:rFonts w:asciiTheme="majorHAnsi" w:hAnsiTheme="majorHAnsi" w:cstheme="majorHAnsi"/>
          <w:sz w:val="22"/>
          <w:szCs w:val="22"/>
        </w:rPr>
        <w:t>inexistirem custos de oportunidade capazes de justificar o vulto da oferta.</w:t>
      </w:r>
    </w:p>
    <w:p w14:paraId="7E17A32A">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Se houver indícios de inexequibilidade da proposta de preço, ou em caso da necessidade de esclarecimentos complementares, poderão ser efetuadas diligências, para que o licitante comprove a exequibilidade da proposta.</w:t>
      </w:r>
    </w:p>
    <w:p w14:paraId="6BDB883A">
      <w:pPr>
        <w:pStyle w:val="70"/>
        <w:numPr>
          <w:ilvl w:val="1"/>
          <w:numId w:val="2"/>
        </w:numPr>
        <w:tabs>
          <w:tab w:val="left" w:pos="0"/>
        </w:tabs>
        <w:ind w:left="0" w:firstLine="0"/>
        <w:rPr>
          <w:rFonts w:asciiTheme="majorHAnsi" w:hAnsiTheme="majorHAnsi" w:cstheme="majorHAnsi"/>
          <w:b/>
        </w:rPr>
      </w:pPr>
      <w:r>
        <w:rPr>
          <w:rFonts w:asciiTheme="majorHAnsi" w:hAnsiTheme="majorHAnsi" w:cstheme="majorHAnsi"/>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0061094">
      <w:pPr>
        <w:pStyle w:val="72"/>
        <w:tabs>
          <w:tab w:val="left" w:pos="0"/>
        </w:tabs>
        <w:rPr>
          <w:rFonts w:asciiTheme="majorHAnsi" w:hAnsiTheme="majorHAnsi" w:cstheme="majorHAnsi"/>
          <w:sz w:val="22"/>
          <w:szCs w:val="22"/>
        </w:rPr>
      </w:pPr>
      <w:r>
        <w:rPr>
          <w:rFonts w:asciiTheme="majorHAnsi" w:hAnsiTheme="majorHAnsi" w:cstheme="majorHAnsi"/>
          <w:sz w:val="22"/>
          <w:szCs w:val="22"/>
        </w:rPr>
        <w:t>O ajuste de que trata este dispositivo se limita a sanar erros ou falhas que não alterem a substância das propostas;</w:t>
      </w:r>
    </w:p>
    <w:p w14:paraId="63B6F32D">
      <w:pPr>
        <w:pStyle w:val="72"/>
        <w:tabs>
          <w:tab w:val="left" w:pos="0"/>
        </w:tabs>
        <w:rPr>
          <w:rFonts w:asciiTheme="majorHAnsi" w:hAnsiTheme="majorHAnsi" w:cstheme="majorHAnsi"/>
          <w:sz w:val="22"/>
          <w:szCs w:val="22"/>
        </w:rPr>
      </w:pPr>
      <w:r>
        <w:rPr>
          <w:rFonts w:asciiTheme="majorHAnsi" w:hAnsiTheme="majorHAnsi" w:cstheme="majorHAnsi"/>
          <w:sz w:val="22"/>
          <w:szCs w:val="22"/>
        </w:rPr>
        <w:t>Considera-se erro no preenchimento da planilha passível de correção a indicação de recolhimento de impostos e contribuições na forma do Simples Nacional, quando não cabível esse regime.</w:t>
      </w:r>
    </w:p>
    <w:p w14:paraId="7C9BF763">
      <w:pPr>
        <w:pStyle w:val="70"/>
        <w:numPr>
          <w:ilvl w:val="1"/>
          <w:numId w:val="2"/>
        </w:numPr>
        <w:tabs>
          <w:tab w:val="left" w:pos="0"/>
        </w:tabs>
        <w:ind w:left="0" w:firstLine="0"/>
        <w:rPr>
          <w:rFonts w:asciiTheme="majorHAnsi" w:hAnsiTheme="majorHAnsi" w:cstheme="majorHAnsi"/>
          <w:b/>
        </w:rPr>
      </w:pPr>
      <w:r>
        <w:rPr>
          <w:rFonts w:asciiTheme="majorHAnsi" w:hAnsiTheme="majorHAnsi" w:cstheme="majorHAnsi"/>
        </w:rPr>
        <w:t>Para fins de análise da proposta quanto ao cumprimento das especificações do objeto, poderá ser colhida a manifestação escrita do setor requisitante do serviço ou da área especializada no objeto.</w:t>
      </w:r>
    </w:p>
    <w:p w14:paraId="066E7C57">
      <w:pPr>
        <w:pStyle w:val="70"/>
        <w:numPr>
          <w:ilvl w:val="1"/>
          <w:numId w:val="2"/>
        </w:numPr>
        <w:tabs>
          <w:tab w:val="left" w:pos="0"/>
        </w:tabs>
        <w:ind w:left="0" w:firstLine="0"/>
        <w:rPr>
          <w:rFonts w:asciiTheme="majorHAnsi" w:hAnsiTheme="majorHAnsi" w:cstheme="majorHAnsi"/>
          <w:b/>
        </w:rPr>
      </w:pPr>
      <w:bookmarkStart w:id="49" w:name="_Hlk190267203"/>
      <w:r>
        <w:rPr>
          <w:rFonts w:asciiTheme="majorHAnsi" w:hAnsiTheme="majorHAnsi" w:cstheme="majorHAnsi"/>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9"/>
    <w:p w14:paraId="57A4D452">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Caso o Termo de Referência/Projeto Básico exija a apresentação de amostra, o licitante classificado em primeiro lugar deverá apresentá-la, conforme disciplinado no Termo de Referência, sob pena de não aceitação da proposta.</w:t>
      </w:r>
    </w:p>
    <w:p w14:paraId="697228E6">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Por meio de mensagem no sistema, será divulgado o local e horário de realização do procedimento para a avaliação das amostras, cuja presença será facultada a todos os interessados, incluindo os demais licitantes.</w:t>
      </w:r>
    </w:p>
    <w:p w14:paraId="5B97FAF6">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resultados das avaliações serão divulgados por meio de mensagem no sistema.</w:t>
      </w:r>
    </w:p>
    <w:p w14:paraId="70838F6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02221D32">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71C6BD7C">
      <w:pPr>
        <w:pStyle w:val="70"/>
        <w:numPr>
          <w:ilvl w:val="0"/>
          <w:numId w:val="0"/>
        </w:numPr>
        <w:tabs>
          <w:tab w:val="left" w:pos="0"/>
        </w:tabs>
        <w:rPr>
          <w:rFonts w:asciiTheme="majorHAnsi" w:hAnsiTheme="majorHAnsi" w:cstheme="majorHAnsi"/>
        </w:rPr>
      </w:pPr>
    </w:p>
    <w:p w14:paraId="70603256">
      <w:pPr>
        <w:pStyle w:val="53"/>
        <w:tabs>
          <w:tab w:val="left" w:pos="0"/>
          <w:tab w:val="clear" w:pos="567"/>
        </w:tabs>
        <w:spacing w:line="360" w:lineRule="auto"/>
        <w:ind w:left="0" w:firstLine="0"/>
        <w:rPr>
          <w:rFonts w:asciiTheme="majorHAnsi" w:hAnsiTheme="majorHAnsi" w:cstheme="majorHAnsi"/>
          <w:sz w:val="22"/>
          <w:szCs w:val="22"/>
        </w:rPr>
      </w:pPr>
      <w:bookmarkStart w:id="50" w:name="_Toc193719198"/>
      <w:bookmarkStart w:id="51" w:name="_Toc135469202"/>
      <w:r>
        <w:rPr>
          <w:rFonts w:asciiTheme="majorHAnsi" w:hAnsiTheme="majorHAnsi" w:cstheme="majorHAnsi"/>
          <w:sz w:val="22"/>
          <w:szCs w:val="22"/>
        </w:rPr>
        <w:t>DA FASE DE HABILITAÇÃO</w:t>
      </w:r>
      <w:bookmarkEnd w:id="50"/>
      <w:bookmarkEnd w:id="51"/>
    </w:p>
    <w:p w14:paraId="3577FA90">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documentos previstos no Termo de Referência, necessários e suficientes para demonstrar a capacidade do licitante de realizar o objeto da licitação, serão exigidos para fins de habilitação, nos termos dos arts. 62 a 70 da Lei nº 14.133, de 2021.</w:t>
      </w:r>
    </w:p>
    <w:p w14:paraId="56D440C0">
      <w:pPr>
        <w:pStyle w:val="72"/>
        <w:tabs>
          <w:tab w:val="left" w:pos="0"/>
        </w:tabs>
        <w:rPr>
          <w:rFonts w:asciiTheme="majorHAnsi" w:hAnsiTheme="majorHAnsi" w:cstheme="majorHAnsi"/>
          <w:i/>
          <w:iCs/>
          <w:sz w:val="22"/>
          <w:szCs w:val="22"/>
        </w:rPr>
      </w:pPr>
      <w:bookmarkStart w:id="52" w:name="_Ref114663777"/>
      <w:r>
        <w:rPr>
          <w:rFonts w:asciiTheme="majorHAnsi" w:hAnsiTheme="majorHAnsi" w:cstheme="majorHAnsi"/>
          <w:sz w:val="22"/>
          <w:szCs w:val="22"/>
        </w:rPr>
        <w:t xml:space="preserve">A documentação exigida para fins de habilitação jurídica, fiscal, social e trabalhista e econômico-ﬁnanceira, </w:t>
      </w:r>
      <w:r>
        <w:rPr>
          <w:rFonts w:asciiTheme="majorHAnsi" w:hAnsiTheme="majorHAnsi" w:cstheme="majorHAnsi"/>
          <w:color w:val="auto"/>
          <w:sz w:val="22"/>
          <w:szCs w:val="22"/>
        </w:rPr>
        <w:t xml:space="preserve">poderá </w:t>
      </w:r>
      <w:r>
        <w:rPr>
          <w:rFonts w:asciiTheme="majorHAnsi" w:hAnsiTheme="majorHAnsi" w:cstheme="majorHAnsi"/>
          <w:sz w:val="22"/>
          <w:szCs w:val="22"/>
        </w:rPr>
        <w:t>ser substituída pelo registro cadastral no SICAF.</w:t>
      </w:r>
      <w:bookmarkEnd w:id="52"/>
    </w:p>
    <w:p w14:paraId="27C4E8CF">
      <w:pPr>
        <w:pStyle w:val="70"/>
        <w:numPr>
          <w:ilvl w:val="1"/>
          <w:numId w:val="2"/>
        </w:numPr>
        <w:tabs>
          <w:tab w:val="left" w:pos="0"/>
        </w:tabs>
        <w:ind w:left="0" w:firstLine="0"/>
        <w:rPr>
          <w:rFonts w:asciiTheme="majorHAnsi" w:hAnsiTheme="majorHAnsi" w:cstheme="majorHAnsi"/>
          <w:i/>
        </w:rPr>
      </w:pPr>
      <w:r>
        <w:rPr>
          <w:rFonts w:asciiTheme="majorHAnsi" w:hAnsiTheme="majorHAnsi" w:cstheme="majorHAnsi"/>
        </w:rPr>
        <w:t>Quando permitida a participação de empresas estrangeiras que não funcionem no País, as exigências de habilitação serão atendidas mediante documentos equivalentes, inicialmente apresentados em tradução livre.</w:t>
      </w:r>
    </w:p>
    <w:p w14:paraId="4824059F">
      <w:pPr>
        <w:pStyle w:val="70"/>
        <w:numPr>
          <w:ilvl w:val="1"/>
          <w:numId w:val="2"/>
        </w:numPr>
        <w:tabs>
          <w:tab w:val="left" w:pos="0"/>
        </w:tabs>
        <w:ind w:left="0" w:firstLine="0"/>
        <w:rPr>
          <w:rFonts w:asciiTheme="majorHAnsi" w:hAnsiTheme="majorHAnsi" w:cstheme="majorHAnsi"/>
          <w:i/>
          <w:iCs/>
        </w:rPr>
      </w:pPr>
      <w:r>
        <w:rPr>
          <w:rFonts w:asciiTheme="majorHAnsi" w:hAnsiTheme="majorHAnsi" w:cstheme="majorHAnsi"/>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8F875FC">
      <w:pPr>
        <w:pStyle w:val="70"/>
        <w:numPr>
          <w:ilvl w:val="1"/>
          <w:numId w:val="2"/>
        </w:numPr>
        <w:tabs>
          <w:tab w:val="left" w:pos="0"/>
        </w:tabs>
        <w:ind w:left="0" w:firstLine="0"/>
        <w:rPr>
          <w:rFonts w:asciiTheme="majorHAnsi" w:hAnsiTheme="majorHAnsi" w:cstheme="majorHAnsi"/>
          <w:i/>
        </w:rPr>
      </w:pPr>
      <w:r>
        <w:rPr>
          <w:rFonts w:asciiTheme="majorHAnsi" w:hAnsiTheme="majorHAnsi" w:cstheme="majorHAns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ED31A7D">
      <w:pPr>
        <w:pStyle w:val="72"/>
        <w:tabs>
          <w:tab w:val="left" w:pos="0"/>
        </w:tabs>
        <w:rPr>
          <w:rFonts w:asciiTheme="majorHAnsi" w:hAnsiTheme="majorHAnsi" w:cstheme="majorHAnsi"/>
          <w:i/>
          <w:iCs/>
          <w:sz w:val="22"/>
          <w:szCs w:val="22"/>
        </w:rPr>
      </w:pPr>
      <w:r>
        <w:rPr>
          <w:rFonts w:asciiTheme="majorHAnsi" w:hAnsiTheme="majorHAnsi" w:cstheme="majorHAnsi"/>
          <w:sz w:val="22"/>
          <w:szCs w:val="22"/>
        </w:rPr>
        <w:t xml:space="preserve">Se o consórcio não for formado integralmente por microempresas ou empresas de pequeno porte e o Termo de Referência exigir requisitos de habilitação econômico-financeira, haverá um acréscimo de </w:t>
      </w:r>
      <w:r>
        <w:rPr>
          <w:rFonts w:asciiTheme="majorHAnsi" w:hAnsiTheme="majorHAnsi" w:cstheme="majorHAnsi"/>
          <w:color w:val="FF0000"/>
          <w:sz w:val="22"/>
          <w:szCs w:val="22"/>
        </w:rPr>
        <w:t xml:space="preserve">10% </w:t>
      </w:r>
      <w:r>
        <w:rPr>
          <w:rFonts w:asciiTheme="majorHAnsi" w:hAnsiTheme="majorHAnsi" w:cstheme="majorHAnsi"/>
          <w:sz w:val="22"/>
          <w:szCs w:val="22"/>
        </w:rPr>
        <w:t>para o consórcio em relação ao valor exigido para os licitantes individuais.</w:t>
      </w:r>
    </w:p>
    <w:p w14:paraId="63AC145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documentos exigidos para fins de habilitação poderão ser apresentados em original ou por cópia.</w:t>
      </w:r>
    </w:p>
    <w:p w14:paraId="5B95FD4A">
      <w:pPr>
        <w:pStyle w:val="70"/>
        <w:numPr>
          <w:ilvl w:val="1"/>
          <w:numId w:val="2"/>
        </w:numPr>
        <w:tabs>
          <w:tab w:val="left" w:pos="0"/>
        </w:tabs>
        <w:ind w:left="0" w:firstLine="0"/>
        <w:rPr>
          <w:rFonts w:asciiTheme="majorHAnsi" w:hAnsiTheme="majorHAnsi" w:cstheme="majorHAnsi"/>
          <w:i/>
        </w:rPr>
      </w:pPr>
      <w:r>
        <w:rPr>
          <w:rFonts w:asciiTheme="majorHAnsi" w:hAnsiTheme="majorHAnsi" w:cstheme="majorHAnsi"/>
        </w:rPr>
        <w:t>Os documentos exigidos para fins de habilitação poderão ser substituídos por registro cadastral emitido por órgão ou entidade pública, desde que o registro tenha sido feito em obediência ao disposto na Lei nº 14.133, de 2021.</w:t>
      </w:r>
    </w:p>
    <w:p w14:paraId="2422E0FE">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Será verificado se o licitante apresentou declaração de que atende aos requisitos de habilitação, e o declarante responderá pela veracidade das informações prestadas, na forma da lei.</w:t>
      </w:r>
    </w:p>
    <w:p w14:paraId="691E3355">
      <w:pPr>
        <w:pStyle w:val="70"/>
        <w:numPr>
          <w:ilvl w:val="1"/>
          <w:numId w:val="2"/>
        </w:numPr>
        <w:tabs>
          <w:tab w:val="left" w:pos="0"/>
        </w:tabs>
        <w:ind w:left="0" w:firstLine="0"/>
        <w:rPr>
          <w:rFonts w:asciiTheme="majorHAnsi" w:hAnsiTheme="majorHAnsi" w:cstheme="majorHAnsi"/>
          <w:i/>
        </w:rPr>
      </w:pPr>
      <w:r>
        <w:rPr>
          <w:rFonts w:asciiTheme="majorHAnsi" w:hAnsiTheme="majorHAnsi" w:cstheme="maj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6A43386">
      <w:pPr>
        <w:pStyle w:val="70"/>
        <w:numPr>
          <w:ilvl w:val="1"/>
          <w:numId w:val="2"/>
        </w:numPr>
        <w:tabs>
          <w:tab w:val="left" w:pos="0"/>
        </w:tabs>
        <w:ind w:left="0" w:firstLine="0"/>
        <w:rPr>
          <w:rFonts w:asciiTheme="majorHAnsi" w:hAnsiTheme="majorHAnsi" w:cstheme="majorHAnsi"/>
          <w:i/>
        </w:rPr>
      </w:pPr>
      <w:r>
        <w:rPr>
          <w:rFonts w:asciiTheme="majorHAnsi" w:hAnsiTheme="majorHAnsi" w:cstheme="majorHAnsi"/>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5967E2">
      <w:pPr>
        <w:pStyle w:val="70"/>
        <w:numPr>
          <w:ilvl w:val="1"/>
          <w:numId w:val="2"/>
        </w:numPr>
        <w:tabs>
          <w:tab w:val="left" w:pos="0"/>
        </w:tabs>
        <w:ind w:left="0" w:firstLine="0"/>
        <w:rPr>
          <w:rFonts w:asciiTheme="majorHAnsi" w:hAnsiTheme="majorHAnsi" w:cstheme="majorHAnsi"/>
          <w:i/>
        </w:rPr>
      </w:pPr>
      <w:r>
        <w:rPr>
          <w:rFonts w:asciiTheme="majorHAnsi" w:hAnsiTheme="majorHAnsi" w:cstheme="majorHAnsi"/>
        </w:rPr>
        <w:t>A habilitação será verificada por meio do Sicaf, nos documentos por ele abrangidos.</w:t>
      </w:r>
    </w:p>
    <w:p w14:paraId="14F31887">
      <w:pPr>
        <w:pStyle w:val="72"/>
        <w:tabs>
          <w:tab w:val="left" w:pos="0"/>
        </w:tabs>
        <w:rPr>
          <w:rFonts w:asciiTheme="majorHAnsi" w:hAnsiTheme="majorHAnsi" w:cstheme="majorHAnsi"/>
          <w:sz w:val="22"/>
          <w:szCs w:val="22"/>
        </w:rPr>
      </w:pPr>
      <w:r>
        <w:rPr>
          <w:rFonts w:asciiTheme="majorHAns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4D00BB33">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301A6A4C">
      <w:pPr>
        <w:pStyle w:val="72"/>
        <w:tabs>
          <w:tab w:val="left" w:pos="0"/>
        </w:tabs>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006CA620">
      <w:pPr>
        <w:pStyle w:val="70"/>
        <w:numPr>
          <w:ilvl w:val="1"/>
          <w:numId w:val="2"/>
        </w:numPr>
        <w:tabs>
          <w:tab w:val="left" w:pos="0"/>
        </w:tabs>
        <w:ind w:left="0" w:firstLine="0"/>
        <w:rPr>
          <w:rFonts w:asciiTheme="majorHAnsi" w:hAnsiTheme="majorHAnsi" w:cstheme="majorHAnsi"/>
          <w:i/>
          <w:iCs/>
        </w:rPr>
      </w:pPr>
      <w:r>
        <w:rPr>
          <w:rFonts w:asciiTheme="majorHAnsi" w:hAnsiTheme="majorHAnsi" w:cstheme="majorHAnsi"/>
        </w:rPr>
        <w:t>A verificação pelo Pregoeiro/Agente de Contratação/Comissão, em sítios eletrônicos oficiais de órgãos e entidades emissores de certidões constitui meio legal de prova, para fins de habilitação.</w:t>
      </w:r>
    </w:p>
    <w:p w14:paraId="632DDC29">
      <w:pPr>
        <w:pStyle w:val="72"/>
        <w:tabs>
          <w:tab w:val="left" w:pos="0"/>
        </w:tabs>
        <w:rPr>
          <w:rFonts w:asciiTheme="majorHAnsi" w:hAnsiTheme="majorHAnsi" w:cstheme="majorHAnsi"/>
          <w:i/>
          <w:iCs/>
          <w:sz w:val="22"/>
          <w:szCs w:val="22"/>
        </w:rPr>
      </w:pPr>
      <w:bookmarkStart w:id="53" w:name="_Ref114663151"/>
      <w:r>
        <w:rPr>
          <w:rFonts w:asciiTheme="majorHAnsi" w:hAnsiTheme="majorHAnsi" w:cstheme="majorHAnsi"/>
          <w:sz w:val="22"/>
          <w:szCs w:val="22"/>
        </w:rPr>
        <w:t xml:space="preserve">Os documentos exigidos para habilitação que não estejam contemplados no Sicaf serão enviados por meio do sistema, em formato digital, no prazo de </w:t>
      </w:r>
      <w:r>
        <w:rPr>
          <w:rFonts w:asciiTheme="majorHAnsi" w:hAnsiTheme="majorHAnsi" w:cstheme="majorHAnsi"/>
          <w:color w:val="FF0000"/>
          <w:sz w:val="22"/>
          <w:szCs w:val="22"/>
        </w:rPr>
        <w:t>DUAS HORAS</w:t>
      </w:r>
      <w:r>
        <w:rPr>
          <w:rFonts w:asciiTheme="majorHAnsi" w:hAnsiTheme="majorHAnsi" w:cstheme="majorHAnsi"/>
          <w:sz w:val="22"/>
          <w:szCs w:val="22"/>
        </w:rPr>
        <w:t>, prorrogável por igual período, contado da solicitação do Pregoeiro/Agente de Contratação/Comissão.</w:t>
      </w:r>
      <w:bookmarkEnd w:id="53"/>
    </w:p>
    <w:p w14:paraId="7163F61F">
      <w:pPr>
        <w:pStyle w:val="70"/>
        <w:numPr>
          <w:ilvl w:val="1"/>
          <w:numId w:val="2"/>
        </w:numPr>
        <w:tabs>
          <w:tab w:val="left" w:pos="0"/>
        </w:tabs>
        <w:ind w:left="0" w:firstLine="0"/>
        <w:rPr>
          <w:rFonts w:asciiTheme="majorHAnsi" w:hAnsiTheme="majorHAnsi" w:cstheme="majorHAnsi"/>
          <w:i/>
        </w:rPr>
      </w:pPr>
      <w:r>
        <w:rPr>
          <w:rFonts w:asciiTheme="majorHAnsi" w:hAnsiTheme="majorHAnsi" w:cstheme="majorHAnsi"/>
        </w:rPr>
        <w:t>A verificação no Sicaf ou a exigência dos documentos nele não contidos somente será feita em relação ao licitante vencedor.</w:t>
      </w:r>
    </w:p>
    <w:p w14:paraId="22E5F7C7">
      <w:pPr>
        <w:pStyle w:val="72"/>
        <w:tabs>
          <w:tab w:val="left" w:pos="0"/>
        </w:tabs>
        <w:rPr>
          <w:rFonts w:asciiTheme="majorHAnsi" w:hAnsiTheme="majorHAnsi" w:cstheme="majorHAnsi"/>
          <w:sz w:val="22"/>
          <w:szCs w:val="22"/>
        </w:rPr>
      </w:pPr>
      <w:r>
        <w:rPr>
          <w:rFonts w:asciiTheme="majorHAnsi" w:hAnsiTheme="majorHAnsi" w:cstheme="majorHAnsi"/>
          <w:sz w:val="22"/>
          <w:szCs w:val="22"/>
        </w:rPr>
        <w:t>Os documentos relativos à regularidade fiscal que constem do Termo de Referência somente serão exigidos, em qualquer caso, em momento posterior ao julgamento das propostas, e apenas do licitante mais bem classificado.</w:t>
      </w:r>
    </w:p>
    <w:p w14:paraId="6B5F5226">
      <w:pPr>
        <w:pStyle w:val="72"/>
        <w:tabs>
          <w:tab w:val="left" w:pos="0"/>
        </w:tabs>
        <w:rPr>
          <w:rFonts w:asciiTheme="majorHAnsi" w:hAnsiTheme="majorHAnsi" w:cstheme="majorHAnsi"/>
          <w:sz w:val="22"/>
          <w:szCs w:val="22"/>
        </w:rPr>
      </w:pPr>
      <w:r>
        <w:rPr>
          <w:rFonts w:asciiTheme="majorHAnsi" w:hAnsiTheme="majorHAnsi" w:cstheme="majorHAnsi"/>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2DF793C">
      <w:pPr>
        <w:pStyle w:val="70"/>
        <w:numPr>
          <w:ilvl w:val="1"/>
          <w:numId w:val="2"/>
        </w:numPr>
        <w:tabs>
          <w:tab w:val="left" w:pos="0"/>
        </w:tabs>
        <w:ind w:left="0" w:firstLine="0"/>
        <w:rPr>
          <w:rFonts w:asciiTheme="majorHAnsi" w:hAnsiTheme="majorHAnsi" w:cstheme="majorHAnsi"/>
          <w:i/>
        </w:rPr>
      </w:pPr>
      <w:bookmarkStart w:id="54" w:name="_Hlk192001272"/>
      <w:r>
        <w:rPr>
          <w:rFonts w:asciiTheme="majorHAnsi" w:hAnsiTheme="majorHAnsi" w:cstheme="majorHAnsi"/>
        </w:rPr>
        <w:t xml:space="preserve">Encerrado o prazo para envio da documentação de que trata o 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rFonts w:asciiTheme="majorHAnsi" w:hAnsiTheme="majorHAnsi" w:cstheme="majorHAnsi"/>
          <w:color w:val="FF0000"/>
        </w:rPr>
        <w:t>DUAS HORAS</w:t>
      </w:r>
      <w:r>
        <w:rPr>
          <w:rFonts w:asciiTheme="majorHAnsi" w:hAnsiTheme="majorHAnsi" w:cstheme="majorHAnsi"/>
        </w:rPr>
        <w:t>, para:</w:t>
      </w:r>
    </w:p>
    <w:p w14:paraId="123ACF56">
      <w:pPr>
        <w:pStyle w:val="72"/>
        <w:tabs>
          <w:tab w:val="left" w:pos="0"/>
        </w:tabs>
        <w:rPr>
          <w:rFonts w:asciiTheme="majorHAnsi" w:hAnsiTheme="majorHAnsi" w:cstheme="majorHAnsi"/>
          <w:i/>
          <w:sz w:val="22"/>
          <w:szCs w:val="22"/>
        </w:rPr>
      </w:pPr>
      <w:r>
        <w:rPr>
          <w:rFonts w:asciiTheme="majorHAnsi" w:hAnsiTheme="majorHAnsi" w:cstheme="majorHAnsi"/>
          <w:sz w:val="22"/>
          <w:szCs w:val="22"/>
        </w:rPr>
        <w:t>a aferição das condições de habilitação do licitante, desde que decorrentes de fatos existentes à época da abertura do certame;</w:t>
      </w:r>
    </w:p>
    <w:p w14:paraId="7530D63A">
      <w:pPr>
        <w:pStyle w:val="72"/>
        <w:tabs>
          <w:tab w:val="left" w:pos="0"/>
        </w:tabs>
        <w:rPr>
          <w:rFonts w:asciiTheme="majorHAnsi" w:hAnsiTheme="majorHAnsi" w:cstheme="majorHAnsi"/>
          <w:i/>
          <w:sz w:val="22"/>
          <w:szCs w:val="22"/>
        </w:rPr>
      </w:pPr>
      <w:r>
        <w:rPr>
          <w:rFonts w:asciiTheme="majorHAnsi" w:hAnsiTheme="majorHAnsi" w:cstheme="majorHAnsi"/>
          <w:sz w:val="22"/>
          <w:szCs w:val="22"/>
        </w:rPr>
        <w:t>atualização de documentos cuja validade tenha expirado após a data de recebimento das propostas;</w:t>
      </w:r>
    </w:p>
    <w:p w14:paraId="6D9773EA">
      <w:pPr>
        <w:pStyle w:val="72"/>
        <w:tabs>
          <w:tab w:val="left" w:pos="0"/>
        </w:tabs>
        <w:rPr>
          <w:rFonts w:asciiTheme="majorHAnsi" w:hAnsiTheme="majorHAnsi" w:cstheme="majorHAnsi"/>
          <w:i/>
          <w:sz w:val="22"/>
          <w:szCs w:val="22"/>
        </w:rPr>
      </w:pPr>
      <w:r>
        <w:rPr>
          <w:rFonts w:asciiTheme="majorHAnsi" w:hAnsiTheme="majorHAnsi" w:cstheme="majorHAnsi"/>
          <w:sz w:val="22"/>
          <w:szCs w:val="22"/>
        </w:rPr>
        <w:t>suprimento da ausência de documento de cunho declaratório emitido unilateralmente pelo licitante;</w:t>
      </w:r>
    </w:p>
    <w:p w14:paraId="6646DA28">
      <w:pPr>
        <w:pStyle w:val="72"/>
        <w:tabs>
          <w:tab w:val="left" w:pos="0"/>
        </w:tabs>
        <w:rPr>
          <w:rFonts w:asciiTheme="majorHAnsi" w:hAnsiTheme="majorHAnsi" w:cstheme="majorHAnsi"/>
          <w:i/>
          <w:sz w:val="22"/>
          <w:szCs w:val="22"/>
        </w:rPr>
      </w:pPr>
      <w:r>
        <w:rPr>
          <w:rFonts w:asciiTheme="majorHAnsi" w:hAnsiTheme="majorHAnsi" w:cstheme="majorHAnsi"/>
          <w:sz w:val="22"/>
          <w:szCs w:val="22"/>
        </w:rPr>
        <w:t xml:space="preserve"> suprimento da ausência de certidão e/ou documento de cunho declaratório expedido por órgão ou entidade cujos atos gozem de presunção de veracidade e fé pública.</w:t>
      </w:r>
    </w:p>
    <w:p w14:paraId="472C1E00">
      <w:pPr>
        <w:pStyle w:val="70"/>
        <w:numPr>
          <w:ilvl w:val="1"/>
          <w:numId w:val="2"/>
        </w:numPr>
        <w:tabs>
          <w:tab w:val="left" w:pos="0"/>
        </w:tabs>
        <w:ind w:left="0" w:firstLine="0"/>
        <w:rPr>
          <w:rFonts w:asciiTheme="majorHAnsi" w:hAnsiTheme="majorHAnsi" w:cstheme="majorHAnsi"/>
          <w:i/>
        </w:rPr>
      </w:pPr>
      <w:r>
        <w:rPr>
          <w:rFonts w:asciiTheme="majorHAnsi" w:hAnsiTheme="majorHAnsi" w:cstheme="majorHAnsi"/>
        </w:rPr>
        <w:t xml:space="preserve">Findo o prazo assinalado sem o envio da nova documentação, restará preclusa essa oportunidade conferida ao licitante, implicando sua inabilitação. </w:t>
      </w:r>
    </w:p>
    <w:bookmarkEnd w:id="54"/>
    <w:p w14:paraId="0287CE4E">
      <w:pPr>
        <w:pStyle w:val="70"/>
        <w:numPr>
          <w:ilvl w:val="1"/>
          <w:numId w:val="2"/>
        </w:numPr>
        <w:tabs>
          <w:tab w:val="left" w:pos="0"/>
        </w:tabs>
        <w:ind w:left="0" w:firstLine="0"/>
        <w:rPr>
          <w:rFonts w:asciiTheme="majorHAnsi" w:hAnsiTheme="majorHAnsi" w:cstheme="majorHAnsi"/>
        </w:rPr>
      </w:pPr>
      <w:bookmarkStart w:id="55" w:name="_Ref114670319"/>
      <w:r>
        <w:rPr>
          <w:rFonts w:asciiTheme="majorHAnsi" w:hAnsiTheme="majorHAnsi" w:cstheme="majorHAnsi"/>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5"/>
    </w:p>
    <w:p w14:paraId="2F0233D2">
      <w:pPr>
        <w:pStyle w:val="70"/>
        <w:numPr>
          <w:ilvl w:val="1"/>
          <w:numId w:val="2"/>
        </w:numPr>
        <w:tabs>
          <w:tab w:val="left" w:pos="0"/>
        </w:tabs>
        <w:ind w:left="0" w:firstLine="0"/>
        <w:rPr>
          <w:rFonts w:asciiTheme="majorHAnsi" w:hAnsiTheme="majorHAnsi" w:cstheme="majorHAnsi"/>
        </w:rPr>
      </w:pPr>
      <w:bookmarkStart w:id="56" w:name="_Ref114665528"/>
      <w:r>
        <w:rPr>
          <w:rFonts w:asciiTheme="majorHAnsi" w:hAnsiTheme="majorHAnsi" w:cstheme="majorHAnsi"/>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w:t>
      </w:r>
      <w:bookmarkEnd w:id="56"/>
    </w:p>
    <w:p w14:paraId="028ABC96">
      <w:pPr>
        <w:pStyle w:val="70"/>
        <w:numPr>
          <w:ilvl w:val="1"/>
          <w:numId w:val="2"/>
        </w:numPr>
        <w:tabs>
          <w:tab w:val="left" w:pos="0"/>
        </w:tabs>
        <w:ind w:left="0" w:firstLine="0"/>
        <w:rPr>
          <w:rFonts w:asciiTheme="majorHAnsi" w:hAnsiTheme="majorHAnsi" w:cstheme="majorHAnsi"/>
        </w:rPr>
      </w:pPr>
      <w:bookmarkStart w:id="57" w:name="_Ref114665515"/>
      <w:r>
        <w:rPr>
          <w:rFonts w:asciiTheme="majorHAnsi" w:hAnsiTheme="majorHAnsi" w:cstheme="majorHAnsi"/>
        </w:rPr>
        <w:t>Somente serão disponibilizados para acesso público os documentos de habilitação do licitante cuja proposta atenda ao edital de licitação, após concluídos os procedimentos de que trata o subitem anterior</w:t>
      </w:r>
      <w:bookmarkEnd w:id="57"/>
      <w:r>
        <w:rPr>
          <w:rFonts w:asciiTheme="majorHAnsi" w:hAnsiTheme="majorHAnsi" w:cstheme="majorHAnsi"/>
        </w:rPr>
        <w:t>.</w:t>
      </w:r>
    </w:p>
    <w:p w14:paraId="1F7180F0">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 comprovação de regularidade fiscal e trabalhista das microempresas e das empresas de pequeno porte somente será exigida para efeito de contratação, e não como condição para participação na licitação.</w:t>
      </w:r>
    </w:p>
    <w:p w14:paraId="606C44BD">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Quando a fase de habilitação anteceder a de julgamento e já tiver sido encerrada, não caberá exclusão de licitante por motivo relacionado à habilitação, salvo em razão de fatos supervenientes ou só conhecidos após o julgamento.</w:t>
      </w:r>
    </w:p>
    <w:p w14:paraId="3495F76E">
      <w:pPr>
        <w:pStyle w:val="70"/>
        <w:numPr>
          <w:ilvl w:val="0"/>
          <w:numId w:val="0"/>
        </w:numPr>
        <w:tabs>
          <w:tab w:val="left" w:pos="0"/>
        </w:tabs>
        <w:rPr>
          <w:rFonts w:asciiTheme="majorHAnsi" w:hAnsiTheme="majorHAnsi" w:cstheme="majorHAnsi"/>
        </w:rPr>
      </w:pPr>
    </w:p>
    <w:p w14:paraId="7841F898">
      <w:pPr>
        <w:pStyle w:val="53"/>
        <w:tabs>
          <w:tab w:val="left" w:pos="0"/>
          <w:tab w:val="clear" w:pos="567"/>
        </w:tabs>
        <w:spacing w:line="360" w:lineRule="auto"/>
        <w:ind w:left="0" w:firstLine="0"/>
        <w:rPr>
          <w:rFonts w:asciiTheme="majorHAnsi" w:hAnsiTheme="majorHAnsi" w:cstheme="majorHAnsi"/>
          <w:sz w:val="22"/>
          <w:szCs w:val="22"/>
        </w:rPr>
      </w:pPr>
      <w:bookmarkStart w:id="58" w:name="_Toc193719199"/>
      <w:r>
        <w:rPr>
          <w:rFonts w:asciiTheme="majorHAnsi" w:hAnsiTheme="majorHAnsi" w:cstheme="majorHAnsi"/>
          <w:sz w:val="22"/>
          <w:szCs w:val="22"/>
        </w:rPr>
        <w:t>DO TERMO DE CONTRATO</w:t>
      </w:r>
      <w:bookmarkEnd w:id="58"/>
    </w:p>
    <w:p w14:paraId="15EAE3E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Após a homologação e adjudicação, caso se conclua pela contratação, será firmado termo de contrato, ou outro instrumento equivalente.</w:t>
      </w:r>
    </w:p>
    <w:p w14:paraId="6F367C38">
      <w:pPr>
        <w:pStyle w:val="70"/>
        <w:numPr>
          <w:ilvl w:val="1"/>
          <w:numId w:val="2"/>
        </w:numPr>
        <w:tabs>
          <w:tab w:val="left" w:pos="0"/>
        </w:tabs>
        <w:ind w:left="0" w:firstLine="0"/>
        <w:rPr>
          <w:rFonts w:asciiTheme="majorHAnsi" w:hAnsiTheme="majorHAnsi" w:cstheme="majorHAnsi"/>
        </w:rPr>
      </w:pPr>
      <w:bookmarkStart w:id="59" w:name="_Ref167884937"/>
      <w:r>
        <w:rPr>
          <w:rFonts w:asciiTheme="majorHAnsi" w:hAnsiTheme="majorHAnsi" w:cstheme="majorHAnsi"/>
        </w:rPr>
        <w:t xml:space="preserve">O adjudicatário terá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contados a partir da data de sua convocação, para assinar o termo de contrato ou instrumento equivalente, sob pena de decair o direito à contratação, sem prejuízo das sanções previstas neste Edital.</w:t>
      </w:r>
      <w:bookmarkEnd w:id="59"/>
    </w:p>
    <w:p w14:paraId="184865FC">
      <w:pPr>
        <w:pStyle w:val="70"/>
        <w:numPr>
          <w:ilvl w:val="1"/>
          <w:numId w:val="2"/>
        </w:numPr>
        <w:tabs>
          <w:tab w:val="left" w:pos="0"/>
        </w:tabs>
        <w:ind w:left="0" w:firstLine="0"/>
        <w:rPr>
          <w:rFonts w:asciiTheme="majorHAnsi" w:hAnsiTheme="majorHAnsi" w:cstheme="majorHAnsi"/>
        </w:rPr>
      </w:pPr>
      <w:bookmarkStart w:id="60" w:name="_Ref167884958"/>
      <w:r>
        <w:rPr>
          <w:rFonts w:asciiTheme="majorHAnsi" w:hAnsiTheme="majorHAnsi" w:cstheme="majorHAnsi"/>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a contar da data de seu recebimento; b) disponibilizar acesso a sistema de processo eletrônico para que seja assinado digitalmente em até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ou c) outro meio eletrônico, assegurado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para resposta após recebimento da notificação pela Administração.</w:t>
      </w:r>
      <w:bookmarkEnd w:id="60"/>
    </w:p>
    <w:p w14:paraId="2C7D2EEB">
      <w:pPr>
        <w:pStyle w:val="70"/>
        <w:numPr>
          <w:ilvl w:val="1"/>
          <w:numId w:val="2"/>
        </w:numPr>
        <w:tabs>
          <w:tab w:val="left" w:pos="0"/>
        </w:tabs>
        <w:ind w:left="0" w:firstLine="0"/>
        <w:rPr>
          <w:rFonts w:asciiTheme="majorHAnsi" w:hAnsiTheme="majorHAnsi" w:cstheme="majorHAnsi"/>
          <w:color w:val="FF0000"/>
        </w:rPr>
      </w:pPr>
      <w:r>
        <w:rPr>
          <w:rFonts w:asciiTheme="majorHAnsi" w:hAnsiTheme="majorHAnsi" w:cstheme="majorHAnsi"/>
          <w:color w:val="FF0000"/>
        </w:rPr>
        <w:t>O Aceite da Nota de Empenho ou do instrumento equivalente, emitida ao fornecedor adjudicado, implica o reconhecimento de que:</w:t>
      </w:r>
    </w:p>
    <w:p w14:paraId="597DB3F4">
      <w:pPr>
        <w:pStyle w:val="118"/>
        <w:tabs>
          <w:tab w:val="left" w:pos="0"/>
        </w:tabs>
        <w:rPr>
          <w:rFonts w:asciiTheme="majorHAnsi" w:hAnsiTheme="majorHAnsi" w:cstheme="majorHAnsi"/>
          <w:sz w:val="22"/>
          <w:szCs w:val="22"/>
        </w:rPr>
      </w:pPr>
      <w:r>
        <w:rPr>
          <w:rFonts w:asciiTheme="majorHAnsi" w:hAnsiTheme="majorHAnsi" w:cstheme="majorHAnsi"/>
          <w:sz w:val="22"/>
          <w:szCs w:val="22"/>
        </w:rPr>
        <w:t xml:space="preserve">referida Nota está substituindo o contrato, aplicando-se à relação de negócios ali estabelecida as disposições da </w:t>
      </w:r>
      <w:r>
        <w:rPr>
          <w:rFonts w:eastAsia="Arial" w:asciiTheme="majorHAnsi" w:hAnsiTheme="majorHAnsi" w:cstheme="majorHAnsi"/>
          <w:sz w:val="22"/>
          <w:szCs w:val="22"/>
        </w:rPr>
        <w:t>Lei nº 14.133, de 2021</w:t>
      </w:r>
      <w:r>
        <w:rPr>
          <w:rFonts w:asciiTheme="majorHAnsi" w:hAnsiTheme="majorHAnsi" w:cstheme="majorHAnsi"/>
          <w:sz w:val="22"/>
          <w:szCs w:val="22"/>
        </w:rPr>
        <w:t>;</w:t>
      </w:r>
    </w:p>
    <w:p w14:paraId="466D7587">
      <w:pPr>
        <w:pStyle w:val="118"/>
        <w:tabs>
          <w:tab w:val="left" w:pos="0"/>
        </w:tabs>
        <w:rPr>
          <w:rFonts w:asciiTheme="majorHAnsi" w:hAnsiTheme="majorHAnsi" w:cstheme="majorHAnsi"/>
          <w:sz w:val="22"/>
          <w:szCs w:val="22"/>
        </w:rPr>
      </w:pPr>
      <w:r>
        <w:rPr>
          <w:rFonts w:asciiTheme="majorHAnsi" w:hAnsiTheme="majorHAnsi" w:cstheme="majorHAnsi"/>
          <w:sz w:val="22"/>
          <w:szCs w:val="22"/>
        </w:rPr>
        <w:t>a contratada se vincula à sua proposta e às previsões contidas neste Edital;</w:t>
      </w:r>
    </w:p>
    <w:p w14:paraId="7042865F">
      <w:pPr>
        <w:pStyle w:val="118"/>
        <w:tabs>
          <w:tab w:val="left" w:pos="0"/>
        </w:tabs>
        <w:rPr>
          <w:rFonts w:asciiTheme="majorHAnsi" w:hAnsiTheme="majorHAnsi" w:cstheme="majorHAnsi"/>
          <w:sz w:val="22"/>
          <w:szCs w:val="22"/>
        </w:rPr>
      </w:pPr>
      <w:r>
        <w:rPr>
          <w:rFonts w:asciiTheme="majorHAnsi" w:hAnsiTheme="majorHAnsi" w:cstheme="majorHAnsi"/>
          <w:sz w:val="22"/>
          <w:szCs w:val="22"/>
        </w:rPr>
        <w:t xml:space="preserve">a contratada reconhece que as hipóteses de rescisão são aquelas previstas nos </w:t>
      </w:r>
      <w:r>
        <w:rPr>
          <w:rFonts w:eastAsia="Arial" w:asciiTheme="majorHAnsi" w:hAnsiTheme="majorHAnsi" w:cstheme="majorHAnsi"/>
          <w:sz w:val="22"/>
          <w:szCs w:val="22"/>
        </w:rPr>
        <w:t>artigos 137 e 138 da Lei nº 14.133, de 2021</w:t>
      </w:r>
      <w:r>
        <w:rPr>
          <w:rFonts w:asciiTheme="majorHAnsi" w:hAnsiTheme="majorHAnsi" w:cstheme="majorHAnsi"/>
          <w:sz w:val="22"/>
          <w:szCs w:val="22"/>
        </w:rPr>
        <w:t xml:space="preserve"> e reconhece os direitos da Administração previstos nos </w:t>
      </w:r>
      <w:r>
        <w:rPr>
          <w:rFonts w:eastAsia="Arial" w:asciiTheme="majorHAnsi" w:hAnsiTheme="majorHAnsi" w:cstheme="majorHAnsi"/>
          <w:sz w:val="22"/>
          <w:szCs w:val="22"/>
        </w:rPr>
        <w:t>artigos 137 a 139 da mesma Lei</w:t>
      </w:r>
      <w:r>
        <w:rPr>
          <w:rFonts w:asciiTheme="majorHAnsi" w:hAnsiTheme="majorHAnsi" w:cstheme="majorHAnsi"/>
          <w:sz w:val="22"/>
          <w:szCs w:val="22"/>
        </w:rPr>
        <w:t>.</w:t>
      </w:r>
    </w:p>
    <w:p w14:paraId="4329CB8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Os prazos dos itens </w:t>
      </w:r>
      <w:r>
        <w:rPr>
          <w:rFonts w:asciiTheme="majorHAnsi" w:hAnsiTheme="majorHAnsi" w:cstheme="majorHAnsi"/>
        </w:rPr>
        <w:fldChar w:fldCharType="begin"/>
      </w:r>
      <w:r>
        <w:rPr>
          <w:rFonts w:asciiTheme="majorHAnsi" w:hAnsiTheme="majorHAnsi" w:cstheme="majorHAnsi"/>
        </w:rPr>
        <w:instrText xml:space="preserve"> REF _Ref167884937 \r \h  \* MERGEFORMAT </w:instrText>
      </w:r>
      <w:r>
        <w:rPr>
          <w:rFonts w:asciiTheme="majorHAnsi" w:hAnsiTheme="majorHAnsi" w:cstheme="majorHAnsi"/>
        </w:rPr>
        <w:fldChar w:fldCharType="separate"/>
      </w:r>
      <w:r>
        <w:rPr>
          <w:rFonts w:asciiTheme="majorHAnsi" w:hAnsiTheme="majorHAnsi" w:cstheme="majorHAnsi"/>
        </w:rPr>
        <w:t>10.2</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_Ref167884958 \r \h  \* MERGEFORMAT </w:instrText>
      </w:r>
      <w:r>
        <w:rPr>
          <w:rFonts w:asciiTheme="majorHAnsi" w:hAnsiTheme="majorHAnsi" w:cstheme="majorHAnsi"/>
        </w:rPr>
        <w:fldChar w:fldCharType="separate"/>
      </w:r>
      <w:r>
        <w:rPr>
          <w:rFonts w:asciiTheme="majorHAnsi" w:hAnsiTheme="majorHAnsi" w:cstheme="majorHAnsi"/>
        </w:rPr>
        <w:t>10.3</w:t>
      </w:r>
      <w:r>
        <w:rPr>
          <w:rFonts w:asciiTheme="majorHAnsi" w:hAnsiTheme="majorHAnsi" w:cstheme="majorHAnsi"/>
        </w:rPr>
        <w:fldChar w:fldCharType="end"/>
      </w:r>
      <w:r>
        <w:rPr>
          <w:rFonts w:asciiTheme="majorHAnsi" w:hAnsiTheme="majorHAnsi" w:cstheme="majorHAnsi"/>
        </w:rPr>
        <w:t xml:space="preserve"> poderão ser prorrogados, por igual período, por solicitação justificada do adjudicatário e aceita pela Administração.</w:t>
      </w:r>
    </w:p>
    <w:p w14:paraId="35727607">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prazo de vigência da contratação é o estabelecido no Termo de Referência.</w:t>
      </w:r>
    </w:p>
    <w:p w14:paraId="0326BEE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076DEB8">
      <w:pPr>
        <w:pStyle w:val="72"/>
        <w:tabs>
          <w:tab w:val="left" w:pos="0"/>
        </w:tabs>
        <w:rPr>
          <w:rFonts w:asciiTheme="majorHAnsi" w:hAnsiTheme="majorHAnsi" w:cstheme="majorHAnsi"/>
          <w:sz w:val="22"/>
          <w:szCs w:val="22"/>
        </w:rPr>
      </w:pPr>
      <w:r>
        <w:rPr>
          <w:rFonts w:asciiTheme="majorHAnsi" w:hAnsiTheme="majorHAnsi" w:cstheme="majorHAnsi"/>
          <w:sz w:val="22"/>
          <w:szCs w:val="22"/>
        </w:rPr>
        <w:t>A existência de registro no Cadin constitui fator impeditivo para a contratação.</w:t>
      </w:r>
    </w:p>
    <w:p w14:paraId="6B4AE5CD">
      <w:pPr>
        <w:pStyle w:val="72"/>
        <w:numPr>
          <w:ilvl w:val="0"/>
          <w:numId w:val="0"/>
        </w:numPr>
        <w:tabs>
          <w:tab w:val="left" w:pos="0"/>
        </w:tabs>
        <w:rPr>
          <w:rFonts w:asciiTheme="majorHAnsi" w:hAnsiTheme="majorHAnsi" w:cstheme="majorHAnsi"/>
          <w:sz w:val="22"/>
          <w:szCs w:val="22"/>
        </w:rPr>
      </w:pPr>
    </w:p>
    <w:p w14:paraId="335ED9B6">
      <w:pPr>
        <w:pStyle w:val="53"/>
        <w:tabs>
          <w:tab w:val="left" w:pos="0"/>
          <w:tab w:val="clear" w:pos="567"/>
        </w:tabs>
        <w:spacing w:line="360" w:lineRule="auto"/>
        <w:ind w:left="0" w:firstLine="0"/>
        <w:rPr>
          <w:rFonts w:asciiTheme="majorHAnsi" w:hAnsiTheme="majorHAnsi" w:cstheme="majorHAnsi"/>
          <w:sz w:val="22"/>
          <w:szCs w:val="22"/>
          <w:highlight w:val="cyan"/>
        </w:rPr>
      </w:pPr>
      <w:bookmarkStart w:id="61" w:name="_Toc193719200"/>
      <w:bookmarkStart w:id="62" w:name="_Toc135469203"/>
      <w:r>
        <w:rPr>
          <w:rFonts w:asciiTheme="majorHAnsi" w:hAnsiTheme="majorHAnsi" w:cstheme="majorHAnsi"/>
          <w:sz w:val="22"/>
          <w:szCs w:val="22"/>
          <w:highlight w:val="cyan"/>
        </w:rPr>
        <w:t>DA ATA DE REGISTRO DE PREÇOS</w:t>
      </w:r>
      <w:bookmarkEnd w:id="61"/>
      <w:bookmarkEnd w:id="62"/>
    </w:p>
    <w:p w14:paraId="58D2E5AB">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 xml:space="preserve">Homologado o resultado da licitação, o licitante mais bem classificado terá o prazo de </w:t>
      </w:r>
      <w:r>
        <w:rPr>
          <w:rFonts w:eastAsia="Arial" w:asciiTheme="majorHAnsi" w:hAnsiTheme="majorHAnsi" w:cstheme="majorHAnsi"/>
          <w:b/>
          <w:bCs/>
          <w:color w:val="FF0000"/>
          <w:highlight w:val="cyan"/>
        </w:rPr>
        <w:t>05</w:t>
      </w:r>
      <w:r>
        <w:rPr>
          <w:rFonts w:asciiTheme="majorHAnsi" w:hAnsiTheme="majorHAnsi" w:cstheme="majorHAnsi"/>
          <w:b/>
          <w:color w:val="FF0000"/>
          <w:highlight w:val="cyan"/>
        </w:rPr>
        <w:t xml:space="preserve"> (cinco) dias</w:t>
      </w:r>
      <w:r>
        <w:rPr>
          <w:rFonts w:asciiTheme="majorHAnsi" w:hAnsiTheme="majorHAnsi" w:cstheme="majorHAnsi"/>
          <w:b/>
          <w:highlight w:val="cyan"/>
        </w:rPr>
        <w:t>,</w:t>
      </w:r>
      <w:r>
        <w:rPr>
          <w:rFonts w:asciiTheme="majorHAnsi" w:hAnsiTheme="majorHAnsi" w:cstheme="majorHAnsi"/>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2DC1C70F">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O prazo de convocação poderá ser prorrogado uma vez, por igual período, mediante solicitação do licitante mais bem classificado ou do fornecedor convocado, desde que:</w:t>
      </w:r>
    </w:p>
    <w:p w14:paraId="7DFE608A">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a solicitação seja devidamente justificada e apresentada dentro do prazo; e</w:t>
      </w:r>
    </w:p>
    <w:p w14:paraId="22CA8306">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a justificativa apresentada seja aceita pela Administração.</w:t>
      </w:r>
    </w:p>
    <w:p w14:paraId="4E113E71">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A ata de registro de preços será assinada por meio de assinatura digital e disponibilizada no sistema de registro de preços.</w:t>
      </w:r>
    </w:p>
    <w:p w14:paraId="069556E9">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14:paraId="2A33E4AA">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O preço registrado, com a indicação dos fornecedores, será divulgado no PNCP e disponibilizado durante a vigência da ata de registro de preços.</w:t>
      </w:r>
    </w:p>
    <w:p w14:paraId="23D81431">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38B6BC0">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6B17753">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O prazo de vigência da ata de registro de preços será de 1 (um) ano e poderá ser prorrogado, por igual período, desde que comprovado o preço vantajoso.</w:t>
      </w:r>
    </w:p>
    <w:p w14:paraId="613B6512">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 xml:space="preserve">Em caso de prorrogação da ata, </w:t>
      </w:r>
      <w:r>
        <w:rPr>
          <w:rFonts w:asciiTheme="majorHAnsi" w:hAnsiTheme="majorHAnsi" w:cstheme="majorHAnsi"/>
          <w:b/>
          <w:bCs/>
          <w:i/>
          <w:iCs/>
          <w:color w:val="FF0000"/>
          <w:sz w:val="22"/>
          <w:szCs w:val="22"/>
          <w:highlight w:val="cyan"/>
        </w:rPr>
        <w:t xml:space="preserve">[poderá] </w:t>
      </w:r>
      <w:r>
        <w:rPr>
          <w:rFonts w:asciiTheme="majorHAnsi" w:hAnsiTheme="majorHAnsi" w:cstheme="majorHAnsi"/>
          <w:sz w:val="22"/>
          <w:szCs w:val="22"/>
          <w:highlight w:val="cyan"/>
        </w:rPr>
        <w:t>ser renovado o quantitativo originalmente registrado.</w:t>
      </w:r>
    </w:p>
    <w:p w14:paraId="3EA14D0A">
      <w:pPr>
        <w:pStyle w:val="72"/>
        <w:numPr>
          <w:ilvl w:val="0"/>
          <w:numId w:val="0"/>
        </w:numPr>
        <w:tabs>
          <w:tab w:val="left" w:pos="0"/>
        </w:tabs>
        <w:rPr>
          <w:rFonts w:asciiTheme="majorHAnsi" w:hAnsiTheme="majorHAnsi" w:cstheme="majorHAnsi"/>
          <w:sz w:val="22"/>
          <w:szCs w:val="22"/>
          <w:highlight w:val="yellow"/>
        </w:rPr>
      </w:pPr>
    </w:p>
    <w:p w14:paraId="4D1548E1">
      <w:pPr>
        <w:pStyle w:val="53"/>
        <w:tabs>
          <w:tab w:val="left" w:pos="0"/>
          <w:tab w:val="clear" w:pos="567"/>
        </w:tabs>
        <w:spacing w:line="360" w:lineRule="auto"/>
        <w:ind w:left="0" w:firstLine="0"/>
        <w:rPr>
          <w:rFonts w:asciiTheme="majorHAnsi" w:hAnsiTheme="majorHAnsi" w:cstheme="majorHAnsi"/>
          <w:sz w:val="22"/>
          <w:szCs w:val="22"/>
          <w:highlight w:val="cyan"/>
        </w:rPr>
      </w:pPr>
      <w:bookmarkStart w:id="63" w:name="_Toc193719201"/>
      <w:bookmarkStart w:id="64" w:name="_Toc135469204"/>
      <w:r>
        <w:rPr>
          <w:rFonts w:asciiTheme="majorHAnsi" w:hAnsiTheme="majorHAnsi" w:cstheme="majorHAnsi"/>
          <w:sz w:val="22"/>
          <w:szCs w:val="22"/>
          <w:highlight w:val="cyan"/>
        </w:rPr>
        <w:t>DA FORMAÇÃO DO CADASTRO DE RESERVA</w:t>
      </w:r>
      <w:bookmarkEnd w:id="63"/>
      <w:bookmarkEnd w:id="64"/>
      <w:r>
        <w:rPr>
          <w:rFonts w:asciiTheme="majorHAnsi" w:hAnsiTheme="majorHAnsi" w:cstheme="majorHAnsi"/>
          <w:sz w:val="22"/>
          <w:szCs w:val="22"/>
          <w:highlight w:val="cyan"/>
        </w:rPr>
        <w:t xml:space="preserve"> </w:t>
      </w:r>
    </w:p>
    <w:p w14:paraId="4499CE2F">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Após a homologação da licitação, será incluído na ata, na forma de anexo, o registro:</w:t>
      </w:r>
    </w:p>
    <w:p w14:paraId="5B87B0DF">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 xml:space="preserve">dos licitantes </w:t>
      </w:r>
      <w:bookmarkStart w:id="65" w:name="_Hlk132991372"/>
      <w:r>
        <w:rPr>
          <w:rFonts w:asciiTheme="majorHAnsi" w:hAnsiTheme="majorHAnsi" w:cstheme="majorHAnsi"/>
          <w:sz w:val="22"/>
          <w:szCs w:val="22"/>
          <w:highlight w:val="cyan"/>
        </w:rPr>
        <w:t xml:space="preserve">que </w:t>
      </w:r>
      <w:bookmarkStart w:id="66" w:name="_Hlk132989696"/>
      <w:r>
        <w:rPr>
          <w:rFonts w:asciiTheme="majorHAnsi" w:hAnsiTheme="majorHAnsi" w:cstheme="majorHAnsi"/>
          <w:sz w:val="22"/>
          <w:szCs w:val="22"/>
          <w:highlight w:val="cyan"/>
        </w:rPr>
        <w:t>aceitarem cotar o objeto com preço igual ao do adjudicatári</w:t>
      </w:r>
      <w:bookmarkEnd w:id="65"/>
      <w:r>
        <w:rPr>
          <w:rFonts w:asciiTheme="majorHAnsi" w:hAnsiTheme="majorHAnsi" w:cstheme="majorHAnsi"/>
          <w:sz w:val="22"/>
          <w:szCs w:val="22"/>
          <w:highlight w:val="cyan"/>
        </w:rPr>
        <w:t>o</w:t>
      </w:r>
      <w:bookmarkEnd w:id="66"/>
      <w:r>
        <w:rPr>
          <w:rFonts w:asciiTheme="majorHAnsi" w:hAnsiTheme="majorHAnsi" w:cstheme="majorHAnsi"/>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7F994601">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dos licitantes que mantiverem sua proposta original</w:t>
      </w:r>
    </w:p>
    <w:p w14:paraId="361FA341">
      <w:pPr>
        <w:pStyle w:val="70"/>
        <w:numPr>
          <w:ilvl w:val="1"/>
          <w:numId w:val="2"/>
        </w:numPr>
        <w:tabs>
          <w:tab w:val="left" w:pos="0"/>
        </w:tabs>
        <w:ind w:left="0" w:firstLine="0"/>
        <w:rPr>
          <w:rFonts w:asciiTheme="majorHAnsi" w:hAnsiTheme="majorHAnsi" w:cstheme="majorHAnsi"/>
          <w:i/>
          <w:highlight w:val="cyan"/>
        </w:rPr>
      </w:pPr>
      <w:r>
        <w:rPr>
          <w:rFonts w:asciiTheme="majorHAnsi" w:hAnsiTheme="majorHAnsi" w:cstheme="majorHAnsi"/>
          <w:highlight w:val="cyan"/>
        </w:rPr>
        <w:t>Será respeitada, nas contratações, a ordem de classificação dos licitantes ou fornecedores registrados na ata.</w:t>
      </w:r>
    </w:p>
    <w:p w14:paraId="76C6B712">
      <w:pPr>
        <w:pStyle w:val="72"/>
        <w:tabs>
          <w:tab w:val="left" w:pos="0"/>
        </w:tabs>
        <w:rPr>
          <w:rFonts w:asciiTheme="majorHAnsi" w:hAnsiTheme="majorHAnsi" w:cstheme="majorHAnsi"/>
          <w:i/>
          <w:sz w:val="22"/>
          <w:szCs w:val="22"/>
          <w:highlight w:val="cyan"/>
        </w:rPr>
      </w:pPr>
      <w:r>
        <w:rPr>
          <w:rFonts w:asciiTheme="majorHAnsi" w:hAnsiTheme="majorHAnsi" w:cstheme="majorHAnsi"/>
          <w:sz w:val="22"/>
          <w:szCs w:val="22"/>
          <w:highlight w:val="cyan"/>
        </w:rPr>
        <w:t>A apresentação de novas propostas na forma deste item não prejudicará o resultado do certame em relação ao licitante mais bem classificado.</w:t>
      </w:r>
    </w:p>
    <w:p w14:paraId="406A322A">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Para fins da ordem de classificação, os licitantes ou fornecedores que aceitarem cotar o objeto com preço igual ao do adjudicatário antecederão aqueles que mantiverem sua proposta original.</w:t>
      </w:r>
    </w:p>
    <w:p w14:paraId="45133C37">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A habilitação dos licitantes que comporão o cadastro de reserva será efetuada quando houver necessidade de contratação dos licitantes remanescentes, nas seguintes hipóteses:</w:t>
      </w:r>
    </w:p>
    <w:p w14:paraId="0DF9E459">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quando o licitante vencedor não assinar a ata de registro de preços no prazo e nas condições estabelecidos no edital; ou</w:t>
      </w:r>
    </w:p>
    <w:p w14:paraId="46B9E00E">
      <w:pPr>
        <w:pStyle w:val="72"/>
        <w:tabs>
          <w:tab w:val="left" w:pos="0"/>
        </w:tabs>
        <w:rPr>
          <w:rFonts w:eastAsia="Times New Roman" w:asciiTheme="majorHAnsi" w:hAnsiTheme="majorHAnsi" w:cstheme="majorHAnsi"/>
          <w:sz w:val="22"/>
          <w:szCs w:val="22"/>
          <w:highlight w:val="cyan"/>
        </w:rPr>
      </w:pPr>
      <w:r>
        <w:rPr>
          <w:rFonts w:asciiTheme="majorHAnsi" w:hAnsiTheme="majorHAnsi" w:cstheme="majorHAnsi"/>
          <w:sz w:val="22"/>
          <w:szCs w:val="22"/>
          <w:highlight w:val="cyan"/>
        </w:rPr>
        <w:t>quando houver o cancelamento do registro do fornecedor ou do registro de preços, nas hipóteses previstas nos art. 28 e art. 29 do Decreto nº 11.462, de 2023.</w:t>
      </w:r>
    </w:p>
    <w:p w14:paraId="63D55BFD">
      <w:pPr>
        <w:pStyle w:val="70"/>
        <w:numPr>
          <w:ilvl w:val="1"/>
          <w:numId w:val="2"/>
        </w:numPr>
        <w:tabs>
          <w:tab w:val="left" w:pos="0"/>
        </w:tabs>
        <w:ind w:left="0" w:firstLine="0"/>
        <w:rPr>
          <w:rFonts w:asciiTheme="majorHAnsi" w:hAnsiTheme="majorHAnsi" w:cstheme="majorHAnsi"/>
          <w:highlight w:val="cyan"/>
        </w:rPr>
      </w:pPr>
      <w:r>
        <w:rPr>
          <w:rFonts w:asciiTheme="majorHAnsi" w:hAnsiTheme="majorHAnsi" w:cstheme="majorHAnsi"/>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36F020">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convocar os licitantes que mantiveram sua proposta original para negociação, na ordem de classificação, com vistas à obtenção de preço melhor, mesmo que acima do preço do adjudicatário; ou</w:t>
      </w:r>
    </w:p>
    <w:p w14:paraId="55A6AEBA">
      <w:pPr>
        <w:pStyle w:val="72"/>
        <w:tabs>
          <w:tab w:val="left" w:pos="0"/>
        </w:tabs>
        <w:rPr>
          <w:rFonts w:asciiTheme="majorHAnsi" w:hAnsiTheme="majorHAnsi" w:cstheme="majorHAnsi"/>
          <w:sz w:val="22"/>
          <w:szCs w:val="22"/>
          <w:highlight w:val="cyan"/>
        </w:rPr>
      </w:pPr>
      <w:r>
        <w:rPr>
          <w:rFonts w:asciiTheme="majorHAnsi" w:hAnsiTheme="majorHAnsi" w:cstheme="majorHAnsi"/>
          <w:sz w:val="22"/>
          <w:szCs w:val="22"/>
          <w:highlight w:val="cyan"/>
        </w:rPr>
        <w:t>adjudicar e firmar o contrato nas condições ofertadas pelos licitantes remanescentes, observada a ordem de classificação, quando frustrada a negociação de melhor condição.</w:t>
      </w:r>
    </w:p>
    <w:p w14:paraId="7689EAC3">
      <w:pPr>
        <w:pStyle w:val="72"/>
        <w:numPr>
          <w:ilvl w:val="0"/>
          <w:numId w:val="0"/>
        </w:numPr>
        <w:tabs>
          <w:tab w:val="left" w:pos="0"/>
        </w:tabs>
        <w:rPr>
          <w:rFonts w:asciiTheme="majorHAnsi" w:hAnsiTheme="majorHAnsi" w:cstheme="majorHAnsi"/>
          <w:sz w:val="22"/>
          <w:szCs w:val="22"/>
          <w:highlight w:val="cyan"/>
        </w:rPr>
      </w:pPr>
    </w:p>
    <w:p w14:paraId="240028D6">
      <w:pPr>
        <w:pStyle w:val="53"/>
        <w:tabs>
          <w:tab w:val="left" w:pos="0"/>
          <w:tab w:val="clear" w:pos="567"/>
        </w:tabs>
        <w:spacing w:line="360" w:lineRule="auto"/>
        <w:ind w:left="0" w:firstLine="0"/>
        <w:rPr>
          <w:rFonts w:asciiTheme="majorHAnsi" w:hAnsiTheme="majorHAnsi" w:cstheme="majorHAnsi"/>
          <w:sz w:val="22"/>
          <w:szCs w:val="22"/>
        </w:rPr>
      </w:pPr>
      <w:bookmarkStart w:id="67" w:name="_Toc193719202"/>
      <w:bookmarkStart w:id="68" w:name="_Toc135469205"/>
      <w:r>
        <w:rPr>
          <w:rFonts w:asciiTheme="majorHAnsi" w:hAnsiTheme="majorHAnsi" w:cstheme="majorHAnsi"/>
          <w:sz w:val="22"/>
          <w:szCs w:val="22"/>
        </w:rPr>
        <w:t>DOS RECURSOS</w:t>
      </w:r>
      <w:bookmarkEnd w:id="67"/>
      <w:bookmarkEnd w:id="68"/>
    </w:p>
    <w:p w14:paraId="352B661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\h </w:instrText>
      </w:r>
      <w:r>
        <w:fldChar w:fldCharType="separate"/>
      </w:r>
      <w:r>
        <w:rPr>
          <w:rStyle w:val="15"/>
          <w:rFonts w:asciiTheme="majorHAnsi" w:hAnsiTheme="majorHAnsi" w:cstheme="majorHAnsi"/>
          <w:color w:val="000000" w:themeColor="text1"/>
          <w14:textFill>
            <w14:solidFill>
              <w14:schemeClr w14:val="tx1"/>
            </w14:solidFill>
          </w14:textFill>
        </w:rPr>
        <w:t>art. 165 da Lei nº 14.133, de 2021</w:t>
      </w:r>
      <w:r>
        <w:rPr>
          <w:rStyle w:val="15"/>
          <w:rFonts w:asciiTheme="majorHAnsi" w:hAnsiTheme="majorHAnsi" w:cstheme="majorHAnsi"/>
          <w:color w:val="000000" w:themeColor="text1"/>
          <w14:textFill>
            <w14:solidFill>
              <w14:schemeClr w14:val="tx1"/>
            </w14:solidFill>
          </w14:textFill>
        </w:rPr>
        <w:fldChar w:fldCharType="end"/>
      </w:r>
      <w:r>
        <w:rPr>
          <w:rFonts w:asciiTheme="majorHAnsi" w:hAnsiTheme="majorHAnsi" w:cstheme="majorHAnsi"/>
        </w:rPr>
        <w:t>.</w:t>
      </w:r>
    </w:p>
    <w:p w14:paraId="5CF88414">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prazo recursal é de 3 (três) dias úteis, contados da data de intimação ou de lavratura da ata.</w:t>
      </w:r>
    </w:p>
    <w:p w14:paraId="44EFD98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Quando o recurso apresentado impugnar o julgamento das propostas ou o ato de habilitação ou inabilitação do licitante:</w:t>
      </w:r>
    </w:p>
    <w:p w14:paraId="40798103">
      <w:pPr>
        <w:pStyle w:val="72"/>
        <w:tabs>
          <w:tab w:val="left" w:pos="0"/>
        </w:tabs>
        <w:rPr>
          <w:rFonts w:asciiTheme="majorHAnsi" w:hAnsiTheme="majorHAnsi" w:cstheme="majorHAnsi"/>
          <w:sz w:val="22"/>
          <w:szCs w:val="22"/>
        </w:rPr>
      </w:pPr>
      <w:r>
        <w:rPr>
          <w:rFonts w:asciiTheme="majorHAnsi" w:hAnsiTheme="majorHAnsi" w:cstheme="majorHAnsi"/>
          <w:sz w:val="22"/>
          <w:szCs w:val="22"/>
        </w:rPr>
        <w:t>a intenção de recorrer deverá ser manifestada imediatamente, sob pena de preclusão;</w:t>
      </w:r>
    </w:p>
    <w:p w14:paraId="10572FED">
      <w:pPr>
        <w:pStyle w:val="72"/>
        <w:tabs>
          <w:tab w:val="left" w:pos="0"/>
        </w:tabs>
        <w:rPr>
          <w:rFonts w:asciiTheme="majorHAnsi" w:hAnsiTheme="majorHAnsi" w:cstheme="majorHAnsi"/>
          <w:sz w:val="22"/>
          <w:szCs w:val="22"/>
        </w:rPr>
      </w:pPr>
      <w:bookmarkStart w:id="69" w:name="_Hlk135318381"/>
      <w:bookmarkStart w:id="70" w:name="_Hlk135315794"/>
      <w:r>
        <w:rPr>
          <w:rFonts w:asciiTheme="majorHAnsi" w:hAnsiTheme="majorHAnsi" w:cstheme="majorHAnsi"/>
          <w:sz w:val="22"/>
          <w:szCs w:val="22"/>
        </w:rPr>
        <w:t>o prazo para a manifestação da intenção de recorrer não será inferior a 10 (dez) minutos.</w:t>
      </w:r>
      <w:bookmarkEnd w:id="69"/>
    </w:p>
    <w:bookmarkEnd w:id="70"/>
    <w:p w14:paraId="7BD656C9">
      <w:pPr>
        <w:pStyle w:val="72"/>
        <w:tabs>
          <w:tab w:val="left" w:pos="0"/>
        </w:tabs>
        <w:rPr>
          <w:rFonts w:asciiTheme="majorHAnsi" w:hAnsiTheme="majorHAnsi" w:cstheme="majorHAnsi"/>
          <w:sz w:val="22"/>
          <w:szCs w:val="22"/>
        </w:rPr>
      </w:pPr>
      <w:r>
        <w:rPr>
          <w:rFonts w:asciiTheme="majorHAnsi" w:hAnsiTheme="majorHAnsi" w:cstheme="majorHAnsi"/>
          <w:sz w:val="22"/>
          <w:szCs w:val="22"/>
        </w:rPr>
        <w:t>o prazo para apresentação das razões recursais será iniciado na data de intimação ou de lavratura da ata de habilitação ou inabilitação;</w:t>
      </w:r>
    </w:p>
    <w:p w14:paraId="68CC45FE">
      <w:pPr>
        <w:pStyle w:val="72"/>
        <w:tabs>
          <w:tab w:val="left" w:pos="0"/>
        </w:tabs>
        <w:rPr>
          <w:rFonts w:asciiTheme="majorHAnsi" w:hAnsiTheme="majorHAnsi" w:cstheme="majorHAnsi"/>
          <w:sz w:val="22"/>
          <w:szCs w:val="22"/>
        </w:rPr>
      </w:pPr>
      <w:r>
        <w:rPr>
          <w:rFonts w:asciiTheme="majorHAnsi" w:hAnsiTheme="majorHAnsi" w:cstheme="majorHAnsi"/>
          <w:sz w:val="22"/>
          <w:szCs w:val="22"/>
        </w:rPr>
        <w:t xml:space="preserve">na hipótese de adoção da inversão de fases prevista no </w:t>
      </w:r>
      <w:r>
        <w:fldChar w:fldCharType="begin"/>
      </w:r>
      <w:r>
        <w:instrText xml:space="preserve"> HYPERLINK "http://www.planalto.gov.br/ccivil_03/_ato2019-2022/2021/lei/L14133.htm" \l "art17§1" \h </w:instrText>
      </w:r>
      <w:r>
        <w:fldChar w:fldCharType="separate"/>
      </w:r>
      <w:r>
        <w:rPr>
          <w:rStyle w:val="15"/>
          <w:rFonts w:asciiTheme="majorHAnsi" w:hAnsiTheme="majorHAnsi" w:cstheme="majorHAnsi"/>
          <w:color w:val="000000" w:themeColor="text1"/>
          <w:sz w:val="22"/>
          <w:szCs w:val="22"/>
          <w14:textFill>
            <w14:solidFill>
              <w14:schemeClr w14:val="tx1"/>
            </w14:solidFill>
          </w14:textFill>
        </w:rPr>
        <w:t>§ 1º do art. 17 da Lei nº 14.133, de 2021</w:t>
      </w:r>
      <w:r>
        <w:rPr>
          <w:rStyle w:val="15"/>
          <w:rFonts w:asciiTheme="majorHAnsi" w:hAnsiTheme="majorHAnsi" w:cstheme="majorHAnsi"/>
          <w:color w:val="000000" w:themeColor="text1"/>
          <w:sz w:val="22"/>
          <w:szCs w:val="22"/>
          <w14:textFill>
            <w14:solidFill>
              <w14:schemeClr w14:val="tx1"/>
            </w14:solidFill>
          </w14:textFill>
        </w:rPr>
        <w:fldChar w:fldCharType="end"/>
      </w:r>
      <w:r>
        <w:rPr>
          <w:rFonts w:asciiTheme="majorHAnsi" w:hAnsiTheme="majorHAnsi" w:cstheme="majorHAnsi"/>
          <w:sz w:val="22"/>
          <w:szCs w:val="22"/>
        </w:rPr>
        <w:t>, o prazo para apresentação das razões recursais será iniciado na data de intimação da ata de julgamento.</w:t>
      </w:r>
    </w:p>
    <w:p w14:paraId="7FA60D8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recursos deverão ser encaminhados em campo próprio do sistema.</w:t>
      </w:r>
    </w:p>
    <w:p w14:paraId="20627965">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CD7E0BE">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Os recursos interpostos fora do prazo não serão conhecidos. </w:t>
      </w:r>
    </w:p>
    <w:p w14:paraId="00D5DD0D">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78DF14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recurso e o pedido de reconsideração terão efeito suspensivo do ato ou da decisão recorrida até que sobrevenha decisão final da autoridade competente. </w:t>
      </w:r>
    </w:p>
    <w:p w14:paraId="0B6EC595">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 acolhimento do recurso invalida tão somente os atos insuscetíveis de aproveitamento. </w:t>
      </w:r>
    </w:p>
    <w:p w14:paraId="339EA35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Os autos do processo permanecerão com vista franqueada aos interessados no sítio eletrônico </w:t>
      </w:r>
      <w:r>
        <w:fldChar w:fldCharType="begin"/>
      </w:r>
      <w:r>
        <w:instrText xml:space="preserve"> HYPERLINK "https://sipac.ufba.br/public/jsp/portal.jsf" </w:instrText>
      </w:r>
      <w:r>
        <w:fldChar w:fldCharType="separate"/>
      </w:r>
      <w:r>
        <w:rPr>
          <w:rStyle w:val="15"/>
          <w:rFonts w:asciiTheme="majorHAnsi" w:hAnsiTheme="majorHAnsi" w:cstheme="majorHAnsi"/>
          <w:color w:val="FF0000"/>
        </w:rPr>
        <w:t>https://sipac.ufba.br/public/jsp/portal.jsf</w:t>
      </w:r>
      <w:r>
        <w:rPr>
          <w:rStyle w:val="15"/>
          <w:rFonts w:asciiTheme="majorHAnsi" w:hAnsiTheme="majorHAnsi" w:cstheme="majorHAnsi"/>
          <w:color w:val="FF0000"/>
        </w:rPr>
        <w:fldChar w:fldCharType="end"/>
      </w:r>
    </w:p>
    <w:p w14:paraId="67EDC16C">
      <w:pPr>
        <w:pStyle w:val="70"/>
        <w:numPr>
          <w:ilvl w:val="0"/>
          <w:numId w:val="0"/>
        </w:numPr>
        <w:tabs>
          <w:tab w:val="left" w:pos="0"/>
        </w:tabs>
        <w:rPr>
          <w:rFonts w:asciiTheme="majorHAnsi" w:hAnsiTheme="majorHAnsi" w:cstheme="majorHAnsi"/>
        </w:rPr>
      </w:pPr>
    </w:p>
    <w:p w14:paraId="272228E3">
      <w:pPr>
        <w:pStyle w:val="53"/>
        <w:tabs>
          <w:tab w:val="left" w:pos="0"/>
          <w:tab w:val="clear" w:pos="567"/>
        </w:tabs>
        <w:spacing w:line="360" w:lineRule="auto"/>
        <w:ind w:left="0" w:firstLine="0"/>
        <w:rPr>
          <w:rFonts w:asciiTheme="majorHAnsi" w:hAnsiTheme="majorHAnsi" w:cstheme="majorHAnsi"/>
          <w:sz w:val="22"/>
          <w:szCs w:val="22"/>
        </w:rPr>
      </w:pPr>
      <w:bookmarkStart w:id="71" w:name="_Toc193719203"/>
      <w:bookmarkStart w:id="72" w:name="_Toc135469206"/>
      <w:r>
        <w:rPr>
          <w:rFonts w:asciiTheme="majorHAnsi" w:hAnsiTheme="majorHAnsi" w:cstheme="majorHAnsi"/>
          <w:sz w:val="22"/>
          <w:szCs w:val="22"/>
        </w:rPr>
        <w:t>DAS INFRAÇÕES ADMINISTRATIVAS E SANÇÕES</w:t>
      </w:r>
      <w:bookmarkEnd w:id="71"/>
      <w:bookmarkEnd w:id="72"/>
    </w:p>
    <w:p w14:paraId="648743C3">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Comete infração administrativa, nos termos da lei, o licitante que, com dolo ou culpa: </w:t>
      </w:r>
    </w:p>
    <w:p w14:paraId="343F6BA1">
      <w:pPr>
        <w:pStyle w:val="72"/>
        <w:tabs>
          <w:tab w:val="left" w:pos="0"/>
        </w:tabs>
        <w:rPr>
          <w:rFonts w:asciiTheme="majorHAnsi" w:hAnsiTheme="majorHAnsi" w:cstheme="majorHAnsi"/>
          <w:sz w:val="22"/>
          <w:szCs w:val="22"/>
        </w:rPr>
      </w:pPr>
      <w:bookmarkStart w:id="73" w:name="_Ref114668085"/>
      <w:bookmarkStart w:id="74" w:name="_Hlk114652595"/>
      <w:r>
        <w:rPr>
          <w:rFonts w:asciiTheme="majorHAnsi" w:hAnsiTheme="majorHAnsi" w:cstheme="majorHAnsi"/>
          <w:sz w:val="22"/>
          <w:szCs w:val="22"/>
        </w:rPr>
        <w:t>deixar de entregar a documentação exigida para o certame ou não entregar qualquer documento que tenha sido solicitado pelo Pregoeiro/Agente de Contratação/Comissão durante o certame;</w:t>
      </w:r>
      <w:bookmarkEnd w:id="73"/>
    </w:p>
    <w:p w14:paraId="0010C686">
      <w:pPr>
        <w:pStyle w:val="72"/>
        <w:tabs>
          <w:tab w:val="left" w:pos="0"/>
        </w:tabs>
        <w:rPr>
          <w:rFonts w:asciiTheme="majorHAnsi" w:hAnsiTheme="majorHAnsi" w:cstheme="majorHAnsi"/>
          <w:sz w:val="22"/>
          <w:szCs w:val="22"/>
        </w:rPr>
      </w:pPr>
      <w:bookmarkStart w:id="75" w:name="_Ref114668108"/>
      <w:r>
        <w:rPr>
          <w:rFonts w:asciiTheme="majorHAnsi" w:hAnsiTheme="majorHAnsi" w:cstheme="majorHAnsi"/>
          <w:sz w:val="22"/>
          <w:szCs w:val="22"/>
        </w:rPr>
        <w:t>salvo em decorrência de fato superveniente devidamente justificado, não mantiver a proposta em especial quando:</w:t>
      </w:r>
      <w:bookmarkEnd w:id="75"/>
    </w:p>
    <w:p w14:paraId="1E9CBDA7">
      <w:pPr>
        <w:pStyle w:val="73"/>
        <w:tabs>
          <w:tab w:val="left" w:pos="0"/>
        </w:tabs>
        <w:ind w:left="0"/>
        <w:rPr>
          <w:rFonts w:asciiTheme="majorHAnsi" w:hAnsiTheme="majorHAnsi" w:cstheme="majorHAnsi"/>
          <w:sz w:val="22"/>
          <w:szCs w:val="22"/>
        </w:rPr>
      </w:pPr>
      <w:r>
        <w:rPr>
          <w:rFonts w:asciiTheme="majorHAnsi" w:hAnsiTheme="majorHAnsi" w:cstheme="majorHAnsi"/>
          <w:sz w:val="22"/>
          <w:szCs w:val="22"/>
        </w:rPr>
        <w:t xml:space="preserve">não enviar a proposta adequada ao último lance ofertado ou após a negociação; </w:t>
      </w:r>
    </w:p>
    <w:p w14:paraId="7E246145">
      <w:pPr>
        <w:pStyle w:val="73"/>
        <w:tabs>
          <w:tab w:val="left" w:pos="0"/>
        </w:tabs>
        <w:ind w:left="0"/>
        <w:rPr>
          <w:rFonts w:asciiTheme="majorHAnsi" w:hAnsiTheme="majorHAnsi" w:cstheme="majorHAnsi"/>
          <w:sz w:val="22"/>
          <w:szCs w:val="22"/>
        </w:rPr>
      </w:pPr>
      <w:r>
        <w:rPr>
          <w:rFonts w:asciiTheme="majorHAnsi" w:hAnsiTheme="majorHAnsi" w:cstheme="majorHAnsi"/>
          <w:sz w:val="22"/>
          <w:szCs w:val="22"/>
        </w:rPr>
        <w:t xml:space="preserve">recusar-se a enviar o detalhamento da proposta quando exigível; </w:t>
      </w:r>
    </w:p>
    <w:p w14:paraId="54B484FB">
      <w:pPr>
        <w:pStyle w:val="73"/>
        <w:tabs>
          <w:tab w:val="left" w:pos="0"/>
        </w:tabs>
        <w:ind w:left="0"/>
        <w:rPr>
          <w:rFonts w:asciiTheme="majorHAnsi" w:hAnsiTheme="majorHAnsi" w:cstheme="majorHAnsi"/>
          <w:sz w:val="22"/>
          <w:szCs w:val="22"/>
        </w:rPr>
      </w:pPr>
      <w:r>
        <w:rPr>
          <w:rFonts w:asciiTheme="majorHAnsi" w:hAnsiTheme="majorHAnsi" w:cstheme="majorHAnsi"/>
          <w:sz w:val="22"/>
          <w:szCs w:val="22"/>
        </w:rPr>
        <w:t>pedir para ser desclassificado quando encerrada a etapa competitiva;</w:t>
      </w:r>
    </w:p>
    <w:p w14:paraId="2C5E8732">
      <w:pPr>
        <w:pStyle w:val="73"/>
        <w:tabs>
          <w:tab w:val="left" w:pos="0"/>
        </w:tabs>
        <w:ind w:left="0"/>
        <w:rPr>
          <w:rFonts w:asciiTheme="majorHAnsi" w:hAnsiTheme="majorHAnsi" w:cstheme="majorHAnsi"/>
          <w:sz w:val="22"/>
          <w:szCs w:val="22"/>
        </w:rPr>
      </w:pPr>
      <w:r>
        <w:rPr>
          <w:rFonts w:asciiTheme="majorHAnsi" w:hAnsiTheme="majorHAnsi" w:cstheme="majorHAnsi"/>
          <w:sz w:val="22"/>
          <w:szCs w:val="22"/>
        </w:rPr>
        <w:t>deixar de apresentar amostra;</w:t>
      </w:r>
    </w:p>
    <w:p w14:paraId="4175663A">
      <w:pPr>
        <w:pStyle w:val="73"/>
        <w:tabs>
          <w:tab w:val="left" w:pos="0"/>
        </w:tabs>
        <w:ind w:left="0"/>
        <w:rPr>
          <w:rFonts w:asciiTheme="majorHAnsi" w:hAnsiTheme="majorHAnsi" w:cstheme="majorHAnsi"/>
          <w:sz w:val="22"/>
          <w:szCs w:val="22"/>
        </w:rPr>
      </w:pPr>
      <w:r>
        <w:rPr>
          <w:rFonts w:asciiTheme="majorHAnsi" w:hAnsiTheme="majorHAnsi" w:cstheme="majorHAnsi"/>
          <w:sz w:val="22"/>
          <w:szCs w:val="22"/>
        </w:rPr>
        <w:t>apresentar proposta ou amostra em desacordo com as especificações do edital.</w:t>
      </w:r>
    </w:p>
    <w:p w14:paraId="4FDF8979">
      <w:pPr>
        <w:pStyle w:val="72"/>
        <w:tabs>
          <w:tab w:val="left" w:pos="0"/>
        </w:tabs>
        <w:rPr>
          <w:rFonts w:asciiTheme="majorHAnsi" w:hAnsiTheme="majorHAnsi" w:cstheme="majorHAnsi"/>
          <w:sz w:val="22"/>
          <w:szCs w:val="22"/>
        </w:rPr>
      </w:pPr>
      <w:bookmarkStart w:id="76" w:name="_Ref114668139"/>
      <w:r>
        <w:rPr>
          <w:rFonts w:asciiTheme="majorHAnsi" w:hAnsiTheme="majorHAnsi" w:cstheme="majorHAnsi"/>
          <w:sz w:val="22"/>
          <w:szCs w:val="22"/>
        </w:rPr>
        <w:t>não celebrar o contrato ou não entregar a documentação exigida para a contratação, quando convocado dentro do prazo de validade de sua proposta;</w:t>
      </w:r>
      <w:bookmarkEnd w:id="76"/>
    </w:p>
    <w:p w14:paraId="4DA9CEF5">
      <w:pPr>
        <w:pStyle w:val="72"/>
        <w:tabs>
          <w:tab w:val="left" w:pos="0"/>
        </w:tabs>
        <w:rPr>
          <w:rFonts w:asciiTheme="majorHAnsi" w:hAnsiTheme="majorHAnsi" w:cstheme="majorHAnsi"/>
          <w:sz w:val="22"/>
          <w:szCs w:val="22"/>
        </w:rPr>
      </w:pPr>
      <w:bookmarkStart w:id="77" w:name="_Ref192168045"/>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77"/>
    </w:p>
    <w:p w14:paraId="06756B58">
      <w:pPr>
        <w:pStyle w:val="72"/>
        <w:tabs>
          <w:tab w:val="left" w:pos="0"/>
        </w:tabs>
        <w:rPr>
          <w:rFonts w:asciiTheme="majorHAnsi" w:hAnsiTheme="majorHAnsi" w:cstheme="majorHAnsi"/>
          <w:sz w:val="22"/>
          <w:szCs w:val="22"/>
        </w:rPr>
      </w:pPr>
      <w:bookmarkStart w:id="78" w:name="_Ref114668249"/>
      <w:r>
        <w:rPr>
          <w:rFonts w:asciiTheme="majorHAnsi" w:hAnsiTheme="majorHAnsi" w:cstheme="majorHAnsi"/>
          <w:sz w:val="22"/>
          <w:szCs w:val="22"/>
        </w:rPr>
        <w:t>apresentar declaração ou documentação falsa exigida para o certame ou prestar declaração falsa durante a licitação</w:t>
      </w:r>
      <w:bookmarkEnd w:id="78"/>
      <w:r>
        <w:rPr>
          <w:rFonts w:asciiTheme="majorHAnsi" w:hAnsiTheme="majorHAnsi" w:cstheme="majorHAnsi"/>
          <w:sz w:val="22"/>
          <w:szCs w:val="22"/>
        </w:rPr>
        <w:t>;</w:t>
      </w:r>
    </w:p>
    <w:p w14:paraId="61A3B661">
      <w:pPr>
        <w:pStyle w:val="72"/>
        <w:tabs>
          <w:tab w:val="left" w:pos="0"/>
        </w:tabs>
        <w:rPr>
          <w:rFonts w:asciiTheme="majorHAnsi" w:hAnsiTheme="majorHAnsi" w:cstheme="majorHAnsi"/>
          <w:sz w:val="22"/>
          <w:szCs w:val="22"/>
        </w:rPr>
      </w:pPr>
      <w:bookmarkStart w:id="79" w:name="_Ref114668245"/>
      <w:r>
        <w:rPr>
          <w:rFonts w:asciiTheme="majorHAnsi" w:hAnsiTheme="majorHAnsi" w:cstheme="majorHAnsi"/>
          <w:sz w:val="22"/>
          <w:szCs w:val="22"/>
        </w:rPr>
        <w:t>fraudar a licitação</w:t>
      </w:r>
      <w:bookmarkEnd w:id="79"/>
      <w:r>
        <w:rPr>
          <w:rFonts w:asciiTheme="majorHAnsi" w:hAnsiTheme="majorHAnsi" w:cstheme="majorHAnsi"/>
          <w:sz w:val="22"/>
          <w:szCs w:val="22"/>
        </w:rPr>
        <w:t>;</w:t>
      </w:r>
    </w:p>
    <w:p w14:paraId="609895E8">
      <w:pPr>
        <w:pStyle w:val="72"/>
        <w:tabs>
          <w:tab w:val="left" w:pos="0"/>
        </w:tabs>
        <w:rPr>
          <w:rFonts w:asciiTheme="majorHAnsi" w:hAnsiTheme="majorHAnsi" w:cstheme="majorHAnsi"/>
          <w:sz w:val="22"/>
          <w:szCs w:val="22"/>
        </w:rPr>
      </w:pPr>
      <w:bookmarkStart w:id="80" w:name="_Ref114668247"/>
      <w:r>
        <w:rPr>
          <w:rFonts w:asciiTheme="majorHAnsi" w:hAnsiTheme="majorHAnsi" w:cstheme="majorHAnsi"/>
          <w:sz w:val="22"/>
          <w:szCs w:val="22"/>
        </w:rPr>
        <w:t>comportar-se de modo inidôneo ou cometer fraude de qualquer natureza, em especial quando:</w:t>
      </w:r>
      <w:bookmarkEnd w:id="80"/>
    </w:p>
    <w:p w14:paraId="58BBC9FC">
      <w:pPr>
        <w:pStyle w:val="73"/>
        <w:tabs>
          <w:tab w:val="left" w:pos="0"/>
        </w:tabs>
        <w:ind w:left="0"/>
        <w:rPr>
          <w:rFonts w:asciiTheme="majorHAnsi" w:hAnsiTheme="majorHAnsi" w:cstheme="majorHAnsi"/>
          <w:sz w:val="22"/>
          <w:szCs w:val="22"/>
        </w:rPr>
      </w:pPr>
      <w:r>
        <w:rPr>
          <w:rFonts w:asciiTheme="majorHAnsi" w:hAnsiTheme="majorHAnsi" w:cstheme="majorHAnsi"/>
          <w:sz w:val="22"/>
          <w:szCs w:val="22"/>
        </w:rPr>
        <w:t>agir em conluio ou em desconformidade com a lei;</w:t>
      </w:r>
    </w:p>
    <w:p w14:paraId="3740A72F">
      <w:pPr>
        <w:pStyle w:val="73"/>
        <w:tabs>
          <w:tab w:val="left" w:pos="0"/>
        </w:tabs>
        <w:ind w:left="0"/>
        <w:rPr>
          <w:rFonts w:asciiTheme="majorHAnsi" w:hAnsiTheme="majorHAnsi" w:cstheme="majorHAnsi"/>
          <w:sz w:val="22"/>
          <w:szCs w:val="22"/>
        </w:rPr>
      </w:pPr>
      <w:r>
        <w:rPr>
          <w:rFonts w:asciiTheme="majorHAnsi" w:hAnsiTheme="majorHAnsi" w:cstheme="majorHAnsi"/>
          <w:sz w:val="22"/>
          <w:szCs w:val="22"/>
        </w:rPr>
        <w:t xml:space="preserve">induzir deliberadamente a erro no julgamento; </w:t>
      </w:r>
    </w:p>
    <w:p w14:paraId="465A795C">
      <w:pPr>
        <w:pStyle w:val="73"/>
        <w:tabs>
          <w:tab w:val="left" w:pos="0"/>
        </w:tabs>
        <w:ind w:left="0"/>
        <w:rPr>
          <w:rFonts w:asciiTheme="majorHAnsi" w:hAnsiTheme="majorHAnsi" w:cstheme="majorHAnsi"/>
          <w:sz w:val="22"/>
          <w:szCs w:val="22"/>
        </w:rPr>
      </w:pPr>
      <w:r>
        <w:rPr>
          <w:rFonts w:asciiTheme="majorHAnsi" w:hAnsiTheme="majorHAnsi" w:cstheme="majorHAnsi"/>
          <w:sz w:val="22"/>
          <w:szCs w:val="22"/>
        </w:rPr>
        <w:t>apresentar amostra falsificada ou deteriorada.</w:t>
      </w:r>
    </w:p>
    <w:p w14:paraId="17EE9C9C">
      <w:pPr>
        <w:pStyle w:val="72"/>
        <w:tabs>
          <w:tab w:val="left" w:pos="0"/>
        </w:tabs>
        <w:rPr>
          <w:rFonts w:asciiTheme="majorHAnsi" w:hAnsiTheme="majorHAnsi" w:cstheme="majorHAnsi"/>
          <w:sz w:val="22"/>
          <w:szCs w:val="22"/>
        </w:rPr>
      </w:pPr>
      <w:bookmarkStart w:id="81" w:name="_Ref114668251"/>
      <w:r>
        <w:rPr>
          <w:rFonts w:asciiTheme="majorHAnsi" w:hAnsiTheme="majorHAnsi" w:cstheme="majorHAnsi"/>
          <w:sz w:val="22"/>
          <w:szCs w:val="22"/>
        </w:rPr>
        <w:t>praticar atos ilícitos com vistas a frustrar os objetivos da licitação</w:t>
      </w:r>
      <w:bookmarkEnd w:id="81"/>
      <w:r>
        <w:rPr>
          <w:rFonts w:asciiTheme="majorHAnsi" w:hAnsiTheme="majorHAnsi" w:cstheme="majorHAnsi"/>
          <w:sz w:val="22"/>
          <w:szCs w:val="22"/>
        </w:rPr>
        <w:t>;</w:t>
      </w:r>
    </w:p>
    <w:p w14:paraId="37FACC83">
      <w:pPr>
        <w:pStyle w:val="72"/>
        <w:tabs>
          <w:tab w:val="left" w:pos="0"/>
        </w:tabs>
        <w:rPr>
          <w:rFonts w:asciiTheme="majorHAnsi" w:hAnsiTheme="majorHAnsi" w:cstheme="majorHAnsi"/>
          <w:sz w:val="22"/>
          <w:szCs w:val="22"/>
        </w:rPr>
      </w:pPr>
      <w:bookmarkStart w:id="82" w:name="_Ref114668252"/>
      <w:r>
        <w:rPr>
          <w:rFonts w:asciiTheme="majorHAnsi" w:hAnsiTheme="majorHAnsi" w:cstheme="majorHAnsi"/>
          <w:sz w:val="22"/>
          <w:szCs w:val="22"/>
        </w:rPr>
        <w:t>praticar ato lesivo previsto no art. 5º da Lei nº 12.846, de 2013.</w:t>
      </w:r>
      <w:bookmarkEnd w:id="82"/>
    </w:p>
    <w:bookmarkEnd w:id="74"/>
    <w:p w14:paraId="2B848E24">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174DB8AC">
      <w:pPr>
        <w:pStyle w:val="72"/>
        <w:tabs>
          <w:tab w:val="left" w:pos="0"/>
        </w:tabs>
        <w:rPr>
          <w:rFonts w:asciiTheme="majorHAnsi" w:hAnsiTheme="majorHAnsi" w:cstheme="majorHAnsi"/>
          <w:sz w:val="22"/>
          <w:szCs w:val="22"/>
        </w:rPr>
      </w:pPr>
      <w:r>
        <w:rPr>
          <w:rFonts w:asciiTheme="majorHAnsi" w:hAnsiTheme="majorHAnsi" w:cstheme="majorHAnsi"/>
          <w:sz w:val="22"/>
          <w:szCs w:val="22"/>
        </w:rPr>
        <w:t xml:space="preserve">advertência; </w:t>
      </w:r>
    </w:p>
    <w:p w14:paraId="1BB25DCD">
      <w:pPr>
        <w:pStyle w:val="72"/>
        <w:tabs>
          <w:tab w:val="left" w:pos="0"/>
        </w:tabs>
        <w:rPr>
          <w:rFonts w:asciiTheme="majorHAnsi" w:hAnsiTheme="majorHAnsi" w:cstheme="majorHAnsi"/>
          <w:sz w:val="22"/>
          <w:szCs w:val="22"/>
        </w:rPr>
      </w:pPr>
      <w:r>
        <w:rPr>
          <w:rFonts w:asciiTheme="majorHAnsi" w:hAnsiTheme="majorHAnsi" w:cstheme="majorHAnsi"/>
          <w:sz w:val="22"/>
          <w:szCs w:val="22"/>
        </w:rPr>
        <w:t>multa;</w:t>
      </w:r>
    </w:p>
    <w:p w14:paraId="24C5479C">
      <w:pPr>
        <w:pStyle w:val="72"/>
        <w:tabs>
          <w:tab w:val="left" w:pos="0"/>
        </w:tabs>
        <w:rPr>
          <w:rFonts w:asciiTheme="majorHAnsi" w:hAnsiTheme="majorHAnsi" w:cstheme="majorHAnsi"/>
          <w:sz w:val="22"/>
          <w:szCs w:val="22"/>
        </w:rPr>
      </w:pPr>
      <w:r>
        <w:rPr>
          <w:rFonts w:asciiTheme="majorHAnsi" w:hAnsiTheme="majorHAnsi" w:cstheme="majorHAnsi"/>
          <w:sz w:val="22"/>
          <w:szCs w:val="22"/>
        </w:rPr>
        <w:t>impedimento de licitar e contratar e</w:t>
      </w:r>
    </w:p>
    <w:p w14:paraId="3F58DFBF">
      <w:pPr>
        <w:pStyle w:val="72"/>
        <w:tabs>
          <w:tab w:val="left" w:pos="0"/>
        </w:tabs>
        <w:rPr>
          <w:rFonts w:asciiTheme="majorHAnsi" w:hAnsiTheme="majorHAnsi" w:cstheme="majorHAnsi"/>
          <w:sz w:val="22"/>
          <w:szCs w:val="22"/>
        </w:rPr>
      </w:pPr>
      <w:r>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F8C857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Na aplicação das sanções serão considerados:</w:t>
      </w:r>
    </w:p>
    <w:p w14:paraId="5CE81ED5">
      <w:pPr>
        <w:pStyle w:val="72"/>
        <w:tabs>
          <w:tab w:val="left" w:pos="0"/>
        </w:tabs>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4FF3C8F7">
      <w:pPr>
        <w:pStyle w:val="72"/>
        <w:tabs>
          <w:tab w:val="left" w:pos="0"/>
        </w:tabs>
        <w:rPr>
          <w:rFonts w:asciiTheme="majorHAnsi" w:hAnsiTheme="majorHAnsi" w:cstheme="majorHAnsi"/>
          <w:sz w:val="22"/>
          <w:szCs w:val="22"/>
        </w:rPr>
      </w:pPr>
      <w:r>
        <w:rPr>
          <w:rFonts w:asciiTheme="majorHAnsi" w:hAnsiTheme="majorHAnsi" w:cstheme="majorHAnsi"/>
          <w:sz w:val="22"/>
          <w:szCs w:val="22"/>
        </w:rPr>
        <w:t>as peculiaridades do caso concreto;</w:t>
      </w:r>
    </w:p>
    <w:p w14:paraId="567181AC">
      <w:pPr>
        <w:pStyle w:val="72"/>
        <w:tabs>
          <w:tab w:val="left" w:pos="0"/>
        </w:tabs>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5B888A6F">
      <w:pPr>
        <w:pStyle w:val="72"/>
        <w:tabs>
          <w:tab w:val="left" w:pos="0"/>
        </w:tabs>
        <w:rPr>
          <w:rFonts w:asciiTheme="majorHAnsi" w:hAnsiTheme="majorHAnsi" w:cstheme="majorHAnsi"/>
          <w:sz w:val="22"/>
          <w:szCs w:val="22"/>
        </w:rPr>
      </w:pPr>
      <w:r>
        <w:rPr>
          <w:rFonts w:asciiTheme="majorHAnsi" w:hAnsiTheme="majorHAnsi" w:cstheme="majorHAnsi"/>
          <w:sz w:val="22"/>
          <w:szCs w:val="22"/>
        </w:rPr>
        <w:t>os danos que dela provierem para a Administração Pública;</w:t>
      </w:r>
    </w:p>
    <w:p w14:paraId="2033B432">
      <w:pPr>
        <w:pStyle w:val="72"/>
        <w:tabs>
          <w:tab w:val="left" w:pos="0"/>
        </w:tabs>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7A949CE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multa será recolhida no prazo máximo de </w:t>
      </w:r>
      <w:r>
        <w:rPr>
          <w:rFonts w:asciiTheme="majorHAnsi" w:hAnsiTheme="majorHAnsi" w:cstheme="majorHAnsi"/>
          <w:i/>
          <w:iCs/>
          <w:color w:val="FF0000"/>
        </w:rPr>
        <w:t>15</w:t>
      </w:r>
      <w:r>
        <w:rPr>
          <w:rFonts w:asciiTheme="majorHAnsi" w:hAnsiTheme="majorHAnsi" w:cstheme="majorHAnsi"/>
        </w:rPr>
        <w:t xml:space="preserve"> </w:t>
      </w:r>
      <w:r>
        <w:rPr>
          <w:rFonts w:asciiTheme="majorHAnsi" w:hAnsiTheme="majorHAnsi" w:cstheme="majorHAnsi"/>
          <w:color w:val="FF0000"/>
        </w:rPr>
        <w:t xml:space="preserve">(quinze) </w:t>
      </w:r>
      <w:r>
        <w:rPr>
          <w:rFonts w:asciiTheme="majorHAnsi" w:hAnsiTheme="majorHAnsi" w:cstheme="majorHAnsi"/>
        </w:rPr>
        <w:t>dias</w:t>
      </w:r>
      <w:r>
        <w:rPr>
          <w:rFonts w:asciiTheme="majorHAnsi" w:hAnsiTheme="majorHAnsi" w:cstheme="majorHAnsi"/>
          <w:color w:val="FF0000"/>
        </w:rPr>
        <w:t xml:space="preserve"> </w:t>
      </w:r>
      <w:r>
        <w:rPr>
          <w:rFonts w:asciiTheme="majorHAnsi" w:hAnsiTheme="majorHAnsi" w:cstheme="majorHAnsi"/>
        </w:rPr>
        <w:t xml:space="preserve">úteis, a contar da comunicação oficial. </w:t>
      </w:r>
    </w:p>
    <w:p w14:paraId="325459B5">
      <w:pPr>
        <w:pStyle w:val="72"/>
        <w:tabs>
          <w:tab w:val="left" w:pos="0"/>
        </w:tabs>
        <w:rPr>
          <w:rFonts w:asciiTheme="majorHAnsi" w:hAnsiTheme="majorHAnsi" w:cstheme="majorHAnsi"/>
          <w:sz w:val="22"/>
          <w:szCs w:val="22"/>
        </w:rPr>
      </w:pPr>
      <w:bookmarkStart w:id="83" w:name="_Hlk113876035"/>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_Ref114668085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14.1.1</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_Ref114668108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14.1.2</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_Ref114668139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14.1.3</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0,5%</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bookmarkEnd w:id="83"/>
    <w:p w14:paraId="69023E1B">
      <w:pPr>
        <w:pStyle w:val="72"/>
        <w:tabs>
          <w:tab w:val="left" w:pos="0"/>
        </w:tabs>
        <w:rPr>
          <w:rFonts w:asciiTheme="majorHAnsi" w:hAnsiTheme="majorHAnsi" w:cstheme="majorHAnsi"/>
          <w:sz w:val="22"/>
          <w:szCs w:val="22"/>
        </w:rPr>
      </w:pPr>
      <w:bookmarkStart w:id="84" w:name="_Hlk190256399"/>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_Ref192168045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14.1.4</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_Ref114668249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14.1.5</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_Ref114668245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14.1.6</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_Ref114668247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14.1.7</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_Ref114668251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14.1.8</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_Ref114668252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14.1.9</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30%</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bookmarkEnd w:id="84"/>
    <w:p w14:paraId="16158B5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As sanções de advertência, impedimento de licitar e contratar e declaração de inidoneidade para licitar ou contratar poderão ser aplicadas, cumulativamente ou não, à penalidade de multa.</w:t>
      </w:r>
    </w:p>
    <w:p w14:paraId="538F7A45">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Na aplicação da sanção de multa será facultada a defesa do interessado no prazo de 15 (quinze) dias úteis, contado da data de sua intimação.</w:t>
      </w:r>
    </w:p>
    <w:p w14:paraId="425297F6">
      <w:pPr>
        <w:pStyle w:val="70"/>
        <w:numPr>
          <w:ilvl w:val="1"/>
          <w:numId w:val="2"/>
        </w:numPr>
        <w:tabs>
          <w:tab w:val="left" w:pos="0"/>
        </w:tabs>
        <w:ind w:left="0" w:firstLine="0"/>
        <w:rPr>
          <w:rFonts w:asciiTheme="majorHAnsi" w:hAnsiTheme="majorHAnsi" w:cstheme="majorHAnsi"/>
        </w:rPr>
      </w:pPr>
      <w:bookmarkStart w:id="85" w:name="_Hlk190256464"/>
      <w:r>
        <w:rPr>
          <w:rFonts w:asciiTheme="majorHAnsi" w:hAnsiTheme="majorHAnsi" w:cstheme="majorHAnsi"/>
        </w:rPr>
        <w:t xml:space="preserve">A sanção de impedimento de licitar e contratar será aplicada ao responsável em decorrência das infrações administrativas relacionadas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5"/>
    <w:p w14:paraId="759C8B9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Poderá ser aplicada ao responsável a sanção de declaração de inidoneidade para licitar ou contratar, em decorrência da prática das infrações dispostas nos itens </w:t>
      </w:r>
      <w:r>
        <w:rPr>
          <w:rFonts w:asciiTheme="majorHAnsi" w:hAnsiTheme="majorHAnsi" w:cstheme="majorHAnsi"/>
        </w:rPr>
        <w:fldChar w:fldCharType="begin"/>
      </w:r>
      <w:r>
        <w:rPr>
          <w:rFonts w:asciiTheme="majorHAnsi" w:hAnsiTheme="majorHAnsi" w:cstheme="majorHAnsi"/>
        </w:rPr>
        <w:instrText xml:space="preserve"> REF _Ref114668249 \r \h  \* MERGEFORMAT </w:instrText>
      </w:r>
      <w:r>
        <w:rPr>
          <w:rFonts w:asciiTheme="majorHAnsi" w:hAnsiTheme="majorHAnsi" w:cstheme="majorHAnsi"/>
        </w:rPr>
        <w:fldChar w:fldCharType="separate"/>
      </w:r>
      <w:r>
        <w:rPr>
          <w:rFonts w:asciiTheme="majorHAnsi" w:hAnsiTheme="majorHAnsi" w:cstheme="majorHAnsi"/>
        </w:rPr>
        <w:t>14.1.5</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_Ref114668245 \r \h  \* MERGEFORMAT </w:instrText>
      </w:r>
      <w:r>
        <w:rPr>
          <w:rFonts w:asciiTheme="majorHAnsi" w:hAnsiTheme="majorHAnsi" w:cstheme="majorHAnsi"/>
        </w:rPr>
        <w:fldChar w:fldCharType="separate"/>
      </w:r>
      <w:r>
        <w:rPr>
          <w:rFonts w:asciiTheme="majorHAnsi" w:hAnsiTheme="majorHAnsi" w:cstheme="majorHAnsi"/>
        </w:rPr>
        <w:t>14.1.6</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_Ref114668247 \r \h  \* MERGEFORMAT </w:instrText>
      </w:r>
      <w:r>
        <w:rPr>
          <w:rFonts w:asciiTheme="majorHAnsi" w:hAnsiTheme="majorHAnsi" w:cstheme="majorHAnsi"/>
        </w:rPr>
        <w:fldChar w:fldCharType="separate"/>
      </w:r>
      <w:r>
        <w:rPr>
          <w:rFonts w:asciiTheme="majorHAnsi" w:hAnsiTheme="majorHAnsi" w:cstheme="majorHAnsi"/>
        </w:rPr>
        <w:t>14.1.7</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_Ref114668251 \r \h  \* MERGEFORMAT </w:instrText>
      </w:r>
      <w:r>
        <w:rPr>
          <w:rFonts w:asciiTheme="majorHAnsi" w:hAnsiTheme="majorHAnsi" w:cstheme="majorHAnsi"/>
        </w:rPr>
        <w:fldChar w:fldCharType="separate"/>
      </w:r>
      <w:r>
        <w:rPr>
          <w:rFonts w:asciiTheme="majorHAnsi" w:hAnsiTheme="majorHAnsi" w:cstheme="majorHAnsi"/>
        </w:rPr>
        <w:t>14.1.8</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_Ref114668252 \r \h  \* MERGEFORMAT </w:instrText>
      </w:r>
      <w:r>
        <w:rPr>
          <w:rFonts w:asciiTheme="majorHAnsi" w:hAnsiTheme="majorHAnsi" w:cstheme="majorHAnsi"/>
        </w:rPr>
        <w:fldChar w:fldCharType="separate"/>
      </w:r>
      <w:r>
        <w:rPr>
          <w:rFonts w:asciiTheme="majorHAnsi" w:hAnsiTheme="majorHAnsi" w:cstheme="majorHAnsi"/>
        </w:rPr>
        <w:t>14.1.9</w:t>
      </w:r>
      <w:r>
        <w:rPr>
          <w:rFonts w:asciiTheme="majorHAnsi" w:hAnsiTheme="majorHAnsi" w:cstheme="majorHAnsi"/>
        </w:rPr>
        <w:fldChar w:fldCharType="end"/>
      </w:r>
      <w:r>
        <w:rPr>
          <w:rFonts w:asciiTheme="majorHAnsi" w:hAnsiTheme="majorHAnsi" w:cstheme="majorHAnsi"/>
        </w:rPr>
        <w:t xml:space="preserve">, bem como pelas infrações administrativas previstas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14.1.4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\h </w:instrText>
      </w:r>
      <w:r>
        <w:fldChar w:fldCharType="separate"/>
      </w:r>
      <w:r>
        <w:rPr>
          <w:rStyle w:val="15"/>
          <w:rFonts w:asciiTheme="majorHAnsi" w:hAnsiTheme="majorHAnsi" w:cstheme="majorHAnsi"/>
          <w:color w:val="000000" w:themeColor="text1"/>
          <w14:textFill>
            <w14:solidFill>
              <w14:schemeClr w14:val="tx1"/>
            </w14:solidFill>
          </w14:textFill>
        </w:rPr>
        <w:t>art. 156, §5º, da Lei nº 14.133, de 2021</w:t>
      </w:r>
      <w:r>
        <w:rPr>
          <w:rStyle w:val="15"/>
          <w:rFonts w:asciiTheme="majorHAnsi" w:hAnsiTheme="majorHAnsi" w:cstheme="majorHAnsi"/>
          <w:color w:val="000000" w:themeColor="text1"/>
          <w14:textFill>
            <w14:solidFill>
              <w14:schemeClr w14:val="tx1"/>
            </w14:solidFill>
          </w14:textFill>
        </w:rPr>
        <w:fldChar w:fldCharType="end"/>
      </w:r>
      <w:r>
        <w:rPr>
          <w:rFonts w:asciiTheme="majorHAnsi" w:hAnsiTheme="majorHAnsi" w:cstheme="majorHAnsi"/>
        </w:rPr>
        <w:t>.</w:t>
      </w:r>
    </w:p>
    <w:p w14:paraId="11A4D84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recusa injustificada do adjudicatário em assinar o contrato ou a ata de registro de preço, ou em aceitar ou retirar o instrumento equivalente no prazo estabelecido pela Administração, descrita no item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xml:space="preserve">, caracterizará o descumprimento total da obrigação assumida e o sujeitará às penalidades e à imediata perda da garantia de proposta em favor do órgão ou entidade promotora da licitação, nos termos do </w:t>
      </w:r>
      <w:r>
        <w:fldChar w:fldCharType="begin"/>
      </w:r>
      <w:r>
        <w:instrText xml:space="preserve"> HYPERLINK "https://www.gov.br/compras/pt-br/acesso-a-informacao/legislacao/instrucoes-normativas/instrucao-normativa-seges-me-no-73-de-30-de-setembro-de-2022" \h </w:instrText>
      </w:r>
      <w:r>
        <w:fldChar w:fldCharType="separate"/>
      </w:r>
      <w:r>
        <w:rPr>
          <w:rStyle w:val="15"/>
          <w:rFonts w:asciiTheme="majorHAnsi" w:hAnsiTheme="majorHAnsi" w:cstheme="majorHAnsi"/>
          <w:color w:val="000000" w:themeColor="text1"/>
          <w14:textFill>
            <w14:solidFill>
              <w14:schemeClr w14:val="tx1"/>
            </w14:solidFill>
          </w14:textFill>
        </w:rPr>
        <w:t>art. 45, §4º da Instrução Normativa SEGES/ME nº 73, de 30 de setembro de 2022</w:t>
      </w:r>
      <w:r>
        <w:rPr>
          <w:rStyle w:val="15"/>
          <w:rFonts w:asciiTheme="majorHAnsi" w:hAnsiTheme="majorHAnsi" w:cstheme="majorHAnsi"/>
          <w:color w:val="000000" w:themeColor="text1"/>
          <w14:textFill>
            <w14:solidFill>
              <w14:schemeClr w14:val="tx1"/>
            </w14:solidFill>
          </w14:textFill>
        </w:rPr>
        <w:fldChar w:fldCharType="end"/>
      </w:r>
      <w:r>
        <w:rPr>
          <w:rFonts w:asciiTheme="majorHAnsi" w:hAnsiTheme="majorHAnsi" w:cstheme="majorHAnsi"/>
        </w:rPr>
        <w:t>.</w:t>
      </w:r>
    </w:p>
    <w:p w14:paraId="7C0B134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FEEAC88">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5DCA6E">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2B9C74">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recurso e o pedido de reconsideração terão efeito suspensivo do ato ou da decisão recorrida até que sobrevenha decisão final da autoridade competente.</w:t>
      </w:r>
    </w:p>
    <w:p w14:paraId="2B1DD45A">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 aplicação das sanções previstas neste edital não exclui, em hipótese alguma, a obrigação de reparação integral dos danos causados.</w:t>
      </w:r>
    </w:p>
    <w:p w14:paraId="32683BBD">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Para a garantia da ampla defesa e contraditório dos licitantes, as notificações serão enviadas eletronicamente para os endereços de e-mail informados na proposta comercial, bem como os cadastrados pela empresa no SICAF.</w:t>
      </w:r>
    </w:p>
    <w:p w14:paraId="63C8A098">
      <w:pPr>
        <w:pStyle w:val="72"/>
        <w:tabs>
          <w:tab w:val="left" w:pos="0"/>
        </w:tabs>
        <w:rPr>
          <w:rFonts w:asciiTheme="majorHAnsi" w:hAnsiTheme="majorHAnsi" w:cstheme="majorHAnsi"/>
          <w:sz w:val="22"/>
          <w:szCs w:val="22"/>
        </w:rPr>
      </w:pPr>
      <w:r>
        <w:rPr>
          <w:rFonts w:asciiTheme="majorHAnsi" w:hAnsiTheme="majorHAnsi" w:cstheme="majorHAnsi"/>
          <w:sz w:val="22"/>
          <w:szCs w:val="22"/>
        </w:rPr>
        <w:t>Os endereços de e-mail informados na proposta comercial e/ou cadastrados no Sicaf serão considerados de uso contínuo da empresa, não cabendo alegação de desconhecimento das comunicações a eles comprovadamente enviadas.</w:t>
      </w:r>
    </w:p>
    <w:p w14:paraId="22C5C661">
      <w:pPr>
        <w:pStyle w:val="53"/>
        <w:tabs>
          <w:tab w:val="left" w:pos="0"/>
          <w:tab w:val="clear" w:pos="567"/>
        </w:tabs>
        <w:spacing w:line="360" w:lineRule="auto"/>
        <w:ind w:left="0" w:firstLine="0"/>
        <w:rPr>
          <w:rFonts w:asciiTheme="majorHAnsi" w:hAnsiTheme="majorHAnsi" w:cstheme="majorHAnsi"/>
          <w:sz w:val="22"/>
          <w:szCs w:val="22"/>
        </w:rPr>
      </w:pPr>
      <w:bookmarkStart w:id="86" w:name="_Toc135469207"/>
      <w:bookmarkStart w:id="87" w:name="_Toc193719204"/>
      <w:r>
        <w:rPr>
          <w:rFonts w:asciiTheme="majorHAnsi" w:hAnsiTheme="majorHAnsi" w:cstheme="majorHAnsi"/>
          <w:sz w:val="22"/>
          <w:szCs w:val="22"/>
        </w:rPr>
        <w:t>DA IMPUGNAÇÃO AO EDITAL E DO PEDIDO DE ESCLARECIMENTO</w:t>
      </w:r>
      <w:bookmarkEnd w:id="86"/>
      <w:bookmarkEnd w:id="87"/>
    </w:p>
    <w:p w14:paraId="185844F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Qualquer pessoa é parte legítima para impugnar este Edital por irregularidade na aplicação da </w:t>
      </w:r>
      <w:r>
        <w:fldChar w:fldCharType="begin"/>
      </w:r>
      <w:r>
        <w:instrText xml:space="preserve"> HYPERLINK "http://www.planalto.gov.br/ccivil_03/_ato2019-2022/2021/lei/L14133.htm" \h </w:instrText>
      </w:r>
      <w:r>
        <w:fldChar w:fldCharType="separate"/>
      </w:r>
      <w:r>
        <w:rPr>
          <w:rStyle w:val="15"/>
          <w:rFonts w:asciiTheme="majorHAnsi" w:hAnsiTheme="majorHAnsi" w:cstheme="majorHAnsi"/>
          <w:color w:val="000000" w:themeColor="text1"/>
          <w14:textFill>
            <w14:solidFill>
              <w14:schemeClr w14:val="tx1"/>
            </w14:solidFill>
          </w14:textFill>
        </w:rPr>
        <w:t>Lei nº 14.133, de 2021</w:t>
      </w:r>
      <w:r>
        <w:rPr>
          <w:rStyle w:val="15"/>
          <w:rFonts w:asciiTheme="majorHAnsi" w:hAnsiTheme="majorHAnsi" w:cstheme="majorHAnsi"/>
          <w:color w:val="000000" w:themeColor="text1"/>
          <w14:textFill>
            <w14:solidFill>
              <w14:schemeClr w14:val="tx1"/>
            </w14:solidFill>
          </w14:textFill>
        </w:rPr>
        <w:fldChar w:fldCharType="end"/>
      </w:r>
      <w:r>
        <w:rPr>
          <w:rFonts w:asciiTheme="majorHAnsi" w:hAnsiTheme="majorHAnsi" w:cstheme="majorHAnsi"/>
        </w:rPr>
        <w:t>, devendo protocolar o pedido até 3 (três) dias úteis antes da data da abertura do certame.</w:t>
      </w:r>
    </w:p>
    <w:p w14:paraId="0D5992E4">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 resposta à impugnação ou ao pedido de esclarecimento será divulgado em sítio eletrônico oficial no prazo de até 3 (três) dias úteis, limitado ao último dia útil anterior à data da abertura do certame.</w:t>
      </w:r>
    </w:p>
    <w:p w14:paraId="4064F74A">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impugnação e o pedido de esclarecimento poderão ser realizados por forma eletrônica, pelos seguintes meios: </w:t>
      </w:r>
      <w:r>
        <w:rPr>
          <w:rFonts w:asciiTheme="majorHAnsi" w:hAnsiTheme="majorHAnsi" w:cstheme="majorHAnsi"/>
          <w:i/>
          <w:iCs/>
          <w:color w:val="FF0000"/>
        </w:rPr>
        <w:t>licitacaosiunis@ufba.br</w:t>
      </w:r>
    </w:p>
    <w:p w14:paraId="7C6FB024">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As impugnações e pedidos de esclarecimentos não suspendem os prazos previstos no certame.</w:t>
      </w:r>
    </w:p>
    <w:p w14:paraId="63C5423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 concessão de efeito suspensivo à impugnação é medida excepcional e deverá ser motivada pelo </w:t>
      </w:r>
      <w:r>
        <w:rPr>
          <w:rFonts w:asciiTheme="majorHAnsi" w:hAnsiTheme="majorHAnsi" w:cstheme="majorHAnsi"/>
          <w:highlight w:val="yellow"/>
        </w:rPr>
        <w:t>Pregoeiro</w:t>
      </w:r>
      <w:r>
        <w:rPr>
          <w:rFonts w:asciiTheme="majorHAnsi" w:hAnsiTheme="majorHAnsi" w:cstheme="majorHAnsi"/>
        </w:rPr>
        <w:t>/Agente de Contratação/Comissão, nos autos do processo de licitação.</w:t>
      </w:r>
    </w:p>
    <w:p w14:paraId="218B5DC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Acolhida a impugnação, será definida e publicada nova data para a realização do certame.</w:t>
      </w:r>
    </w:p>
    <w:p w14:paraId="7A987A0B">
      <w:pPr>
        <w:pStyle w:val="53"/>
        <w:tabs>
          <w:tab w:val="left" w:pos="0"/>
          <w:tab w:val="clear" w:pos="567"/>
        </w:tabs>
        <w:spacing w:line="360" w:lineRule="auto"/>
        <w:ind w:left="0" w:firstLine="0"/>
        <w:rPr>
          <w:rFonts w:asciiTheme="majorHAnsi" w:hAnsiTheme="majorHAnsi" w:cstheme="majorHAnsi"/>
          <w:sz w:val="22"/>
          <w:szCs w:val="22"/>
        </w:rPr>
      </w:pPr>
      <w:bookmarkStart w:id="88" w:name="_Toc135469208"/>
      <w:bookmarkStart w:id="89" w:name="_Toc193719205"/>
      <w:r>
        <w:rPr>
          <w:rFonts w:asciiTheme="majorHAnsi" w:hAnsiTheme="majorHAnsi" w:cstheme="majorHAnsi"/>
          <w:sz w:val="22"/>
          <w:szCs w:val="22"/>
        </w:rPr>
        <w:t>DAS DISPOSIÇÕES GERAIS</w:t>
      </w:r>
      <w:bookmarkEnd w:id="88"/>
      <w:bookmarkEnd w:id="89"/>
    </w:p>
    <w:p w14:paraId="468EFC65">
      <w:pPr>
        <w:pStyle w:val="70"/>
        <w:numPr>
          <w:ilvl w:val="1"/>
          <w:numId w:val="2"/>
        </w:numPr>
        <w:tabs>
          <w:tab w:val="left" w:pos="0"/>
        </w:tabs>
        <w:ind w:left="0" w:firstLine="0"/>
        <w:rPr>
          <w:rFonts w:asciiTheme="majorHAnsi" w:hAnsiTheme="majorHAnsi" w:cstheme="majorHAnsi"/>
        </w:rPr>
      </w:pPr>
      <w:bookmarkStart w:id="90" w:name="_Hlk82473550"/>
      <w:r>
        <w:rPr>
          <w:rFonts w:asciiTheme="majorHAnsi" w:hAnsiTheme="majorHAnsi" w:cstheme="majorHAnsi"/>
        </w:rPr>
        <w:t>Será divulgada ata da sessão pública no sistema eletrônico.</w:t>
      </w:r>
    </w:p>
    <w:p w14:paraId="76758707">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15CA1DAB">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Todas as referências de tempo no Edital, no aviso e durante a sessão pública observarão o horário de Brasília - DF.</w:t>
      </w:r>
    </w:p>
    <w:p w14:paraId="05E0E1FF">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A homologação do resultado desta licitação não implicará direito à contratação.</w:t>
      </w:r>
    </w:p>
    <w:p w14:paraId="1F4AA1F2">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D337E22">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Os licitantes assumem todos os custos de preparação e apresentação de suas propostas e a Administração não será, em nenhum caso, responsável por esses custos, independentemente da condução ou do resultado do processo licitatório.</w:t>
      </w:r>
    </w:p>
    <w:p w14:paraId="0B7AA131">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Na contagem dos prazos estabelecidos neste Edital e seus Anexos, excluir-se-á o dia do início e incluir-se-á o do vencimento. Só se iniciam e vencem os prazos em dias de expediente na Administração.</w:t>
      </w:r>
    </w:p>
    <w:p w14:paraId="7A86892C">
      <w:pPr>
        <w:pStyle w:val="70"/>
        <w:numPr>
          <w:ilvl w:val="1"/>
          <w:numId w:val="2"/>
        </w:numPr>
        <w:tabs>
          <w:tab w:val="left" w:pos="0"/>
        </w:tabs>
        <w:ind w:left="0" w:firstLine="0"/>
        <w:rPr>
          <w:rFonts w:asciiTheme="majorHAnsi" w:hAnsiTheme="majorHAnsi" w:cstheme="majorHAnsi"/>
        </w:rPr>
      </w:pPr>
      <w:r>
        <w:rPr>
          <w:rFonts w:asciiTheme="majorHAnsi" w:hAnsiTheme="majorHAnsi" w:cstheme="majorHAnsi"/>
        </w:rPr>
        <w:t>O desatendimento de exigências formais não essenciais não importará o afastamento do licitante, desde que seja possível o aproveitamento do ato, observados os princípios da isonomia e do interesse público.</w:t>
      </w:r>
    </w:p>
    <w:p w14:paraId="16495BEA">
      <w:pPr>
        <w:pStyle w:val="70"/>
        <w:numPr>
          <w:ilvl w:val="1"/>
          <w:numId w:val="2"/>
        </w:numPr>
        <w:tabs>
          <w:tab w:val="left" w:pos="0"/>
        </w:tabs>
        <w:spacing w:line="240" w:lineRule="auto"/>
        <w:ind w:left="0" w:firstLine="0"/>
        <w:rPr>
          <w:rFonts w:eastAsia="Times New Roman" w:asciiTheme="majorHAnsi" w:hAnsiTheme="majorHAnsi" w:cstheme="majorHAnsi"/>
        </w:rPr>
      </w:pPr>
      <w:r>
        <w:rPr>
          <w:rFonts w:asciiTheme="majorHAnsi" w:hAnsiTheme="majorHAnsi" w:cstheme="majorHAnsi"/>
        </w:rPr>
        <w:t>Em caso de divergência entre disposições deste Edital e de seus anexos ou demais peças que compõem o processo, prevalecerá as deste Edital.</w:t>
      </w:r>
    </w:p>
    <w:p w14:paraId="1757EE76">
      <w:pPr>
        <w:pStyle w:val="70"/>
        <w:numPr>
          <w:ilvl w:val="1"/>
          <w:numId w:val="2"/>
        </w:numPr>
        <w:tabs>
          <w:tab w:val="left" w:pos="0"/>
        </w:tabs>
        <w:spacing w:line="240" w:lineRule="auto"/>
        <w:ind w:left="0" w:firstLine="0"/>
        <w:rPr>
          <w:rFonts w:asciiTheme="majorHAnsi" w:hAnsiTheme="majorHAnsi" w:cstheme="majorHAnsi"/>
        </w:rPr>
      </w:pPr>
      <w:r>
        <w:rPr>
          <w:rFonts w:asciiTheme="majorHAnsi" w:hAnsiTheme="majorHAnsi" w:cstheme="majorHAnsi"/>
        </w:rPr>
        <w:t xml:space="preserve">O Edital e seus anexos estão disponíveis, na íntegra, no Portal Nacional de Contratações Públicas (PNCP) e endereço eletrônico </w:t>
      </w:r>
      <w:r>
        <w:fldChar w:fldCharType="begin"/>
      </w:r>
      <w:r>
        <w:instrText xml:space="preserve"> HYPERLINK "https://sipac.ufba.br/public/jsp/portal.jsf" </w:instrText>
      </w:r>
      <w:r>
        <w:fldChar w:fldCharType="separate"/>
      </w:r>
      <w:r>
        <w:rPr>
          <w:rStyle w:val="15"/>
          <w:rFonts w:asciiTheme="majorHAnsi" w:hAnsiTheme="majorHAnsi" w:cstheme="majorHAnsi"/>
          <w:color w:val="FF0000"/>
        </w:rPr>
        <w:t>https://sipac.ufba.br/public/jsp/portal.jsf</w:t>
      </w:r>
      <w:r>
        <w:rPr>
          <w:rStyle w:val="15"/>
          <w:rFonts w:asciiTheme="majorHAnsi" w:hAnsiTheme="majorHAnsi" w:cstheme="majorHAnsi"/>
          <w:color w:val="FF0000"/>
        </w:rPr>
        <w:fldChar w:fldCharType="end"/>
      </w:r>
    </w:p>
    <w:p w14:paraId="2363DF2A">
      <w:pPr>
        <w:pStyle w:val="70"/>
        <w:numPr>
          <w:ilvl w:val="1"/>
          <w:numId w:val="2"/>
        </w:numPr>
        <w:tabs>
          <w:tab w:val="left" w:pos="0"/>
        </w:tabs>
        <w:spacing w:line="240" w:lineRule="auto"/>
        <w:ind w:left="0" w:firstLine="0"/>
        <w:rPr>
          <w:rFonts w:eastAsia="Times New Roman" w:asciiTheme="majorHAnsi" w:hAnsiTheme="majorHAnsi" w:cstheme="majorHAnsi"/>
        </w:rPr>
      </w:pPr>
      <w:r>
        <w:rPr>
          <w:rFonts w:asciiTheme="majorHAnsi" w:hAnsiTheme="majorHAnsi" w:cstheme="majorHAnsi"/>
        </w:rPr>
        <w:t>Integram este Edital, para todos os fins e efeitos, os seguintes anexos:</w:t>
      </w:r>
    </w:p>
    <w:p w14:paraId="49750DDF">
      <w:pPr>
        <w:pStyle w:val="72"/>
        <w:tabs>
          <w:tab w:val="left" w:pos="0"/>
        </w:tabs>
        <w:spacing w:line="240" w:lineRule="auto"/>
        <w:rPr>
          <w:rFonts w:asciiTheme="majorHAnsi" w:hAnsiTheme="majorHAnsi" w:cstheme="majorHAnsi"/>
          <w:sz w:val="22"/>
          <w:szCs w:val="22"/>
        </w:rPr>
      </w:pPr>
      <w:r>
        <w:rPr>
          <w:rFonts w:asciiTheme="majorHAnsi" w:hAnsiTheme="majorHAnsi" w:cstheme="majorHAnsi"/>
          <w:sz w:val="22"/>
          <w:szCs w:val="22"/>
        </w:rPr>
        <w:t>Anexo I - Termo de Referência;</w:t>
      </w:r>
    </w:p>
    <w:p w14:paraId="2AA20605">
      <w:pPr>
        <w:pStyle w:val="73"/>
        <w:numPr>
          <w:ilvl w:val="0"/>
          <w:numId w:val="0"/>
        </w:numPr>
        <w:tabs>
          <w:tab w:val="left" w:pos="0"/>
        </w:tabs>
        <w:spacing w:line="240" w:lineRule="auto"/>
        <w:rPr>
          <w:rFonts w:asciiTheme="majorHAnsi" w:hAnsiTheme="majorHAnsi" w:cstheme="majorHAnsi"/>
          <w:sz w:val="22"/>
          <w:szCs w:val="22"/>
        </w:rPr>
      </w:pPr>
      <w:r>
        <w:rPr>
          <w:rFonts w:asciiTheme="majorHAnsi" w:hAnsiTheme="majorHAnsi" w:cstheme="majorHAnsi"/>
          <w:b/>
          <w:sz w:val="22"/>
          <w:szCs w:val="22"/>
        </w:rPr>
        <w:t>16.11.1.1.</w:t>
      </w:r>
      <w:r>
        <w:rPr>
          <w:rFonts w:asciiTheme="majorHAnsi" w:hAnsiTheme="majorHAnsi" w:cstheme="majorHAnsi"/>
          <w:sz w:val="22"/>
          <w:szCs w:val="22"/>
        </w:rPr>
        <w:t xml:space="preserve"> Apêndice do Anexo I – Estudo Técnico Preliminar;</w:t>
      </w:r>
    </w:p>
    <w:p w14:paraId="24CDB7C6">
      <w:pPr>
        <w:pStyle w:val="118"/>
        <w:tabs>
          <w:tab w:val="left" w:pos="0"/>
        </w:tabs>
        <w:spacing w:line="240" w:lineRule="auto"/>
        <w:rPr>
          <w:rFonts w:asciiTheme="majorHAnsi" w:hAnsiTheme="majorHAnsi" w:cstheme="majorHAnsi"/>
          <w:sz w:val="22"/>
          <w:szCs w:val="22"/>
        </w:rPr>
      </w:pPr>
      <w:r>
        <w:rPr>
          <w:rFonts w:asciiTheme="majorHAnsi" w:hAnsiTheme="majorHAnsi" w:cstheme="majorHAnsi"/>
          <w:sz w:val="22"/>
          <w:szCs w:val="22"/>
        </w:rPr>
        <w:t>Anexo II –Regras aplicáveis ao instrumento substitutivo ao contrato;</w:t>
      </w:r>
    </w:p>
    <w:p w14:paraId="030FE520">
      <w:pPr>
        <w:pStyle w:val="118"/>
        <w:tabs>
          <w:tab w:val="left" w:pos="0"/>
        </w:tabs>
        <w:spacing w:line="240" w:lineRule="auto"/>
        <w:rPr>
          <w:rFonts w:asciiTheme="majorHAnsi" w:hAnsiTheme="majorHAnsi" w:cstheme="majorHAnsi"/>
          <w:sz w:val="22"/>
          <w:szCs w:val="22"/>
        </w:rPr>
      </w:pPr>
      <w:r>
        <w:rPr>
          <w:rFonts w:asciiTheme="majorHAnsi" w:hAnsiTheme="majorHAnsi" w:cstheme="majorHAnsi"/>
          <w:sz w:val="22"/>
          <w:szCs w:val="22"/>
        </w:rPr>
        <w:t>Anexo III – Termo de Ciência e concordância;</w:t>
      </w:r>
    </w:p>
    <w:p w14:paraId="13D5A6F6">
      <w:pPr>
        <w:pStyle w:val="118"/>
        <w:tabs>
          <w:tab w:val="left" w:pos="0"/>
        </w:tabs>
        <w:spacing w:line="240" w:lineRule="auto"/>
        <w:rPr>
          <w:rFonts w:asciiTheme="majorHAnsi" w:hAnsiTheme="majorHAnsi" w:cstheme="majorHAnsi"/>
          <w:sz w:val="22"/>
          <w:szCs w:val="22"/>
          <w:highlight w:val="cyan"/>
        </w:rPr>
      </w:pPr>
      <w:r>
        <w:rPr>
          <w:rFonts w:asciiTheme="majorHAnsi" w:hAnsiTheme="majorHAnsi" w:cstheme="majorHAnsi"/>
          <w:sz w:val="22"/>
          <w:szCs w:val="22"/>
          <w:highlight w:val="cyan"/>
        </w:rPr>
        <w:t>Anexo IV – Minuta de Ata de Registro de Preços;</w:t>
      </w:r>
    </w:p>
    <w:p w14:paraId="0672F6E7">
      <w:pPr>
        <w:pStyle w:val="118"/>
        <w:tabs>
          <w:tab w:val="left" w:pos="0"/>
        </w:tabs>
        <w:spacing w:line="240" w:lineRule="auto"/>
        <w:rPr>
          <w:rFonts w:asciiTheme="majorHAnsi" w:hAnsiTheme="majorHAnsi" w:cstheme="majorHAnsi"/>
          <w:sz w:val="22"/>
          <w:szCs w:val="22"/>
        </w:rPr>
      </w:pPr>
      <w:r>
        <w:rPr>
          <w:rFonts w:asciiTheme="majorHAnsi" w:hAnsiTheme="majorHAnsi" w:cstheme="majorHAnsi"/>
          <w:sz w:val="22"/>
          <w:szCs w:val="22"/>
        </w:rPr>
        <w:t>Anexo V - Modelo de cadastro para assinatura de Ata de Registro de Preços</w:t>
      </w:r>
    </w:p>
    <w:bookmarkEnd w:id="90"/>
    <w:p w14:paraId="0376A3A2">
      <w:pPr>
        <w:tabs>
          <w:tab w:val="left" w:pos="0"/>
        </w:tabs>
        <w:spacing w:after="48"/>
        <w:jc w:val="both"/>
        <w:rPr>
          <w:rFonts w:eastAsia="Times New Roman" w:asciiTheme="majorHAnsi" w:hAnsiTheme="majorHAnsi" w:cstheme="majorHAnsi"/>
          <w:color w:val="FF0000"/>
          <w:sz w:val="22"/>
          <w:szCs w:val="22"/>
        </w:rPr>
      </w:pPr>
    </w:p>
    <w:p w14:paraId="79703BAA">
      <w:pPr>
        <w:tabs>
          <w:tab w:val="left" w:pos="0"/>
        </w:tabs>
        <w:spacing w:after="48"/>
        <w:jc w:val="both"/>
        <w:rPr>
          <w:rFonts w:eastAsia="Times New Roman" w:asciiTheme="majorHAnsi" w:hAnsiTheme="majorHAnsi" w:cstheme="majorHAnsi"/>
          <w:color w:val="FF0000"/>
          <w:sz w:val="22"/>
          <w:szCs w:val="22"/>
        </w:rPr>
      </w:pPr>
      <w:r>
        <w:rPr>
          <w:rFonts w:eastAsia="Times New Roman" w:asciiTheme="majorHAnsi" w:hAnsiTheme="majorHAnsi" w:cstheme="majorHAnsi"/>
          <w:color w:val="FF0000"/>
          <w:sz w:val="22"/>
          <w:szCs w:val="22"/>
        </w:rPr>
        <w:t>Salvador-Ba, 08 de junho de 2026</w:t>
      </w:r>
    </w:p>
    <w:p w14:paraId="61ADE357">
      <w:pPr>
        <w:tabs>
          <w:tab w:val="left" w:pos="0"/>
        </w:tabs>
        <w:spacing w:after="48"/>
        <w:rPr>
          <w:rFonts w:asciiTheme="majorHAnsi" w:hAnsiTheme="majorHAnsi" w:cstheme="majorHAnsi"/>
          <w:b/>
          <w:sz w:val="22"/>
          <w:szCs w:val="22"/>
          <w:lang w:eastAsia="ar-SA"/>
        </w:rPr>
      </w:pPr>
      <w:r>
        <w:rPr>
          <w:rFonts w:eastAsia="Times New Roman" w:asciiTheme="majorHAnsi" w:hAnsiTheme="majorHAnsi" w:cstheme="majorHAnsi"/>
          <w:color w:val="FF0000"/>
          <w:sz w:val="22"/>
          <w:szCs w:val="22"/>
        </w:rPr>
        <w:t>PREGOEIRO OFICIAL </w:t>
      </w:r>
      <w:bookmarkStart w:id="91" w:name="_Hlk82471863"/>
    </w:p>
    <w:bookmarkEnd w:id="91"/>
    <w:p w14:paraId="66F760BD">
      <w:pPr>
        <w:spacing w:before="120" w:after="120" w:line="360" w:lineRule="auto"/>
        <w:jc w:val="center"/>
        <w:rPr>
          <w:rFonts w:asciiTheme="majorHAnsi" w:hAnsiTheme="majorHAnsi" w:cstheme="majorHAnsi"/>
          <w:b/>
          <w:sz w:val="22"/>
          <w:szCs w:val="22"/>
          <w:lang w:eastAsia="ar-SA"/>
        </w:rPr>
      </w:pPr>
    </w:p>
    <w:p w14:paraId="3B470E39">
      <w:pPr>
        <w:spacing w:before="120" w:after="120" w:line="360" w:lineRule="auto"/>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t xml:space="preserve">ANEXO I </w:t>
      </w:r>
    </w:p>
    <w:p w14:paraId="2FF97933">
      <w:pPr>
        <w:spacing w:before="120" w:after="120"/>
        <w:ind w:right="-1"/>
        <w:contextualSpacing/>
        <w:jc w:val="center"/>
        <w:rPr>
          <w:rFonts w:asciiTheme="majorHAnsi" w:hAnsiTheme="majorHAnsi" w:cstheme="majorHAnsi"/>
          <w:b/>
          <w:sz w:val="22"/>
          <w:szCs w:val="22"/>
          <w:lang w:eastAsia="ar-SA"/>
        </w:rPr>
      </w:pPr>
      <w:bookmarkStart w:id="92" w:name="_heading=h.1o67tb73gd8o" w:colFirst="0" w:colLast="0"/>
      <w:bookmarkEnd w:id="92"/>
      <w:r>
        <w:rPr>
          <w:rFonts w:asciiTheme="majorHAnsi" w:hAnsiTheme="majorHAnsi" w:cstheme="majorHAnsi"/>
          <w:b/>
          <w:sz w:val="22"/>
          <w:szCs w:val="22"/>
          <w:lang w:eastAsia="ar-SA"/>
        </w:rPr>
        <w:t xml:space="preserve">TERMO DE REFERÊNCIA </w:t>
      </w:r>
    </w:p>
    <w:p w14:paraId="10AB60DD">
      <w:pPr>
        <w:spacing w:before="120" w:after="120"/>
        <w:ind w:right="-1"/>
        <w:contextualSpacing/>
        <w:jc w:val="center"/>
        <w:rPr>
          <w:rFonts w:asciiTheme="majorHAnsi" w:hAnsiTheme="majorHAnsi" w:cstheme="majorHAnsi"/>
          <w:b/>
          <w:color w:val="0070C0"/>
          <w:sz w:val="22"/>
          <w:szCs w:val="22"/>
          <w:lang w:eastAsia="ar-SA"/>
        </w:rPr>
      </w:pPr>
      <w:r>
        <w:rPr>
          <w:rFonts w:asciiTheme="majorHAnsi" w:hAnsiTheme="majorHAnsi" w:cstheme="majorHAnsi"/>
          <w:b/>
          <w:sz w:val="22"/>
          <w:szCs w:val="22"/>
          <w:lang w:eastAsia="ar-SA"/>
        </w:rPr>
        <w:t xml:space="preserve">PREGÃO SRP nº </w:t>
      </w:r>
      <w:r>
        <w:rPr>
          <w:rFonts w:asciiTheme="majorHAnsi" w:hAnsiTheme="majorHAnsi" w:cstheme="majorHAnsi"/>
          <w:b/>
          <w:color w:val="0070C0"/>
          <w:sz w:val="22"/>
          <w:szCs w:val="22"/>
          <w:lang w:eastAsia="ar-SA"/>
        </w:rPr>
        <w:t>90086/2026</w:t>
      </w:r>
    </w:p>
    <w:p w14:paraId="19AFAEC4">
      <w:pPr>
        <w:spacing w:before="120" w:after="120"/>
        <w:ind w:right="-1"/>
        <w:contextualSpacing/>
        <w:jc w:val="center"/>
        <w:rPr>
          <w:rFonts w:asciiTheme="majorHAnsi" w:hAnsiTheme="majorHAnsi" w:cstheme="majorHAnsi"/>
          <w:b/>
          <w:sz w:val="22"/>
          <w:szCs w:val="22"/>
          <w:lang w:eastAsia="ar-SA"/>
        </w:rPr>
      </w:pPr>
      <w:r>
        <w:rPr>
          <w:rFonts w:asciiTheme="majorHAnsi" w:hAnsiTheme="majorHAnsi" w:cstheme="majorHAnsi"/>
          <w:b/>
          <w:sz w:val="22"/>
          <w:szCs w:val="22"/>
        </w:rPr>
        <w:t>PARTICIPAÇÃO EM AMPLA CONCORRÊNCIA SEM EXCLUSIVIDADE PARA ME/EPP</w:t>
      </w:r>
    </w:p>
    <w:p w14:paraId="03D05CB0">
      <w:pPr>
        <w:spacing w:before="120" w:after="120"/>
        <w:ind w:right="-1"/>
        <w:contextualSpacing/>
        <w:jc w:val="center"/>
        <w:rPr>
          <w:rFonts w:asciiTheme="majorHAnsi" w:hAnsiTheme="majorHAnsi" w:cstheme="majorHAnsi"/>
          <w:b/>
          <w:sz w:val="22"/>
          <w:szCs w:val="22"/>
          <w:lang w:eastAsia="ar-SA"/>
        </w:rPr>
      </w:pPr>
    </w:p>
    <w:p w14:paraId="6B808A5A">
      <w:pPr>
        <w:rPr>
          <w:rFonts w:asciiTheme="majorHAnsi" w:hAnsiTheme="majorHAnsi" w:cstheme="majorHAnsi"/>
          <w:b/>
          <w:bCs/>
          <w:color w:val="0070C0"/>
          <w:sz w:val="22"/>
          <w:szCs w:val="22"/>
          <w:shd w:val="clear" w:color="auto" w:fill="FFFFFF"/>
        </w:rPr>
      </w:pPr>
      <w:r>
        <w:rPr>
          <w:rFonts w:asciiTheme="majorHAnsi" w:hAnsiTheme="majorHAnsi" w:cstheme="majorHAnsi"/>
          <w:b/>
          <w:bCs/>
          <w:sz w:val="22"/>
          <w:szCs w:val="22"/>
        </w:rPr>
        <w:t xml:space="preserve">NÚMERO DO PROCESSO: </w:t>
      </w:r>
      <w:r>
        <w:rPr>
          <w:rFonts w:asciiTheme="majorHAnsi" w:hAnsiTheme="majorHAnsi" w:cstheme="majorHAnsi"/>
          <w:b/>
          <w:bCs/>
          <w:color w:val="0070C0"/>
          <w:sz w:val="22"/>
          <w:szCs w:val="22"/>
          <w:shd w:val="clear" w:color="auto" w:fill="FFFFFF"/>
        </w:rPr>
        <w:t>23066.033818/2026-97</w:t>
      </w:r>
    </w:p>
    <w:p w14:paraId="3D48844C">
      <w:pPr>
        <w:rPr>
          <w:rFonts w:asciiTheme="majorHAnsi" w:hAnsiTheme="majorHAnsi" w:cstheme="majorHAnsi"/>
          <w:b/>
          <w:bCs/>
          <w:color w:val="0070C0"/>
          <w:sz w:val="22"/>
          <w:szCs w:val="22"/>
          <w:shd w:val="clear" w:color="auto" w:fill="FFFFFF"/>
        </w:rPr>
      </w:pPr>
      <w:r>
        <w:rPr>
          <w:rFonts w:asciiTheme="majorHAnsi" w:hAnsiTheme="majorHAnsi" w:cstheme="majorHAnsi"/>
          <w:b/>
          <w:bCs/>
          <w:sz w:val="22"/>
          <w:szCs w:val="22"/>
        </w:rPr>
        <w:t xml:space="preserve">NÚMERO DA CONTRATAÇÃO: </w:t>
      </w:r>
      <w:r>
        <w:rPr>
          <w:rFonts w:asciiTheme="majorHAnsi" w:hAnsiTheme="majorHAnsi" w:cstheme="majorHAnsi"/>
          <w:b/>
          <w:bCs/>
          <w:color w:val="0070C0"/>
          <w:sz w:val="22"/>
          <w:szCs w:val="22"/>
          <w:shd w:val="clear" w:color="auto" w:fill="FFFFFF"/>
        </w:rPr>
        <w:t xml:space="preserve">150247- 66/2026 </w:t>
      </w:r>
    </w:p>
    <w:p w14:paraId="22083D24">
      <w:pPr>
        <w:spacing w:before="120" w:after="120"/>
        <w:ind w:right="-1"/>
        <w:contextualSpacing/>
        <w:rPr>
          <w:rFonts w:asciiTheme="majorHAnsi" w:hAnsiTheme="majorHAnsi" w:cstheme="majorHAnsi"/>
          <w:sz w:val="22"/>
          <w:szCs w:val="22"/>
        </w:rPr>
      </w:pPr>
    </w:p>
    <w:p w14:paraId="311E4647">
      <w:pPr>
        <w:pStyle w:val="38"/>
        <w:numPr>
          <w:ilvl w:val="0"/>
          <w:numId w:val="10"/>
        </w:numPr>
        <w:shd w:val="clear" w:color="auto" w:fill="F1F1F1" w:themeFill="background1" w:themeFillShade="F2"/>
        <w:rPr>
          <w:rFonts w:asciiTheme="majorHAnsi" w:hAnsiTheme="majorHAnsi" w:cstheme="majorHAnsi"/>
          <w:b/>
          <w:bCs/>
          <w:sz w:val="22"/>
          <w:szCs w:val="22"/>
        </w:rPr>
      </w:pPr>
      <w:r>
        <w:rPr>
          <w:rFonts w:asciiTheme="majorHAnsi" w:hAnsiTheme="majorHAnsi" w:cstheme="majorHAnsi"/>
          <w:b/>
          <w:bCs/>
          <w:sz w:val="22"/>
          <w:szCs w:val="22"/>
        </w:rPr>
        <w:t>CONDIÇÕES GERAIS DA CONTRATAÇÃO</w:t>
      </w:r>
    </w:p>
    <w:p w14:paraId="717ACE1C">
      <w:pPr>
        <w:pStyle w:val="38"/>
        <w:numPr>
          <w:ilvl w:val="1"/>
          <w:numId w:val="10"/>
        </w:numPr>
        <w:spacing w:before="120" w:after="120"/>
        <w:ind w:left="0" w:firstLine="0"/>
        <w:contextualSpacing w:val="0"/>
        <w:jc w:val="both"/>
        <w:rPr>
          <w:rFonts w:asciiTheme="majorHAnsi" w:hAnsiTheme="majorHAnsi" w:cstheme="majorHAnsi"/>
          <w:bCs/>
          <w:color w:val="EE0000"/>
          <w:sz w:val="22"/>
          <w:szCs w:val="22"/>
        </w:rPr>
      </w:pPr>
      <w:r>
        <w:rPr>
          <w:rFonts w:asciiTheme="majorHAnsi" w:hAnsiTheme="majorHAnsi" w:cstheme="majorHAnsi"/>
          <w:bCs/>
          <w:color w:val="0070C0"/>
          <w:sz w:val="22"/>
          <w:szCs w:val="22"/>
        </w:rPr>
        <w:t xml:space="preserve">Aquisição </w:t>
      </w:r>
      <w:r>
        <w:rPr>
          <w:rFonts w:asciiTheme="majorHAnsi" w:hAnsiTheme="majorHAnsi" w:cstheme="majorHAnsi"/>
          <w:color w:val="0070C0"/>
          <w:sz w:val="22"/>
          <w:szCs w:val="22"/>
        </w:rPr>
        <w:t>de ma</w:t>
      </w:r>
      <w:r>
        <w:rPr>
          <w:rFonts w:asciiTheme="majorHAnsi" w:hAnsiTheme="majorHAnsi" w:cstheme="majorHAnsi"/>
          <w:b/>
          <w:bCs/>
          <w:color w:val="0070C0"/>
          <w:sz w:val="22"/>
          <w:szCs w:val="22"/>
        </w:rPr>
        <w:t>teriais médico-hospitalares do tipo AGULHA, DRENOS, FILTROS, FRASCO, CAIXA TÉRMICA E BOLSAS</w:t>
      </w:r>
      <w:r>
        <w:rPr>
          <w:rFonts w:asciiTheme="majorHAnsi" w:hAnsiTheme="majorHAnsi" w:cstheme="majorHAnsi"/>
          <w:color w:val="0070C0"/>
          <w:sz w:val="22"/>
          <w:szCs w:val="22"/>
        </w:rPr>
        <w:t>, por meio de processo licitatório, destinados a atender às necessidades assistenciais do Hospital Ana Nery</w:t>
      </w:r>
      <w:r>
        <w:rPr>
          <w:rFonts w:asciiTheme="majorHAnsi" w:hAnsiTheme="majorHAnsi" w:cstheme="majorHAnsi"/>
          <w:sz w:val="22"/>
          <w:szCs w:val="22"/>
        </w:rPr>
        <w:t xml:space="preserve">, pelo período estimado de 12 (doze) meses, </w:t>
      </w:r>
      <w:r>
        <w:rPr>
          <w:rFonts w:asciiTheme="majorHAnsi" w:hAnsiTheme="majorHAnsi" w:cstheme="majorHAnsi"/>
          <w:bCs/>
          <w:sz w:val="22"/>
          <w:szCs w:val="22"/>
        </w:rPr>
        <w:t xml:space="preserve">conforme condições, exigências e estimativas </w:t>
      </w:r>
      <w:r>
        <w:rPr>
          <w:rFonts w:asciiTheme="majorHAnsi" w:hAnsiTheme="majorHAnsi" w:cstheme="majorHAnsi"/>
          <w:bCs/>
          <w:color w:val="EE0000"/>
          <w:sz w:val="22"/>
          <w:szCs w:val="22"/>
        </w:rPr>
        <w:t>estabelecidas neste instrumento:</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606"/>
        <w:gridCol w:w="1224"/>
        <w:gridCol w:w="3393"/>
        <w:gridCol w:w="524"/>
        <w:gridCol w:w="1234"/>
        <w:gridCol w:w="1336"/>
        <w:gridCol w:w="1461"/>
      </w:tblGrid>
      <w:tr w14:paraId="77507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8" w:hRule="atLeast"/>
        </w:trPr>
        <w:tc>
          <w:tcPr>
            <w:tcW w:w="310" w:type="pct"/>
            <w:shd w:val="clear" w:color="auto" w:fill="A5A5A5" w:themeFill="background1" w:themeFillShade="A6"/>
            <w:noWrap/>
            <w:textDirection w:val="btLr"/>
            <w:vAlign w:val="center"/>
          </w:tcPr>
          <w:p w14:paraId="0F41EA7B">
            <w:pPr>
              <w:jc w:val="center"/>
              <w:rPr>
                <w:rFonts w:eastAsia="Times New Roman" w:asciiTheme="majorHAnsi" w:hAnsiTheme="majorHAnsi" w:cstheme="majorHAnsi"/>
                <w:b/>
                <w:color w:val="FF0000"/>
                <w:sz w:val="16"/>
                <w:szCs w:val="16"/>
              </w:rPr>
            </w:pPr>
            <w:r>
              <w:rPr>
                <w:rFonts w:eastAsia="Times New Roman" w:asciiTheme="majorHAnsi" w:hAnsiTheme="majorHAnsi" w:cstheme="majorHAnsi"/>
                <w:b/>
                <w:color w:val="FF0000"/>
                <w:sz w:val="16"/>
                <w:szCs w:val="16"/>
              </w:rPr>
              <w:t>ITEM</w:t>
            </w:r>
          </w:p>
        </w:tc>
        <w:tc>
          <w:tcPr>
            <w:tcW w:w="626" w:type="pct"/>
            <w:shd w:val="clear" w:color="auto" w:fill="A5A5A5" w:themeFill="background1" w:themeFillShade="A6"/>
            <w:vAlign w:val="center"/>
          </w:tcPr>
          <w:p w14:paraId="6ECD3025">
            <w:pPr>
              <w:jc w:val="center"/>
              <w:rPr>
                <w:rFonts w:eastAsia="Times New Roman" w:asciiTheme="majorHAnsi" w:hAnsiTheme="majorHAnsi" w:cstheme="majorHAnsi"/>
                <w:b/>
                <w:color w:val="FF0000"/>
                <w:sz w:val="16"/>
                <w:szCs w:val="16"/>
              </w:rPr>
            </w:pPr>
            <w:r>
              <w:rPr>
                <w:rFonts w:eastAsia="Times New Roman" w:asciiTheme="majorHAnsi" w:hAnsiTheme="majorHAnsi" w:cstheme="majorHAnsi"/>
                <w:b/>
                <w:color w:val="FF0000"/>
                <w:sz w:val="16"/>
                <w:szCs w:val="16"/>
              </w:rPr>
              <w:t>CÓDIGO                             CATMAT</w:t>
            </w:r>
          </w:p>
        </w:tc>
        <w:tc>
          <w:tcPr>
            <w:tcW w:w="1735" w:type="pct"/>
            <w:shd w:val="clear" w:color="auto" w:fill="A5A5A5" w:themeFill="background1" w:themeFillShade="A6"/>
            <w:vAlign w:val="center"/>
          </w:tcPr>
          <w:p w14:paraId="50BCF5E0">
            <w:pPr>
              <w:jc w:val="center"/>
              <w:rPr>
                <w:rFonts w:eastAsia="Times New Roman" w:asciiTheme="majorHAnsi" w:hAnsiTheme="majorHAnsi" w:cstheme="majorHAnsi"/>
                <w:b/>
                <w:color w:val="FF0000"/>
                <w:sz w:val="16"/>
                <w:szCs w:val="16"/>
              </w:rPr>
            </w:pPr>
            <w:r>
              <w:rPr>
                <w:rFonts w:eastAsia="Times New Roman" w:asciiTheme="majorHAnsi" w:hAnsiTheme="majorHAnsi" w:cstheme="majorHAnsi"/>
                <w:b/>
                <w:color w:val="FF0000"/>
                <w:sz w:val="16"/>
                <w:szCs w:val="16"/>
              </w:rPr>
              <w:t xml:space="preserve">ESPECIFICAÇÃO </w:t>
            </w:r>
          </w:p>
        </w:tc>
        <w:tc>
          <w:tcPr>
            <w:tcW w:w="268" w:type="pct"/>
            <w:shd w:val="clear" w:color="auto" w:fill="A5A5A5" w:themeFill="background1" w:themeFillShade="A6"/>
            <w:vAlign w:val="center"/>
          </w:tcPr>
          <w:p w14:paraId="7C3164B8">
            <w:pPr>
              <w:jc w:val="center"/>
              <w:rPr>
                <w:rFonts w:eastAsia="Times New Roman" w:asciiTheme="majorHAnsi" w:hAnsiTheme="majorHAnsi" w:cstheme="majorHAnsi"/>
                <w:b/>
                <w:color w:val="FF0000"/>
                <w:sz w:val="16"/>
                <w:szCs w:val="16"/>
              </w:rPr>
            </w:pPr>
            <w:r>
              <w:rPr>
                <w:rFonts w:eastAsia="Times New Roman" w:asciiTheme="majorHAnsi" w:hAnsiTheme="majorHAnsi" w:cstheme="majorHAnsi"/>
                <w:b/>
                <w:color w:val="FF0000"/>
                <w:sz w:val="16"/>
                <w:szCs w:val="16"/>
              </w:rPr>
              <w:t>U.F</w:t>
            </w:r>
          </w:p>
        </w:tc>
        <w:tc>
          <w:tcPr>
            <w:tcW w:w="631" w:type="pct"/>
            <w:shd w:val="clear" w:color="auto" w:fill="A5A5A5" w:themeFill="background1" w:themeFillShade="A6"/>
            <w:vAlign w:val="center"/>
          </w:tcPr>
          <w:p w14:paraId="0DF1D897">
            <w:pPr>
              <w:jc w:val="center"/>
              <w:rPr>
                <w:rFonts w:eastAsia="Times New Roman" w:asciiTheme="majorHAnsi" w:hAnsiTheme="majorHAnsi" w:cstheme="majorHAnsi"/>
                <w:b/>
                <w:color w:val="FF0000"/>
                <w:sz w:val="16"/>
                <w:szCs w:val="16"/>
              </w:rPr>
            </w:pPr>
            <w:r>
              <w:rPr>
                <w:rFonts w:eastAsia="Times New Roman" w:asciiTheme="majorHAnsi" w:hAnsiTheme="majorHAnsi" w:cstheme="majorHAnsi"/>
                <w:b/>
                <w:color w:val="FF0000"/>
                <w:sz w:val="16"/>
                <w:szCs w:val="16"/>
              </w:rPr>
              <w:t>QUANTIDADE ANUAL</w:t>
            </w:r>
          </w:p>
        </w:tc>
        <w:tc>
          <w:tcPr>
            <w:tcW w:w="683" w:type="pct"/>
            <w:shd w:val="clear" w:color="auto" w:fill="A5A5A5" w:themeFill="background1" w:themeFillShade="A6"/>
            <w:vAlign w:val="center"/>
          </w:tcPr>
          <w:p w14:paraId="120EC225">
            <w:pPr>
              <w:jc w:val="center"/>
              <w:rPr>
                <w:rFonts w:eastAsia="Times New Roman" w:asciiTheme="majorHAnsi" w:hAnsiTheme="majorHAnsi" w:cstheme="majorHAnsi"/>
                <w:b/>
                <w:color w:val="FF0000"/>
                <w:sz w:val="16"/>
                <w:szCs w:val="16"/>
              </w:rPr>
            </w:pPr>
            <w:r>
              <w:rPr>
                <w:rFonts w:eastAsia="Times New Roman" w:asciiTheme="majorHAnsi" w:hAnsiTheme="majorHAnsi" w:cstheme="majorHAnsi"/>
                <w:b/>
                <w:color w:val="FF0000"/>
                <w:sz w:val="16"/>
                <w:szCs w:val="16"/>
              </w:rPr>
              <w:t xml:space="preserve">VALOR MÉDIO UNITÁRIO ESTIMADO </w:t>
            </w:r>
          </w:p>
        </w:tc>
        <w:tc>
          <w:tcPr>
            <w:tcW w:w="747" w:type="pct"/>
            <w:shd w:val="clear" w:color="auto" w:fill="A5A5A5" w:themeFill="background1" w:themeFillShade="A6"/>
            <w:vAlign w:val="center"/>
          </w:tcPr>
          <w:p w14:paraId="5B3ABC23">
            <w:pPr>
              <w:jc w:val="center"/>
              <w:rPr>
                <w:rFonts w:eastAsia="Times New Roman" w:asciiTheme="majorHAnsi" w:hAnsiTheme="majorHAnsi" w:cstheme="majorHAnsi"/>
                <w:b/>
                <w:color w:val="FF0000"/>
                <w:sz w:val="16"/>
                <w:szCs w:val="16"/>
              </w:rPr>
            </w:pPr>
            <w:r>
              <w:rPr>
                <w:rFonts w:eastAsia="Times New Roman" w:asciiTheme="majorHAnsi" w:hAnsiTheme="majorHAnsi" w:cstheme="majorHAnsi"/>
                <w:b/>
                <w:color w:val="FF0000"/>
                <w:sz w:val="16"/>
                <w:szCs w:val="16"/>
              </w:rPr>
              <w:t>VALOR TOTAL ANUAL ESTIMADO</w:t>
            </w:r>
          </w:p>
        </w:tc>
      </w:tr>
      <w:tr w14:paraId="7A4C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5000" w:type="pct"/>
            <w:gridSpan w:val="7"/>
            <w:shd w:val="clear" w:color="auto" w:fill="D8D8D8" w:themeFill="background1" w:themeFillShade="D9"/>
            <w:noWrap/>
            <w:vAlign w:val="center"/>
          </w:tcPr>
          <w:p w14:paraId="659E05AF">
            <w:pPr>
              <w:jc w:val="center"/>
              <w:rPr>
                <w:rFonts w:eastAsia="Times New Roman" w:asciiTheme="majorHAnsi" w:hAnsiTheme="majorHAnsi" w:cstheme="majorHAnsi"/>
                <w:b/>
                <w:bCs/>
                <w:color w:val="FF0000"/>
                <w:sz w:val="16"/>
                <w:szCs w:val="16"/>
              </w:rPr>
            </w:pPr>
            <w:r>
              <w:rPr>
                <w:rFonts w:eastAsia="Times New Roman" w:asciiTheme="majorHAnsi" w:hAnsiTheme="majorHAnsi" w:cstheme="majorHAnsi"/>
                <w:b/>
                <w:bCs/>
                <w:color w:val="FF0000"/>
                <w:sz w:val="16"/>
                <w:szCs w:val="16"/>
              </w:rPr>
              <w:t>GRUPO 1 - ITENS 1 A 13</w:t>
            </w:r>
          </w:p>
        </w:tc>
      </w:tr>
      <w:tr w14:paraId="72F0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531" w:hRule="atLeast"/>
        </w:trPr>
        <w:tc>
          <w:tcPr>
            <w:tcW w:w="310" w:type="pct"/>
            <w:shd w:val="clear" w:color="FFFFCC" w:fill="FFFFFF"/>
            <w:vAlign w:val="center"/>
          </w:tcPr>
          <w:p w14:paraId="7390006B">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w:t>
            </w:r>
          </w:p>
        </w:tc>
        <w:tc>
          <w:tcPr>
            <w:tcW w:w="626" w:type="pct"/>
            <w:shd w:val="clear" w:color="FFFFCC" w:fill="FFFFFF"/>
            <w:vAlign w:val="center"/>
          </w:tcPr>
          <w:p w14:paraId="766CF7B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438474</w:t>
            </w:r>
          </w:p>
        </w:tc>
        <w:tc>
          <w:tcPr>
            <w:tcW w:w="1735" w:type="pct"/>
            <w:shd w:val="clear" w:color="FFFFCC" w:fill="FFFFFF"/>
            <w:vAlign w:val="center"/>
          </w:tcPr>
          <w:p w14:paraId="4D670DA7">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12  FRENCH, COMPRIMENTO: CERCA DE 50 CM, CONECTOR UNIVERSAL: C/ CONECTOR, COMPONENTE II: RADIOPACO, TIPO USO: ESTÉRIL, DESCARTÁVEL,  EMBALAGEM: EMBALAGEM INDIVIDUAL</w:t>
            </w:r>
          </w:p>
        </w:tc>
        <w:tc>
          <w:tcPr>
            <w:tcW w:w="268" w:type="pct"/>
            <w:shd w:val="clear" w:color="FFFFFF" w:fill="FFFFFF"/>
            <w:vAlign w:val="center"/>
          </w:tcPr>
          <w:p w14:paraId="05839D1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252EDBB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11AEE8B3">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7,08 </w:t>
            </w:r>
          </w:p>
        </w:tc>
        <w:tc>
          <w:tcPr>
            <w:tcW w:w="747" w:type="pct"/>
            <w:shd w:val="clear" w:color="000000" w:fill="FFFFFF"/>
            <w:noWrap/>
            <w:vAlign w:val="center"/>
          </w:tcPr>
          <w:p w14:paraId="7E21D4D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849,60 </w:t>
            </w:r>
          </w:p>
        </w:tc>
      </w:tr>
      <w:tr w14:paraId="01F3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681" w:hRule="atLeast"/>
        </w:trPr>
        <w:tc>
          <w:tcPr>
            <w:tcW w:w="310" w:type="pct"/>
            <w:shd w:val="clear" w:color="FFFFCC" w:fill="FFFFFF"/>
            <w:vAlign w:val="center"/>
          </w:tcPr>
          <w:p w14:paraId="087515F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w:t>
            </w:r>
          </w:p>
        </w:tc>
        <w:tc>
          <w:tcPr>
            <w:tcW w:w="626" w:type="pct"/>
            <w:shd w:val="clear" w:color="FFFFCC" w:fill="FFFFFF"/>
            <w:vAlign w:val="center"/>
          </w:tcPr>
          <w:p w14:paraId="0ED78D4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438485</w:t>
            </w:r>
          </w:p>
        </w:tc>
        <w:tc>
          <w:tcPr>
            <w:tcW w:w="1735" w:type="pct"/>
            <w:shd w:val="clear" w:color="FFFFCC" w:fill="FFFFFF"/>
            <w:vAlign w:val="center"/>
          </w:tcPr>
          <w:p w14:paraId="7E549923">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14  FRENCH, COMPRIMENTO: CERCA DE 50 CM, CONECTOR UNIVERSAL: C/ CONECTOR, COMPONENTE II: RADIOPACO, TIPO USO: ESTÉRIL, DESCARTÁVEL,  EMBALAGEM: EMBALAGEM INDIVIDUAL</w:t>
            </w:r>
          </w:p>
        </w:tc>
        <w:tc>
          <w:tcPr>
            <w:tcW w:w="268" w:type="pct"/>
            <w:shd w:val="clear" w:color="FFFFFF" w:fill="FFFFFF"/>
            <w:vAlign w:val="center"/>
          </w:tcPr>
          <w:p w14:paraId="0E83CF93">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71BEF79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462E5199">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10,38 </w:t>
            </w:r>
          </w:p>
        </w:tc>
        <w:tc>
          <w:tcPr>
            <w:tcW w:w="747" w:type="pct"/>
            <w:shd w:val="clear" w:color="000000" w:fill="FFFFFF"/>
            <w:noWrap/>
            <w:vAlign w:val="center"/>
          </w:tcPr>
          <w:p w14:paraId="79FD355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1.245,60 </w:t>
            </w:r>
          </w:p>
        </w:tc>
      </w:tr>
      <w:tr w14:paraId="199B5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833" w:hRule="atLeast"/>
        </w:trPr>
        <w:tc>
          <w:tcPr>
            <w:tcW w:w="310" w:type="pct"/>
            <w:shd w:val="clear" w:color="FFFFCC" w:fill="FFFFFF"/>
            <w:vAlign w:val="center"/>
          </w:tcPr>
          <w:p w14:paraId="7137688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3</w:t>
            </w:r>
          </w:p>
        </w:tc>
        <w:tc>
          <w:tcPr>
            <w:tcW w:w="626" w:type="pct"/>
            <w:shd w:val="clear" w:color="FFFFCC" w:fill="FFFFFF"/>
            <w:vAlign w:val="center"/>
          </w:tcPr>
          <w:p w14:paraId="75B123E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438490</w:t>
            </w:r>
          </w:p>
        </w:tc>
        <w:tc>
          <w:tcPr>
            <w:tcW w:w="1735" w:type="pct"/>
            <w:shd w:val="clear" w:color="FFFFCC" w:fill="FFFFFF"/>
            <w:vAlign w:val="center"/>
          </w:tcPr>
          <w:p w14:paraId="27BA9229">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16 FRENCH, COMPRIMENTO: CERCA DE 50 CM, CONECTOR UNIVERSAL: C/ CONECTOR, COMPONENTE II: RADIOPACO, TIPO USO: ESTÉRIL, DESCARTÁVEL, EMBALAGEM: EMBALAGEM INDIVIDUAL</w:t>
            </w:r>
          </w:p>
        </w:tc>
        <w:tc>
          <w:tcPr>
            <w:tcW w:w="268" w:type="pct"/>
            <w:shd w:val="clear" w:color="FFFFFF" w:fill="FFFFFF"/>
            <w:vAlign w:val="center"/>
          </w:tcPr>
          <w:p w14:paraId="3B85E88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1B35DD9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7C82577F">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10,38 </w:t>
            </w:r>
          </w:p>
        </w:tc>
        <w:tc>
          <w:tcPr>
            <w:tcW w:w="747" w:type="pct"/>
            <w:shd w:val="clear" w:color="000000" w:fill="FFFFFF"/>
            <w:noWrap/>
            <w:vAlign w:val="center"/>
          </w:tcPr>
          <w:p w14:paraId="2F63901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1.245,60 </w:t>
            </w:r>
          </w:p>
        </w:tc>
      </w:tr>
      <w:tr w14:paraId="59358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0" w:hRule="atLeast"/>
        </w:trPr>
        <w:tc>
          <w:tcPr>
            <w:tcW w:w="310" w:type="pct"/>
            <w:shd w:val="clear" w:color="FFFFCC" w:fill="FFFFFF"/>
            <w:vAlign w:val="center"/>
          </w:tcPr>
          <w:p w14:paraId="76E5790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w:t>
            </w:r>
          </w:p>
        </w:tc>
        <w:tc>
          <w:tcPr>
            <w:tcW w:w="626" w:type="pct"/>
            <w:shd w:val="clear" w:color="FFFFCC" w:fill="FFFFFF"/>
            <w:vAlign w:val="center"/>
          </w:tcPr>
          <w:p w14:paraId="5C60B3F8">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438486</w:t>
            </w:r>
          </w:p>
        </w:tc>
        <w:tc>
          <w:tcPr>
            <w:tcW w:w="1735" w:type="pct"/>
            <w:shd w:val="clear" w:color="FFFFCC" w:fill="FFFFFF"/>
            <w:vAlign w:val="center"/>
          </w:tcPr>
          <w:p w14:paraId="04E51461">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18  FRENCH, COMPRIMENTO: CERCA DE 50 CM, CONECTOR UNIVERSAL: C/ CONECTOR, COMPONENTE II: RADIOPACO, TIPO USO: ESTÉRIL, DESCARTÁVEL,  EMBALAGEM: EMBALAGEM INDIVIDUAL</w:t>
            </w:r>
          </w:p>
        </w:tc>
        <w:tc>
          <w:tcPr>
            <w:tcW w:w="268" w:type="pct"/>
            <w:shd w:val="clear" w:color="FFFFFF" w:fill="FFFFFF"/>
            <w:vAlign w:val="center"/>
          </w:tcPr>
          <w:p w14:paraId="634B7433">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60B5B3C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35BDA3D1">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10,89 </w:t>
            </w:r>
          </w:p>
        </w:tc>
        <w:tc>
          <w:tcPr>
            <w:tcW w:w="747" w:type="pct"/>
            <w:shd w:val="clear" w:color="000000" w:fill="FFFFFF"/>
            <w:noWrap/>
            <w:vAlign w:val="center"/>
          </w:tcPr>
          <w:p w14:paraId="4742655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1.306,80 </w:t>
            </w:r>
          </w:p>
        </w:tc>
      </w:tr>
      <w:tr w14:paraId="342F3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618" w:hRule="atLeast"/>
        </w:trPr>
        <w:tc>
          <w:tcPr>
            <w:tcW w:w="310" w:type="pct"/>
            <w:shd w:val="clear" w:color="FFFFCC" w:fill="FFFFFF"/>
            <w:vAlign w:val="center"/>
          </w:tcPr>
          <w:p w14:paraId="7574DD0B">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5</w:t>
            </w:r>
          </w:p>
        </w:tc>
        <w:tc>
          <w:tcPr>
            <w:tcW w:w="626" w:type="pct"/>
            <w:shd w:val="clear" w:color="FFFFCC" w:fill="FFFFFF"/>
            <w:vAlign w:val="center"/>
          </w:tcPr>
          <w:p w14:paraId="1F50F053">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438498</w:t>
            </w:r>
          </w:p>
        </w:tc>
        <w:tc>
          <w:tcPr>
            <w:tcW w:w="1735" w:type="pct"/>
            <w:shd w:val="clear" w:color="FFFFCC" w:fill="FFFFFF"/>
            <w:vAlign w:val="center"/>
          </w:tcPr>
          <w:p w14:paraId="7F206768">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20  FRENCH, COMPRIMENTO: CERCA DE 50 CM, CONECTOR UNIVERSAL: C/ CONECTOR, COMPONENTE II: RADIOPACO, TIPO USO: ESTÉRIL, DESCARTÁVEL,  EMBALAGEM: EMBALAGEM INDIVIDUAL.</w:t>
            </w:r>
          </w:p>
        </w:tc>
        <w:tc>
          <w:tcPr>
            <w:tcW w:w="268" w:type="pct"/>
            <w:shd w:val="clear" w:color="FFFFFF" w:fill="FFFFFF"/>
            <w:vAlign w:val="center"/>
          </w:tcPr>
          <w:p w14:paraId="192BF70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46B0469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73901B03">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12,69 </w:t>
            </w:r>
          </w:p>
        </w:tc>
        <w:tc>
          <w:tcPr>
            <w:tcW w:w="747" w:type="pct"/>
            <w:shd w:val="clear" w:color="000000" w:fill="FFFFFF"/>
            <w:noWrap/>
            <w:vAlign w:val="center"/>
          </w:tcPr>
          <w:p w14:paraId="7A69495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1.522,80 </w:t>
            </w:r>
          </w:p>
        </w:tc>
      </w:tr>
      <w:tr w14:paraId="457A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683" w:hRule="atLeast"/>
        </w:trPr>
        <w:tc>
          <w:tcPr>
            <w:tcW w:w="310" w:type="pct"/>
            <w:shd w:val="clear" w:color="FFFFCC" w:fill="FFFFFF"/>
            <w:vAlign w:val="center"/>
          </w:tcPr>
          <w:p w14:paraId="133DBA6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6</w:t>
            </w:r>
          </w:p>
        </w:tc>
        <w:tc>
          <w:tcPr>
            <w:tcW w:w="626" w:type="pct"/>
            <w:shd w:val="clear" w:color="FFFFCC" w:fill="FFFFFF"/>
            <w:vAlign w:val="center"/>
          </w:tcPr>
          <w:p w14:paraId="4225DBE3">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438489</w:t>
            </w:r>
          </w:p>
        </w:tc>
        <w:tc>
          <w:tcPr>
            <w:tcW w:w="1735" w:type="pct"/>
            <w:shd w:val="clear" w:color="FFFFCC" w:fill="FFFFFF"/>
            <w:vAlign w:val="center"/>
          </w:tcPr>
          <w:p w14:paraId="417169B5">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24  FRENCH, COMPRIMENTO: CERCA DE 50 CM, CONECTOR UNIVERSAL: C/ CONECTOR, COMPONENTE II: RADIOPACO, TIPO USO: ESTÉRIL, DESCARTÁVEL,  EMBALAGEM: EMBALAGEM INDIVIDUAL</w:t>
            </w:r>
          </w:p>
        </w:tc>
        <w:tc>
          <w:tcPr>
            <w:tcW w:w="268" w:type="pct"/>
            <w:shd w:val="clear" w:color="FFFFFF" w:fill="FFFFFF"/>
            <w:vAlign w:val="center"/>
          </w:tcPr>
          <w:p w14:paraId="36F12137">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5B941A5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5BC44464">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13,57 </w:t>
            </w:r>
          </w:p>
        </w:tc>
        <w:tc>
          <w:tcPr>
            <w:tcW w:w="747" w:type="pct"/>
            <w:shd w:val="clear" w:color="000000" w:fill="FFFFFF"/>
            <w:noWrap/>
            <w:vAlign w:val="center"/>
          </w:tcPr>
          <w:p w14:paraId="13808BAB">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1.628,40 </w:t>
            </w:r>
          </w:p>
        </w:tc>
      </w:tr>
      <w:tr w14:paraId="7630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489" w:hRule="atLeast"/>
        </w:trPr>
        <w:tc>
          <w:tcPr>
            <w:tcW w:w="310" w:type="pct"/>
            <w:shd w:val="clear" w:color="FFFFCC" w:fill="FFFFFF"/>
            <w:vAlign w:val="center"/>
          </w:tcPr>
          <w:p w14:paraId="16580D7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7</w:t>
            </w:r>
          </w:p>
        </w:tc>
        <w:tc>
          <w:tcPr>
            <w:tcW w:w="626" w:type="pct"/>
            <w:shd w:val="clear" w:color="FFFFCC" w:fill="FFFFFF"/>
            <w:vAlign w:val="center"/>
          </w:tcPr>
          <w:p w14:paraId="4B08CA7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438493</w:t>
            </w:r>
          </w:p>
        </w:tc>
        <w:tc>
          <w:tcPr>
            <w:tcW w:w="1735" w:type="pct"/>
            <w:shd w:val="clear" w:color="FFFFCC" w:fill="FFFFFF"/>
            <w:vAlign w:val="center"/>
          </w:tcPr>
          <w:p w14:paraId="2B4D3C2F">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26  FRENCH, COMPRIMENTO: CERCA DE 50 CM, CONECTOR UNIVERSAL: C/ CONECTOR, COMPONENTE II: RADIOPACO, TIPO USO: ESTÉRIL, DESCARTÁVEL,  EMBALAGEM: EMBALAGEM INDIVIDUAL</w:t>
            </w:r>
          </w:p>
        </w:tc>
        <w:tc>
          <w:tcPr>
            <w:tcW w:w="268" w:type="pct"/>
            <w:shd w:val="clear" w:color="FFFFFF" w:fill="FFFFFF"/>
            <w:vAlign w:val="center"/>
          </w:tcPr>
          <w:p w14:paraId="4D0AACF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2D99798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73D84A64">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13,38 </w:t>
            </w:r>
          </w:p>
        </w:tc>
        <w:tc>
          <w:tcPr>
            <w:tcW w:w="747" w:type="pct"/>
            <w:shd w:val="clear" w:color="000000" w:fill="FFFFFF"/>
            <w:noWrap/>
            <w:vAlign w:val="center"/>
          </w:tcPr>
          <w:p w14:paraId="4BAAE56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1.605,60 </w:t>
            </w:r>
          </w:p>
        </w:tc>
      </w:tr>
      <w:tr w14:paraId="440C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757" w:hRule="atLeast"/>
        </w:trPr>
        <w:tc>
          <w:tcPr>
            <w:tcW w:w="310" w:type="pct"/>
            <w:shd w:val="clear" w:color="FFFFCC" w:fill="FFFFFF"/>
            <w:vAlign w:val="center"/>
          </w:tcPr>
          <w:p w14:paraId="36109B78">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8</w:t>
            </w:r>
          </w:p>
        </w:tc>
        <w:tc>
          <w:tcPr>
            <w:tcW w:w="626" w:type="pct"/>
            <w:shd w:val="clear" w:color="FFFFCC" w:fill="FFFFFF"/>
            <w:vAlign w:val="center"/>
          </w:tcPr>
          <w:p w14:paraId="362910F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438494</w:t>
            </w:r>
          </w:p>
        </w:tc>
        <w:tc>
          <w:tcPr>
            <w:tcW w:w="1735" w:type="pct"/>
            <w:shd w:val="clear" w:color="FFFFCC" w:fill="FFFFFF"/>
            <w:vAlign w:val="center"/>
          </w:tcPr>
          <w:p w14:paraId="607C299E">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28  FRENCH, COMPRIMENTO: CERCA DE 50 CM, CONECTOR UNIVERSAL: C/ CONECTOR, COMPONENTE II: RADIOPACO, TIPO USO: ESTÉRIL, DESCARTÁVEL,  EMBALAGEM: EMBALAGEM INDIVIDUAL</w:t>
            </w:r>
          </w:p>
        </w:tc>
        <w:tc>
          <w:tcPr>
            <w:tcW w:w="268" w:type="pct"/>
            <w:shd w:val="clear" w:color="FFFFFF" w:fill="FFFFFF"/>
            <w:vAlign w:val="center"/>
          </w:tcPr>
          <w:p w14:paraId="16558F7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6B6D350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5798FA61">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13,40 </w:t>
            </w:r>
          </w:p>
        </w:tc>
        <w:tc>
          <w:tcPr>
            <w:tcW w:w="747" w:type="pct"/>
            <w:shd w:val="clear" w:color="000000" w:fill="FFFFFF"/>
            <w:noWrap/>
            <w:vAlign w:val="center"/>
          </w:tcPr>
          <w:p w14:paraId="22CA402B">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1.608,00 </w:t>
            </w:r>
          </w:p>
        </w:tc>
      </w:tr>
      <w:tr w14:paraId="004C5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683" w:hRule="atLeast"/>
        </w:trPr>
        <w:tc>
          <w:tcPr>
            <w:tcW w:w="310" w:type="pct"/>
            <w:shd w:val="clear" w:color="FFFFCC" w:fill="FFFFFF"/>
            <w:vAlign w:val="center"/>
          </w:tcPr>
          <w:p w14:paraId="2E69356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9</w:t>
            </w:r>
          </w:p>
        </w:tc>
        <w:tc>
          <w:tcPr>
            <w:tcW w:w="626" w:type="pct"/>
            <w:shd w:val="clear" w:color="FFFFCC" w:fill="FFFFFF"/>
            <w:vAlign w:val="center"/>
          </w:tcPr>
          <w:p w14:paraId="1532430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438500</w:t>
            </w:r>
          </w:p>
        </w:tc>
        <w:tc>
          <w:tcPr>
            <w:tcW w:w="1735" w:type="pct"/>
            <w:shd w:val="clear" w:color="FFFFCC" w:fill="FFFFFF"/>
            <w:vAlign w:val="center"/>
          </w:tcPr>
          <w:p w14:paraId="444132A3">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30  FRENCH, COMPRIMENTO: CERCA DE 50 CM, CONECTOR UNIVERSAL: C/ CONECTOR, COMPONENTE II: RADIOPACO, TIPO USO: ESTÉRIL, DESCARTÁVEL,  EMBALAGEM: EMBALAGEM INDIVIDUAL</w:t>
            </w:r>
          </w:p>
        </w:tc>
        <w:tc>
          <w:tcPr>
            <w:tcW w:w="268" w:type="pct"/>
            <w:shd w:val="clear" w:color="FFFFFF" w:fill="FFFFFF"/>
            <w:vAlign w:val="center"/>
          </w:tcPr>
          <w:p w14:paraId="144076A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08158E1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3DF7ACAB">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13,37 </w:t>
            </w:r>
          </w:p>
        </w:tc>
        <w:tc>
          <w:tcPr>
            <w:tcW w:w="747" w:type="pct"/>
            <w:shd w:val="clear" w:color="000000" w:fill="FFFFFF"/>
            <w:noWrap/>
            <w:vAlign w:val="center"/>
          </w:tcPr>
          <w:p w14:paraId="61A7E01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1.604,40 </w:t>
            </w:r>
          </w:p>
        </w:tc>
      </w:tr>
      <w:tr w14:paraId="08522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693" w:hRule="atLeast"/>
        </w:trPr>
        <w:tc>
          <w:tcPr>
            <w:tcW w:w="310" w:type="pct"/>
            <w:shd w:val="clear" w:color="FFFFCC" w:fill="FFFFFF"/>
            <w:vAlign w:val="center"/>
          </w:tcPr>
          <w:p w14:paraId="0B8480F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10</w:t>
            </w:r>
          </w:p>
        </w:tc>
        <w:tc>
          <w:tcPr>
            <w:tcW w:w="626" w:type="pct"/>
            <w:shd w:val="clear" w:color="FFFFCC" w:fill="FFFFFF"/>
            <w:vAlign w:val="center"/>
          </w:tcPr>
          <w:p w14:paraId="7553BE3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438501</w:t>
            </w:r>
          </w:p>
        </w:tc>
        <w:tc>
          <w:tcPr>
            <w:tcW w:w="1735" w:type="pct"/>
            <w:shd w:val="clear" w:color="FFFFCC" w:fill="FFFFFF"/>
            <w:vAlign w:val="center"/>
          </w:tcPr>
          <w:p w14:paraId="28B47D2A">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32 FRENCH, COMPRIMENTO: CERCA DE 50 CM, CONECTOR UNIVERSAL: C/ CONECTOR, COMPONENTE II: RADIOPACO,  TIPO  USO:  ESTÉRIL,DESCARTÁVEL, EMBALAGEM: EMBALAGEM INDIVIDUAL</w:t>
            </w:r>
          </w:p>
        </w:tc>
        <w:tc>
          <w:tcPr>
            <w:tcW w:w="268" w:type="pct"/>
            <w:shd w:val="clear" w:color="FFFFFF" w:fill="FFFFFF"/>
            <w:vAlign w:val="center"/>
          </w:tcPr>
          <w:p w14:paraId="2F328C4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413D29D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627BA620">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13,16 </w:t>
            </w:r>
          </w:p>
        </w:tc>
        <w:tc>
          <w:tcPr>
            <w:tcW w:w="747" w:type="pct"/>
            <w:shd w:val="clear" w:color="000000" w:fill="FFFFFF"/>
            <w:noWrap/>
            <w:vAlign w:val="center"/>
          </w:tcPr>
          <w:p w14:paraId="3CA1053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1.579,20 </w:t>
            </w:r>
          </w:p>
        </w:tc>
      </w:tr>
      <w:tr w14:paraId="1A1D2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18" w:hRule="atLeast"/>
        </w:trPr>
        <w:tc>
          <w:tcPr>
            <w:tcW w:w="310" w:type="pct"/>
            <w:shd w:val="clear" w:color="FFFFCC" w:fill="FFFFFF"/>
            <w:vAlign w:val="center"/>
          </w:tcPr>
          <w:p w14:paraId="53EB986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11</w:t>
            </w:r>
          </w:p>
        </w:tc>
        <w:tc>
          <w:tcPr>
            <w:tcW w:w="626" w:type="pct"/>
            <w:shd w:val="clear" w:color="FFFFCC" w:fill="FFFFFF"/>
            <w:vAlign w:val="center"/>
          </w:tcPr>
          <w:p w14:paraId="104234F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438495</w:t>
            </w:r>
          </w:p>
        </w:tc>
        <w:tc>
          <w:tcPr>
            <w:tcW w:w="1735" w:type="pct"/>
            <w:shd w:val="clear" w:color="FFFFCC" w:fill="FFFFFF"/>
            <w:vAlign w:val="center"/>
          </w:tcPr>
          <w:p w14:paraId="56F7564D">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34  FRENCH, COMPRIMENTO: CERCA DE 50 CM, CONECTOR UNIVERSAL: C/ CONECTOR, COMPONENTE II: RADIOPACO, TIPO USO: ESTÉRIL, DESCARTÁVEL,  EMBALAGEM: EMBALAGEM INDIVIDUAL</w:t>
            </w:r>
          </w:p>
        </w:tc>
        <w:tc>
          <w:tcPr>
            <w:tcW w:w="268" w:type="pct"/>
            <w:shd w:val="clear" w:color="FFFFFF" w:fill="FFFFFF"/>
            <w:vAlign w:val="center"/>
          </w:tcPr>
          <w:p w14:paraId="69B6AEF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2064637A">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4648F5F1">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13,74 </w:t>
            </w:r>
          </w:p>
        </w:tc>
        <w:tc>
          <w:tcPr>
            <w:tcW w:w="747" w:type="pct"/>
            <w:shd w:val="clear" w:color="000000" w:fill="FFFFFF"/>
            <w:noWrap/>
            <w:vAlign w:val="center"/>
          </w:tcPr>
          <w:p w14:paraId="7810085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1.648,80 </w:t>
            </w:r>
          </w:p>
        </w:tc>
      </w:tr>
      <w:tr w14:paraId="366F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618" w:hRule="atLeast"/>
        </w:trPr>
        <w:tc>
          <w:tcPr>
            <w:tcW w:w="310" w:type="pct"/>
            <w:shd w:val="clear" w:color="FFFFCC" w:fill="FFFFFF"/>
            <w:vAlign w:val="center"/>
          </w:tcPr>
          <w:p w14:paraId="6BF2822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w:t>
            </w:r>
          </w:p>
        </w:tc>
        <w:tc>
          <w:tcPr>
            <w:tcW w:w="626" w:type="pct"/>
            <w:shd w:val="clear" w:color="FFFFCC" w:fill="FFFFFF"/>
            <w:vAlign w:val="center"/>
          </w:tcPr>
          <w:p w14:paraId="5178D09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438491</w:t>
            </w:r>
          </w:p>
        </w:tc>
        <w:tc>
          <w:tcPr>
            <w:tcW w:w="1735" w:type="pct"/>
            <w:shd w:val="clear" w:color="FFFFCC" w:fill="FFFFFF"/>
            <w:vAlign w:val="center"/>
          </w:tcPr>
          <w:p w14:paraId="22E7EFFA">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36  FRENCH, COMPRIMENTO: CERCA DE 50 CM, CONECTOR UNIVERSAL: C/ CONECTOR, COMPONENTE II: RADIOPACO, TIPO USO: ESTÉRIL, DESCARTÁVEL,  EMBALAGEM: EMBALAGEM INDIVIDUAL</w:t>
            </w:r>
          </w:p>
        </w:tc>
        <w:tc>
          <w:tcPr>
            <w:tcW w:w="268" w:type="pct"/>
            <w:shd w:val="clear" w:color="FFFFFF" w:fill="FFFFFF"/>
            <w:vAlign w:val="center"/>
          </w:tcPr>
          <w:p w14:paraId="36EE149A">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6699160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19F02D8B">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13,37 </w:t>
            </w:r>
          </w:p>
        </w:tc>
        <w:tc>
          <w:tcPr>
            <w:tcW w:w="747" w:type="pct"/>
            <w:shd w:val="clear" w:color="000000" w:fill="FFFFFF"/>
            <w:noWrap/>
            <w:vAlign w:val="center"/>
          </w:tcPr>
          <w:p w14:paraId="2E0FFD2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1.604,40 </w:t>
            </w:r>
          </w:p>
        </w:tc>
      </w:tr>
      <w:tr w14:paraId="1ABA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78" w:hRule="atLeast"/>
        </w:trPr>
        <w:tc>
          <w:tcPr>
            <w:tcW w:w="310" w:type="pct"/>
            <w:shd w:val="clear" w:color="FFFFCC" w:fill="FFFFFF"/>
            <w:vAlign w:val="center"/>
          </w:tcPr>
          <w:p w14:paraId="67968C4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13</w:t>
            </w:r>
          </w:p>
        </w:tc>
        <w:tc>
          <w:tcPr>
            <w:tcW w:w="626" w:type="pct"/>
            <w:shd w:val="clear" w:color="FFFFCC" w:fill="FFFFFF"/>
            <w:vAlign w:val="center"/>
          </w:tcPr>
          <w:p w14:paraId="158FF4B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438492</w:t>
            </w:r>
          </w:p>
        </w:tc>
        <w:tc>
          <w:tcPr>
            <w:tcW w:w="1735" w:type="pct"/>
            <w:shd w:val="clear" w:color="FFFFCC" w:fill="FFFFFF"/>
            <w:vAlign w:val="center"/>
          </w:tcPr>
          <w:p w14:paraId="4EAB7BBA">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TORÁCICO, MATERIAL: SILICONE, CALIBRE: 38  FRENCH COMPRIMENTO: CERCA DE 50 CM CONECTOR UNIVERSAL: C/ CONECTOR, COMPONENTE II: RADIOPACO, TIPO USO: ESTÉRIL, DESCARTÁVEL,  EMBALAGEM: EMBALAGEM INDIVIDUAL</w:t>
            </w:r>
          </w:p>
        </w:tc>
        <w:tc>
          <w:tcPr>
            <w:tcW w:w="268" w:type="pct"/>
            <w:shd w:val="clear" w:color="FFFFFF" w:fill="FFFFFF"/>
            <w:vAlign w:val="center"/>
          </w:tcPr>
          <w:p w14:paraId="23B65C5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26018AA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243073EC">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13,54 </w:t>
            </w:r>
          </w:p>
        </w:tc>
        <w:tc>
          <w:tcPr>
            <w:tcW w:w="747" w:type="pct"/>
            <w:shd w:val="clear" w:color="000000" w:fill="FFFFFF"/>
            <w:noWrap/>
            <w:vAlign w:val="center"/>
          </w:tcPr>
          <w:p w14:paraId="71DBDD0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1.624,80 </w:t>
            </w:r>
          </w:p>
        </w:tc>
      </w:tr>
      <w:tr w14:paraId="3F503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40" w:hRule="atLeast"/>
        </w:trPr>
        <w:tc>
          <w:tcPr>
            <w:tcW w:w="4253" w:type="pct"/>
            <w:gridSpan w:val="6"/>
            <w:shd w:val="clear" w:color="auto" w:fill="A5A5A5" w:themeFill="background1" w:themeFillShade="A6"/>
            <w:vAlign w:val="center"/>
          </w:tcPr>
          <w:p w14:paraId="79F5A66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TOTAL GRUPO 1</w:t>
            </w:r>
          </w:p>
        </w:tc>
        <w:tc>
          <w:tcPr>
            <w:tcW w:w="747" w:type="pct"/>
            <w:shd w:val="clear" w:color="auto" w:fill="A5A5A5" w:themeFill="background1" w:themeFillShade="A6"/>
            <w:noWrap/>
            <w:vAlign w:val="center"/>
          </w:tcPr>
          <w:p w14:paraId="5FFE715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19.074,00 </w:t>
            </w:r>
          </w:p>
        </w:tc>
      </w:tr>
      <w:tr w14:paraId="75039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0" w:hRule="atLeast"/>
        </w:trPr>
        <w:tc>
          <w:tcPr>
            <w:tcW w:w="5000" w:type="pct"/>
            <w:gridSpan w:val="7"/>
            <w:shd w:val="clear" w:color="auto" w:fill="D8D8D8" w:themeFill="background1" w:themeFillShade="D9"/>
            <w:vAlign w:val="center"/>
          </w:tcPr>
          <w:p w14:paraId="038DE12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GRUPO 2 - 14 A 16</w:t>
            </w:r>
          </w:p>
        </w:tc>
      </w:tr>
      <w:tr w14:paraId="19AC7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32" w:hRule="atLeast"/>
        </w:trPr>
        <w:tc>
          <w:tcPr>
            <w:tcW w:w="310" w:type="pct"/>
            <w:shd w:val="clear" w:color="FFFFCC" w:fill="FFFFFF"/>
            <w:vAlign w:val="center"/>
          </w:tcPr>
          <w:p w14:paraId="2501F52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14</w:t>
            </w:r>
          </w:p>
        </w:tc>
        <w:tc>
          <w:tcPr>
            <w:tcW w:w="626" w:type="pct"/>
            <w:shd w:val="clear" w:color="FFFFCC" w:fill="FFFFFF"/>
            <w:vAlign w:val="center"/>
          </w:tcPr>
          <w:p w14:paraId="5725F07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438534</w:t>
            </w:r>
          </w:p>
        </w:tc>
        <w:tc>
          <w:tcPr>
            <w:tcW w:w="1735" w:type="pct"/>
            <w:shd w:val="clear" w:color="FFFFCC" w:fill="FFFFFF"/>
            <w:vAlign w:val="center"/>
          </w:tcPr>
          <w:p w14:paraId="6587F520">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TUBULAR, MATERIAL: SILICONE, CALIBRE: 15  FRENCH, COMPONENTE: INTRODUTOR EM AÇO INOXIDÁVEL, COMPONENTE ADICIONAL: C/ RESERVATÓRIO GRADUADO - PRESSÃO NEGATIVA, VOLUME: CERCA DE 100 ML, CONECTOR UNIVERSAL: C/ CONECTOR, COMPONENTE I: C/ VÁLVULA ANTIRREFLUXO E EXTENSOR C/ CLAMP, COMPONENTE II: RADIOPACO, TIPO USO: ESTÉRIL, DESCARTÁVEL,  EMBALAGEM:</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EMBALAGEM  INDIVIDUAL. CARACTERISTICAS ADICIONAIS: BULBO DE SILICONE TIPO PERA.</w:t>
            </w:r>
          </w:p>
        </w:tc>
        <w:tc>
          <w:tcPr>
            <w:tcW w:w="268" w:type="pct"/>
            <w:shd w:val="clear" w:color="FFFFFF" w:fill="FFFFFF"/>
            <w:vAlign w:val="center"/>
          </w:tcPr>
          <w:p w14:paraId="2BD3C74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7690FC4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500</w:t>
            </w:r>
          </w:p>
        </w:tc>
        <w:tc>
          <w:tcPr>
            <w:tcW w:w="683" w:type="pct"/>
            <w:shd w:val="clear" w:color="000000" w:fill="FFFFFF"/>
            <w:noWrap/>
            <w:vAlign w:val="center"/>
          </w:tcPr>
          <w:p w14:paraId="332A476B">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122,61 </w:t>
            </w:r>
          </w:p>
        </w:tc>
        <w:tc>
          <w:tcPr>
            <w:tcW w:w="747" w:type="pct"/>
            <w:shd w:val="clear" w:color="000000" w:fill="FFFFFF"/>
            <w:noWrap/>
            <w:vAlign w:val="center"/>
          </w:tcPr>
          <w:p w14:paraId="7802ACC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61.305,00 </w:t>
            </w:r>
          </w:p>
        </w:tc>
      </w:tr>
      <w:tr w14:paraId="0BB4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90" w:hRule="atLeast"/>
        </w:trPr>
        <w:tc>
          <w:tcPr>
            <w:tcW w:w="310" w:type="pct"/>
            <w:shd w:val="clear" w:color="FFFFCC" w:fill="FFFFFF"/>
            <w:vAlign w:val="center"/>
          </w:tcPr>
          <w:p w14:paraId="07AB583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15</w:t>
            </w:r>
          </w:p>
        </w:tc>
        <w:tc>
          <w:tcPr>
            <w:tcW w:w="626" w:type="pct"/>
            <w:shd w:val="clear" w:color="FFFFCC" w:fill="FFFFFF"/>
            <w:vAlign w:val="center"/>
          </w:tcPr>
          <w:p w14:paraId="5364CD7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476160</w:t>
            </w:r>
          </w:p>
        </w:tc>
        <w:tc>
          <w:tcPr>
            <w:tcW w:w="1735" w:type="pct"/>
            <w:shd w:val="clear" w:color="FFFFCC" w:fill="FFFFFF"/>
            <w:vAlign w:val="center"/>
          </w:tcPr>
          <w:p w14:paraId="5D2B15A3">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TUBULAR, MATERIAL: SILICONE, CALIBRE: CERCA DE 19 FRENCH, COMPONENTE: INTRODUTOR EM AÇO INOXIDÁVEL, COMPONENTE ADICIONAL: C/ RESERVATÓRIO GRADUADO - PRESSÃO NEGATIVA, VOLUME: CERCA DE 100 ML, CONECTOR UNIVERSAL: C/ CONECTOR, COMPONENTE I: C/ VÁLVULA ANTIRREFLUXO E EXTENSOR C/ CLAMP, COMPONENTE II: RADIOPACO, TIPO USO: ESTÉRIL, DESCARTÁVEL, EMBALAGEM:</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EMBALAGEM  INDIVIDUAL. CARACTERISTICAS ADICIONAIS: BULBO DE SILICONE TIPO PERA.</w:t>
            </w:r>
          </w:p>
        </w:tc>
        <w:tc>
          <w:tcPr>
            <w:tcW w:w="268" w:type="pct"/>
            <w:shd w:val="clear" w:color="FFFFFF" w:fill="FFFFFF"/>
            <w:vAlign w:val="center"/>
          </w:tcPr>
          <w:p w14:paraId="58E9EC0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21108BE8">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12D40213">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122,61 </w:t>
            </w:r>
          </w:p>
        </w:tc>
        <w:tc>
          <w:tcPr>
            <w:tcW w:w="747" w:type="pct"/>
            <w:shd w:val="clear" w:color="000000" w:fill="FFFFFF"/>
            <w:noWrap/>
            <w:vAlign w:val="center"/>
          </w:tcPr>
          <w:p w14:paraId="6A604E9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14.713,20 </w:t>
            </w:r>
          </w:p>
        </w:tc>
      </w:tr>
      <w:tr w14:paraId="19472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18" w:hRule="atLeast"/>
        </w:trPr>
        <w:tc>
          <w:tcPr>
            <w:tcW w:w="310" w:type="pct"/>
            <w:shd w:val="clear" w:color="FFFFCC" w:fill="FFFFFF"/>
            <w:vAlign w:val="center"/>
          </w:tcPr>
          <w:p w14:paraId="3901EC0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16</w:t>
            </w:r>
          </w:p>
        </w:tc>
        <w:tc>
          <w:tcPr>
            <w:tcW w:w="626" w:type="pct"/>
            <w:shd w:val="clear" w:color="FFFFCC" w:fill="FFFFFF"/>
            <w:vAlign w:val="center"/>
          </w:tcPr>
          <w:p w14:paraId="19C7D9C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449477</w:t>
            </w:r>
          </w:p>
        </w:tc>
        <w:tc>
          <w:tcPr>
            <w:tcW w:w="1735" w:type="pct"/>
            <w:shd w:val="clear" w:color="FFFFCC" w:fill="FFFFFF"/>
            <w:vAlign w:val="center"/>
          </w:tcPr>
          <w:p w14:paraId="22FB557B">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DRENO CIRÚRGICO, MODELO: TUBULAR, CENTRO RÍGIDO C/ 4 CANAIS, MATERIAL: SILICONE, CALIBRE: CERCA DE 24 FRENCH, COMPONENTE ADICIONAL: C/ RESERVATÓRIO GRADUADO - PRESSÃO NEGATIVA, VOLUME: CERCA DE 100 ML, COMPONENTE II: RADIOPACO, TIPO USO: ESTÉRIL, DESCARTÁVEL. CARACTERISTICAS ADICIONAIS: BULBO DE SILICONE TIPO PERA, COM CONECTOR.</w:t>
            </w:r>
          </w:p>
        </w:tc>
        <w:tc>
          <w:tcPr>
            <w:tcW w:w="268" w:type="pct"/>
            <w:shd w:val="clear" w:color="FFFFFF" w:fill="FFFFFF"/>
            <w:vAlign w:val="center"/>
          </w:tcPr>
          <w:p w14:paraId="1F0B188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07B848B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43CA2FE8">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147,23 </w:t>
            </w:r>
          </w:p>
        </w:tc>
        <w:tc>
          <w:tcPr>
            <w:tcW w:w="747" w:type="pct"/>
            <w:shd w:val="clear" w:color="000000" w:fill="FFFFFF"/>
            <w:noWrap/>
            <w:vAlign w:val="center"/>
          </w:tcPr>
          <w:p w14:paraId="3E9C9D3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17.667,60 </w:t>
            </w:r>
          </w:p>
        </w:tc>
      </w:tr>
      <w:tr w14:paraId="01C49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25" w:hRule="atLeast"/>
        </w:trPr>
        <w:tc>
          <w:tcPr>
            <w:tcW w:w="4253" w:type="pct"/>
            <w:gridSpan w:val="6"/>
            <w:shd w:val="clear" w:color="auto" w:fill="A5A5A5" w:themeFill="background1" w:themeFillShade="A6"/>
            <w:vAlign w:val="center"/>
          </w:tcPr>
          <w:p w14:paraId="59967A4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TOTAL GRUPO 2</w:t>
            </w:r>
          </w:p>
        </w:tc>
        <w:tc>
          <w:tcPr>
            <w:tcW w:w="747" w:type="pct"/>
            <w:shd w:val="clear" w:color="auto" w:fill="A5A5A5" w:themeFill="background1" w:themeFillShade="A6"/>
            <w:noWrap/>
            <w:vAlign w:val="center"/>
          </w:tcPr>
          <w:p w14:paraId="7CDE934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93.685,80 </w:t>
            </w:r>
          </w:p>
        </w:tc>
      </w:tr>
      <w:tr w14:paraId="6E97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70" w:hRule="atLeast"/>
        </w:trPr>
        <w:tc>
          <w:tcPr>
            <w:tcW w:w="5000" w:type="pct"/>
            <w:gridSpan w:val="7"/>
            <w:shd w:val="clear" w:color="auto" w:fill="D8D8D8" w:themeFill="background1" w:themeFillShade="D9"/>
            <w:vAlign w:val="center"/>
          </w:tcPr>
          <w:p w14:paraId="6E4F2DAA">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GRUPO 3 - 17 A 20</w:t>
            </w:r>
          </w:p>
        </w:tc>
      </w:tr>
      <w:tr w14:paraId="253A7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318" w:hRule="atLeast"/>
        </w:trPr>
        <w:tc>
          <w:tcPr>
            <w:tcW w:w="310" w:type="pct"/>
            <w:shd w:val="clear" w:color="FFFFCC" w:fill="FFFFFF"/>
            <w:vAlign w:val="center"/>
          </w:tcPr>
          <w:p w14:paraId="4DF0195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17</w:t>
            </w:r>
          </w:p>
        </w:tc>
        <w:tc>
          <w:tcPr>
            <w:tcW w:w="626" w:type="pct"/>
            <w:shd w:val="clear" w:color="FFFFCC" w:fill="FFFFFF"/>
            <w:vAlign w:val="center"/>
          </w:tcPr>
          <w:p w14:paraId="0F0A332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619341</w:t>
            </w:r>
          </w:p>
        </w:tc>
        <w:tc>
          <w:tcPr>
            <w:tcW w:w="1735" w:type="pct"/>
            <w:shd w:val="clear" w:color="FFFFCC" w:fill="FFFFFF"/>
            <w:vAlign w:val="center"/>
          </w:tcPr>
          <w:p w14:paraId="1558DFEC">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SISTEMA COLETOR PARA DRENO DE TÓRAX, TIPO: A SECO C/ ASPIRAÇÃO, TIPO VÁLVULA: C/ VÁLVULA DE ALÍVIO DE PRESSÃO, MODELO RECIPIENTE: 3 CÂMARAS RÍGIDAS, GRADUADAS, MATERIAL: POLÍMERO TRANSPARENTE, VOLUME: CERCA DE 2000 ML, VEDAÇÃO: PEÇA ÚNICA, EXTENSOR: EXTENSOR C/ CLAMP, CONECTOR P/   DRENO, COMPONENTES:   ALÇA  DE TRANSPORTE / FIXAÇÃO, AJUSTE DE ASPIRAÇÃO,  COMPONENTE ADICIONAL: VIA P/ COLETA, CONTROLE DE FUGA DE AR, ESTERILIDADE: ESTÉRIL, USO ÚNICO. CARACTERISTICAS ADICIONAIS: DEVE CONTER O ACESSÓRIO: DRENO TÓRAX Nº 28.</w:t>
            </w:r>
          </w:p>
        </w:tc>
        <w:tc>
          <w:tcPr>
            <w:tcW w:w="268" w:type="pct"/>
            <w:shd w:val="clear" w:color="FFFFFF" w:fill="FFFFFF"/>
            <w:vAlign w:val="center"/>
          </w:tcPr>
          <w:p w14:paraId="0D930D2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5D6CF97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120</w:t>
            </w:r>
          </w:p>
        </w:tc>
        <w:tc>
          <w:tcPr>
            <w:tcW w:w="683" w:type="pct"/>
            <w:shd w:val="clear" w:color="000000" w:fill="FFFFFF"/>
            <w:noWrap/>
            <w:vAlign w:val="center"/>
          </w:tcPr>
          <w:p w14:paraId="38AA678D">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40,57 </w:t>
            </w:r>
          </w:p>
        </w:tc>
        <w:tc>
          <w:tcPr>
            <w:tcW w:w="747" w:type="pct"/>
            <w:shd w:val="clear" w:color="000000" w:fill="FFFFFF"/>
            <w:noWrap/>
            <w:vAlign w:val="center"/>
          </w:tcPr>
          <w:p w14:paraId="7C535D97">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4.868,40 </w:t>
            </w:r>
          </w:p>
        </w:tc>
      </w:tr>
      <w:tr w14:paraId="63C3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83" w:hRule="atLeast"/>
        </w:trPr>
        <w:tc>
          <w:tcPr>
            <w:tcW w:w="310" w:type="pct"/>
            <w:shd w:val="clear" w:color="FFFFCC" w:fill="FFFFFF"/>
            <w:vAlign w:val="center"/>
          </w:tcPr>
          <w:p w14:paraId="4E84C1D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18</w:t>
            </w:r>
          </w:p>
        </w:tc>
        <w:tc>
          <w:tcPr>
            <w:tcW w:w="626" w:type="pct"/>
            <w:shd w:val="clear" w:color="FFFFCC" w:fill="FFFFFF"/>
            <w:vAlign w:val="center"/>
          </w:tcPr>
          <w:p w14:paraId="560E32D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619341</w:t>
            </w:r>
          </w:p>
        </w:tc>
        <w:tc>
          <w:tcPr>
            <w:tcW w:w="1735" w:type="pct"/>
            <w:shd w:val="clear" w:color="FFFFCC" w:fill="FFFFFF"/>
            <w:vAlign w:val="center"/>
          </w:tcPr>
          <w:p w14:paraId="79C26AF4">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SISTEMA COLETOR PARA DRENO DE TÓRAX, TIPO: A SECO C/ ASPIRAÇÃO, TIPO VÁLVULA: C/ VÁLVULA DE ALÍVIO DE PRESSÃO, MODELO RECIPIENTE: 3 CÂMARAS RÍGIDAS, GRADUADAS, MATERIAL: POLÍMERO TRANSPARENTE, VOLUME: CERCA DE 2000 ML, VEDAÇÃO: PEÇA ÚNICA, EXTENSOR: EXTENSOR C/ CLAMP, CONECTOR P/   DRENO, COMPONENTES:   ALÇA  DE TRANSPORTE / FIXAÇÃO, AJUSTE DE ASPIRAÇÃO,  COMPONENTE ADICIONAL: VIA P/ COLETA, CONTROLE DE FUGA DE AR, ESTERILIDADE: ESTÉRIL, USO ÚNICO. CARACTERISTICAS ADICIONAIS: DEVE CONTER O ACESSÓRIO: DRENO TÓRAX Nº 32</w:t>
            </w:r>
          </w:p>
        </w:tc>
        <w:tc>
          <w:tcPr>
            <w:tcW w:w="268" w:type="pct"/>
            <w:shd w:val="clear" w:color="FFFFFF" w:fill="FFFFFF"/>
            <w:vAlign w:val="center"/>
          </w:tcPr>
          <w:p w14:paraId="328DF998">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0BAD05E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100</w:t>
            </w:r>
          </w:p>
        </w:tc>
        <w:tc>
          <w:tcPr>
            <w:tcW w:w="683" w:type="pct"/>
            <w:shd w:val="clear" w:color="000000" w:fill="FFFFFF"/>
            <w:noWrap/>
            <w:vAlign w:val="center"/>
          </w:tcPr>
          <w:p w14:paraId="07C72B0F">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39,94 </w:t>
            </w:r>
          </w:p>
        </w:tc>
        <w:tc>
          <w:tcPr>
            <w:tcW w:w="747" w:type="pct"/>
            <w:shd w:val="clear" w:color="000000" w:fill="FFFFFF"/>
            <w:noWrap/>
            <w:vAlign w:val="center"/>
          </w:tcPr>
          <w:p w14:paraId="7ECB994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3.994,00 </w:t>
            </w:r>
          </w:p>
        </w:tc>
      </w:tr>
      <w:tr w14:paraId="714E6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32" w:hRule="atLeast"/>
        </w:trPr>
        <w:tc>
          <w:tcPr>
            <w:tcW w:w="310" w:type="pct"/>
            <w:shd w:val="clear" w:color="FFFFCC" w:fill="FFFFFF"/>
            <w:vAlign w:val="center"/>
          </w:tcPr>
          <w:p w14:paraId="662DA23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19</w:t>
            </w:r>
          </w:p>
        </w:tc>
        <w:tc>
          <w:tcPr>
            <w:tcW w:w="626" w:type="pct"/>
            <w:shd w:val="clear" w:color="FFFFCC" w:fill="FFFFFF"/>
            <w:vAlign w:val="center"/>
          </w:tcPr>
          <w:p w14:paraId="7FB5F11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619341</w:t>
            </w:r>
          </w:p>
        </w:tc>
        <w:tc>
          <w:tcPr>
            <w:tcW w:w="1735" w:type="pct"/>
            <w:shd w:val="clear" w:color="FFFFCC" w:fill="FFFFFF"/>
            <w:vAlign w:val="center"/>
          </w:tcPr>
          <w:p w14:paraId="01EF3E5A">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SISTEMA COLETOR PARA DRENO DE TÓRAX, TIPO: A SECO C/ ASPIRAÇÃO, TIPO VÁLVULA: C/ VÁLVULA DE ALÍVIO DE PRESSÃO, MODELO RECIPIENTE: 3 CÂMARAS RÍGIDAS, GRADUADAS, MATERIAL: POLÍMERO TRANSPARENTE, VOLUME: CERCA DE 2000 ML, VEDAÇÃO: PEÇA ÚNICA, EXTENSOR: EXTENSOR C/ CLAMP, CONECTOR P/   DRENO, COMPONENTES:   ALÇA  DE TRANSPORTE / FIXAÇÃO, AJUSTE DE ASPIRAÇÃO,  COMPONENTE ADICIONAL: VIA P/ COLETA, CONTROLE DE FUGA DE AR, ESTERILIDADE: ESTÉRIL, USO ÚNICO. CARACTERISTICAS ADICIONAIS: DEVE CONTER O ACESSÓRIO: DRENO TÓRAX Nº 36</w:t>
            </w:r>
          </w:p>
        </w:tc>
        <w:tc>
          <w:tcPr>
            <w:tcW w:w="268" w:type="pct"/>
            <w:shd w:val="clear" w:color="FFFFFF" w:fill="FFFFFF"/>
            <w:vAlign w:val="center"/>
          </w:tcPr>
          <w:p w14:paraId="5237B65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3E5A476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100</w:t>
            </w:r>
          </w:p>
        </w:tc>
        <w:tc>
          <w:tcPr>
            <w:tcW w:w="683" w:type="pct"/>
            <w:shd w:val="clear" w:color="000000" w:fill="FFFFFF"/>
            <w:noWrap/>
            <w:vAlign w:val="center"/>
          </w:tcPr>
          <w:p w14:paraId="2871FC35">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39,11 </w:t>
            </w:r>
          </w:p>
        </w:tc>
        <w:tc>
          <w:tcPr>
            <w:tcW w:w="747" w:type="pct"/>
            <w:shd w:val="clear" w:color="000000" w:fill="FFFFFF"/>
            <w:noWrap/>
            <w:vAlign w:val="center"/>
          </w:tcPr>
          <w:p w14:paraId="37E5432A">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3.911,00 </w:t>
            </w:r>
          </w:p>
        </w:tc>
      </w:tr>
      <w:tr w14:paraId="458D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32" w:hRule="atLeast"/>
        </w:trPr>
        <w:tc>
          <w:tcPr>
            <w:tcW w:w="310" w:type="pct"/>
            <w:shd w:val="clear" w:color="FFFFCC" w:fill="FFFFFF"/>
            <w:vAlign w:val="center"/>
          </w:tcPr>
          <w:p w14:paraId="67F09FC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20</w:t>
            </w:r>
          </w:p>
        </w:tc>
        <w:tc>
          <w:tcPr>
            <w:tcW w:w="626" w:type="pct"/>
            <w:shd w:val="clear" w:color="FFFFCC" w:fill="FFFFFF"/>
            <w:vAlign w:val="center"/>
          </w:tcPr>
          <w:p w14:paraId="152F593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619341</w:t>
            </w:r>
          </w:p>
        </w:tc>
        <w:tc>
          <w:tcPr>
            <w:tcW w:w="1735" w:type="pct"/>
            <w:shd w:val="clear" w:color="FFFFCC" w:fill="FFFFFF"/>
            <w:vAlign w:val="center"/>
          </w:tcPr>
          <w:p w14:paraId="547E2902">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SISTEMA COLETOR PARA DRENO DE TÓRAX, TIPO: A SECO C/ ASPIRAÇÃO, TIPO VÁLVULA: C/ VÁLVULA DE ALÍVIO DE PRESSÃO, MODELO RECIPIENTE: 3 CÂMARAS RÍGIDAS, GRADUADAS, MATERIAL: POLÍMERO TRANSPARENTE, VOLUME: CERCA DE 2000 ML, VEDAÇÃO: PEÇA ÚNICA, EXTENSOR: EXTENSOR C/ CLAMP, CONECTOR P/   DRENO, COMPONENTES:   ALÇA  DE TRANSPORTE / FIXAÇÃO, AJUSTE DE ASPIRAÇÃO,  COMPONENTE ADICIONAL: VIA P/ COLETA, CONTROLE  DE  FUGA  DE  AR,</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ESTERILIDADE: ESTÉRIL, USO ÚNICO. CARACTERISTICAS ADICIONAIS: DEVE</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CONTER O ACESSÓRIO: DRENO TÓRAX Nº 38</w:t>
            </w:r>
          </w:p>
        </w:tc>
        <w:tc>
          <w:tcPr>
            <w:tcW w:w="268" w:type="pct"/>
            <w:shd w:val="clear" w:color="FFFFFF" w:fill="FFFFFF"/>
            <w:vAlign w:val="center"/>
          </w:tcPr>
          <w:p w14:paraId="06F81B0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7730B0B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1.000</w:t>
            </w:r>
          </w:p>
        </w:tc>
        <w:tc>
          <w:tcPr>
            <w:tcW w:w="683" w:type="pct"/>
            <w:shd w:val="clear" w:color="000000" w:fill="FFFFFF"/>
            <w:noWrap/>
            <w:vAlign w:val="center"/>
          </w:tcPr>
          <w:p w14:paraId="21F7E433">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36,54 </w:t>
            </w:r>
          </w:p>
        </w:tc>
        <w:tc>
          <w:tcPr>
            <w:tcW w:w="747" w:type="pct"/>
            <w:shd w:val="clear" w:color="000000" w:fill="FFFFFF"/>
            <w:noWrap/>
            <w:vAlign w:val="center"/>
          </w:tcPr>
          <w:p w14:paraId="3DFA4747">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36.540,00 </w:t>
            </w:r>
          </w:p>
        </w:tc>
      </w:tr>
      <w:tr w14:paraId="6698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15" w:hRule="atLeast"/>
        </w:trPr>
        <w:tc>
          <w:tcPr>
            <w:tcW w:w="4253" w:type="pct"/>
            <w:gridSpan w:val="6"/>
            <w:shd w:val="clear" w:color="auto" w:fill="A5A5A5" w:themeFill="background1" w:themeFillShade="A6"/>
            <w:vAlign w:val="center"/>
          </w:tcPr>
          <w:p w14:paraId="579B66D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TOTAL GRUPO 3</w:t>
            </w:r>
          </w:p>
        </w:tc>
        <w:tc>
          <w:tcPr>
            <w:tcW w:w="747" w:type="pct"/>
            <w:shd w:val="clear" w:color="auto" w:fill="A5A5A5" w:themeFill="background1" w:themeFillShade="A6"/>
            <w:noWrap/>
            <w:vAlign w:val="center"/>
          </w:tcPr>
          <w:p w14:paraId="7FC5E96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49.313,40 </w:t>
            </w:r>
          </w:p>
        </w:tc>
      </w:tr>
      <w:tr w14:paraId="270B3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15" w:hRule="atLeast"/>
        </w:trPr>
        <w:tc>
          <w:tcPr>
            <w:tcW w:w="5000" w:type="pct"/>
            <w:gridSpan w:val="7"/>
            <w:shd w:val="clear" w:color="auto" w:fill="D8D8D8" w:themeFill="background1" w:themeFillShade="D9"/>
            <w:vAlign w:val="center"/>
          </w:tcPr>
          <w:p w14:paraId="115C8FF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GRUPO 4 - 21  A 22</w:t>
            </w:r>
          </w:p>
        </w:tc>
      </w:tr>
      <w:tr w14:paraId="7FCB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961" w:hRule="atLeast"/>
        </w:trPr>
        <w:tc>
          <w:tcPr>
            <w:tcW w:w="310" w:type="pct"/>
            <w:shd w:val="clear" w:color="FFFFCC" w:fill="FFFFFF"/>
            <w:vAlign w:val="center"/>
          </w:tcPr>
          <w:p w14:paraId="751A6263">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21</w:t>
            </w:r>
          </w:p>
        </w:tc>
        <w:tc>
          <w:tcPr>
            <w:tcW w:w="626" w:type="pct"/>
            <w:shd w:val="clear" w:color="FFFFCC" w:fill="FFFFFF"/>
            <w:vAlign w:val="center"/>
          </w:tcPr>
          <w:p w14:paraId="103D57AB">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447890</w:t>
            </w:r>
          </w:p>
        </w:tc>
        <w:tc>
          <w:tcPr>
            <w:tcW w:w="1735" w:type="pct"/>
            <w:shd w:val="clear" w:color="FFFFCC" w:fill="FFFFFF"/>
            <w:vAlign w:val="center"/>
          </w:tcPr>
          <w:p w14:paraId="1C58FD96">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CAIXA TÉRMICA:   MATERIAL: POLIPROPILENO/POLIESTIRENO/POL IETILENO/POLIURETANO, CAPACIDADE: 15  L, CARACTERÍSTICAS  ADICIONAIS: COM TERMÔMETRO DIGITAL, 295 X</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260 X 385MM, APLICAÇÃO: TRANSPORTE  DE</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HEMOCOMPONENTES</w:t>
            </w:r>
          </w:p>
        </w:tc>
        <w:tc>
          <w:tcPr>
            <w:tcW w:w="268" w:type="pct"/>
            <w:shd w:val="clear" w:color="FFFFFF" w:fill="FFFFFF"/>
            <w:vAlign w:val="center"/>
          </w:tcPr>
          <w:p w14:paraId="1D051B6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67F8922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20</w:t>
            </w:r>
          </w:p>
        </w:tc>
        <w:tc>
          <w:tcPr>
            <w:tcW w:w="683" w:type="pct"/>
            <w:shd w:val="clear" w:color="000000" w:fill="FFFFFF"/>
            <w:noWrap/>
            <w:vAlign w:val="center"/>
          </w:tcPr>
          <w:p w14:paraId="460B1524">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321,82 </w:t>
            </w:r>
          </w:p>
        </w:tc>
        <w:tc>
          <w:tcPr>
            <w:tcW w:w="747" w:type="pct"/>
            <w:shd w:val="clear" w:color="000000" w:fill="FFFFFF"/>
            <w:noWrap/>
            <w:vAlign w:val="center"/>
          </w:tcPr>
          <w:p w14:paraId="3236EA6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6.436,40 </w:t>
            </w:r>
          </w:p>
        </w:tc>
      </w:tr>
      <w:tr w14:paraId="417EC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407" w:hRule="atLeast"/>
        </w:trPr>
        <w:tc>
          <w:tcPr>
            <w:tcW w:w="310" w:type="pct"/>
            <w:shd w:val="clear" w:color="FFFFCC" w:fill="FFFFFF"/>
            <w:vAlign w:val="center"/>
          </w:tcPr>
          <w:p w14:paraId="3C11C414">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22</w:t>
            </w:r>
          </w:p>
        </w:tc>
        <w:tc>
          <w:tcPr>
            <w:tcW w:w="626" w:type="pct"/>
            <w:shd w:val="clear" w:color="FFFFCC" w:fill="FFFFFF"/>
            <w:vAlign w:val="center"/>
          </w:tcPr>
          <w:p w14:paraId="109C0FA8">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298238</w:t>
            </w:r>
          </w:p>
        </w:tc>
        <w:tc>
          <w:tcPr>
            <w:tcW w:w="1735" w:type="pct"/>
            <w:shd w:val="clear" w:color="FFFFCC" w:fill="FFFFFF"/>
            <w:vAlign w:val="center"/>
          </w:tcPr>
          <w:p w14:paraId="4E115215">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CAIXA TÉRMICA, MATERIAL: POLIURETANO, CAPACIDADE: 26 L, CARACTERÍSTICAS ADICIONAIS: COM TERMÔMETRO DIGITAL, 51 X 27 X 32,5 CM</w:t>
            </w:r>
          </w:p>
        </w:tc>
        <w:tc>
          <w:tcPr>
            <w:tcW w:w="268" w:type="pct"/>
            <w:shd w:val="clear" w:color="FFFFFF" w:fill="FFFFFF"/>
            <w:vAlign w:val="center"/>
          </w:tcPr>
          <w:p w14:paraId="0986D65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14DA3C0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20</w:t>
            </w:r>
          </w:p>
        </w:tc>
        <w:tc>
          <w:tcPr>
            <w:tcW w:w="683" w:type="pct"/>
            <w:shd w:val="clear" w:color="000000" w:fill="FFFFFF"/>
            <w:noWrap/>
            <w:vAlign w:val="center"/>
          </w:tcPr>
          <w:p w14:paraId="133D794A">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475,27 </w:t>
            </w:r>
          </w:p>
        </w:tc>
        <w:tc>
          <w:tcPr>
            <w:tcW w:w="747" w:type="pct"/>
            <w:shd w:val="clear" w:color="000000" w:fill="FFFFFF"/>
            <w:noWrap/>
            <w:vAlign w:val="center"/>
          </w:tcPr>
          <w:p w14:paraId="3862CDD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9.505,40 </w:t>
            </w:r>
          </w:p>
        </w:tc>
      </w:tr>
      <w:tr w14:paraId="1CB2E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85" w:hRule="atLeast"/>
        </w:trPr>
        <w:tc>
          <w:tcPr>
            <w:tcW w:w="4253" w:type="pct"/>
            <w:gridSpan w:val="6"/>
            <w:shd w:val="clear" w:color="auto" w:fill="A5A5A5" w:themeFill="background1" w:themeFillShade="A6"/>
            <w:vAlign w:val="center"/>
          </w:tcPr>
          <w:p w14:paraId="375D8D0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TOTAL GRUPO 4</w:t>
            </w:r>
          </w:p>
        </w:tc>
        <w:tc>
          <w:tcPr>
            <w:tcW w:w="747" w:type="pct"/>
            <w:shd w:val="clear" w:color="auto" w:fill="A5A5A5" w:themeFill="background1" w:themeFillShade="A6"/>
            <w:noWrap/>
            <w:vAlign w:val="center"/>
          </w:tcPr>
          <w:p w14:paraId="1AF74F8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15.941,80 </w:t>
            </w:r>
          </w:p>
        </w:tc>
      </w:tr>
      <w:tr w14:paraId="6E63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95" w:hRule="atLeast"/>
        </w:trPr>
        <w:tc>
          <w:tcPr>
            <w:tcW w:w="5000" w:type="pct"/>
            <w:gridSpan w:val="7"/>
            <w:shd w:val="clear" w:color="auto" w:fill="D8D8D8" w:themeFill="background1" w:themeFillShade="D9"/>
            <w:vAlign w:val="center"/>
          </w:tcPr>
          <w:p w14:paraId="16EF1E1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ITENS</w:t>
            </w:r>
          </w:p>
        </w:tc>
      </w:tr>
      <w:tr w14:paraId="2675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280" w:hRule="atLeast"/>
        </w:trPr>
        <w:tc>
          <w:tcPr>
            <w:tcW w:w="310" w:type="pct"/>
            <w:shd w:val="clear" w:color="FFFFCC" w:fill="FFFFFF"/>
            <w:vAlign w:val="center"/>
          </w:tcPr>
          <w:p w14:paraId="73E8A21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23</w:t>
            </w:r>
          </w:p>
        </w:tc>
        <w:tc>
          <w:tcPr>
            <w:tcW w:w="626" w:type="pct"/>
            <w:shd w:val="clear" w:color="FFFFCC" w:fill="FFFFFF"/>
            <w:vAlign w:val="center"/>
          </w:tcPr>
          <w:p w14:paraId="3E9FFC57">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439805</w:t>
            </w:r>
          </w:p>
        </w:tc>
        <w:tc>
          <w:tcPr>
            <w:tcW w:w="1735" w:type="pct"/>
            <w:shd w:val="clear" w:color="FFFFCC" w:fill="FFFFFF"/>
            <w:vAlign w:val="center"/>
          </w:tcPr>
          <w:p w14:paraId="1AA06C4D">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AGULHA HIPODÉRMICA, MATE-RIAL: AÇO INOXIDÁVEL SILICO-NIZADO, DIMENSÃO: 21 G X 1 1/4"</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TIPO PONTA: BISEL CURTO TRI-FACETADO, TIPO CONEXÃO: CO-NECTOR LUER LOCK OU SLIP EM PLÁSTICO, TIPO FIXAÇÃO: PRO-TETOR PLÁSTICO, TIPO USO: ES-TÉRIL, DESCARTÁVEL, EMBALA-GEM INDIVIDUAL. CARACTERIS-TICAS ADICIONAIS: AGULHA HIPODERMICA 25x8 C/ DISPOSI-TIVO DE SEGURANÇA.</w:t>
            </w:r>
          </w:p>
        </w:tc>
        <w:tc>
          <w:tcPr>
            <w:tcW w:w="268" w:type="pct"/>
            <w:shd w:val="clear" w:color="FFFFFF" w:fill="FFFFFF"/>
            <w:vAlign w:val="center"/>
          </w:tcPr>
          <w:p w14:paraId="17677F8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7893D7F8">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14.400</w:t>
            </w:r>
          </w:p>
        </w:tc>
        <w:tc>
          <w:tcPr>
            <w:tcW w:w="683" w:type="pct"/>
            <w:shd w:val="clear" w:color="000000" w:fill="FFFFFF"/>
            <w:noWrap/>
            <w:vAlign w:val="center"/>
          </w:tcPr>
          <w:p w14:paraId="5AD1504F">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0,35 </w:t>
            </w:r>
          </w:p>
        </w:tc>
        <w:tc>
          <w:tcPr>
            <w:tcW w:w="747" w:type="pct"/>
            <w:shd w:val="clear" w:color="000000" w:fill="FFFFFF"/>
            <w:noWrap/>
            <w:vAlign w:val="center"/>
          </w:tcPr>
          <w:p w14:paraId="2B02D36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5.040,00 </w:t>
            </w:r>
          </w:p>
        </w:tc>
      </w:tr>
      <w:tr w14:paraId="04938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0" w:hRule="atLeast"/>
        </w:trPr>
        <w:tc>
          <w:tcPr>
            <w:tcW w:w="310" w:type="pct"/>
            <w:shd w:val="clear" w:color="FFFFCC" w:fill="FFFFFF"/>
            <w:vAlign w:val="center"/>
          </w:tcPr>
          <w:p w14:paraId="0969D7A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24</w:t>
            </w:r>
          </w:p>
        </w:tc>
        <w:tc>
          <w:tcPr>
            <w:tcW w:w="626" w:type="pct"/>
            <w:shd w:val="clear" w:color="FFFFCC" w:fill="FFFFFF"/>
            <w:vAlign w:val="center"/>
          </w:tcPr>
          <w:p w14:paraId="3C83C16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455118</w:t>
            </w:r>
          </w:p>
        </w:tc>
        <w:tc>
          <w:tcPr>
            <w:tcW w:w="1735" w:type="pct"/>
            <w:shd w:val="clear" w:color="FFFFCC" w:fill="FFFFFF"/>
            <w:vAlign w:val="center"/>
          </w:tcPr>
          <w:p w14:paraId="259F065A">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ÁCIDOS GRAXOS ESSENCIAIS, COMPOSIÇÃO:  TCM, COMPONENTES: C/ ÓLEO DE COPAÍBA, ÓLEO DE MELALEUCA, OUTROS COMPONENTES: ASSOCIADOS COM VITAMINAS "A" E "E", FORMA FARMACÊUTICA: EM COMPRESSA</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GAZE.CARACTERISTICAS</w:t>
            </w:r>
          </w:p>
        </w:tc>
        <w:tc>
          <w:tcPr>
            <w:tcW w:w="268" w:type="pct"/>
            <w:shd w:val="clear" w:color="FFFFFF" w:fill="FFFFFF"/>
            <w:vAlign w:val="center"/>
          </w:tcPr>
          <w:p w14:paraId="60C3692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43A71CA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1.000</w:t>
            </w:r>
          </w:p>
        </w:tc>
        <w:tc>
          <w:tcPr>
            <w:tcW w:w="683" w:type="pct"/>
            <w:shd w:val="clear" w:color="000000" w:fill="FFFFFF"/>
            <w:noWrap/>
            <w:vAlign w:val="center"/>
          </w:tcPr>
          <w:p w14:paraId="7D02C758">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12,40 </w:t>
            </w:r>
          </w:p>
        </w:tc>
        <w:tc>
          <w:tcPr>
            <w:tcW w:w="747" w:type="pct"/>
            <w:shd w:val="clear" w:color="000000" w:fill="FFFFFF"/>
            <w:noWrap/>
            <w:vAlign w:val="center"/>
          </w:tcPr>
          <w:p w14:paraId="6EA68043">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12.400,00 </w:t>
            </w:r>
          </w:p>
        </w:tc>
      </w:tr>
      <w:tr w14:paraId="76DE5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23" w:hRule="atLeast"/>
        </w:trPr>
        <w:tc>
          <w:tcPr>
            <w:tcW w:w="310" w:type="pct"/>
            <w:shd w:val="clear" w:color="FFFFCC" w:fill="FFFFFF"/>
            <w:vAlign w:val="center"/>
          </w:tcPr>
          <w:p w14:paraId="2C05BEE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25</w:t>
            </w:r>
          </w:p>
        </w:tc>
        <w:tc>
          <w:tcPr>
            <w:tcW w:w="626" w:type="pct"/>
            <w:shd w:val="clear" w:color="FFFFCC" w:fill="FFFFFF"/>
            <w:vAlign w:val="center"/>
          </w:tcPr>
          <w:p w14:paraId="737A9B02">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484847</w:t>
            </w:r>
          </w:p>
        </w:tc>
        <w:tc>
          <w:tcPr>
            <w:tcW w:w="1735" w:type="pct"/>
            <w:shd w:val="clear" w:color="FFFFCC" w:fill="FFFFFF"/>
            <w:vAlign w:val="center"/>
          </w:tcPr>
          <w:p w14:paraId="419980CE">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CURATIVO / COBERTURA, APLICAÇÃO: P/ FERIDA, ASPECTO FÍSICO: PLACA, COMPOSIÇÃO: À BASE DE ALGINATO, COMPONENTE 2: C/ CMC, DIMENSÃO: CERCA DE 15</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X 15 CM, ESTERILIDADE: ESTÉRIL. CARACTERISTICAS ADICIONAIS: CURATIVO COMPOSTO POR FIBRA DE ALGINATO DE CALCIO 15 X 15 CM</w:t>
            </w:r>
          </w:p>
        </w:tc>
        <w:tc>
          <w:tcPr>
            <w:tcW w:w="268" w:type="pct"/>
            <w:shd w:val="clear" w:color="FFFFFF" w:fill="FFFFFF"/>
            <w:vAlign w:val="center"/>
          </w:tcPr>
          <w:p w14:paraId="38EF3A0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4C91D43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100</w:t>
            </w:r>
          </w:p>
        </w:tc>
        <w:tc>
          <w:tcPr>
            <w:tcW w:w="683" w:type="pct"/>
            <w:shd w:val="clear" w:color="000000" w:fill="FFFFFF"/>
            <w:noWrap/>
            <w:vAlign w:val="center"/>
          </w:tcPr>
          <w:p w14:paraId="118637BE">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39,90 </w:t>
            </w:r>
          </w:p>
        </w:tc>
        <w:tc>
          <w:tcPr>
            <w:tcW w:w="747" w:type="pct"/>
            <w:shd w:val="clear" w:color="000000" w:fill="FFFFFF"/>
            <w:noWrap/>
            <w:vAlign w:val="center"/>
          </w:tcPr>
          <w:p w14:paraId="651522A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3.990,00 </w:t>
            </w:r>
          </w:p>
        </w:tc>
      </w:tr>
      <w:tr w14:paraId="5097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72" w:hRule="atLeast"/>
        </w:trPr>
        <w:tc>
          <w:tcPr>
            <w:tcW w:w="310" w:type="pct"/>
            <w:shd w:val="clear" w:color="FFFFCC" w:fill="FFFFFF"/>
            <w:vAlign w:val="center"/>
          </w:tcPr>
          <w:p w14:paraId="4A392D7B">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26</w:t>
            </w:r>
          </w:p>
        </w:tc>
        <w:tc>
          <w:tcPr>
            <w:tcW w:w="626" w:type="pct"/>
            <w:shd w:val="clear" w:color="FFFFCC" w:fill="FFFFFF"/>
            <w:vAlign w:val="center"/>
          </w:tcPr>
          <w:p w14:paraId="0E92A3E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368138</w:t>
            </w:r>
          </w:p>
        </w:tc>
        <w:tc>
          <w:tcPr>
            <w:tcW w:w="1735" w:type="pct"/>
            <w:shd w:val="clear" w:color="FFFFCC" w:fill="FFFFFF"/>
            <w:vAlign w:val="center"/>
          </w:tcPr>
          <w:p w14:paraId="2AA75F37">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BOLSA COLETORA DE HEMODERIVADOS, MATERIAL: PVC, APLICAÇÃO: COLETA SANGUE, TIPO: SIMPLES, CAPACIDADE: 450 ML, COMPOSIÇÃO: TUBO DE COLETA, AGULHAS, OUTROS COMPONENTES: COM CPDA-1, ADICIONAIS: EM SISTEMA FECHADO, ESTERILIDADE: ESTÉRIL, ATÓXICA, APIROGÊNICA. CARACTERISTICAS ADICIONAIS: BOLSA COLETA SANGUE CPDA</w:t>
            </w:r>
          </w:p>
        </w:tc>
        <w:tc>
          <w:tcPr>
            <w:tcW w:w="268" w:type="pct"/>
            <w:shd w:val="clear" w:color="FFFFFF" w:fill="FFFFFF"/>
            <w:vAlign w:val="center"/>
          </w:tcPr>
          <w:p w14:paraId="71FC899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003719B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300</w:t>
            </w:r>
          </w:p>
        </w:tc>
        <w:tc>
          <w:tcPr>
            <w:tcW w:w="683" w:type="pct"/>
            <w:shd w:val="clear" w:color="000000" w:fill="FFFFFF"/>
            <w:noWrap/>
            <w:vAlign w:val="center"/>
          </w:tcPr>
          <w:p w14:paraId="5CE202E7">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42,79 </w:t>
            </w:r>
          </w:p>
        </w:tc>
        <w:tc>
          <w:tcPr>
            <w:tcW w:w="747" w:type="pct"/>
            <w:shd w:val="clear" w:color="000000" w:fill="FFFFFF"/>
            <w:noWrap/>
            <w:vAlign w:val="center"/>
          </w:tcPr>
          <w:p w14:paraId="6596431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12.837,00 </w:t>
            </w:r>
          </w:p>
        </w:tc>
      </w:tr>
      <w:tr w14:paraId="4B1C3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18" w:hRule="atLeast"/>
        </w:trPr>
        <w:tc>
          <w:tcPr>
            <w:tcW w:w="310" w:type="pct"/>
            <w:shd w:val="clear" w:color="FFFFCC" w:fill="FFFFFF"/>
            <w:vAlign w:val="center"/>
          </w:tcPr>
          <w:p w14:paraId="68ED4C1B">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27</w:t>
            </w:r>
          </w:p>
        </w:tc>
        <w:tc>
          <w:tcPr>
            <w:tcW w:w="626" w:type="pct"/>
            <w:shd w:val="clear" w:color="FFFFCC" w:fill="FFFFFF"/>
            <w:vAlign w:val="center"/>
          </w:tcPr>
          <w:p w14:paraId="728D8E3C">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364683</w:t>
            </w:r>
          </w:p>
        </w:tc>
        <w:tc>
          <w:tcPr>
            <w:tcW w:w="1735" w:type="pct"/>
            <w:shd w:val="clear" w:color="FFFFCC" w:fill="FFFFFF"/>
            <w:vAlign w:val="center"/>
          </w:tcPr>
          <w:p w14:paraId="3B967940">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FILTRO PARA HEMODERIVADOS, MATERIAL: FIBRA DE POLIÉSTER, APLICAÇÃO: EM CONCENTRADO DE HEMÁCIAS,   COMPONENTES ADICIONAIS: COM PRÉ-FILTRO, TIPO: PARA BEIRA DE  LEITO,  USO: LEUCORREDUÇÃO.CARACTERISTICA S ADICIONAIS: PARA USO EM BANCADAS,  FILTRO, PARA REMOCAO DE LEUCOCITOS DE UM CONCENTRADO DE HEMACEAS</w:t>
            </w:r>
          </w:p>
        </w:tc>
        <w:tc>
          <w:tcPr>
            <w:tcW w:w="268" w:type="pct"/>
            <w:shd w:val="clear" w:color="FFFFFF" w:fill="FFFFFF"/>
            <w:vAlign w:val="center"/>
          </w:tcPr>
          <w:p w14:paraId="16B663F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6E26D5A5">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480</w:t>
            </w:r>
          </w:p>
        </w:tc>
        <w:tc>
          <w:tcPr>
            <w:tcW w:w="683" w:type="pct"/>
            <w:shd w:val="clear" w:color="000000" w:fill="FFFFFF"/>
            <w:noWrap/>
            <w:vAlign w:val="center"/>
          </w:tcPr>
          <w:p w14:paraId="62DF1AFE">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182,36 </w:t>
            </w:r>
          </w:p>
        </w:tc>
        <w:tc>
          <w:tcPr>
            <w:tcW w:w="747" w:type="pct"/>
            <w:shd w:val="clear" w:color="000000" w:fill="FFFFFF"/>
            <w:noWrap/>
            <w:vAlign w:val="center"/>
          </w:tcPr>
          <w:p w14:paraId="241B6C73">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87.532,80 </w:t>
            </w:r>
          </w:p>
        </w:tc>
      </w:tr>
      <w:tr w14:paraId="550B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920" w:hRule="atLeast"/>
        </w:trPr>
        <w:tc>
          <w:tcPr>
            <w:tcW w:w="310" w:type="pct"/>
            <w:shd w:val="clear" w:color="FFFFCC" w:fill="FFFFFF"/>
            <w:vAlign w:val="center"/>
          </w:tcPr>
          <w:p w14:paraId="14EA74D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28</w:t>
            </w:r>
          </w:p>
        </w:tc>
        <w:tc>
          <w:tcPr>
            <w:tcW w:w="626" w:type="pct"/>
            <w:shd w:val="clear" w:color="FFFFCC" w:fill="FFFFFF"/>
            <w:vAlign w:val="center"/>
          </w:tcPr>
          <w:p w14:paraId="018FFC6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622307</w:t>
            </w:r>
          </w:p>
        </w:tc>
        <w:tc>
          <w:tcPr>
            <w:tcW w:w="1735" w:type="pct"/>
            <w:shd w:val="clear" w:color="FFFFCC" w:fill="FFFFFF"/>
            <w:vAlign w:val="center"/>
          </w:tcPr>
          <w:p w14:paraId="0BD193D1">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MATERIAL HOSPITALAR, TIPO: CONTADOR DE PERFUROCORTANTE, MATERIAL: CAIXA IMANTADA, C/ TAMPA, APLICAÇÃO: P/ CERCA DE 40 AGULHAS, COMPONENTES: CONTADOR NUMERADO EM EVA, ESTERILIDADE*: ESTÉRIL, USO ÚNICO.</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CARACTERÍSTICA ADICIONAL: CAIXA IMANTADA EM MATERIAL RESISTENTE PARA USO MÉDICO-HOSPITALAR, APROX. 18 CM (C) X 7 CM (L) X 2 CM (A), COM SUPORTE NUMERADO DE 1 A 42 EM EVA OU MATERIAL EQUIVALENTE.</w:t>
            </w:r>
          </w:p>
        </w:tc>
        <w:tc>
          <w:tcPr>
            <w:tcW w:w="268" w:type="pct"/>
            <w:shd w:val="clear" w:color="FFFFFF" w:fill="FFFFFF"/>
            <w:vAlign w:val="center"/>
          </w:tcPr>
          <w:p w14:paraId="0220817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3413444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2.000</w:t>
            </w:r>
          </w:p>
        </w:tc>
        <w:tc>
          <w:tcPr>
            <w:tcW w:w="683" w:type="pct"/>
            <w:shd w:val="clear" w:color="000000" w:fill="FFFFFF"/>
            <w:noWrap/>
            <w:vAlign w:val="center"/>
          </w:tcPr>
          <w:p w14:paraId="622E2C2C">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37,63 </w:t>
            </w:r>
          </w:p>
        </w:tc>
        <w:tc>
          <w:tcPr>
            <w:tcW w:w="747" w:type="pct"/>
            <w:shd w:val="clear" w:color="000000" w:fill="FFFFFF"/>
            <w:noWrap/>
            <w:vAlign w:val="center"/>
          </w:tcPr>
          <w:p w14:paraId="20616FD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75.260,00 </w:t>
            </w:r>
          </w:p>
        </w:tc>
      </w:tr>
      <w:tr w14:paraId="52497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849" w:hRule="atLeast"/>
        </w:trPr>
        <w:tc>
          <w:tcPr>
            <w:tcW w:w="310" w:type="pct"/>
            <w:shd w:val="clear" w:color="FFFFCC" w:fill="FFFFFF"/>
            <w:vAlign w:val="center"/>
          </w:tcPr>
          <w:p w14:paraId="2A1E14B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29</w:t>
            </w:r>
          </w:p>
        </w:tc>
        <w:tc>
          <w:tcPr>
            <w:tcW w:w="626" w:type="pct"/>
            <w:shd w:val="clear" w:color="FFFFCC" w:fill="FFFFFF"/>
            <w:vAlign w:val="center"/>
          </w:tcPr>
          <w:p w14:paraId="5F0D5126">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633928</w:t>
            </w:r>
          </w:p>
        </w:tc>
        <w:tc>
          <w:tcPr>
            <w:tcW w:w="1735" w:type="pct"/>
            <w:shd w:val="clear" w:color="FFFFCC" w:fill="FFFFFF"/>
            <w:vAlign w:val="center"/>
          </w:tcPr>
          <w:p w14:paraId="1CEF0024">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FILTRO, MATERIAL: POLIÉSTER COR: BRANCO, APRESENTAÇÃO: TIPO BAIONETA, APLICAÇÃO: GASES E VAPORES.</w:t>
            </w:r>
            <w:r>
              <w:rPr>
                <w:rFonts w:eastAsia="Times New Roman" w:asciiTheme="majorHAnsi" w:hAnsiTheme="majorHAnsi" w:cstheme="majorHAnsi"/>
                <w:color w:val="FF0000"/>
                <w:sz w:val="16"/>
                <w:szCs w:val="16"/>
              </w:rPr>
              <w:br w:type="textWrapping"/>
            </w:r>
            <w:r>
              <w:rPr>
                <w:rFonts w:eastAsia="Times New Roman" w:asciiTheme="majorHAnsi" w:hAnsiTheme="majorHAnsi" w:cstheme="majorHAnsi"/>
                <w:color w:val="FF0000"/>
                <w:sz w:val="16"/>
                <w:szCs w:val="16"/>
              </w:rPr>
              <w:t>CARACTERÍSTICA ADICIONAL: CONSIDERAR FILTRO DIALISANTE EM HEMODIALISE, ULTRAPURO, ESTÉRIL, COM MEMBRANA POLIFULSONA, ÁREA DE SUPERFÍCIE COMPATIVEL COM MAQUINA DE DIALISE DIALOG+ (B. BRAUN).</w:t>
            </w:r>
          </w:p>
        </w:tc>
        <w:tc>
          <w:tcPr>
            <w:tcW w:w="268" w:type="pct"/>
            <w:shd w:val="clear" w:color="FFFFFF" w:fill="FFFFFF"/>
            <w:vAlign w:val="center"/>
          </w:tcPr>
          <w:p w14:paraId="17E516AF">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UND</w:t>
            </w:r>
          </w:p>
        </w:tc>
        <w:tc>
          <w:tcPr>
            <w:tcW w:w="631" w:type="pct"/>
            <w:shd w:val="clear" w:color="FFFFCC" w:fill="FFFFFF"/>
            <w:vAlign w:val="center"/>
          </w:tcPr>
          <w:p w14:paraId="4AA3F47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250</w:t>
            </w:r>
          </w:p>
        </w:tc>
        <w:tc>
          <w:tcPr>
            <w:tcW w:w="683" w:type="pct"/>
            <w:shd w:val="clear" w:color="000000" w:fill="FFFFFF"/>
            <w:noWrap/>
            <w:vAlign w:val="center"/>
          </w:tcPr>
          <w:p w14:paraId="0EE7531A">
            <w:pP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181,50 </w:t>
            </w:r>
          </w:p>
        </w:tc>
        <w:tc>
          <w:tcPr>
            <w:tcW w:w="747" w:type="pct"/>
            <w:shd w:val="clear" w:color="000000" w:fill="FFFFFF"/>
            <w:noWrap/>
            <w:vAlign w:val="center"/>
          </w:tcPr>
          <w:p w14:paraId="5B6BD14E">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45.375,00 </w:t>
            </w:r>
          </w:p>
        </w:tc>
      </w:tr>
      <w:tr w14:paraId="32C7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40" w:hRule="atLeast"/>
        </w:trPr>
        <w:tc>
          <w:tcPr>
            <w:tcW w:w="4253" w:type="pct"/>
            <w:gridSpan w:val="6"/>
            <w:shd w:val="clear" w:color="auto" w:fill="D8D8D8" w:themeFill="background1" w:themeFillShade="D9"/>
            <w:vAlign w:val="center"/>
          </w:tcPr>
          <w:p w14:paraId="67036FCD">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TOTAL DE ITENS</w:t>
            </w:r>
          </w:p>
        </w:tc>
        <w:tc>
          <w:tcPr>
            <w:tcW w:w="747" w:type="pct"/>
            <w:shd w:val="clear" w:color="auto" w:fill="D8D8D8" w:themeFill="background1" w:themeFillShade="D9"/>
            <w:noWrap/>
            <w:vAlign w:val="center"/>
          </w:tcPr>
          <w:p w14:paraId="09E50A41">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242.434,80 </w:t>
            </w:r>
          </w:p>
        </w:tc>
      </w:tr>
      <w:tr w14:paraId="6235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95" w:hRule="atLeast"/>
        </w:trPr>
        <w:tc>
          <w:tcPr>
            <w:tcW w:w="4253" w:type="pct"/>
            <w:gridSpan w:val="6"/>
            <w:shd w:val="clear" w:color="auto" w:fill="D8D8D8" w:themeFill="background1" w:themeFillShade="D9"/>
            <w:vAlign w:val="center"/>
          </w:tcPr>
          <w:p w14:paraId="1C2294C9">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TOTAL DE GRUPOS </w:t>
            </w:r>
          </w:p>
        </w:tc>
        <w:tc>
          <w:tcPr>
            <w:tcW w:w="747" w:type="pct"/>
            <w:shd w:val="clear" w:color="auto" w:fill="D8D8D8" w:themeFill="background1" w:themeFillShade="D9"/>
            <w:noWrap/>
            <w:vAlign w:val="center"/>
          </w:tcPr>
          <w:p w14:paraId="75B2AA20">
            <w:pPr>
              <w:jc w:val="center"/>
              <w:rPr>
                <w:rFonts w:eastAsia="Times New Roman" w:asciiTheme="majorHAnsi" w:hAnsiTheme="majorHAnsi" w:cstheme="majorHAnsi"/>
                <w:color w:val="FF0000"/>
                <w:sz w:val="16"/>
                <w:szCs w:val="16"/>
              </w:rPr>
            </w:pPr>
            <w:r>
              <w:rPr>
                <w:rFonts w:eastAsia="Times New Roman" w:asciiTheme="majorHAnsi" w:hAnsiTheme="majorHAnsi" w:cstheme="majorHAnsi"/>
                <w:color w:val="FF0000"/>
                <w:sz w:val="16"/>
                <w:szCs w:val="16"/>
              </w:rPr>
              <w:t xml:space="preserve"> R$    178.015,00 </w:t>
            </w:r>
          </w:p>
        </w:tc>
      </w:tr>
      <w:tr w14:paraId="51AAB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23" w:hRule="atLeast"/>
        </w:trPr>
        <w:tc>
          <w:tcPr>
            <w:tcW w:w="2939" w:type="pct"/>
            <w:gridSpan w:val="4"/>
            <w:shd w:val="clear" w:color="auto" w:fill="A5A5A5" w:themeFill="background1" w:themeFillShade="A6"/>
            <w:noWrap/>
            <w:vAlign w:val="center"/>
          </w:tcPr>
          <w:p w14:paraId="37F9D8F1">
            <w:pPr>
              <w:jc w:val="center"/>
              <w:rPr>
                <w:rFonts w:eastAsia="Times New Roman" w:asciiTheme="majorHAnsi" w:hAnsiTheme="majorHAnsi" w:cstheme="majorHAnsi"/>
                <w:b/>
                <w:color w:val="FF0000"/>
                <w:sz w:val="16"/>
                <w:szCs w:val="16"/>
              </w:rPr>
            </w:pPr>
            <w:r>
              <w:rPr>
                <w:rFonts w:eastAsia="Times New Roman" w:asciiTheme="majorHAnsi" w:hAnsiTheme="majorHAnsi" w:cstheme="majorHAnsi"/>
                <w:b/>
                <w:color w:val="FF0000"/>
                <w:sz w:val="16"/>
                <w:szCs w:val="16"/>
              </w:rPr>
              <w:t xml:space="preserve">Valor Total Estimado R$ </w:t>
            </w:r>
          </w:p>
        </w:tc>
        <w:tc>
          <w:tcPr>
            <w:tcW w:w="2061" w:type="pct"/>
            <w:gridSpan w:val="3"/>
            <w:shd w:val="clear" w:color="auto" w:fill="A5A5A5" w:themeFill="background1" w:themeFillShade="A6"/>
            <w:noWrap/>
            <w:vAlign w:val="center"/>
          </w:tcPr>
          <w:p w14:paraId="07047936">
            <w:pPr>
              <w:jc w:val="center"/>
              <w:rPr>
                <w:rFonts w:eastAsia="Times New Roman" w:asciiTheme="majorHAnsi" w:hAnsiTheme="majorHAnsi" w:cstheme="majorHAnsi"/>
                <w:b/>
                <w:color w:val="FF0000"/>
                <w:sz w:val="16"/>
                <w:szCs w:val="16"/>
              </w:rPr>
            </w:pPr>
            <w:r>
              <w:rPr>
                <w:rFonts w:eastAsia="Times New Roman" w:asciiTheme="majorHAnsi" w:hAnsiTheme="majorHAnsi" w:cstheme="majorHAnsi"/>
                <w:b/>
                <w:color w:val="FF0000"/>
                <w:sz w:val="16"/>
                <w:szCs w:val="16"/>
              </w:rPr>
              <w:t xml:space="preserve"> R$                                                       420.449,80 </w:t>
            </w:r>
          </w:p>
        </w:tc>
      </w:tr>
    </w:tbl>
    <w:p w14:paraId="1C310612">
      <w:pPr>
        <w:spacing w:before="120" w:after="120"/>
        <w:jc w:val="both"/>
        <w:rPr>
          <w:rFonts w:asciiTheme="majorHAnsi" w:hAnsiTheme="majorHAnsi" w:cstheme="majorHAnsi"/>
          <w:b/>
          <w:bCs/>
          <w:color w:val="EE0000"/>
          <w:sz w:val="22"/>
          <w:szCs w:val="22"/>
        </w:rPr>
      </w:pPr>
    </w:p>
    <w:p w14:paraId="1FC2931E">
      <w:pPr>
        <w:pStyle w:val="38"/>
        <w:numPr>
          <w:ilvl w:val="1"/>
          <w:numId w:val="11"/>
        </w:numPr>
        <w:spacing w:before="120" w:after="120"/>
        <w:ind w:left="0" w:right="-1" w:firstLine="0"/>
        <w:contextualSpacing w:val="0"/>
        <w:jc w:val="both"/>
        <w:rPr>
          <w:rFonts w:asciiTheme="majorHAnsi" w:hAnsiTheme="majorHAnsi" w:cstheme="majorHAnsi"/>
          <w:b/>
          <w:color w:val="000000" w:themeColor="text1"/>
          <w:sz w:val="22"/>
          <w:szCs w:val="22"/>
          <w:u w:val="single"/>
          <w14:textFill>
            <w14:solidFill>
              <w14:schemeClr w14:val="tx1"/>
            </w14:solidFill>
          </w14:textFill>
        </w:rPr>
      </w:pPr>
      <w:r>
        <w:rPr>
          <w:rFonts w:asciiTheme="majorHAnsi" w:hAnsiTheme="majorHAnsi" w:cstheme="majorHAnsi"/>
          <w:b/>
          <w:color w:val="000000" w:themeColor="text1"/>
          <w:sz w:val="22"/>
          <w:szCs w:val="22"/>
          <w:u w:val="single"/>
          <w14:textFill>
            <w14:solidFill>
              <w14:schemeClr w14:val="tx1"/>
            </w14:solidFill>
          </w14:textFill>
        </w:rPr>
        <w:t xml:space="preserve">JUSTIFICATIVAS PARA O GRUPO 1 (ITENS 1 A 13)  </w:t>
      </w:r>
    </w:p>
    <w:p w14:paraId="0692B0AE">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presente solicitação de aquisição de drenos cirúrgicos torácicos em silicone, nos calibres de 12 a 38 French, estéreis, radiopacos, descartáveis e com conector universal, fundamenta-se na necessidade de garantir suporte adequado aos procedimentos cirúrgicos e assistenciais realizados no âmbito hospitalar, especialmente nas áreas de cirurgia torácica, emergência, centro cirúrgico, unidade de terapia intensiva e demais setores que demandam drenagem pleural e mediastinal.</w:t>
      </w:r>
    </w:p>
    <w:p w14:paraId="4490C154">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Os drenos torácicos constituem materiais indispensáveis para o manejo de pacientes acometidos por pneumotórax, hemotórax, derrames pleurais, empiemas, traumas torácicos e no pós-operatório de procedimentos cirúrgicos, permitindo a remoção eficiente de ar, líquidos e secreções da cavidade torácica, contribuindo diretamente para a reexpansão pulmonar, estabilização clínica do paciente e prevenção de complicações.</w:t>
      </w:r>
    </w:p>
    <w:p w14:paraId="00557D40">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variedade de calibres solicitados mostra-se necessária em razão da diversidade de perfis clínicos e indicações terapêuticas, permitindo ao corpo médico selecionar o tamanho mais adequado conforme idade do paciente, volume e viscosidade do conteúdo a ser drenado, bem como o tipo de procedimento realizado. Tal diversidade assegura maior segurança assistencial, eficiência terapêutica e individualização do tratamento.</w:t>
      </w:r>
    </w:p>
    <w:p w14:paraId="6AB2A989">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especificação do material em silicone justifica-se por apresentar elevada biocompatibilidade, maior flexibilidade, menor risco de trauma tecidual e melhor tolerabilidade ao paciente quando comparado a outros materiais, além de favorecer maior conforto e segurança durante o período de permanência do dreno.</w:t>
      </w:r>
    </w:p>
    <w:p w14:paraId="631EC9D5">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exigência de componente radiopaco possibilita a adequada visualização do dispositivo em exames de imagem, permitindo monitoramento preciso do posicionamento do dreno e maior segurança durante o acompanhamento clínico. O conector universal, por sua vez, assegura compatibilidade com os sistemas coletores utilizados pela unidade hospitalar, favorecendo padronização e operacionalização dos procedimentos.</w:t>
      </w:r>
    </w:p>
    <w:p w14:paraId="2F31C92C">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Por fim, a condição de produto estéril, descartável e embalado individualmente visa atender às normas sanitárias vigentes, reduzir riscos de infecção relacionada à assistência à saúde e garantir a manutenção das condições adequadas de armazenamento, rastreabilidade e utilização dos materiais. Dessa forma, a aquisição pretendida mostra-se essencial para assegurar a continuidade, qualidade e segurança da assistência prestada aos pacientes da unidade hospitalar.</w:t>
      </w:r>
    </w:p>
    <w:p w14:paraId="23FF59D4">
      <w:pPr>
        <w:pStyle w:val="38"/>
        <w:numPr>
          <w:ilvl w:val="2"/>
          <w:numId w:val="11"/>
        </w:numPr>
        <w:spacing w:before="120" w:after="120"/>
        <w:ind w:left="0" w:right="-1"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JUSTIFICATIVAS PARA O GRUPO 2 (ITENS DE 14 a 16)</w:t>
      </w:r>
    </w:p>
    <w:p w14:paraId="1625E060">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presente solicitação de aquisição de drenos cirúrgicos tubulares em silicone, com sistema de pressão negativa e reservatório graduado, nos calibres de 15, 19 e 24 French, justifica-se pela necessidade de atender aos procedimentos cirúrgicos e ao acompanhamento pós-operatório dos pacientes da unidade hospitalar.</w:t>
      </w:r>
    </w:p>
    <w:p w14:paraId="461D8BDB">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Os itens são essenciais para drenagem de secreções, sangue e fluidos acumulados em cavidades cirúrgicas, contribuindo para prevenção de complicações como hematomas, seromas e infecções, além de favorecer a recuperação clínica do paciente.</w:t>
      </w:r>
    </w:p>
    <w:p w14:paraId="768B273F">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As especificações solicitadas, como material em silicone, componente radiopaco, válvula antirrefluxo, extensor com clamp, conector universal e reservatório com pressão negativa, proporcionam maior segurança, eficiência e controle durante o uso. Os diferentes calibres e modelos visam atender às diversas necessidades assistenciais e técnicas dos procedimentos realizados na unidade.</w:t>
      </w:r>
    </w:p>
    <w:p w14:paraId="536DA228">
      <w:pPr>
        <w:pStyle w:val="38"/>
        <w:numPr>
          <w:ilvl w:val="2"/>
          <w:numId w:val="11"/>
        </w:numPr>
        <w:spacing w:before="120" w:after="120"/>
        <w:ind w:left="0" w:right="-1"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JUSTIFICATIVAS PARA O GRUPO 3 (ITENS DE 17 a 20)</w:t>
      </w:r>
    </w:p>
    <w:p w14:paraId="2FF2C58E">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presente solicitação de aquisição de sistemas coletores para dreno de tórax com aspiração a seco, acompanhados de drenos torácicos nos calibres 28, 32, 36 e 38 French, justifica-se pela necessidade de atender aos procedimentos cirúrgicos, emergenciais e ao tratamento de pacientes que necessitam de drenagem pleural na unidade hospitalar.</w:t>
      </w:r>
    </w:p>
    <w:p w14:paraId="0F919714">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As especificações solicitadas, como sistema de três câmaras, válvula de alívio de pressão, controle de fuga de ar, ajuste de aspiração, via para coleta e extensor com clamp, proporcionam maior segurança, eficiência e monitoramento durante a assistência ao paciente. A composição em material transparente e graduado permite adequada visualização e controle do volume drenado.</w:t>
      </w:r>
    </w:p>
    <w:p w14:paraId="5F5DA079">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Os diferentes calibres dos drenos visam atender às variadas necessidades clínicas e assistenciais dos pacientes, garantindo compatibilidade e adequação aos procedimentos realizados pela unidade hospitalar.</w:t>
      </w:r>
    </w:p>
    <w:p w14:paraId="25E2235E">
      <w:pPr>
        <w:pStyle w:val="38"/>
        <w:numPr>
          <w:ilvl w:val="2"/>
          <w:numId w:val="11"/>
        </w:numPr>
        <w:spacing w:before="120" w:after="120"/>
        <w:ind w:left="0" w:right="-1"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JUSTIFICATIVAS PARA O GRUPO 4 (ITENS DE 21 a 22)</w:t>
      </w:r>
    </w:p>
    <w:p w14:paraId="6F7385B7">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presente solicitação de aquisição de caixas térmicas com termômetro digital, com capacidades de 15 e 26 litros, justifica-se pela necessidade de garantir o acondicionamento, conservação e transporte adequado de materiais termossensíveis utilizados na unidade hospitalar, especialmente hemocomponentes e outros insumos que exigem controle rigoroso de temperatura.</w:t>
      </w:r>
    </w:p>
    <w:p w14:paraId="3DDDC301">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Os itens são essenciais para manutenção da cadeia térmica durante o transporte interno e externo, assegurando a preservação das características e qualidade dos materiais transportados, em conformidade com as normas sanitárias e boas práticas aplicáveis.</w:t>
      </w:r>
    </w:p>
    <w:p w14:paraId="7F8ECB36">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exigência de termômetro digital integrado permite monitoramento contínuo da temperatura, proporcionando maior segurança e controle durante o armazenamento e transporte. Já os materiais especificados conferem adequado isolamento térmico, resistência e durabilidade aos equipamentos.</w:t>
      </w:r>
    </w:p>
    <w:p w14:paraId="2416CC42">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Dessa forma, a aquisição pretendida mostra-se indispensável para garantir segurança assistencial, qualidade dos processos e atendimento às exigências técnicas relacionadas ao transporte e conservação de materiais hospitalares.</w:t>
      </w:r>
    </w:p>
    <w:p w14:paraId="19A6BA59">
      <w:pPr>
        <w:pStyle w:val="38"/>
        <w:numPr>
          <w:ilvl w:val="2"/>
          <w:numId w:val="11"/>
        </w:numPr>
        <w:spacing w:before="120" w:after="120"/>
        <w:ind w:left="0" w:right="-1"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JUSTIFICATIVAS PARA OS ITENS (DE 23 A 29)</w:t>
      </w:r>
    </w:p>
    <w:p w14:paraId="2C47AEEA">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presente solicitação de aquisição dos materiais hospitalares descritos justifica-se pela necessidade de garantir a continuidade e qualidade da assistência prestada aos pacientes da unidade hospitalar, atendendo às demandas dos diversos setores assistenciais, cirúrgicos, ambulatoriais, hemoterápicos e de terapia renal substitutiva.</w:t>
      </w:r>
    </w:p>
    <w:p w14:paraId="550E24E4">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Os itens solicitados são indispensáveis para realização segura de procedimentos clínicos e assistenciais, abrangendo administração de medicamentos, prevenção de acidentes com perfurocortantes, tratamento e cobertura de feridas, coleta e processamento de hemocomponentes, leucorredução de concentrados de hemácias e realização de sessões de hemodiálise.</w:t>
      </w:r>
    </w:p>
    <w:p w14:paraId="1AAA2F86">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As especificações técnicas exigidas visam assegurar maior segurança ao paciente e aos profissionais de saúde, bem como garantir compatibilidade com os equipamentos e protocolos utilizados pela unidade hospitalar. Destacam-se, entre outras características, dispositivos de segurança para prevenção de acidentes ocupacionais, materiais estéreis e descartáveis, sistemas fechados para coleta de sangue, componentes para controle e prevenção de infecções, além de insumos compatíveis com equipamentos específicos utilizados nos procedimentos assistenciais.</w:t>
      </w:r>
    </w:p>
    <w:p w14:paraId="0DEDE25A">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Os curativos e coberturas especiais solicitados contribuem para o adequado manejo de feridas, favorecendo cicatrização, proteção tecidual e redução de complicações. Já os materiais destinados à hemoterapia e hemodiálise são essenciais para manutenção da assistência especializada e da segurança transfusional e dialítica dos pacientes atendidos.</w:t>
      </w:r>
    </w:p>
    <w:p w14:paraId="7A1152C9">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Dessa forma, a aquisição dos itens mostra-se indispensável para assegurar a continuidade dos serviços de saúde, o cumprimento das normas sanitárias vigentes e a manutenção da qualidade e segurança da assistência hospitalar.</w:t>
      </w:r>
    </w:p>
    <w:p w14:paraId="05A1DCCA">
      <w:pPr>
        <w:pStyle w:val="38"/>
        <w:numPr>
          <w:ilvl w:val="2"/>
          <w:numId w:val="11"/>
        </w:numPr>
        <w:spacing w:before="120" w:after="120"/>
        <w:ind w:left="0" w:right="-1"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JUSTIFICATIVA TÉCNICA DA COMPATIBILIDADE DO ITEM 29</w:t>
      </w:r>
    </w:p>
    <w:p w14:paraId="2D9FD6EC">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Filtro de Ultrafiltração DIACAP® Ultra – Compatível com Máquinas DIALOG+ (B. BRAUN) – Características Técnicas e Compatibilidade:</w:t>
      </w:r>
    </w:p>
    <w:p w14:paraId="6804F5A5">
      <w:pPr>
        <w:pStyle w:val="38"/>
        <w:spacing w:before="120" w:after="120"/>
        <w:ind w:left="0" w:right="-1"/>
        <w:contextualSpacing w:val="0"/>
        <w:jc w:val="both"/>
        <w:rPr>
          <w:rFonts w:asciiTheme="majorHAnsi" w:hAnsiTheme="majorHAnsi" w:cstheme="majorHAnsi"/>
          <w:bCs/>
          <w:color w:val="EE0000"/>
          <w:sz w:val="22"/>
          <w:szCs w:val="22"/>
        </w:rPr>
      </w:pPr>
    </w:p>
    <w:tbl>
      <w:tblPr>
        <w:tblStyle w:val="153"/>
        <w:tblW w:w="9141"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Layout w:type="fixed"/>
        <w:tblCellMar>
          <w:top w:w="0" w:type="dxa"/>
          <w:left w:w="0" w:type="dxa"/>
          <w:bottom w:w="0" w:type="dxa"/>
          <w:right w:w="0" w:type="dxa"/>
        </w:tblCellMar>
      </w:tblPr>
      <w:tblGrid>
        <w:gridCol w:w="1601"/>
        <w:gridCol w:w="1712"/>
        <w:gridCol w:w="1340"/>
        <w:gridCol w:w="1208"/>
        <w:gridCol w:w="886"/>
        <w:gridCol w:w="925"/>
        <w:gridCol w:w="1469"/>
      </w:tblGrid>
      <w:tr w14:paraId="4DD52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484" w:hRule="atLeast"/>
        </w:trPr>
        <w:tc>
          <w:tcPr>
            <w:tcW w:w="1601" w:type="dxa"/>
            <w:shd w:val="clear" w:color="auto" w:fill="BEBEBE" w:themeFill="background1" w:themeFillShade="BF"/>
          </w:tcPr>
          <w:p w14:paraId="2150B9F2">
            <w:pPr>
              <w:pStyle w:val="154"/>
              <w:spacing w:before="118"/>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EQUIPAMENTO</w:t>
            </w:r>
          </w:p>
        </w:tc>
        <w:tc>
          <w:tcPr>
            <w:tcW w:w="1712" w:type="dxa"/>
            <w:shd w:val="clear" w:color="auto" w:fill="BEBEBE" w:themeFill="background1" w:themeFillShade="BF"/>
          </w:tcPr>
          <w:p w14:paraId="30FA4E2F">
            <w:pPr>
              <w:pStyle w:val="154"/>
              <w:spacing w:before="118"/>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EQUIPAMENTO2</w:t>
            </w:r>
          </w:p>
        </w:tc>
        <w:tc>
          <w:tcPr>
            <w:tcW w:w="1340" w:type="dxa"/>
            <w:shd w:val="clear" w:color="auto" w:fill="BEBEBE" w:themeFill="background1" w:themeFillShade="BF"/>
          </w:tcPr>
          <w:p w14:paraId="0D962FAD">
            <w:pPr>
              <w:pStyle w:val="154"/>
              <w:spacing w:before="118"/>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FABRICANTE</w:t>
            </w:r>
          </w:p>
        </w:tc>
        <w:tc>
          <w:tcPr>
            <w:tcW w:w="1208" w:type="dxa"/>
            <w:shd w:val="clear" w:color="auto" w:fill="BEBEBE" w:themeFill="background1" w:themeFillShade="BF"/>
          </w:tcPr>
          <w:p w14:paraId="55AFC814">
            <w:pPr>
              <w:pStyle w:val="154"/>
              <w:spacing w:before="118"/>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MODELO</w:t>
            </w:r>
          </w:p>
        </w:tc>
        <w:tc>
          <w:tcPr>
            <w:tcW w:w="886" w:type="dxa"/>
            <w:shd w:val="clear" w:color="auto" w:fill="BEBEBE" w:themeFill="background1" w:themeFillShade="BF"/>
          </w:tcPr>
          <w:p w14:paraId="539B8500">
            <w:pPr>
              <w:pStyle w:val="154"/>
              <w:spacing w:before="118"/>
              <w:ind w:right="22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SÉRIE</w:t>
            </w:r>
          </w:p>
        </w:tc>
        <w:tc>
          <w:tcPr>
            <w:tcW w:w="925" w:type="dxa"/>
            <w:shd w:val="clear" w:color="auto" w:fill="BEBEBE" w:themeFill="background1" w:themeFillShade="BF"/>
          </w:tcPr>
          <w:p w14:paraId="104A33C2">
            <w:pPr>
              <w:pStyle w:val="154"/>
              <w:spacing w:before="118"/>
              <w:ind w:left="36"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TOMBO</w:t>
            </w:r>
          </w:p>
        </w:tc>
        <w:tc>
          <w:tcPr>
            <w:tcW w:w="1469" w:type="dxa"/>
            <w:shd w:val="clear" w:color="auto" w:fill="BEBEBE" w:themeFill="background1" w:themeFillShade="BF"/>
          </w:tcPr>
          <w:p w14:paraId="09B05C64">
            <w:pPr>
              <w:pStyle w:val="154"/>
              <w:spacing w:before="118"/>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SETOR</w:t>
            </w:r>
          </w:p>
        </w:tc>
      </w:tr>
      <w:tr w14:paraId="497F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04C651EF">
            <w:pPr>
              <w:pStyle w:val="154"/>
              <w:spacing w:before="134"/>
              <w:rPr>
                <w:rFonts w:asciiTheme="majorHAnsi" w:hAnsiTheme="majorHAnsi" w:cstheme="majorHAnsi"/>
                <w:color w:val="FF0000"/>
                <w:sz w:val="16"/>
                <w:szCs w:val="16"/>
              </w:rPr>
            </w:pPr>
          </w:p>
          <w:p w14:paraId="4741E623">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HAN002209</w:t>
            </w:r>
          </w:p>
        </w:tc>
        <w:tc>
          <w:tcPr>
            <w:tcW w:w="1712" w:type="dxa"/>
            <w:shd w:val="clear" w:color="auto" w:fill="BEBEBE" w:themeFill="background1" w:themeFillShade="BF"/>
          </w:tcPr>
          <w:p w14:paraId="46269BEA">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5238399F">
            <w:pPr>
              <w:pStyle w:val="154"/>
              <w:spacing w:before="134"/>
              <w:rPr>
                <w:rFonts w:asciiTheme="majorHAnsi" w:hAnsiTheme="majorHAnsi" w:cstheme="majorHAnsi"/>
                <w:color w:val="FF0000"/>
                <w:sz w:val="16"/>
                <w:szCs w:val="16"/>
              </w:rPr>
            </w:pPr>
          </w:p>
          <w:p w14:paraId="52076BE4">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01C2EF96">
            <w:pPr>
              <w:pStyle w:val="154"/>
              <w:spacing w:before="134"/>
              <w:rPr>
                <w:rFonts w:asciiTheme="majorHAnsi" w:hAnsiTheme="majorHAnsi" w:cstheme="majorHAnsi"/>
                <w:color w:val="FF0000"/>
                <w:sz w:val="16"/>
                <w:szCs w:val="16"/>
              </w:rPr>
            </w:pPr>
          </w:p>
          <w:p w14:paraId="2E6DF43B">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4B3F51C1">
            <w:pPr>
              <w:pStyle w:val="154"/>
              <w:spacing w:before="134"/>
              <w:rPr>
                <w:rFonts w:asciiTheme="majorHAnsi" w:hAnsiTheme="majorHAnsi" w:cstheme="majorHAnsi"/>
                <w:color w:val="FF0000"/>
                <w:sz w:val="16"/>
                <w:szCs w:val="16"/>
              </w:rPr>
            </w:pPr>
          </w:p>
          <w:p w14:paraId="57302D2F">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511586</w:t>
            </w:r>
          </w:p>
        </w:tc>
        <w:tc>
          <w:tcPr>
            <w:tcW w:w="925" w:type="dxa"/>
            <w:shd w:val="clear" w:color="auto" w:fill="BEBEBE" w:themeFill="background1" w:themeFillShade="BF"/>
          </w:tcPr>
          <w:p w14:paraId="6E423645">
            <w:pPr>
              <w:pStyle w:val="154"/>
              <w:spacing w:before="134"/>
              <w:rPr>
                <w:rFonts w:asciiTheme="majorHAnsi" w:hAnsiTheme="majorHAnsi" w:cstheme="majorHAnsi"/>
                <w:color w:val="FF0000"/>
                <w:sz w:val="16"/>
                <w:szCs w:val="16"/>
              </w:rPr>
            </w:pPr>
          </w:p>
          <w:p w14:paraId="7D28D8DE">
            <w:pPr>
              <w:pStyle w:val="154"/>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2314BAC1">
            <w:pPr>
              <w:pStyle w:val="154"/>
              <w:spacing w:before="134"/>
              <w:rPr>
                <w:rFonts w:asciiTheme="majorHAnsi" w:hAnsiTheme="majorHAnsi" w:cstheme="majorHAnsi"/>
                <w:color w:val="FF0000"/>
                <w:sz w:val="16"/>
                <w:szCs w:val="16"/>
              </w:rPr>
            </w:pPr>
          </w:p>
          <w:p w14:paraId="6D4D4C90">
            <w:pPr>
              <w:pStyle w:val="154"/>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5AA3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2ABAE039">
            <w:pPr>
              <w:pStyle w:val="154"/>
              <w:spacing w:before="133"/>
              <w:rPr>
                <w:rFonts w:asciiTheme="majorHAnsi" w:hAnsiTheme="majorHAnsi" w:cstheme="majorHAnsi"/>
                <w:color w:val="FF0000"/>
                <w:sz w:val="16"/>
                <w:szCs w:val="16"/>
              </w:rPr>
            </w:pPr>
          </w:p>
          <w:p w14:paraId="5E38B449">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HAN002210</w:t>
            </w:r>
          </w:p>
        </w:tc>
        <w:tc>
          <w:tcPr>
            <w:tcW w:w="1712" w:type="dxa"/>
            <w:shd w:val="clear" w:color="auto" w:fill="BEBEBE" w:themeFill="background1" w:themeFillShade="BF"/>
          </w:tcPr>
          <w:p w14:paraId="40693C98">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20467886">
            <w:pPr>
              <w:pStyle w:val="154"/>
              <w:spacing w:before="133"/>
              <w:rPr>
                <w:rFonts w:asciiTheme="majorHAnsi" w:hAnsiTheme="majorHAnsi" w:cstheme="majorHAnsi"/>
                <w:color w:val="FF0000"/>
                <w:sz w:val="16"/>
                <w:szCs w:val="16"/>
              </w:rPr>
            </w:pPr>
          </w:p>
          <w:p w14:paraId="4A8A7655">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3CEA89EC">
            <w:pPr>
              <w:pStyle w:val="154"/>
              <w:spacing w:before="133"/>
              <w:rPr>
                <w:rFonts w:asciiTheme="majorHAnsi" w:hAnsiTheme="majorHAnsi" w:cstheme="majorHAnsi"/>
                <w:color w:val="FF0000"/>
                <w:sz w:val="16"/>
                <w:szCs w:val="16"/>
              </w:rPr>
            </w:pPr>
          </w:p>
          <w:p w14:paraId="0CBA03EB">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57351866">
            <w:pPr>
              <w:pStyle w:val="154"/>
              <w:spacing w:before="133"/>
              <w:rPr>
                <w:rFonts w:asciiTheme="majorHAnsi" w:hAnsiTheme="majorHAnsi" w:cstheme="majorHAnsi"/>
                <w:color w:val="FF0000"/>
                <w:sz w:val="16"/>
                <w:szCs w:val="16"/>
              </w:rPr>
            </w:pPr>
          </w:p>
          <w:p w14:paraId="2AF5EC94">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511582</w:t>
            </w:r>
          </w:p>
        </w:tc>
        <w:tc>
          <w:tcPr>
            <w:tcW w:w="925" w:type="dxa"/>
            <w:shd w:val="clear" w:color="auto" w:fill="BEBEBE" w:themeFill="background1" w:themeFillShade="BF"/>
          </w:tcPr>
          <w:p w14:paraId="3781B658">
            <w:pPr>
              <w:pStyle w:val="154"/>
              <w:spacing w:before="133"/>
              <w:rPr>
                <w:rFonts w:asciiTheme="majorHAnsi" w:hAnsiTheme="majorHAnsi" w:cstheme="majorHAnsi"/>
                <w:color w:val="FF0000"/>
                <w:sz w:val="16"/>
                <w:szCs w:val="16"/>
              </w:rPr>
            </w:pPr>
          </w:p>
          <w:p w14:paraId="063D19E0">
            <w:pPr>
              <w:pStyle w:val="154"/>
              <w:spacing w:before="1"/>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711659EC">
            <w:pPr>
              <w:pStyle w:val="154"/>
              <w:spacing w:before="133"/>
              <w:rPr>
                <w:rFonts w:asciiTheme="majorHAnsi" w:hAnsiTheme="majorHAnsi" w:cstheme="majorHAnsi"/>
                <w:color w:val="FF0000"/>
                <w:sz w:val="16"/>
                <w:szCs w:val="16"/>
              </w:rPr>
            </w:pPr>
          </w:p>
          <w:p w14:paraId="0184B1BE">
            <w:pPr>
              <w:pStyle w:val="154"/>
              <w:spacing w:before="1"/>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6C935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4BCC7CEF">
            <w:pPr>
              <w:pStyle w:val="154"/>
              <w:spacing w:before="133"/>
              <w:rPr>
                <w:rFonts w:asciiTheme="majorHAnsi" w:hAnsiTheme="majorHAnsi" w:cstheme="majorHAnsi"/>
                <w:color w:val="FF0000"/>
                <w:sz w:val="16"/>
                <w:szCs w:val="16"/>
              </w:rPr>
            </w:pPr>
          </w:p>
          <w:p w14:paraId="7EE1AC65">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HAN002211</w:t>
            </w:r>
          </w:p>
        </w:tc>
        <w:tc>
          <w:tcPr>
            <w:tcW w:w="1712" w:type="dxa"/>
            <w:shd w:val="clear" w:color="auto" w:fill="BEBEBE" w:themeFill="background1" w:themeFillShade="BF"/>
          </w:tcPr>
          <w:p w14:paraId="329F9B26">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300FCF68">
            <w:pPr>
              <w:pStyle w:val="154"/>
              <w:spacing w:before="133"/>
              <w:rPr>
                <w:rFonts w:asciiTheme="majorHAnsi" w:hAnsiTheme="majorHAnsi" w:cstheme="majorHAnsi"/>
                <w:color w:val="FF0000"/>
                <w:sz w:val="16"/>
                <w:szCs w:val="16"/>
              </w:rPr>
            </w:pPr>
          </w:p>
          <w:p w14:paraId="69949103">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038BFDD4">
            <w:pPr>
              <w:pStyle w:val="154"/>
              <w:spacing w:before="133"/>
              <w:rPr>
                <w:rFonts w:asciiTheme="majorHAnsi" w:hAnsiTheme="majorHAnsi" w:cstheme="majorHAnsi"/>
                <w:color w:val="FF0000"/>
                <w:sz w:val="16"/>
                <w:szCs w:val="16"/>
              </w:rPr>
            </w:pPr>
          </w:p>
          <w:p w14:paraId="2C956A69">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7B20010D">
            <w:pPr>
              <w:pStyle w:val="154"/>
              <w:spacing w:before="133"/>
              <w:rPr>
                <w:rFonts w:asciiTheme="majorHAnsi" w:hAnsiTheme="majorHAnsi" w:cstheme="majorHAnsi"/>
                <w:color w:val="FF0000"/>
                <w:sz w:val="16"/>
                <w:szCs w:val="16"/>
              </w:rPr>
            </w:pPr>
          </w:p>
          <w:p w14:paraId="15D557CC">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511581</w:t>
            </w:r>
          </w:p>
        </w:tc>
        <w:tc>
          <w:tcPr>
            <w:tcW w:w="925" w:type="dxa"/>
            <w:shd w:val="clear" w:color="auto" w:fill="BEBEBE" w:themeFill="background1" w:themeFillShade="BF"/>
          </w:tcPr>
          <w:p w14:paraId="3495DB31">
            <w:pPr>
              <w:pStyle w:val="154"/>
              <w:spacing w:before="133"/>
              <w:rPr>
                <w:rFonts w:asciiTheme="majorHAnsi" w:hAnsiTheme="majorHAnsi" w:cstheme="majorHAnsi"/>
                <w:color w:val="FF0000"/>
                <w:sz w:val="16"/>
                <w:szCs w:val="16"/>
              </w:rPr>
            </w:pPr>
          </w:p>
          <w:p w14:paraId="7406B579">
            <w:pPr>
              <w:pStyle w:val="154"/>
              <w:spacing w:before="1"/>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406CD885">
            <w:pPr>
              <w:pStyle w:val="154"/>
              <w:spacing w:before="133"/>
              <w:rPr>
                <w:rFonts w:asciiTheme="majorHAnsi" w:hAnsiTheme="majorHAnsi" w:cstheme="majorHAnsi"/>
                <w:color w:val="FF0000"/>
                <w:sz w:val="16"/>
                <w:szCs w:val="16"/>
              </w:rPr>
            </w:pPr>
          </w:p>
          <w:p w14:paraId="2ABB4002">
            <w:pPr>
              <w:pStyle w:val="154"/>
              <w:spacing w:before="1"/>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1B1E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6A82A07F">
            <w:pPr>
              <w:pStyle w:val="154"/>
              <w:spacing w:before="133"/>
              <w:rPr>
                <w:rFonts w:asciiTheme="majorHAnsi" w:hAnsiTheme="majorHAnsi" w:cstheme="majorHAnsi"/>
                <w:color w:val="FF0000"/>
                <w:sz w:val="16"/>
                <w:szCs w:val="16"/>
              </w:rPr>
            </w:pPr>
          </w:p>
          <w:p w14:paraId="30541C0D">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HAN002212</w:t>
            </w:r>
          </w:p>
        </w:tc>
        <w:tc>
          <w:tcPr>
            <w:tcW w:w="1712" w:type="dxa"/>
            <w:shd w:val="clear" w:color="auto" w:fill="BEBEBE" w:themeFill="background1" w:themeFillShade="BF"/>
          </w:tcPr>
          <w:p w14:paraId="25C4F87D">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107D9E1E">
            <w:pPr>
              <w:pStyle w:val="154"/>
              <w:spacing w:before="133"/>
              <w:rPr>
                <w:rFonts w:asciiTheme="majorHAnsi" w:hAnsiTheme="majorHAnsi" w:cstheme="majorHAnsi"/>
                <w:color w:val="FF0000"/>
                <w:sz w:val="16"/>
                <w:szCs w:val="16"/>
              </w:rPr>
            </w:pPr>
          </w:p>
          <w:p w14:paraId="3E279C0C">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109A4637">
            <w:pPr>
              <w:pStyle w:val="154"/>
              <w:spacing w:before="133"/>
              <w:rPr>
                <w:rFonts w:asciiTheme="majorHAnsi" w:hAnsiTheme="majorHAnsi" w:cstheme="majorHAnsi"/>
                <w:color w:val="FF0000"/>
                <w:sz w:val="16"/>
                <w:szCs w:val="16"/>
              </w:rPr>
            </w:pPr>
          </w:p>
          <w:p w14:paraId="098454E5">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34B98F69">
            <w:pPr>
              <w:pStyle w:val="154"/>
              <w:spacing w:before="133"/>
              <w:rPr>
                <w:rFonts w:asciiTheme="majorHAnsi" w:hAnsiTheme="majorHAnsi" w:cstheme="majorHAnsi"/>
                <w:color w:val="FF0000"/>
                <w:sz w:val="16"/>
                <w:szCs w:val="16"/>
              </w:rPr>
            </w:pPr>
          </w:p>
          <w:p w14:paraId="4DBF8E27">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511584</w:t>
            </w:r>
          </w:p>
        </w:tc>
        <w:tc>
          <w:tcPr>
            <w:tcW w:w="925" w:type="dxa"/>
            <w:shd w:val="clear" w:color="auto" w:fill="BEBEBE" w:themeFill="background1" w:themeFillShade="BF"/>
          </w:tcPr>
          <w:p w14:paraId="48BD544C">
            <w:pPr>
              <w:pStyle w:val="154"/>
              <w:spacing w:before="133"/>
              <w:rPr>
                <w:rFonts w:asciiTheme="majorHAnsi" w:hAnsiTheme="majorHAnsi" w:cstheme="majorHAnsi"/>
                <w:color w:val="FF0000"/>
                <w:sz w:val="16"/>
                <w:szCs w:val="16"/>
              </w:rPr>
            </w:pPr>
          </w:p>
          <w:p w14:paraId="2257B131">
            <w:pPr>
              <w:pStyle w:val="154"/>
              <w:spacing w:before="1"/>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19356684">
            <w:pPr>
              <w:pStyle w:val="154"/>
              <w:spacing w:before="133"/>
              <w:rPr>
                <w:rFonts w:asciiTheme="majorHAnsi" w:hAnsiTheme="majorHAnsi" w:cstheme="majorHAnsi"/>
                <w:color w:val="FF0000"/>
                <w:sz w:val="16"/>
                <w:szCs w:val="16"/>
              </w:rPr>
            </w:pPr>
          </w:p>
          <w:p w14:paraId="30AA94E5">
            <w:pPr>
              <w:pStyle w:val="154"/>
              <w:spacing w:before="1"/>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496C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0A57F384">
            <w:pPr>
              <w:pStyle w:val="154"/>
              <w:spacing w:before="133"/>
              <w:rPr>
                <w:rFonts w:asciiTheme="majorHAnsi" w:hAnsiTheme="majorHAnsi" w:cstheme="majorHAnsi"/>
                <w:color w:val="FF0000"/>
                <w:sz w:val="16"/>
                <w:szCs w:val="16"/>
              </w:rPr>
            </w:pPr>
          </w:p>
          <w:p w14:paraId="6B25C9C5">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HAN002213</w:t>
            </w:r>
          </w:p>
        </w:tc>
        <w:tc>
          <w:tcPr>
            <w:tcW w:w="1712" w:type="dxa"/>
            <w:shd w:val="clear" w:color="auto" w:fill="BEBEBE" w:themeFill="background1" w:themeFillShade="BF"/>
          </w:tcPr>
          <w:p w14:paraId="23BA7AF6">
            <w:pPr>
              <w:pStyle w:val="154"/>
              <w:spacing w:before="121"/>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440BF487">
            <w:pPr>
              <w:pStyle w:val="154"/>
              <w:spacing w:before="133"/>
              <w:rPr>
                <w:rFonts w:asciiTheme="majorHAnsi" w:hAnsiTheme="majorHAnsi" w:cstheme="majorHAnsi"/>
                <w:color w:val="FF0000"/>
                <w:sz w:val="16"/>
                <w:szCs w:val="16"/>
              </w:rPr>
            </w:pPr>
          </w:p>
          <w:p w14:paraId="19B0AB9F">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29B4BEAA">
            <w:pPr>
              <w:pStyle w:val="154"/>
              <w:spacing w:before="133"/>
              <w:rPr>
                <w:rFonts w:asciiTheme="majorHAnsi" w:hAnsiTheme="majorHAnsi" w:cstheme="majorHAnsi"/>
                <w:color w:val="FF0000"/>
                <w:sz w:val="16"/>
                <w:szCs w:val="16"/>
              </w:rPr>
            </w:pPr>
          </w:p>
          <w:p w14:paraId="160359AD">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1993F421">
            <w:pPr>
              <w:pStyle w:val="154"/>
              <w:spacing w:before="133"/>
              <w:rPr>
                <w:rFonts w:asciiTheme="majorHAnsi" w:hAnsiTheme="majorHAnsi" w:cstheme="majorHAnsi"/>
                <w:color w:val="FF0000"/>
                <w:sz w:val="16"/>
                <w:szCs w:val="16"/>
              </w:rPr>
            </w:pPr>
          </w:p>
          <w:p w14:paraId="5C0944E4">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511583</w:t>
            </w:r>
          </w:p>
        </w:tc>
        <w:tc>
          <w:tcPr>
            <w:tcW w:w="925" w:type="dxa"/>
            <w:shd w:val="clear" w:color="auto" w:fill="BEBEBE" w:themeFill="background1" w:themeFillShade="BF"/>
          </w:tcPr>
          <w:p w14:paraId="6AA4D3CA">
            <w:pPr>
              <w:pStyle w:val="154"/>
              <w:spacing w:before="133"/>
              <w:rPr>
                <w:rFonts w:asciiTheme="majorHAnsi" w:hAnsiTheme="majorHAnsi" w:cstheme="majorHAnsi"/>
                <w:color w:val="FF0000"/>
                <w:sz w:val="16"/>
                <w:szCs w:val="16"/>
              </w:rPr>
            </w:pPr>
          </w:p>
          <w:p w14:paraId="505DDAFA">
            <w:pPr>
              <w:pStyle w:val="154"/>
              <w:spacing w:before="1"/>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3BA6868E">
            <w:pPr>
              <w:pStyle w:val="154"/>
              <w:spacing w:before="133"/>
              <w:rPr>
                <w:rFonts w:asciiTheme="majorHAnsi" w:hAnsiTheme="majorHAnsi" w:cstheme="majorHAnsi"/>
                <w:color w:val="FF0000"/>
                <w:sz w:val="16"/>
                <w:szCs w:val="16"/>
              </w:rPr>
            </w:pPr>
          </w:p>
          <w:p w14:paraId="7E84D857">
            <w:pPr>
              <w:pStyle w:val="154"/>
              <w:spacing w:before="1"/>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58E6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5F4D1B85">
            <w:pPr>
              <w:pStyle w:val="154"/>
              <w:spacing w:before="134"/>
              <w:rPr>
                <w:rFonts w:asciiTheme="majorHAnsi" w:hAnsiTheme="majorHAnsi" w:cstheme="majorHAnsi"/>
                <w:color w:val="FF0000"/>
                <w:sz w:val="16"/>
                <w:szCs w:val="16"/>
              </w:rPr>
            </w:pPr>
          </w:p>
          <w:p w14:paraId="2C2598BB">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HAN002214</w:t>
            </w:r>
          </w:p>
        </w:tc>
        <w:tc>
          <w:tcPr>
            <w:tcW w:w="1712" w:type="dxa"/>
            <w:shd w:val="clear" w:color="auto" w:fill="BEBEBE" w:themeFill="background1" w:themeFillShade="BF"/>
          </w:tcPr>
          <w:p w14:paraId="3961087D">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5A8F72FC">
            <w:pPr>
              <w:pStyle w:val="154"/>
              <w:spacing w:before="134"/>
              <w:rPr>
                <w:rFonts w:asciiTheme="majorHAnsi" w:hAnsiTheme="majorHAnsi" w:cstheme="majorHAnsi"/>
                <w:color w:val="FF0000"/>
                <w:sz w:val="16"/>
                <w:szCs w:val="16"/>
              </w:rPr>
            </w:pPr>
          </w:p>
          <w:p w14:paraId="4C3B03A4">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0F07791B">
            <w:pPr>
              <w:pStyle w:val="154"/>
              <w:spacing w:before="134"/>
              <w:rPr>
                <w:rFonts w:asciiTheme="majorHAnsi" w:hAnsiTheme="majorHAnsi" w:cstheme="majorHAnsi"/>
                <w:color w:val="FF0000"/>
                <w:sz w:val="16"/>
                <w:szCs w:val="16"/>
              </w:rPr>
            </w:pPr>
          </w:p>
          <w:p w14:paraId="2CBDC213">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06CB0E66">
            <w:pPr>
              <w:pStyle w:val="154"/>
              <w:spacing w:before="134"/>
              <w:rPr>
                <w:rFonts w:asciiTheme="majorHAnsi" w:hAnsiTheme="majorHAnsi" w:cstheme="majorHAnsi"/>
                <w:color w:val="FF0000"/>
                <w:sz w:val="16"/>
                <w:szCs w:val="16"/>
              </w:rPr>
            </w:pPr>
          </w:p>
          <w:p w14:paraId="36F41B13">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511585</w:t>
            </w:r>
          </w:p>
        </w:tc>
        <w:tc>
          <w:tcPr>
            <w:tcW w:w="925" w:type="dxa"/>
            <w:shd w:val="clear" w:color="auto" w:fill="BEBEBE" w:themeFill="background1" w:themeFillShade="BF"/>
          </w:tcPr>
          <w:p w14:paraId="4DBF6E56">
            <w:pPr>
              <w:pStyle w:val="154"/>
              <w:spacing w:before="134"/>
              <w:rPr>
                <w:rFonts w:asciiTheme="majorHAnsi" w:hAnsiTheme="majorHAnsi" w:cstheme="majorHAnsi"/>
                <w:color w:val="FF0000"/>
                <w:sz w:val="16"/>
                <w:szCs w:val="16"/>
              </w:rPr>
            </w:pPr>
          </w:p>
          <w:p w14:paraId="43F8A931">
            <w:pPr>
              <w:pStyle w:val="154"/>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357F8F5F">
            <w:pPr>
              <w:pStyle w:val="154"/>
              <w:spacing w:before="134"/>
              <w:rPr>
                <w:rFonts w:asciiTheme="majorHAnsi" w:hAnsiTheme="majorHAnsi" w:cstheme="majorHAnsi"/>
                <w:color w:val="FF0000"/>
                <w:sz w:val="16"/>
                <w:szCs w:val="16"/>
              </w:rPr>
            </w:pPr>
          </w:p>
          <w:p w14:paraId="79AC0FCB">
            <w:pPr>
              <w:pStyle w:val="154"/>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36AAB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289CE923">
            <w:pPr>
              <w:pStyle w:val="154"/>
              <w:spacing w:before="131"/>
              <w:rPr>
                <w:rFonts w:asciiTheme="majorHAnsi" w:hAnsiTheme="majorHAnsi" w:cstheme="majorHAnsi"/>
                <w:color w:val="FF0000"/>
                <w:sz w:val="16"/>
                <w:szCs w:val="16"/>
              </w:rPr>
            </w:pPr>
          </w:p>
          <w:p w14:paraId="26A8ABCC">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HAN001056</w:t>
            </w:r>
          </w:p>
        </w:tc>
        <w:tc>
          <w:tcPr>
            <w:tcW w:w="1712" w:type="dxa"/>
            <w:shd w:val="clear" w:color="auto" w:fill="BEBEBE" w:themeFill="background1" w:themeFillShade="BF"/>
          </w:tcPr>
          <w:p w14:paraId="2FD380E9">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60052F47">
            <w:pPr>
              <w:pStyle w:val="154"/>
              <w:spacing w:before="131"/>
              <w:rPr>
                <w:rFonts w:asciiTheme="majorHAnsi" w:hAnsiTheme="majorHAnsi" w:cstheme="majorHAnsi"/>
                <w:color w:val="FF0000"/>
                <w:sz w:val="16"/>
                <w:szCs w:val="16"/>
              </w:rPr>
            </w:pPr>
          </w:p>
          <w:p w14:paraId="41F39F51">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3A33CF2D">
            <w:pPr>
              <w:pStyle w:val="154"/>
              <w:spacing w:before="131"/>
              <w:rPr>
                <w:rFonts w:asciiTheme="majorHAnsi" w:hAnsiTheme="majorHAnsi" w:cstheme="majorHAnsi"/>
                <w:color w:val="FF0000"/>
                <w:sz w:val="16"/>
                <w:szCs w:val="16"/>
              </w:rPr>
            </w:pPr>
          </w:p>
          <w:p w14:paraId="709FC8A3">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3CE10682">
            <w:pPr>
              <w:pStyle w:val="154"/>
              <w:spacing w:before="131"/>
              <w:rPr>
                <w:rFonts w:asciiTheme="majorHAnsi" w:hAnsiTheme="majorHAnsi" w:cstheme="majorHAnsi"/>
                <w:color w:val="FF0000"/>
                <w:sz w:val="16"/>
                <w:szCs w:val="16"/>
              </w:rPr>
            </w:pPr>
          </w:p>
          <w:p w14:paraId="1FC37548">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507859</w:t>
            </w:r>
          </w:p>
        </w:tc>
        <w:tc>
          <w:tcPr>
            <w:tcW w:w="925" w:type="dxa"/>
            <w:shd w:val="clear" w:color="auto" w:fill="BEBEBE" w:themeFill="background1" w:themeFillShade="BF"/>
          </w:tcPr>
          <w:p w14:paraId="28770CA5">
            <w:pPr>
              <w:pStyle w:val="154"/>
              <w:spacing w:before="131"/>
              <w:rPr>
                <w:rFonts w:asciiTheme="majorHAnsi" w:hAnsiTheme="majorHAnsi" w:cstheme="majorHAnsi"/>
                <w:color w:val="FF0000"/>
                <w:sz w:val="16"/>
                <w:szCs w:val="16"/>
              </w:rPr>
            </w:pPr>
          </w:p>
          <w:p w14:paraId="7A2CE656">
            <w:pPr>
              <w:pStyle w:val="154"/>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278D6DA0">
            <w:pPr>
              <w:pStyle w:val="154"/>
              <w:spacing w:before="131"/>
              <w:rPr>
                <w:rFonts w:asciiTheme="majorHAnsi" w:hAnsiTheme="majorHAnsi" w:cstheme="majorHAnsi"/>
                <w:color w:val="FF0000"/>
                <w:sz w:val="16"/>
                <w:szCs w:val="16"/>
              </w:rPr>
            </w:pPr>
          </w:p>
          <w:p w14:paraId="77B35AAE">
            <w:pPr>
              <w:pStyle w:val="154"/>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49C2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4D5388A3">
            <w:pPr>
              <w:pStyle w:val="154"/>
              <w:spacing w:before="133"/>
              <w:rPr>
                <w:rFonts w:asciiTheme="majorHAnsi" w:hAnsiTheme="majorHAnsi" w:cstheme="majorHAnsi"/>
                <w:color w:val="FF0000"/>
                <w:sz w:val="16"/>
                <w:szCs w:val="16"/>
              </w:rPr>
            </w:pPr>
          </w:p>
          <w:p w14:paraId="18ADA2B2">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HAN001057</w:t>
            </w:r>
          </w:p>
        </w:tc>
        <w:tc>
          <w:tcPr>
            <w:tcW w:w="1712" w:type="dxa"/>
            <w:shd w:val="clear" w:color="auto" w:fill="BEBEBE" w:themeFill="background1" w:themeFillShade="BF"/>
          </w:tcPr>
          <w:p w14:paraId="58473318">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3E8014E8">
            <w:pPr>
              <w:pStyle w:val="154"/>
              <w:spacing w:before="133"/>
              <w:rPr>
                <w:rFonts w:asciiTheme="majorHAnsi" w:hAnsiTheme="majorHAnsi" w:cstheme="majorHAnsi"/>
                <w:color w:val="FF0000"/>
                <w:sz w:val="16"/>
                <w:szCs w:val="16"/>
              </w:rPr>
            </w:pPr>
          </w:p>
          <w:p w14:paraId="52AEE56B">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1AA40B3F">
            <w:pPr>
              <w:pStyle w:val="154"/>
              <w:spacing w:before="133"/>
              <w:rPr>
                <w:rFonts w:asciiTheme="majorHAnsi" w:hAnsiTheme="majorHAnsi" w:cstheme="majorHAnsi"/>
                <w:color w:val="FF0000"/>
                <w:sz w:val="16"/>
                <w:szCs w:val="16"/>
              </w:rPr>
            </w:pPr>
          </w:p>
          <w:p w14:paraId="22502D68">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78EAA720">
            <w:pPr>
              <w:pStyle w:val="154"/>
              <w:spacing w:before="133"/>
              <w:rPr>
                <w:rFonts w:asciiTheme="majorHAnsi" w:hAnsiTheme="majorHAnsi" w:cstheme="majorHAnsi"/>
                <w:color w:val="FF0000"/>
                <w:sz w:val="16"/>
                <w:szCs w:val="16"/>
              </w:rPr>
            </w:pPr>
          </w:p>
          <w:p w14:paraId="5D1A673E">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507854</w:t>
            </w:r>
          </w:p>
        </w:tc>
        <w:tc>
          <w:tcPr>
            <w:tcW w:w="925" w:type="dxa"/>
            <w:shd w:val="clear" w:color="auto" w:fill="BEBEBE" w:themeFill="background1" w:themeFillShade="BF"/>
          </w:tcPr>
          <w:p w14:paraId="58F78FA9">
            <w:pPr>
              <w:pStyle w:val="154"/>
              <w:spacing w:before="133"/>
              <w:rPr>
                <w:rFonts w:asciiTheme="majorHAnsi" w:hAnsiTheme="majorHAnsi" w:cstheme="majorHAnsi"/>
                <w:color w:val="FF0000"/>
                <w:sz w:val="16"/>
                <w:szCs w:val="16"/>
              </w:rPr>
            </w:pPr>
          </w:p>
          <w:p w14:paraId="2C4F33F1">
            <w:pPr>
              <w:pStyle w:val="154"/>
              <w:spacing w:before="1"/>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75886D74">
            <w:pPr>
              <w:pStyle w:val="154"/>
              <w:spacing w:before="133"/>
              <w:rPr>
                <w:rFonts w:asciiTheme="majorHAnsi" w:hAnsiTheme="majorHAnsi" w:cstheme="majorHAnsi"/>
                <w:color w:val="FF0000"/>
                <w:sz w:val="16"/>
                <w:szCs w:val="16"/>
              </w:rPr>
            </w:pPr>
          </w:p>
          <w:p w14:paraId="0DDBF13B">
            <w:pPr>
              <w:pStyle w:val="154"/>
              <w:spacing w:before="1"/>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052E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37A305BB">
            <w:pPr>
              <w:pStyle w:val="154"/>
              <w:spacing w:before="131"/>
              <w:rPr>
                <w:rFonts w:asciiTheme="majorHAnsi" w:hAnsiTheme="majorHAnsi" w:cstheme="majorHAnsi"/>
                <w:color w:val="FF0000"/>
                <w:sz w:val="16"/>
                <w:szCs w:val="16"/>
              </w:rPr>
            </w:pPr>
          </w:p>
          <w:p w14:paraId="041F98F3">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HAN001058</w:t>
            </w:r>
          </w:p>
        </w:tc>
        <w:tc>
          <w:tcPr>
            <w:tcW w:w="1712" w:type="dxa"/>
            <w:shd w:val="clear" w:color="auto" w:fill="BEBEBE" w:themeFill="background1" w:themeFillShade="BF"/>
          </w:tcPr>
          <w:p w14:paraId="4B3B56BA">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3E7AFD1B">
            <w:pPr>
              <w:pStyle w:val="154"/>
              <w:spacing w:before="131"/>
              <w:rPr>
                <w:rFonts w:asciiTheme="majorHAnsi" w:hAnsiTheme="majorHAnsi" w:cstheme="majorHAnsi"/>
                <w:color w:val="FF0000"/>
                <w:sz w:val="16"/>
                <w:szCs w:val="16"/>
              </w:rPr>
            </w:pPr>
          </w:p>
          <w:p w14:paraId="0F4CBEFE">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0E47C302">
            <w:pPr>
              <w:pStyle w:val="154"/>
              <w:spacing w:before="131"/>
              <w:rPr>
                <w:rFonts w:asciiTheme="majorHAnsi" w:hAnsiTheme="majorHAnsi" w:cstheme="majorHAnsi"/>
                <w:color w:val="FF0000"/>
                <w:sz w:val="16"/>
                <w:szCs w:val="16"/>
              </w:rPr>
            </w:pPr>
          </w:p>
          <w:p w14:paraId="7210E80F">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0DA37A78">
            <w:pPr>
              <w:pStyle w:val="154"/>
              <w:spacing w:before="131"/>
              <w:rPr>
                <w:rFonts w:asciiTheme="majorHAnsi" w:hAnsiTheme="majorHAnsi" w:cstheme="majorHAnsi"/>
                <w:color w:val="FF0000"/>
                <w:sz w:val="16"/>
                <w:szCs w:val="16"/>
              </w:rPr>
            </w:pPr>
          </w:p>
          <w:p w14:paraId="539DFA2D">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507860</w:t>
            </w:r>
          </w:p>
        </w:tc>
        <w:tc>
          <w:tcPr>
            <w:tcW w:w="925" w:type="dxa"/>
            <w:shd w:val="clear" w:color="auto" w:fill="BEBEBE" w:themeFill="background1" w:themeFillShade="BF"/>
          </w:tcPr>
          <w:p w14:paraId="6E936D1B">
            <w:pPr>
              <w:pStyle w:val="154"/>
              <w:spacing w:before="131"/>
              <w:rPr>
                <w:rFonts w:asciiTheme="majorHAnsi" w:hAnsiTheme="majorHAnsi" w:cstheme="majorHAnsi"/>
                <w:color w:val="FF0000"/>
                <w:sz w:val="16"/>
                <w:szCs w:val="16"/>
              </w:rPr>
            </w:pPr>
          </w:p>
          <w:p w14:paraId="28CDA011">
            <w:pPr>
              <w:pStyle w:val="154"/>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73827E5F">
            <w:pPr>
              <w:pStyle w:val="154"/>
              <w:spacing w:before="131"/>
              <w:rPr>
                <w:rFonts w:asciiTheme="majorHAnsi" w:hAnsiTheme="majorHAnsi" w:cstheme="majorHAnsi"/>
                <w:color w:val="FF0000"/>
                <w:sz w:val="16"/>
                <w:szCs w:val="16"/>
              </w:rPr>
            </w:pPr>
          </w:p>
          <w:p w14:paraId="7036E650">
            <w:pPr>
              <w:pStyle w:val="154"/>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7AEB0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30" w:hRule="atLeast"/>
        </w:trPr>
        <w:tc>
          <w:tcPr>
            <w:tcW w:w="1601" w:type="dxa"/>
            <w:shd w:val="clear" w:color="auto" w:fill="BEBEBE" w:themeFill="background1" w:themeFillShade="BF"/>
          </w:tcPr>
          <w:p w14:paraId="65510512">
            <w:pPr>
              <w:pStyle w:val="154"/>
              <w:spacing w:before="133"/>
              <w:rPr>
                <w:rFonts w:asciiTheme="majorHAnsi" w:hAnsiTheme="majorHAnsi" w:cstheme="majorHAnsi"/>
                <w:color w:val="FF0000"/>
                <w:sz w:val="16"/>
                <w:szCs w:val="16"/>
              </w:rPr>
            </w:pPr>
          </w:p>
          <w:p w14:paraId="703C6432">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HAN001059</w:t>
            </w:r>
          </w:p>
        </w:tc>
        <w:tc>
          <w:tcPr>
            <w:tcW w:w="1712" w:type="dxa"/>
            <w:shd w:val="clear" w:color="auto" w:fill="BEBEBE" w:themeFill="background1" w:themeFillShade="BF"/>
          </w:tcPr>
          <w:p w14:paraId="57DCB824">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49911F29">
            <w:pPr>
              <w:pStyle w:val="154"/>
              <w:spacing w:before="133"/>
              <w:rPr>
                <w:rFonts w:asciiTheme="majorHAnsi" w:hAnsiTheme="majorHAnsi" w:cstheme="majorHAnsi"/>
                <w:color w:val="FF0000"/>
                <w:sz w:val="16"/>
                <w:szCs w:val="16"/>
              </w:rPr>
            </w:pPr>
          </w:p>
          <w:p w14:paraId="5F6538D1">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49418A5C">
            <w:pPr>
              <w:pStyle w:val="154"/>
              <w:spacing w:before="133"/>
              <w:rPr>
                <w:rFonts w:asciiTheme="majorHAnsi" w:hAnsiTheme="majorHAnsi" w:cstheme="majorHAnsi"/>
                <w:color w:val="FF0000"/>
                <w:sz w:val="16"/>
                <w:szCs w:val="16"/>
              </w:rPr>
            </w:pPr>
          </w:p>
          <w:p w14:paraId="7265BC7E">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43FD1C25">
            <w:pPr>
              <w:pStyle w:val="154"/>
              <w:spacing w:before="133"/>
              <w:rPr>
                <w:rFonts w:asciiTheme="majorHAnsi" w:hAnsiTheme="majorHAnsi" w:cstheme="majorHAnsi"/>
                <w:color w:val="FF0000"/>
                <w:sz w:val="16"/>
                <w:szCs w:val="16"/>
              </w:rPr>
            </w:pPr>
          </w:p>
          <w:p w14:paraId="602D8058">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507858</w:t>
            </w:r>
          </w:p>
        </w:tc>
        <w:tc>
          <w:tcPr>
            <w:tcW w:w="925" w:type="dxa"/>
            <w:shd w:val="clear" w:color="auto" w:fill="BEBEBE" w:themeFill="background1" w:themeFillShade="BF"/>
          </w:tcPr>
          <w:p w14:paraId="4CA1A60E">
            <w:pPr>
              <w:pStyle w:val="154"/>
              <w:spacing w:before="133"/>
              <w:rPr>
                <w:rFonts w:asciiTheme="majorHAnsi" w:hAnsiTheme="majorHAnsi" w:cstheme="majorHAnsi"/>
                <w:color w:val="FF0000"/>
                <w:sz w:val="16"/>
                <w:szCs w:val="16"/>
              </w:rPr>
            </w:pPr>
          </w:p>
          <w:p w14:paraId="706C4B1D">
            <w:pPr>
              <w:pStyle w:val="154"/>
              <w:spacing w:before="1"/>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058A842F">
            <w:pPr>
              <w:pStyle w:val="154"/>
              <w:spacing w:before="133"/>
              <w:rPr>
                <w:rFonts w:asciiTheme="majorHAnsi" w:hAnsiTheme="majorHAnsi" w:cstheme="majorHAnsi"/>
                <w:color w:val="FF0000"/>
                <w:sz w:val="16"/>
                <w:szCs w:val="16"/>
              </w:rPr>
            </w:pPr>
          </w:p>
          <w:p w14:paraId="2DFDC13D">
            <w:pPr>
              <w:pStyle w:val="154"/>
              <w:spacing w:before="1"/>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7FAD2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24F3E927">
            <w:pPr>
              <w:pStyle w:val="154"/>
              <w:spacing w:before="131"/>
              <w:rPr>
                <w:rFonts w:asciiTheme="majorHAnsi" w:hAnsiTheme="majorHAnsi" w:cstheme="majorHAnsi"/>
                <w:color w:val="FF0000"/>
                <w:sz w:val="16"/>
                <w:szCs w:val="16"/>
              </w:rPr>
            </w:pPr>
          </w:p>
          <w:p w14:paraId="3C44482C">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HAN001060</w:t>
            </w:r>
          </w:p>
        </w:tc>
        <w:tc>
          <w:tcPr>
            <w:tcW w:w="1712" w:type="dxa"/>
            <w:shd w:val="clear" w:color="auto" w:fill="BEBEBE" w:themeFill="background1" w:themeFillShade="BF"/>
          </w:tcPr>
          <w:p w14:paraId="22919302">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45C17118">
            <w:pPr>
              <w:pStyle w:val="154"/>
              <w:spacing w:before="131"/>
              <w:rPr>
                <w:rFonts w:asciiTheme="majorHAnsi" w:hAnsiTheme="majorHAnsi" w:cstheme="majorHAnsi"/>
                <w:color w:val="FF0000"/>
                <w:sz w:val="16"/>
                <w:szCs w:val="16"/>
              </w:rPr>
            </w:pPr>
          </w:p>
          <w:p w14:paraId="291C767E">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43FA9245">
            <w:pPr>
              <w:pStyle w:val="154"/>
              <w:spacing w:before="131"/>
              <w:rPr>
                <w:rFonts w:asciiTheme="majorHAnsi" w:hAnsiTheme="majorHAnsi" w:cstheme="majorHAnsi"/>
                <w:color w:val="FF0000"/>
                <w:sz w:val="16"/>
                <w:szCs w:val="16"/>
              </w:rPr>
            </w:pPr>
          </w:p>
          <w:p w14:paraId="7ECA3A61">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2F2E88DC">
            <w:pPr>
              <w:pStyle w:val="154"/>
              <w:spacing w:before="131"/>
              <w:rPr>
                <w:rFonts w:asciiTheme="majorHAnsi" w:hAnsiTheme="majorHAnsi" w:cstheme="majorHAnsi"/>
                <w:color w:val="FF0000"/>
                <w:sz w:val="16"/>
                <w:szCs w:val="16"/>
              </w:rPr>
            </w:pPr>
          </w:p>
          <w:p w14:paraId="27452FDF">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507855</w:t>
            </w:r>
          </w:p>
        </w:tc>
        <w:tc>
          <w:tcPr>
            <w:tcW w:w="925" w:type="dxa"/>
            <w:shd w:val="clear" w:color="auto" w:fill="BEBEBE" w:themeFill="background1" w:themeFillShade="BF"/>
          </w:tcPr>
          <w:p w14:paraId="244A5096">
            <w:pPr>
              <w:pStyle w:val="154"/>
              <w:spacing w:before="131"/>
              <w:rPr>
                <w:rFonts w:asciiTheme="majorHAnsi" w:hAnsiTheme="majorHAnsi" w:cstheme="majorHAnsi"/>
                <w:color w:val="FF0000"/>
                <w:sz w:val="16"/>
                <w:szCs w:val="16"/>
              </w:rPr>
            </w:pPr>
          </w:p>
          <w:p w14:paraId="52024469">
            <w:pPr>
              <w:pStyle w:val="154"/>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3C0759A5">
            <w:pPr>
              <w:pStyle w:val="154"/>
              <w:spacing w:before="131"/>
              <w:rPr>
                <w:rFonts w:asciiTheme="majorHAnsi" w:hAnsiTheme="majorHAnsi" w:cstheme="majorHAnsi"/>
                <w:color w:val="FF0000"/>
                <w:sz w:val="16"/>
                <w:szCs w:val="16"/>
              </w:rPr>
            </w:pPr>
          </w:p>
          <w:p w14:paraId="0106DF32">
            <w:pPr>
              <w:pStyle w:val="154"/>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13B68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302007E7">
            <w:pPr>
              <w:pStyle w:val="154"/>
              <w:spacing w:before="133"/>
              <w:rPr>
                <w:rFonts w:asciiTheme="majorHAnsi" w:hAnsiTheme="majorHAnsi" w:cstheme="majorHAnsi"/>
                <w:color w:val="FF0000"/>
                <w:sz w:val="16"/>
                <w:szCs w:val="16"/>
              </w:rPr>
            </w:pPr>
          </w:p>
          <w:p w14:paraId="57DBF92A">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HAN001061</w:t>
            </w:r>
          </w:p>
        </w:tc>
        <w:tc>
          <w:tcPr>
            <w:tcW w:w="1712" w:type="dxa"/>
            <w:shd w:val="clear" w:color="auto" w:fill="BEBEBE" w:themeFill="background1" w:themeFillShade="BF"/>
          </w:tcPr>
          <w:p w14:paraId="2CF2AEB4">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7524FF30">
            <w:pPr>
              <w:pStyle w:val="154"/>
              <w:spacing w:before="133"/>
              <w:rPr>
                <w:rFonts w:asciiTheme="majorHAnsi" w:hAnsiTheme="majorHAnsi" w:cstheme="majorHAnsi"/>
                <w:color w:val="FF0000"/>
                <w:sz w:val="16"/>
                <w:szCs w:val="16"/>
              </w:rPr>
            </w:pPr>
          </w:p>
          <w:p w14:paraId="275EBF70">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78E2EDD9">
            <w:pPr>
              <w:pStyle w:val="154"/>
              <w:spacing w:before="133"/>
              <w:rPr>
                <w:rFonts w:asciiTheme="majorHAnsi" w:hAnsiTheme="majorHAnsi" w:cstheme="majorHAnsi"/>
                <w:color w:val="FF0000"/>
                <w:sz w:val="16"/>
                <w:szCs w:val="16"/>
              </w:rPr>
            </w:pPr>
          </w:p>
          <w:p w14:paraId="34CB8695">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7EF6D991">
            <w:pPr>
              <w:pStyle w:val="154"/>
              <w:spacing w:before="133"/>
              <w:rPr>
                <w:rFonts w:asciiTheme="majorHAnsi" w:hAnsiTheme="majorHAnsi" w:cstheme="majorHAnsi"/>
                <w:color w:val="FF0000"/>
                <w:sz w:val="16"/>
                <w:szCs w:val="16"/>
              </w:rPr>
            </w:pPr>
          </w:p>
          <w:p w14:paraId="5F058EE7">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507861</w:t>
            </w:r>
          </w:p>
        </w:tc>
        <w:tc>
          <w:tcPr>
            <w:tcW w:w="925" w:type="dxa"/>
            <w:shd w:val="clear" w:color="auto" w:fill="BEBEBE" w:themeFill="background1" w:themeFillShade="BF"/>
          </w:tcPr>
          <w:p w14:paraId="73481E3D">
            <w:pPr>
              <w:pStyle w:val="154"/>
              <w:spacing w:before="133"/>
              <w:rPr>
                <w:rFonts w:asciiTheme="majorHAnsi" w:hAnsiTheme="majorHAnsi" w:cstheme="majorHAnsi"/>
                <w:color w:val="FF0000"/>
                <w:sz w:val="16"/>
                <w:szCs w:val="16"/>
              </w:rPr>
            </w:pPr>
          </w:p>
          <w:p w14:paraId="30BD00B3">
            <w:pPr>
              <w:pStyle w:val="154"/>
              <w:spacing w:before="1"/>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5DD0944A">
            <w:pPr>
              <w:pStyle w:val="154"/>
              <w:spacing w:before="133"/>
              <w:rPr>
                <w:rFonts w:asciiTheme="majorHAnsi" w:hAnsiTheme="majorHAnsi" w:cstheme="majorHAnsi"/>
                <w:color w:val="FF0000"/>
                <w:sz w:val="16"/>
                <w:szCs w:val="16"/>
              </w:rPr>
            </w:pPr>
          </w:p>
          <w:p w14:paraId="25D5BCBE">
            <w:pPr>
              <w:pStyle w:val="154"/>
              <w:spacing w:before="1"/>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339F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5B81496D">
            <w:pPr>
              <w:pStyle w:val="154"/>
              <w:spacing w:before="133"/>
              <w:rPr>
                <w:rFonts w:asciiTheme="majorHAnsi" w:hAnsiTheme="majorHAnsi" w:cstheme="majorHAnsi"/>
                <w:color w:val="FF0000"/>
                <w:sz w:val="16"/>
                <w:szCs w:val="16"/>
              </w:rPr>
            </w:pPr>
          </w:p>
          <w:p w14:paraId="09EAD0EA">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HAN001062</w:t>
            </w:r>
          </w:p>
        </w:tc>
        <w:tc>
          <w:tcPr>
            <w:tcW w:w="1712" w:type="dxa"/>
            <w:shd w:val="clear" w:color="auto" w:fill="BEBEBE" w:themeFill="background1" w:themeFillShade="BF"/>
          </w:tcPr>
          <w:p w14:paraId="105D4D38">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66681743">
            <w:pPr>
              <w:pStyle w:val="154"/>
              <w:spacing w:before="133"/>
              <w:rPr>
                <w:rFonts w:asciiTheme="majorHAnsi" w:hAnsiTheme="majorHAnsi" w:cstheme="majorHAnsi"/>
                <w:color w:val="FF0000"/>
                <w:sz w:val="16"/>
                <w:szCs w:val="16"/>
              </w:rPr>
            </w:pPr>
          </w:p>
          <w:p w14:paraId="42514ED7">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444A5E5B">
            <w:pPr>
              <w:pStyle w:val="154"/>
              <w:spacing w:before="133"/>
              <w:rPr>
                <w:rFonts w:asciiTheme="majorHAnsi" w:hAnsiTheme="majorHAnsi" w:cstheme="majorHAnsi"/>
                <w:color w:val="FF0000"/>
                <w:sz w:val="16"/>
                <w:szCs w:val="16"/>
              </w:rPr>
            </w:pPr>
          </w:p>
          <w:p w14:paraId="74129123">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0756E1E1">
            <w:pPr>
              <w:pStyle w:val="154"/>
              <w:spacing w:before="133"/>
              <w:rPr>
                <w:rFonts w:asciiTheme="majorHAnsi" w:hAnsiTheme="majorHAnsi" w:cstheme="majorHAnsi"/>
                <w:color w:val="FF0000"/>
                <w:sz w:val="16"/>
                <w:szCs w:val="16"/>
              </w:rPr>
            </w:pPr>
          </w:p>
          <w:p w14:paraId="2B243973">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501233</w:t>
            </w:r>
          </w:p>
        </w:tc>
        <w:tc>
          <w:tcPr>
            <w:tcW w:w="925" w:type="dxa"/>
            <w:shd w:val="clear" w:color="auto" w:fill="BEBEBE" w:themeFill="background1" w:themeFillShade="BF"/>
          </w:tcPr>
          <w:p w14:paraId="27BCB9E9">
            <w:pPr>
              <w:pStyle w:val="154"/>
              <w:spacing w:before="133"/>
              <w:rPr>
                <w:rFonts w:asciiTheme="majorHAnsi" w:hAnsiTheme="majorHAnsi" w:cstheme="majorHAnsi"/>
                <w:color w:val="FF0000"/>
                <w:sz w:val="16"/>
                <w:szCs w:val="16"/>
              </w:rPr>
            </w:pPr>
          </w:p>
          <w:p w14:paraId="0E34DDEA">
            <w:pPr>
              <w:pStyle w:val="154"/>
              <w:spacing w:before="1"/>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1D320B50">
            <w:pPr>
              <w:pStyle w:val="154"/>
              <w:spacing w:before="133"/>
              <w:rPr>
                <w:rFonts w:asciiTheme="majorHAnsi" w:hAnsiTheme="majorHAnsi" w:cstheme="majorHAnsi"/>
                <w:color w:val="FF0000"/>
                <w:sz w:val="16"/>
                <w:szCs w:val="16"/>
              </w:rPr>
            </w:pPr>
          </w:p>
          <w:p w14:paraId="23E8C379">
            <w:pPr>
              <w:pStyle w:val="154"/>
              <w:spacing w:before="1"/>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0A14D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103F4925">
            <w:pPr>
              <w:pStyle w:val="154"/>
              <w:spacing w:before="133"/>
              <w:rPr>
                <w:rFonts w:asciiTheme="majorHAnsi" w:hAnsiTheme="majorHAnsi" w:cstheme="majorHAnsi"/>
                <w:color w:val="FF0000"/>
                <w:sz w:val="16"/>
                <w:szCs w:val="16"/>
              </w:rPr>
            </w:pPr>
          </w:p>
          <w:p w14:paraId="66E5CF3B">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HAN001063</w:t>
            </w:r>
          </w:p>
        </w:tc>
        <w:tc>
          <w:tcPr>
            <w:tcW w:w="1712" w:type="dxa"/>
            <w:shd w:val="clear" w:color="auto" w:fill="BEBEBE" w:themeFill="background1" w:themeFillShade="BF"/>
          </w:tcPr>
          <w:p w14:paraId="194BEC84">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10BD54E1">
            <w:pPr>
              <w:pStyle w:val="154"/>
              <w:spacing w:before="133"/>
              <w:rPr>
                <w:rFonts w:asciiTheme="majorHAnsi" w:hAnsiTheme="majorHAnsi" w:cstheme="majorHAnsi"/>
                <w:color w:val="FF0000"/>
                <w:sz w:val="16"/>
                <w:szCs w:val="16"/>
              </w:rPr>
            </w:pPr>
          </w:p>
          <w:p w14:paraId="4A6DF5CF">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777BD745">
            <w:pPr>
              <w:pStyle w:val="154"/>
              <w:spacing w:before="133"/>
              <w:rPr>
                <w:rFonts w:asciiTheme="majorHAnsi" w:hAnsiTheme="majorHAnsi" w:cstheme="majorHAnsi"/>
                <w:color w:val="FF0000"/>
                <w:sz w:val="16"/>
                <w:szCs w:val="16"/>
              </w:rPr>
            </w:pPr>
          </w:p>
          <w:p w14:paraId="64FE606F">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0DC67199">
            <w:pPr>
              <w:pStyle w:val="154"/>
              <w:spacing w:before="133"/>
              <w:rPr>
                <w:rFonts w:asciiTheme="majorHAnsi" w:hAnsiTheme="majorHAnsi" w:cstheme="majorHAnsi"/>
                <w:color w:val="FF0000"/>
                <w:sz w:val="16"/>
                <w:szCs w:val="16"/>
              </w:rPr>
            </w:pPr>
          </w:p>
          <w:p w14:paraId="1100A3F2">
            <w:pPr>
              <w:pStyle w:val="154"/>
              <w:spacing w:before="1"/>
              <w:ind w:left="59" w:right="22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40967</w:t>
            </w:r>
          </w:p>
        </w:tc>
        <w:tc>
          <w:tcPr>
            <w:tcW w:w="925" w:type="dxa"/>
            <w:shd w:val="clear" w:color="auto" w:fill="BEBEBE" w:themeFill="background1" w:themeFillShade="BF"/>
          </w:tcPr>
          <w:p w14:paraId="609E3894">
            <w:pPr>
              <w:pStyle w:val="154"/>
              <w:spacing w:before="133"/>
              <w:rPr>
                <w:rFonts w:asciiTheme="majorHAnsi" w:hAnsiTheme="majorHAnsi" w:cstheme="majorHAnsi"/>
                <w:color w:val="FF0000"/>
                <w:sz w:val="16"/>
                <w:szCs w:val="16"/>
              </w:rPr>
            </w:pPr>
          </w:p>
          <w:p w14:paraId="30ED726A">
            <w:pPr>
              <w:pStyle w:val="154"/>
              <w:spacing w:before="1"/>
              <w:ind w:right="1"/>
              <w:jc w:val="center"/>
              <w:rPr>
                <w:rFonts w:asciiTheme="majorHAnsi" w:hAnsiTheme="majorHAnsi" w:cstheme="majorHAnsi"/>
                <w:color w:val="FF0000"/>
                <w:sz w:val="16"/>
                <w:szCs w:val="16"/>
              </w:rPr>
            </w:pPr>
            <w:r>
              <w:rPr>
                <w:rFonts w:asciiTheme="majorHAnsi" w:hAnsiTheme="majorHAnsi" w:cstheme="majorHAnsi"/>
                <w:color w:val="FF0000"/>
                <w:spacing w:val="-10"/>
                <w:sz w:val="16"/>
                <w:szCs w:val="16"/>
              </w:rPr>
              <w:t>0</w:t>
            </w:r>
          </w:p>
        </w:tc>
        <w:tc>
          <w:tcPr>
            <w:tcW w:w="1469" w:type="dxa"/>
            <w:shd w:val="clear" w:color="auto" w:fill="BEBEBE" w:themeFill="background1" w:themeFillShade="BF"/>
          </w:tcPr>
          <w:p w14:paraId="204B0E86">
            <w:pPr>
              <w:pStyle w:val="154"/>
              <w:spacing w:before="133"/>
              <w:rPr>
                <w:rFonts w:asciiTheme="majorHAnsi" w:hAnsiTheme="majorHAnsi" w:cstheme="majorHAnsi"/>
                <w:color w:val="FF0000"/>
                <w:sz w:val="16"/>
                <w:szCs w:val="16"/>
              </w:rPr>
            </w:pPr>
          </w:p>
          <w:p w14:paraId="7A78DF20">
            <w:pPr>
              <w:pStyle w:val="154"/>
              <w:spacing w:before="1"/>
              <w:ind w:left="103"/>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047CB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5C29E2EF">
            <w:pPr>
              <w:pStyle w:val="154"/>
              <w:spacing w:before="134"/>
              <w:rPr>
                <w:rFonts w:asciiTheme="majorHAnsi" w:hAnsiTheme="majorHAnsi" w:cstheme="majorHAnsi"/>
                <w:color w:val="FF0000"/>
                <w:sz w:val="16"/>
                <w:szCs w:val="16"/>
              </w:rPr>
            </w:pPr>
          </w:p>
          <w:p w14:paraId="4DF3C4E3">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HAN002827</w:t>
            </w:r>
          </w:p>
        </w:tc>
        <w:tc>
          <w:tcPr>
            <w:tcW w:w="1712" w:type="dxa"/>
            <w:shd w:val="clear" w:color="auto" w:fill="BEBEBE" w:themeFill="background1" w:themeFillShade="BF"/>
          </w:tcPr>
          <w:p w14:paraId="1BD51F0B">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5A14B605">
            <w:pPr>
              <w:pStyle w:val="154"/>
              <w:spacing w:before="134"/>
              <w:rPr>
                <w:rFonts w:asciiTheme="majorHAnsi" w:hAnsiTheme="majorHAnsi" w:cstheme="majorHAnsi"/>
                <w:color w:val="FF0000"/>
                <w:sz w:val="16"/>
                <w:szCs w:val="16"/>
              </w:rPr>
            </w:pPr>
          </w:p>
          <w:p w14:paraId="6797D387">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469AC998">
            <w:pPr>
              <w:pStyle w:val="154"/>
              <w:spacing w:before="134"/>
              <w:rPr>
                <w:rFonts w:asciiTheme="majorHAnsi" w:hAnsiTheme="majorHAnsi" w:cstheme="majorHAnsi"/>
                <w:color w:val="FF0000"/>
                <w:sz w:val="16"/>
                <w:szCs w:val="16"/>
              </w:rPr>
            </w:pPr>
          </w:p>
          <w:p w14:paraId="3B34A71B">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6DFB9D4F">
            <w:pPr>
              <w:pStyle w:val="154"/>
              <w:spacing w:before="134"/>
              <w:rPr>
                <w:rFonts w:asciiTheme="majorHAnsi" w:hAnsiTheme="majorHAnsi" w:cstheme="majorHAnsi"/>
                <w:color w:val="FF0000"/>
                <w:sz w:val="16"/>
                <w:szCs w:val="16"/>
              </w:rPr>
            </w:pPr>
          </w:p>
          <w:p w14:paraId="68CECC1E">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280659</w:t>
            </w:r>
          </w:p>
        </w:tc>
        <w:tc>
          <w:tcPr>
            <w:tcW w:w="925" w:type="dxa"/>
            <w:shd w:val="clear" w:color="auto" w:fill="BEBEBE" w:themeFill="background1" w:themeFillShade="BF"/>
          </w:tcPr>
          <w:p w14:paraId="607994CE">
            <w:pPr>
              <w:pStyle w:val="154"/>
              <w:spacing w:before="134"/>
              <w:rPr>
                <w:rFonts w:asciiTheme="majorHAnsi" w:hAnsiTheme="majorHAnsi" w:cstheme="majorHAnsi"/>
                <w:color w:val="FF0000"/>
                <w:sz w:val="16"/>
                <w:szCs w:val="16"/>
              </w:rPr>
            </w:pPr>
          </w:p>
          <w:p w14:paraId="334E90FB">
            <w:pPr>
              <w:pStyle w:val="154"/>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667273</w:t>
            </w:r>
          </w:p>
        </w:tc>
        <w:tc>
          <w:tcPr>
            <w:tcW w:w="1469" w:type="dxa"/>
            <w:shd w:val="clear" w:color="auto" w:fill="BEBEBE" w:themeFill="background1" w:themeFillShade="BF"/>
          </w:tcPr>
          <w:p w14:paraId="681CC778">
            <w:pPr>
              <w:pStyle w:val="154"/>
              <w:spacing w:before="134"/>
              <w:rPr>
                <w:rFonts w:asciiTheme="majorHAnsi" w:hAnsiTheme="majorHAnsi" w:cstheme="majorHAnsi"/>
                <w:color w:val="FF0000"/>
                <w:sz w:val="16"/>
                <w:szCs w:val="16"/>
              </w:rPr>
            </w:pPr>
          </w:p>
          <w:p w14:paraId="331D4214">
            <w:pPr>
              <w:pStyle w:val="154"/>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7DEFC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3FF5AFEF">
            <w:pPr>
              <w:pStyle w:val="154"/>
              <w:spacing w:before="133"/>
              <w:rPr>
                <w:rFonts w:asciiTheme="majorHAnsi" w:hAnsiTheme="majorHAnsi" w:cstheme="majorHAnsi"/>
                <w:color w:val="FF0000"/>
                <w:sz w:val="16"/>
                <w:szCs w:val="16"/>
              </w:rPr>
            </w:pPr>
          </w:p>
          <w:p w14:paraId="4F6B40CF">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HAN002828</w:t>
            </w:r>
          </w:p>
        </w:tc>
        <w:tc>
          <w:tcPr>
            <w:tcW w:w="1712" w:type="dxa"/>
            <w:shd w:val="clear" w:color="auto" w:fill="BEBEBE" w:themeFill="background1" w:themeFillShade="BF"/>
          </w:tcPr>
          <w:p w14:paraId="60A22EFF">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48F1D8C2">
            <w:pPr>
              <w:pStyle w:val="154"/>
              <w:spacing w:before="133"/>
              <w:rPr>
                <w:rFonts w:asciiTheme="majorHAnsi" w:hAnsiTheme="majorHAnsi" w:cstheme="majorHAnsi"/>
                <w:color w:val="FF0000"/>
                <w:sz w:val="16"/>
                <w:szCs w:val="16"/>
              </w:rPr>
            </w:pPr>
          </w:p>
          <w:p w14:paraId="01156871">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2D5461FC">
            <w:pPr>
              <w:pStyle w:val="154"/>
              <w:spacing w:before="133"/>
              <w:rPr>
                <w:rFonts w:asciiTheme="majorHAnsi" w:hAnsiTheme="majorHAnsi" w:cstheme="majorHAnsi"/>
                <w:color w:val="FF0000"/>
                <w:sz w:val="16"/>
                <w:szCs w:val="16"/>
              </w:rPr>
            </w:pPr>
          </w:p>
          <w:p w14:paraId="193FDD76">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421FBFD6">
            <w:pPr>
              <w:pStyle w:val="154"/>
              <w:spacing w:before="133"/>
              <w:rPr>
                <w:rFonts w:asciiTheme="majorHAnsi" w:hAnsiTheme="majorHAnsi" w:cstheme="majorHAnsi"/>
                <w:color w:val="FF0000"/>
                <w:sz w:val="16"/>
                <w:szCs w:val="16"/>
              </w:rPr>
            </w:pPr>
          </w:p>
          <w:p w14:paraId="570F4D45">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280614</w:t>
            </w:r>
          </w:p>
        </w:tc>
        <w:tc>
          <w:tcPr>
            <w:tcW w:w="925" w:type="dxa"/>
            <w:shd w:val="clear" w:color="auto" w:fill="BEBEBE" w:themeFill="background1" w:themeFillShade="BF"/>
          </w:tcPr>
          <w:p w14:paraId="01142E08">
            <w:pPr>
              <w:pStyle w:val="154"/>
              <w:spacing w:before="133"/>
              <w:rPr>
                <w:rFonts w:asciiTheme="majorHAnsi" w:hAnsiTheme="majorHAnsi" w:cstheme="majorHAnsi"/>
                <w:color w:val="FF0000"/>
                <w:sz w:val="16"/>
                <w:szCs w:val="16"/>
              </w:rPr>
            </w:pPr>
          </w:p>
          <w:p w14:paraId="7E3693D6">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667262</w:t>
            </w:r>
          </w:p>
        </w:tc>
        <w:tc>
          <w:tcPr>
            <w:tcW w:w="1469" w:type="dxa"/>
            <w:shd w:val="clear" w:color="auto" w:fill="BEBEBE" w:themeFill="background1" w:themeFillShade="BF"/>
          </w:tcPr>
          <w:p w14:paraId="0ED27C05">
            <w:pPr>
              <w:pStyle w:val="154"/>
              <w:spacing w:before="133"/>
              <w:rPr>
                <w:rFonts w:asciiTheme="majorHAnsi" w:hAnsiTheme="majorHAnsi" w:cstheme="majorHAnsi"/>
                <w:color w:val="FF0000"/>
                <w:sz w:val="16"/>
                <w:szCs w:val="16"/>
              </w:rPr>
            </w:pPr>
          </w:p>
          <w:p w14:paraId="3BEC93D3">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40493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73D133CD">
            <w:pPr>
              <w:pStyle w:val="154"/>
              <w:spacing w:before="133"/>
              <w:rPr>
                <w:rFonts w:asciiTheme="majorHAnsi" w:hAnsiTheme="majorHAnsi" w:cstheme="majorHAnsi"/>
                <w:color w:val="FF0000"/>
                <w:sz w:val="16"/>
                <w:szCs w:val="16"/>
              </w:rPr>
            </w:pPr>
          </w:p>
          <w:p w14:paraId="3BBD27B3">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HAN002829</w:t>
            </w:r>
          </w:p>
        </w:tc>
        <w:tc>
          <w:tcPr>
            <w:tcW w:w="1712" w:type="dxa"/>
            <w:shd w:val="clear" w:color="auto" w:fill="BEBEBE" w:themeFill="background1" w:themeFillShade="BF"/>
          </w:tcPr>
          <w:p w14:paraId="62A8CAFA">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007FC792">
            <w:pPr>
              <w:pStyle w:val="154"/>
              <w:spacing w:before="133"/>
              <w:rPr>
                <w:rFonts w:asciiTheme="majorHAnsi" w:hAnsiTheme="majorHAnsi" w:cstheme="majorHAnsi"/>
                <w:color w:val="FF0000"/>
                <w:sz w:val="16"/>
                <w:szCs w:val="16"/>
              </w:rPr>
            </w:pPr>
          </w:p>
          <w:p w14:paraId="4117CAFC">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48D30010">
            <w:pPr>
              <w:pStyle w:val="154"/>
              <w:spacing w:before="133"/>
              <w:rPr>
                <w:rFonts w:asciiTheme="majorHAnsi" w:hAnsiTheme="majorHAnsi" w:cstheme="majorHAnsi"/>
                <w:color w:val="FF0000"/>
                <w:sz w:val="16"/>
                <w:szCs w:val="16"/>
              </w:rPr>
            </w:pPr>
          </w:p>
          <w:p w14:paraId="61B634EF">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2619ADD6">
            <w:pPr>
              <w:pStyle w:val="154"/>
              <w:spacing w:before="133"/>
              <w:rPr>
                <w:rFonts w:asciiTheme="majorHAnsi" w:hAnsiTheme="majorHAnsi" w:cstheme="majorHAnsi"/>
                <w:color w:val="FF0000"/>
                <w:sz w:val="16"/>
                <w:szCs w:val="16"/>
              </w:rPr>
            </w:pPr>
          </w:p>
          <w:p w14:paraId="422EABA1">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280658</w:t>
            </w:r>
          </w:p>
        </w:tc>
        <w:tc>
          <w:tcPr>
            <w:tcW w:w="925" w:type="dxa"/>
            <w:shd w:val="clear" w:color="auto" w:fill="BEBEBE" w:themeFill="background1" w:themeFillShade="BF"/>
          </w:tcPr>
          <w:p w14:paraId="137B24DF">
            <w:pPr>
              <w:pStyle w:val="154"/>
              <w:spacing w:before="133"/>
              <w:rPr>
                <w:rFonts w:asciiTheme="majorHAnsi" w:hAnsiTheme="majorHAnsi" w:cstheme="majorHAnsi"/>
                <w:color w:val="FF0000"/>
                <w:sz w:val="16"/>
                <w:szCs w:val="16"/>
              </w:rPr>
            </w:pPr>
          </w:p>
          <w:p w14:paraId="76422945">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667272</w:t>
            </w:r>
          </w:p>
        </w:tc>
        <w:tc>
          <w:tcPr>
            <w:tcW w:w="1469" w:type="dxa"/>
            <w:shd w:val="clear" w:color="auto" w:fill="BEBEBE" w:themeFill="background1" w:themeFillShade="BF"/>
          </w:tcPr>
          <w:p w14:paraId="633626FD">
            <w:pPr>
              <w:pStyle w:val="154"/>
              <w:spacing w:before="133"/>
              <w:rPr>
                <w:rFonts w:asciiTheme="majorHAnsi" w:hAnsiTheme="majorHAnsi" w:cstheme="majorHAnsi"/>
                <w:color w:val="FF0000"/>
                <w:sz w:val="16"/>
                <w:szCs w:val="16"/>
              </w:rPr>
            </w:pPr>
          </w:p>
          <w:p w14:paraId="2F82998B">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778F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53CEC140">
            <w:pPr>
              <w:pStyle w:val="154"/>
              <w:spacing w:before="133"/>
              <w:rPr>
                <w:rFonts w:asciiTheme="majorHAnsi" w:hAnsiTheme="majorHAnsi" w:cstheme="majorHAnsi"/>
                <w:color w:val="FF0000"/>
                <w:sz w:val="16"/>
                <w:szCs w:val="16"/>
              </w:rPr>
            </w:pPr>
          </w:p>
          <w:p w14:paraId="3DD8A970">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HAN002830</w:t>
            </w:r>
          </w:p>
        </w:tc>
        <w:tc>
          <w:tcPr>
            <w:tcW w:w="1712" w:type="dxa"/>
            <w:shd w:val="clear" w:color="auto" w:fill="BEBEBE" w:themeFill="background1" w:themeFillShade="BF"/>
          </w:tcPr>
          <w:p w14:paraId="3BE90AD3">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76511205">
            <w:pPr>
              <w:pStyle w:val="154"/>
              <w:spacing w:before="133"/>
              <w:rPr>
                <w:rFonts w:asciiTheme="majorHAnsi" w:hAnsiTheme="majorHAnsi" w:cstheme="majorHAnsi"/>
                <w:color w:val="FF0000"/>
                <w:sz w:val="16"/>
                <w:szCs w:val="16"/>
              </w:rPr>
            </w:pPr>
          </w:p>
          <w:p w14:paraId="1F2D5410">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28FEA23C">
            <w:pPr>
              <w:pStyle w:val="154"/>
              <w:spacing w:before="133"/>
              <w:rPr>
                <w:rFonts w:asciiTheme="majorHAnsi" w:hAnsiTheme="majorHAnsi" w:cstheme="majorHAnsi"/>
                <w:color w:val="FF0000"/>
                <w:sz w:val="16"/>
                <w:szCs w:val="16"/>
              </w:rPr>
            </w:pPr>
          </w:p>
          <w:p w14:paraId="4BA2A905">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3A3AFAC3">
            <w:pPr>
              <w:pStyle w:val="154"/>
              <w:spacing w:before="133"/>
              <w:rPr>
                <w:rFonts w:asciiTheme="majorHAnsi" w:hAnsiTheme="majorHAnsi" w:cstheme="majorHAnsi"/>
                <w:color w:val="FF0000"/>
                <w:sz w:val="16"/>
                <w:szCs w:val="16"/>
              </w:rPr>
            </w:pPr>
          </w:p>
          <w:p w14:paraId="03B2CB6F">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280662</w:t>
            </w:r>
          </w:p>
        </w:tc>
        <w:tc>
          <w:tcPr>
            <w:tcW w:w="925" w:type="dxa"/>
            <w:shd w:val="clear" w:color="auto" w:fill="BEBEBE" w:themeFill="background1" w:themeFillShade="BF"/>
          </w:tcPr>
          <w:p w14:paraId="7D330476">
            <w:pPr>
              <w:pStyle w:val="154"/>
              <w:spacing w:before="133"/>
              <w:rPr>
                <w:rFonts w:asciiTheme="majorHAnsi" w:hAnsiTheme="majorHAnsi" w:cstheme="majorHAnsi"/>
                <w:color w:val="FF0000"/>
                <w:sz w:val="16"/>
                <w:szCs w:val="16"/>
              </w:rPr>
            </w:pPr>
          </w:p>
          <w:p w14:paraId="293F2A57">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667276</w:t>
            </w:r>
          </w:p>
        </w:tc>
        <w:tc>
          <w:tcPr>
            <w:tcW w:w="1469" w:type="dxa"/>
            <w:shd w:val="clear" w:color="auto" w:fill="BEBEBE" w:themeFill="background1" w:themeFillShade="BF"/>
          </w:tcPr>
          <w:p w14:paraId="77480EAA">
            <w:pPr>
              <w:pStyle w:val="154"/>
              <w:spacing w:before="133"/>
              <w:rPr>
                <w:rFonts w:asciiTheme="majorHAnsi" w:hAnsiTheme="majorHAnsi" w:cstheme="majorHAnsi"/>
                <w:color w:val="FF0000"/>
                <w:sz w:val="16"/>
                <w:szCs w:val="16"/>
              </w:rPr>
            </w:pPr>
          </w:p>
          <w:p w14:paraId="22677F67">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4082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523388ED">
            <w:pPr>
              <w:pStyle w:val="154"/>
              <w:spacing w:before="133"/>
              <w:rPr>
                <w:rFonts w:asciiTheme="majorHAnsi" w:hAnsiTheme="majorHAnsi" w:cstheme="majorHAnsi"/>
                <w:color w:val="FF0000"/>
                <w:sz w:val="16"/>
                <w:szCs w:val="16"/>
              </w:rPr>
            </w:pPr>
          </w:p>
          <w:p w14:paraId="1E18D287">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HAN002831</w:t>
            </w:r>
          </w:p>
        </w:tc>
        <w:tc>
          <w:tcPr>
            <w:tcW w:w="1712" w:type="dxa"/>
            <w:shd w:val="clear" w:color="auto" w:fill="BEBEBE" w:themeFill="background1" w:themeFillShade="BF"/>
          </w:tcPr>
          <w:p w14:paraId="39514422">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7DAFA3F0">
            <w:pPr>
              <w:pStyle w:val="154"/>
              <w:spacing w:before="133"/>
              <w:rPr>
                <w:rFonts w:asciiTheme="majorHAnsi" w:hAnsiTheme="majorHAnsi" w:cstheme="majorHAnsi"/>
                <w:color w:val="FF0000"/>
                <w:sz w:val="16"/>
                <w:szCs w:val="16"/>
              </w:rPr>
            </w:pPr>
          </w:p>
          <w:p w14:paraId="56313B5A">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39BECDA1">
            <w:pPr>
              <w:pStyle w:val="154"/>
              <w:spacing w:before="133"/>
              <w:rPr>
                <w:rFonts w:asciiTheme="majorHAnsi" w:hAnsiTheme="majorHAnsi" w:cstheme="majorHAnsi"/>
                <w:color w:val="FF0000"/>
                <w:sz w:val="16"/>
                <w:szCs w:val="16"/>
              </w:rPr>
            </w:pPr>
          </w:p>
          <w:p w14:paraId="67E35C79">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185F76A2">
            <w:pPr>
              <w:pStyle w:val="154"/>
              <w:spacing w:before="133"/>
              <w:rPr>
                <w:rFonts w:asciiTheme="majorHAnsi" w:hAnsiTheme="majorHAnsi" w:cstheme="majorHAnsi"/>
                <w:color w:val="FF0000"/>
                <w:sz w:val="16"/>
                <w:szCs w:val="16"/>
              </w:rPr>
            </w:pPr>
          </w:p>
          <w:p w14:paraId="2156F52D">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280637</w:t>
            </w:r>
          </w:p>
        </w:tc>
        <w:tc>
          <w:tcPr>
            <w:tcW w:w="925" w:type="dxa"/>
            <w:shd w:val="clear" w:color="auto" w:fill="BEBEBE" w:themeFill="background1" w:themeFillShade="BF"/>
          </w:tcPr>
          <w:p w14:paraId="20088E66">
            <w:pPr>
              <w:pStyle w:val="154"/>
              <w:spacing w:before="133"/>
              <w:rPr>
                <w:rFonts w:asciiTheme="majorHAnsi" w:hAnsiTheme="majorHAnsi" w:cstheme="majorHAnsi"/>
                <w:color w:val="FF0000"/>
                <w:sz w:val="16"/>
                <w:szCs w:val="16"/>
              </w:rPr>
            </w:pPr>
          </w:p>
          <w:p w14:paraId="034BAABC">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667264</w:t>
            </w:r>
          </w:p>
        </w:tc>
        <w:tc>
          <w:tcPr>
            <w:tcW w:w="1469" w:type="dxa"/>
            <w:shd w:val="clear" w:color="auto" w:fill="BEBEBE" w:themeFill="background1" w:themeFillShade="BF"/>
          </w:tcPr>
          <w:p w14:paraId="08E1B34F">
            <w:pPr>
              <w:pStyle w:val="154"/>
              <w:spacing w:before="133"/>
              <w:rPr>
                <w:rFonts w:asciiTheme="majorHAnsi" w:hAnsiTheme="majorHAnsi" w:cstheme="majorHAnsi"/>
                <w:color w:val="FF0000"/>
                <w:sz w:val="16"/>
                <w:szCs w:val="16"/>
              </w:rPr>
            </w:pPr>
          </w:p>
          <w:p w14:paraId="55A89C57">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2C906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6E5D8032">
            <w:pPr>
              <w:pStyle w:val="154"/>
              <w:spacing w:before="133"/>
              <w:rPr>
                <w:rFonts w:asciiTheme="majorHAnsi" w:hAnsiTheme="majorHAnsi" w:cstheme="majorHAnsi"/>
                <w:color w:val="FF0000"/>
                <w:sz w:val="16"/>
                <w:szCs w:val="16"/>
              </w:rPr>
            </w:pPr>
          </w:p>
          <w:p w14:paraId="140C02F1">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HAN002832</w:t>
            </w:r>
          </w:p>
        </w:tc>
        <w:tc>
          <w:tcPr>
            <w:tcW w:w="1712" w:type="dxa"/>
            <w:shd w:val="clear" w:color="auto" w:fill="BEBEBE" w:themeFill="background1" w:themeFillShade="BF"/>
          </w:tcPr>
          <w:p w14:paraId="2BD985EF">
            <w:pPr>
              <w:pStyle w:val="154"/>
              <w:spacing w:before="121"/>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52F3E602">
            <w:pPr>
              <w:pStyle w:val="154"/>
              <w:spacing w:before="133"/>
              <w:rPr>
                <w:rFonts w:asciiTheme="majorHAnsi" w:hAnsiTheme="majorHAnsi" w:cstheme="majorHAnsi"/>
                <w:color w:val="FF0000"/>
                <w:sz w:val="16"/>
                <w:szCs w:val="16"/>
              </w:rPr>
            </w:pPr>
          </w:p>
          <w:p w14:paraId="71CBBFCD">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308A1CF3">
            <w:pPr>
              <w:pStyle w:val="154"/>
              <w:spacing w:before="133"/>
              <w:rPr>
                <w:rFonts w:asciiTheme="majorHAnsi" w:hAnsiTheme="majorHAnsi" w:cstheme="majorHAnsi"/>
                <w:color w:val="FF0000"/>
                <w:sz w:val="16"/>
                <w:szCs w:val="16"/>
              </w:rPr>
            </w:pPr>
          </w:p>
          <w:p w14:paraId="3D856B52">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427308D9">
            <w:pPr>
              <w:pStyle w:val="154"/>
              <w:spacing w:before="133"/>
              <w:rPr>
                <w:rFonts w:asciiTheme="majorHAnsi" w:hAnsiTheme="majorHAnsi" w:cstheme="majorHAnsi"/>
                <w:color w:val="FF0000"/>
                <w:sz w:val="16"/>
                <w:szCs w:val="16"/>
              </w:rPr>
            </w:pPr>
          </w:p>
          <w:p w14:paraId="5227416D">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280611</w:t>
            </w:r>
          </w:p>
        </w:tc>
        <w:tc>
          <w:tcPr>
            <w:tcW w:w="925" w:type="dxa"/>
            <w:shd w:val="clear" w:color="auto" w:fill="BEBEBE" w:themeFill="background1" w:themeFillShade="BF"/>
          </w:tcPr>
          <w:p w14:paraId="4705CF35">
            <w:pPr>
              <w:pStyle w:val="154"/>
              <w:spacing w:before="133"/>
              <w:rPr>
                <w:rFonts w:asciiTheme="majorHAnsi" w:hAnsiTheme="majorHAnsi" w:cstheme="majorHAnsi"/>
                <w:color w:val="FF0000"/>
                <w:sz w:val="16"/>
                <w:szCs w:val="16"/>
              </w:rPr>
            </w:pPr>
          </w:p>
          <w:p w14:paraId="44EB1193">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667260</w:t>
            </w:r>
          </w:p>
        </w:tc>
        <w:tc>
          <w:tcPr>
            <w:tcW w:w="1469" w:type="dxa"/>
            <w:shd w:val="clear" w:color="auto" w:fill="BEBEBE" w:themeFill="background1" w:themeFillShade="BF"/>
          </w:tcPr>
          <w:p w14:paraId="090E0EC5">
            <w:pPr>
              <w:pStyle w:val="154"/>
              <w:spacing w:before="133"/>
              <w:rPr>
                <w:rFonts w:asciiTheme="majorHAnsi" w:hAnsiTheme="majorHAnsi" w:cstheme="majorHAnsi"/>
                <w:color w:val="FF0000"/>
                <w:sz w:val="16"/>
                <w:szCs w:val="16"/>
              </w:rPr>
            </w:pPr>
          </w:p>
          <w:p w14:paraId="7B595149">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4203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6" w:hRule="atLeast"/>
        </w:trPr>
        <w:tc>
          <w:tcPr>
            <w:tcW w:w="1601" w:type="dxa"/>
            <w:shd w:val="clear" w:color="auto" w:fill="BEBEBE" w:themeFill="background1" w:themeFillShade="BF"/>
          </w:tcPr>
          <w:p w14:paraId="3AC4243B">
            <w:pPr>
              <w:pStyle w:val="154"/>
              <w:spacing w:before="133"/>
              <w:rPr>
                <w:rFonts w:asciiTheme="majorHAnsi" w:hAnsiTheme="majorHAnsi" w:cstheme="majorHAnsi"/>
                <w:color w:val="FF0000"/>
                <w:sz w:val="16"/>
                <w:szCs w:val="16"/>
              </w:rPr>
            </w:pPr>
          </w:p>
          <w:p w14:paraId="11AEC4E7">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HAN002833</w:t>
            </w:r>
          </w:p>
        </w:tc>
        <w:tc>
          <w:tcPr>
            <w:tcW w:w="1712" w:type="dxa"/>
            <w:shd w:val="clear" w:color="auto" w:fill="BEBEBE" w:themeFill="background1" w:themeFillShade="BF"/>
          </w:tcPr>
          <w:p w14:paraId="78C480BF">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258C0D62">
            <w:pPr>
              <w:pStyle w:val="154"/>
              <w:spacing w:before="133"/>
              <w:rPr>
                <w:rFonts w:asciiTheme="majorHAnsi" w:hAnsiTheme="majorHAnsi" w:cstheme="majorHAnsi"/>
                <w:color w:val="FF0000"/>
                <w:sz w:val="16"/>
                <w:szCs w:val="16"/>
              </w:rPr>
            </w:pPr>
          </w:p>
          <w:p w14:paraId="08EA34F5">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1BFE5201">
            <w:pPr>
              <w:pStyle w:val="154"/>
              <w:spacing w:before="133"/>
              <w:rPr>
                <w:rFonts w:asciiTheme="majorHAnsi" w:hAnsiTheme="majorHAnsi" w:cstheme="majorHAnsi"/>
                <w:color w:val="FF0000"/>
                <w:sz w:val="16"/>
                <w:szCs w:val="16"/>
              </w:rPr>
            </w:pPr>
          </w:p>
          <w:p w14:paraId="069CB048">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44236B4F">
            <w:pPr>
              <w:pStyle w:val="154"/>
              <w:spacing w:before="133"/>
              <w:rPr>
                <w:rFonts w:asciiTheme="majorHAnsi" w:hAnsiTheme="majorHAnsi" w:cstheme="majorHAnsi"/>
                <w:color w:val="FF0000"/>
                <w:sz w:val="16"/>
                <w:szCs w:val="16"/>
              </w:rPr>
            </w:pPr>
          </w:p>
          <w:p w14:paraId="1DD89589">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280612</w:t>
            </w:r>
          </w:p>
        </w:tc>
        <w:tc>
          <w:tcPr>
            <w:tcW w:w="925" w:type="dxa"/>
            <w:shd w:val="clear" w:color="auto" w:fill="BEBEBE" w:themeFill="background1" w:themeFillShade="BF"/>
          </w:tcPr>
          <w:p w14:paraId="18ED6876">
            <w:pPr>
              <w:pStyle w:val="154"/>
              <w:spacing w:before="133"/>
              <w:rPr>
                <w:rFonts w:asciiTheme="majorHAnsi" w:hAnsiTheme="majorHAnsi" w:cstheme="majorHAnsi"/>
                <w:color w:val="FF0000"/>
                <w:sz w:val="16"/>
                <w:szCs w:val="16"/>
              </w:rPr>
            </w:pPr>
          </w:p>
          <w:p w14:paraId="66CD397A">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667261</w:t>
            </w:r>
          </w:p>
        </w:tc>
        <w:tc>
          <w:tcPr>
            <w:tcW w:w="1469" w:type="dxa"/>
            <w:shd w:val="clear" w:color="auto" w:fill="BEBEBE" w:themeFill="background1" w:themeFillShade="BF"/>
          </w:tcPr>
          <w:p w14:paraId="6A22E984">
            <w:pPr>
              <w:pStyle w:val="154"/>
              <w:spacing w:before="133"/>
              <w:rPr>
                <w:rFonts w:asciiTheme="majorHAnsi" w:hAnsiTheme="majorHAnsi" w:cstheme="majorHAnsi"/>
                <w:color w:val="FF0000"/>
                <w:sz w:val="16"/>
                <w:szCs w:val="16"/>
              </w:rPr>
            </w:pPr>
          </w:p>
          <w:p w14:paraId="586551E1">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6799F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0BC73915">
            <w:pPr>
              <w:pStyle w:val="154"/>
              <w:spacing w:before="133"/>
              <w:rPr>
                <w:rFonts w:asciiTheme="majorHAnsi" w:hAnsiTheme="majorHAnsi" w:cstheme="majorHAnsi"/>
                <w:color w:val="FF0000"/>
                <w:sz w:val="16"/>
                <w:szCs w:val="16"/>
              </w:rPr>
            </w:pPr>
          </w:p>
          <w:p w14:paraId="74E59392">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HAN002834</w:t>
            </w:r>
          </w:p>
        </w:tc>
        <w:tc>
          <w:tcPr>
            <w:tcW w:w="1712" w:type="dxa"/>
            <w:shd w:val="clear" w:color="auto" w:fill="BEBEBE" w:themeFill="background1" w:themeFillShade="BF"/>
          </w:tcPr>
          <w:p w14:paraId="265B4A0B">
            <w:pPr>
              <w:pStyle w:val="154"/>
              <w:spacing w:before="121"/>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1734412B">
            <w:pPr>
              <w:pStyle w:val="154"/>
              <w:spacing w:before="133"/>
              <w:rPr>
                <w:rFonts w:asciiTheme="majorHAnsi" w:hAnsiTheme="majorHAnsi" w:cstheme="majorHAnsi"/>
                <w:color w:val="FF0000"/>
                <w:sz w:val="16"/>
                <w:szCs w:val="16"/>
              </w:rPr>
            </w:pPr>
          </w:p>
          <w:p w14:paraId="4AB4D8CD">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2"/>
                <w:sz w:val="16"/>
                <w:szCs w:val="16"/>
              </w:rPr>
              <w:t xml:space="preserve"> BRAUN</w:t>
            </w:r>
          </w:p>
        </w:tc>
        <w:tc>
          <w:tcPr>
            <w:tcW w:w="1208" w:type="dxa"/>
            <w:shd w:val="clear" w:color="auto" w:fill="BEBEBE" w:themeFill="background1" w:themeFillShade="BF"/>
          </w:tcPr>
          <w:p w14:paraId="16EE0392">
            <w:pPr>
              <w:pStyle w:val="154"/>
              <w:spacing w:before="133"/>
              <w:rPr>
                <w:rFonts w:asciiTheme="majorHAnsi" w:hAnsiTheme="majorHAnsi" w:cstheme="majorHAnsi"/>
                <w:color w:val="FF0000"/>
                <w:sz w:val="16"/>
                <w:szCs w:val="16"/>
              </w:rPr>
            </w:pPr>
          </w:p>
          <w:p w14:paraId="440BBC60">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11467B88">
            <w:pPr>
              <w:pStyle w:val="154"/>
              <w:spacing w:before="133"/>
              <w:rPr>
                <w:rFonts w:asciiTheme="majorHAnsi" w:hAnsiTheme="majorHAnsi" w:cstheme="majorHAnsi"/>
                <w:color w:val="FF0000"/>
                <w:sz w:val="16"/>
                <w:szCs w:val="16"/>
              </w:rPr>
            </w:pPr>
          </w:p>
          <w:p w14:paraId="57FDBCEA">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280615</w:t>
            </w:r>
          </w:p>
        </w:tc>
        <w:tc>
          <w:tcPr>
            <w:tcW w:w="925" w:type="dxa"/>
            <w:shd w:val="clear" w:color="auto" w:fill="BEBEBE" w:themeFill="background1" w:themeFillShade="BF"/>
          </w:tcPr>
          <w:p w14:paraId="3C4532CD">
            <w:pPr>
              <w:pStyle w:val="154"/>
              <w:spacing w:before="133"/>
              <w:rPr>
                <w:rFonts w:asciiTheme="majorHAnsi" w:hAnsiTheme="majorHAnsi" w:cstheme="majorHAnsi"/>
                <w:color w:val="FF0000"/>
                <w:sz w:val="16"/>
                <w:szCs w:val="16"/>
              </w:rPr>
            </w:pPr>
          </w:p>
          <w:p w14:paraId="45BABB7D">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667263</w:t>
            </w:r>
          </w:p>
        </w:tc>
        <w:tc>
          <w:tcPr>
            <w:tcW w:w="1469" w:type="dxa"/>
            <w:shd w:val="clear" w:color="auto" w:fill="BEBEBE" w:themeFill="background1" w:themeFillShade="BF"/>
          </w:tcPr>
          <w:p w14:paraId="27B77C29">
            <w:pPr>
              <w:pStyle w:val="154"/>
              <w:spacing w:before="133"/>
              <w:rPr>
                <w:rFonts w:asciiTheme="majorHAnsi" w:hAnsiTheme="majorHAnsi" w:cstheme="majorHAnsi"/>
                <w:color w:val="FF0000"/>
                <w:sz w:val="16"/>
                <w:szCs w:val="16"/>
              </w:rPr>
            </w:pPr>
          </w:p>
          <w:p w14:paraId="4522EAE4">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6155B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18A2FAF4">
            <w:pPr>
              <w:pStyle w:val="154"/>
              <w:spacing w:before="133"/>
              <w:rPr>
                <w:rFonts w:asciiTheme="majorHAnsi" w:hAnsiTheme="majorHAnsi" w:cstheme="majorHAnsi"/>
                <w:color w:val="FF0000"/>
                <w:sz w:val="16"/>
                <w:szCs w:val="16"/>
              </w:rPr>
            </w:pPr>
          </w:p>
          <w:p w14:paraId="3F822B19">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HAN002835</w:t>
            </w:r>
          </w:p>
        </w:tc>
        <w:tc>
          <w:tcPr>
            <w:tcW w:w="1712" w:type="dxa"/>
            <w:shd w:val="clear" w:color="auto" w:fill="BEBEBE" w:themeFill="background1" w:themeFillShade="BF"/>
          </w:tcPr>
          <w:p w14:paraId="7FBC2A5B">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70B1E1D0">
            <w:pPr>
              <w:pStyle w:val="154"/>
              <w:spacing w:before="133"/>
              <w:rPr>
                <w:rFonts w:asciiTheme="majorHAnsi" w:hAnsiTheme="majorHAnsi" w:cstheme="majorHAnsi"/>
                <w:color w:val="FF0000"/>
                <w:sz w:val="16"/>
                <w:szCs w:val="16"/>
              </w:rPr>
            </w:pPr>
          </w:p>
          <w:p w14:paraId="7330D308">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331CDE75">
            <w:pPr>
              <w:pStyle w:val="154"/>
              <w:spacing w:before="133"/>
              <w:rPr>
                <w:rFonts w:asciiTheme="majorHAnsi" w:hAnsiTheme="majorHAnsi" w:cstheme="majorHAnsi"/>
                <w:color w:val="FF0000"/>
                <w:sz w:val="16"/>
                <w:szCs w:val="16"/>
              </w:rPr>
            </w:pPr>
          </w:p>
          <w:p w14:paraId="758EEE6A">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075D5664">
            <w:pPr>
              <w:pStyle w:val="154"/>
              <w:spacing w:before="133"/>
              <w:rPr>
                <w:rFonts w:asciiTheme="majorHAnsi" w:hAnsiTheme="majorHAnsi" w:cstheme="majorHAnsi"/>
                <w:color w:val="FF0000"/>
                <w:sz w:val="16"/>
                <w:szCs w:val="16"/>
              </w:rPr>
            </w:pPr>
          </w:p>
          <w:p w14:paraId="22C7F3CD">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280641</w:t>
            </w:r>
          </w:p>
        </w:tc>
        <w:tc>
          <w:tcPr>
            <w:tcW w:w="925" w:type="dxa"/>
            <w:shd w:val="clear" w:color="auto" w:fill="BEBEBE" w:themeFill="background1" w:themeFillShade="BF"/>
          </w:tcPr>
          <w:p w14:paraId="6BE0BF29">
            <w:pPr>
              <w:pStyle w:val="154"/>
              <w:spacing w:before="133"/>
              <w:rPr>
                <w:rFonts w:asciiTheme="majorHAnsi" w:hAnsiTheme="majorHAnsi" w:cstheme="majorHAnsi"/>
                <w:color w:val="FF0000"/>
                <w:sz w:val="16"/>
                <w:szCs w:val="16"/>
              </w:rPr>
            </w:pPr>
          </w:p>
          <w:p w14:paraId="281270DF">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667265</w:t>
            </w:r>
          </w:p>
        </w:tc>
        <w:tc>
          <w:tcPr>
            <w:tcW w:w="1469" w:type="dxa"/>
            <w:shd w:val="clear" w:color="auto" w:fill="BEBEBE" w:themeFill="background1" w:themeFillShade="BF"/>
          </w:tcPr>
          <w:p w14:paraId="6680E0EB">
            <w:pPr>
              <w:pStyle w:val="154"/>
              <w:spacing w:before="133"/>
              <w:rPr>
                <w:rFonts w:asciiTheme="majorHAnsi" w:hAnsiTheme="majorHAnsi" w:cstheme="majorHAnsi"/>
                <w:color w:val="FF0000"/>
                <w:sz w:val="16"/>
                <w:szCs w:val="16"/>
              </w:rPr>
            </w:pPr>
          </w:p>
          <w:p w14:paraId="79418344">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72E8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305EFE00">
            <w:pPr>
              <w:pStyle w:val="154"/>
              <w:spacing w:before="131"/>
              <w:rPr>
                <w:rFonts w:asciiTheme="majorHAnsi" w:hAnsiTheme="majorHAnsi" w:cstheme="majorHAnsi"/>
                <w:color w:val="FF0000"/>
                <w:sz w:val="16"/>
                <w:szCs w:val="16"/>
              </w:rPr>
            </w:pPr>
          </w:p>
          <w:p w14:paraId="47430264">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HAN002836</w:t>
            </w:r>
          </w:p>
        </w:tc>
        <w:tc>
          <w:tcPr>
            <w:tcW w:w="1712" w:type="dxa"/>
            <w:shd w:val="clear" w:color="auto" w:fill="BEBEBE" w:themeFill="background1" w:themeFillShade="BF"/>
          </w:tcPr>
          <w:p w14:paraId="70BF9F9A">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025AB8A8">
            <w:pPr>
              <w:pStyle w:val="154"/>
              <w:spacing w:before="131"/>
              <w:rPr>
                <w:rFonts w:asciiTheme="majorHAnsi" w:hAnsiTheme="majorHAnsi" w:cstheme="majorHAnsi"/>
                <w:color w:val="FF0000"/>
                <w:sz w:val="16"/>
                <w:szCs w:val="16"/>
              </w:rPr>
            </w:pPr>
          </w:p>
          <w:p w14:paraId="6D6AB31C">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31662E37">
            <w:pPr>
              <w:pStyle w:val="154"/>
              <w:spacing w:before="131"/>
              <w:rPr>
                <w:rFonts w:asciiTheme="majorHAnsi" w:hAnsiTheme="majorHAnsi" w:cstheme="majorHAnsi"/>
                <w:color w:val="FF0000"/>
                <w:sz w:val="16"/>
                <w:szCs w:val="16"/>
              </w:rPr>
            </w:pPr>
          </w:p>
          <w:p w14:paraId="3807B3E5">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1A8D2FB6">
            <w:pPr>
              <w:pStyle w:val="154"/>
              <w:spacing w:before="131"/>
              <w:rPr>
                <w:rFonts w:asciiTheme="majorHAnsi" w:hAnsiTheme="majorHAnsi" w:cstheme="majorHAnsi"/>
                <w:color w:val="FF0000"/>
                <w:sz w:val="16"/>
                <w:szCs w:val="16"/>
              </w:rPr>
            </w:pPr>
          </w:p>
          <w:p w14:paraId="356C1297">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280642</w:t>
            </w:r>
          </w:p>
        </w:tc>
        <w:tc>
          <w:tcPr>
            <w:tcW w:w="925" w:type="dxa"/>
            <w:shd w:val="clear" w:color="auto" w:fill="BEBEBE" w:themeFill="background1" w:themeFillShade="BF"/>
          </w:tcPr>
          <w:p w14:paraId="0E11EA8C">
            <w:pPr>
              <w:pStyle w:val="154"/>
              <w:spacing w:before="131"/>
              <w:rPr>
                <w:rFonts w:asciiTheme="majorHAnsi" w:hAnsiTheme="majorHAnsi" w:cstheme="majorHAnsi"/>
                <w:color w:val="FF0000"/>
                <w:sz w:val="16"/>
                <w:szCs w:val="16"/>
              </w:rPr>
            </w:pPr>
          </w:p>
          <w:p w14:paraId="605FBF78">
            <w:pPr>
              <w:pStyle w:val="154"/>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667266</w:t>
            </w:r>
          </w:p>
        </w:tc>
        <w:tc>
          <w:tcPr>
            <w:tcW w:w="1469" w:type="dxa"/>
            <w:shd w:val="clear" w:color="auto" w:fill="BEBEBE" w:themeFill="background1" w:themeFillShade="BF"/>
          </w:tcPr>
          <w:p w14:paraId="54414ACA">
            <w:pPr>
              <w:pStyle w:val="154"/>
              <w:spacing w:before="131"/>
              <w:rPr>
                <w:rFonts w:asciiTheme="majorHAnsi" w:hAnsiTheme="majorHAnsi" w:cstheme="majorHAnsi"/>
                <w:color w:val="FF0000"/>
                <w:sz w:val="16"/>
                <w:szCs w:val="16"/>
              </w:rPr>
            </w:pPr>
          </w:p>
          <w:p w14:paraId="67DF0C4F">
            <w:pPr>
              <w:pStyle w:val="154"/>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2233E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4F0FCF72">
            <w:pPr>
              <w:pStyle w:val="154"/>
              <w:spacing w:before="133"/>
              <w:rPr>
                <w:rFonts w:asciiTheme="majorHAnsi" w:hAnsiTheme="majorHAnsi" w:cstheme="majorHAnsi"/>
                <w:color w:val="FF0000"/>
                <w:sz w:val="16"/>
                <w:szCs w:val="16"/>
              </w:rPr>
            </w:pPr>
          </w:p>
          <w:p w14:paraId="2C9627CD">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HAN002837</w:t>
            </w:r>
          </w:p>
        </w:tc>
        <w:tc>
          <w:tcPr>
            <w:tcW w:w="1712" w:type="dxa"/>
            <w:shd w:val="clear" w:color="auto" w:fill="BEBEBE" w:themeFill="background1" w:themeFillShade="BF"/>
          </w:tcPr>
          <w:p w14:paraId="17819FB8">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62D90AD1">
            <w:pPr>
              <w:pStyle w:val="154"/>
              <w:spacing w:before="133"/>
              <w:rPr>
                <w:rFonts w:asciiTheme="majorHAnsi" w:hAnsiTheme="majorHAnsi" w:cstheme="majorHAnsi"/>
                <w:color w:val="FF0000"/>
                <w:sz w:val="16"/>
                <w:szCs w:val="16"/>
              </w:rPr>
            </w:pPr>
          </w:p>
          <w:p w14:paraId="3B80DDE0">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59CCAE12">
            <w:pPr>
              <w:pStyle w:val="154"/>
              <w:spacing w:before="133"/>
              <w:rPr>
                <w:rFonts w:asciiTheme="majorHAnsi" w:hAnsiTheme="majorHAnsi" w:cstheme="majorHAnsi"/>
                <w:color w:val="FF0000"/>
                <w:sz w:val="16"/>
                <w:szCs w:val="16"/>
              </w:rPr>
            </w:pPr>
          </w:p>
          <w:p w14:paraId="1C3EBE42">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2E15BC06">
            <w:pPr>
              <w:pStyle w:val="154"/>
              <w:spacing w:before="133"/>
              <w:rPr>
                <w:rFonts w:asciiTheme="majorHAnsi" w:hAnsiTheme="majorHAnsi" w:cstheme="majorHAnsi"/>
                <w:color w:val="FF0000"/>
                <w:sz w:val="16"/>
                <w:szCs w:val="16"/>
              </w:rPr>
            </w:pPr>
          </w:p>
          <w:p w14:paraId="12DB080D">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280645</w:t>
            </w:r>
          </w:p>
        </w:tc>
        <w:tc>
          <w:tcPr>
            <w:tcW w:w="925" w:type="dxa"/>
            <w:shd w:val="clear" w:color="auto" w:fill="BEBEBE" w:themeFill="background1" w:themeFillShade="BF"/>
          </w:tcPr>
          <w:p w14:paraId="77D09457">
            <w:pPr>
              <w:pStyle w:val="154"/>
              <w:spacing w:before="133"/>
              <w:rPr>
                <w:rFonts w:asciiTheme="majorHAnsi" w:hAnsiTheme="majorHAnsi" w:cstheme="majorHAnsi"/>
                <w:color w:val="FF0000"/>
                <w:sz w:val="16"/>
                <w:szCs w:val="16"/>
              </w:rPr>
            </w:pPr>
          </w:p>
          <w:p w14:paraId="17D7C199">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667267</w:t>
            </w:r>
          </w:p>
        </w:tc>
        <w:tc>
          <w:tcPr>
            <w:tcW w:w="1469" w:type="dxa"/>
            <w:shd w:val="clear" w:color="auto" w:fill="BEBEBE" w:themeFill="background1" w:themeFillShade="BF"/>
          </w:tcPr>
          <w:p w14:paraId="4B2AC4F3">
            <w:pPr>
              <w:pStyle w:val="154"/>
              <w:spacing w:before="133"/>
              <w:rPr>
                <w:rFonts w:asciiTheme="majorHAnsi" w:hAnsiTheme="majorHAnsi" w:cstheme="majorHAnsi"/>
                <w:color w:val="FF0000"/>
                <w:sz w:val="16"/>
                <w:szCs w:val="16"/>
              </w:rPr>
            </w:pPr>
          </w:p>
          <w:p w14:paraId="42D28B39">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4454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6" w:hRule="atLeast"/>
        </w:trPr>
        <w:tc>
          <w:tcPr>
            <w:tcW w:w="1601" w:type="dxa"/>
            <w:shd w:val="clear" w:color="auto" w:fill="BEBEBE" w:themeFill="background1" w:themeFillShade="BF"/>
          </w:tcPr>
          <w:p w14:paraId="3C487C8C">
            <w:pPr>
              <w:pStyle w:val="154"/>
              <w:spacing w:before="131"/>
              <w:rPr>
                <w:rFonts w:asciiTheme="majorHAnsi" w:hAnsiTheme="majorHAnsi" w:cstheme="majorHAnsi"/>
                <w:color w:val="FF0000"/>
                <w:sz w:val="16"/>
                <w:szCs w:val="16"/>
              </w:rPr>
            </w:pPr>
          </w:p>
          <w:p w14:paraId="43DEE7E4">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HAN002838</w:t>
            </w:r>
          </w:p>
        </w:tc>
        <w:tc>
          <w:tcPr>
            <w:tcW w:w="1712" w:type="dxa"/>
            <w:shd w:val="clear" w:color="auto" w:fill="BEBEBE" w:themeFill="background1" w:themeFillShade="BF"/>
          </w:tcPr>
          <w:p w14:paraId="5972F848">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2AABD5EC">
            <w:pPr>
              <w:pStyle w:val="154"/>
              <w:spacing w:before="131"/>
              <w:rPr>
                <w:rFonts w:asciiTheme="majorHAnsi" w:hAnsiTheme="majorHAnsi" w:cstheme="majorHAnsi"/>
                <w:color w:val="FF0000"/>
                <w:sz w:val="16"/>
                <w:szCs w:val="16"/>
              </w:rPr>
            </w:pPr>
          </w:p>
          <w:p w14:paraId="1D3A8A90">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69E28942">
            <w:pPr>
              <w:pStyle w:val="154"/>
              <w:spacing w:before="131"/>
              <w:rPr>
                <w:rFonts w:asciiTheme="majorHAnsi" w:hAnsiTheme="majorHAnsi" w:cstheme="majorHAnsi"/>
                <w:color w:val="FF0000"/>
                <w:sz w:val="16"/>
                <w:szCs w:val="16"/>
              </w:rPr>
            </w:pPr>
          </w:p>
          <w:p w14:paraId="32B885BD">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6BEF788D">
            <w:pPr>
              <w:pStyle w:val="154"/>
              <w:spacing w:before="131"/>
              <w:rPr>
                <w:rFonts w:asciiTheme="majorHAnsi" w:hAnsiTheme="majorHAnsi" w:cstheme="majorHAnsi"/>
                <w:color w:val="FF0000"/>
                <w:sz w:val="16"/>
                <w:szCs w:val="16"/>
              </w:rPr>
            </w:pPr>
          </w:p>
          <w:p w14:paraId="5CF0B1B5">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280646</w:t>
            </w:r>
          </w:p>
        </w:tc>
        <w:tc>
          <w:tcPr>
            <w:tcW w:w="925" w:type="dxa"/>
            <w:shd w:val="clear" w:color="auto" w:fill="BEBEBE" w:themeFill="background1" w:themeFillShade="BF"/>
          </w:tcPr>
          <w:p w14:paraId="18DE4998">
            <w:pPr>
              <w:pStyle w:val="154"/>
              <w:spacing w:before="131"/>
              <w:rPr>
                <w:rFonts w:asciiTheme="majorHAnsi" w:hAnsiTheme="majorHAnsi" w:cstheme="majorHAnsi"/>
                <w:color w:val="FF0000"/>
                <w:sz w:val="16"/>
                <w:szCs w:val="16"/>
              </w:rPr>
            </w:pPr>
          </w:p>
          <w:p w14:paraId="22BA01B8">
            <w:pPr>
              <w:pStyle w:val="154"/>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667268</w:t>
            </w:r>
          </w:p>
        </w:tc>
        <w:tc>
          <w:tcPr>
            <w:tcW w:w="1469" w:type="dxa"/>
            <w:shd w:val="clear" w:color="auto" w:fill="BEBEBE" w:themeFill="background1" w:themeFillShade="BF"/>
          </w:tcPr>
          <w:p w14:paraId="54E0BDD8">
            <w:pPr>
              <w:pStyle w:val="154"/>
              <w:spacing w:before="131"/>
              <w:rPr>
                <w:rFonts w:asciiTheme="majorHAnsi" w:hAnsiTheme="majorHAnsi" w:cstheme="majorHAnsi"/>
                <w:color w:val="FF0000"/>
                <w:sz w:val="16"/>
                <w:szCs w:val="16"/>
              </w:rPr>
            </w:pPr>
          </w:p>
          <w:p w14:paraId="4CDFE4AE">
            <w:pPr>
              <w:pStyle w:val="154"/>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14AE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024563FC">
            <w:pPr>
              <w:pStyle w:val="154"/>
              <w:spacing w:before="133"/>
              <w:rPr>
                <w:rFonts w:asciiTheme="majorHAnsi" w:hAnsiTheme="majorHAnsi" w:cstheme="majorHAnsi"/>
                <w:color w:val="FF0000"/>
                <w:sz w:val="16"/>
                <w:szCs w:val="16"/>
              </w:rPr>
            </w:pPr>
          </w:p>
          <w:p w14:paraId="3B197345">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HAN002839</w:t>
            </w:r>
          </w:p>
        </w:tc>
        <w:tc>
          <w:tcPr>
            <w:tcW w:w="1712" w:type="dxa"/>
            <w:shd w:val="clear" w:color="auto" w:fill="BEBEBE" w:themeFill="background1" w:themeFillShade="BF"/>
          </w:tcPr>
          <w:p w14:paraId="5A67E4CD">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5EC168EF">
            <w:pPr>
              <w:pStyle w:val="154"/>
              <w:spacing w:before="133"/>
              <w:rPr>
                <w:rFonts w:asciiTheme="majorHAnsi" w:hAnsiTheme="majorHAnsi" w:cstheme="majorHAnsi"/>
                <w:color w:val="FF0000"/>
                <w:sz w:val="16"/>
                <w:szCs w:val="16"/>
              </w:rPr>
            </w:pPr>
          </w:p>
          <w:p w14:paraId="3CE37835">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7D876BDB">
            <w:pPr>
              <w:pStyle w:val="154"/>
              <w:spacing w:before="133"/>
              <w:rPr>
                <w:rFonts w:asciiTheme="majorHAnsi" w:hAnsiTheme="majorHAnsi" w:cstheme="majorHAnsi"/>
                <w:color w:val="FF0000"/>
                <w:sz w:val="16"/>
                <w:szCs w:val="16"/>
              </w:rPr>
            </w:pPr>
          </w:p>
          <w:p w14:paraId="4F41B242">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26607801">
            <w:pPr>
              <w:pStyle w:val="154"/>
              <w:spacing w:before="133"/>
              <w:rPr>
                <w:rFonts w:asciiTheme="majorHAnsi" w:hAnsiTheme="majorHAnsi" w:cstheme="majorHAnsi"/>
                <w:color w:val="FF0000"/>
                <w:sz w:val="16"/>
                <w:szCs w:val="16"/>
              </w:rPr>
            </w:pPr>
          </w:p>
          <w:p w14:paraId="5DE872A9">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280649</w:t>
            </w:r>
          </w:p>
        </w:tc>
        <w:tc>
          <w:tcPr>
            <w:tcW w:w="925" w:type="dxa"/>
            <w:shd w:val="clear" w:color="auto" w:fill="BEBEBE" w:themeFill="background1" w:themeFillShade="BF"/>
          </w:tcPr>
          <w:p w14:paraId="3983B55B">
            <w:pPr>
              <w:pStyle w:val="154"/>
              <w:spacing w:before="133"/>
              <w:rPr>
                <w:rFonts w:asciiTheme="majorHAnsi" w:hAnsiTheme="majorHAnsi" w:cstheme="majorHAnsi"/>
                <w:color w:val="FF0000"/>
                <w:sz w:val="16"/>
                <w:szCs w:val="16"/>
              </w:rPr>
            </w:pPr>
          </w:p>
          <w:p w14:paraId="0CD1367C">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667269</w:t>
            </w:r>
          </w:p>
        </w:tc>
        <w:tc>
          <w:tcPr>
            <w:tcW w:w="1469" w:type="dxa"/>
            <w:shd w:val="clear" w:color="auto" w:fill="BEBEBE" w:themeFill="background1" w:themeFillShade="BF"/>
          </w:tcPr>
          <w:p w14:paraId="5123DF07">
            <w:pPr>
              <w:pStyle w:val="154"/>
              <w:spacing w:before="133"/>
              <w:rPr>
                <w:rFonts w:asciiTheme="majorHAnsi" w:hAnsiTheme="majorHAnsi" w:cstheme="majorHAnsi"/>
                <w:color w:val="FF0000"/>
                <w:sz w:val="16"/>
                <w:szCs w:val="16"/>
              </w:rPr>
            </w:pPr>
          </w:p>
          <w:p w14:paraId="68300148">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4AAC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7" w:hRule="atLeast"/>
        </w:trPr>
        <w:tc>
          <w:tcPr>
            <w:tcW w:w="1601" w:type="dxa"/>
            <w:shd w:val="clear" w:color="auto" w:fill="BEBEBE" w:themeFill="background1" w:themeFillShade="BF"/>
          </w:tcPr>
          <w:p w14:paraId="769C17F0">
            <w:pPr>
              <w:pStyle w:val="154"/>
              <w:spacing w:before="131"/>
              <w:rPr>
                <w:rFonts w:asciiTheme="majorHAnsi" w:hAnsiTheme="majorHAnsi" w:cstheme="majorHAnsi"/>
                <w:color w:val="FF0000"/>
                <w:sz w:val="16"/>
                <w:szCs w:val="16"/>
              </w:rPr>
            </w:pPr>
          </w:p>
          <w:p w14:paraId="5D4F4B32">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HAN002840</w:t>
            </w:r>
          </w:p>
        </w:tc>
        <w:tc>
          <w:tcPr>
            <w:tcW w:w="1712" w:type="dxa"/>
            <w:shd w:val="clear" w:color="auto" w:fill="BEBEBE" w:themeFill="background1" w:themeFillShade="BF"/>
          </w:tcPr>
          <w:p w14:paraId="4604A47D">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3B273BC2">
            <w:pPr>
              <w:pStyle w:val="154"/>
              <w:spacing w:before="131"/>
              <w:rPr>
                <w:rFonts w:asciiTheme="majorHAnsi" w:hAnsiTheme="majorHAnsi" w:cstheme="majorHAnsi"/>
                <w:color w:val="FF0000"/>
                <w:sz w:val="16"/>
                <w:szCs w:val="16"/>
              </w:rPr>
            </w:pPr>
          </w:p>
          <w:p w14:paraId="6B2C4DFA">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1DB85B1F">
            <w:pPr>
              <w:pStyle w:val="154"/>
              <w:spacing w:before="131"/>
              <w:rPr>
                <w:rFonts w:asciiTheme="majorHAnsi" w:hAnsiTheme="majorHAnsi" w:cstheme="majorHAnsi"/>
                <w:color w:val="FF0000"/>
                <w:sz w:val="16"/>
                <w:szCs w:val="16"/>
              </w:rPr>
            </w:pPr>
          </w:p>
          <w:p w14:paraId="448C6BEF">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5A158817">
            <w:pPr>
              <w:pStyle w:val="154"/>
              <w:spacing w:before="131"/>
              <w:rPr>
                <w:rFonts w:asciiTheme="majorHAnsi" w:hAnsiTheme="majorHAnsi" w:cstheme="majorHAnsi"/>
                <w:color w:val="FF0000"/>
                <w:sz w:val="16"/>
                <w:szCs w:val="16"/>
              </w:rPr>
            </w:pPr>
          </w:p>
          <w:p w14:paraId="0712B326">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280651</w:t>
            </w:r>
          </w:p>
        </w:tc>
        <w:tc>
          <w:tcPr>
            <w:tcW w:w="925" w:type="dxa"/>
            <w:shd w:val="clear" w:color="auto" w:fill="BEBEBE" w:themeFill="background1" w:themeFillShade="BF"/>
          </w:tcPr>
          <w:p w14:paraId="736F75A5">
            <w:pPr>
              <w:pStyle w:val="154"/>
              <w:spacing w:before="131"/>
              <w:rPr>
                <w:rFonts w:asciiTheme="majorHAnsi" w:hAnsiTheme="majorHAnsi" w:cstheme="majorHAnsi"/>
                <w:color w:val="FF0000"/>
                <w:sz w:val="16"/>
                <w:szCs w:val="16"/>
              </w:rPr>
            </w:pPr>
          </w:p>
          <w:p w14:paraId="160127AA">
            <w:pPr>
              <w:pStyle w:val="154"/>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667270</w:t>
            </w:r>
          </w:p>
        </w:tc>
        <w:tc>
          <w:tcPr>
            <w:tcW w:w="1469" w:type="dxa"/>
            <w:shd w:val="clear" w:color="auto" w:fill="BEBEBE" w:themeFill="background1" w:themeFillShade="BF"/>
          </w:tcPr>
          <w:p w14:paraId="455B6DD0">
            <w:pPr>
              <w:pStyle w:val="154"/>
              <w:spacing w:before="131"/>
              <w:rPr>
                <w:rFonts w:asciiTheme="majorHAnsi" w:hAnsiTheme="majorHAnsi" w:cstheme="majorHAnsi"/>
                <w:color w:val="FF0000"/>
                <w:sz w:val="16"/>
                <w:szCs w:val="16"/>
              </w:rPr>
            </w:pPr>
          </w:p>
          <w:p w14:paraId="5F90A239">
            <w:pPr>
              <w:pStyle w:val="154"/>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2D1B2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30" w:hRule="atLeast"/>
        </w:trPr>
        <w:tc>
          <w:tcPr>
            <w:tcW w:w="1601" w:type="dxa"/>
            <w:shd w:val="clear" w:color="auto" w:fill="BEBEBE" w:themeFill="background1" w:themeFillShade="BF"/>
          </w:tcPr>
          <w:p w14:paraId="4D330F2B">
            <w:pPr>
              <w:pStyle w:val="154"/>
              <w:spacing w:before="134"/>
              <w:rPr>
                <w:rFonts w:asciiTheme="majorHAnsi" w:hAnsiTheme="majorHAnsi" w:cstheme="majorHAnsi"/>
                <w:color w:val="FF0000"/>
                <w:sz w:val="16"/>
                <w:szCs w:val="16"/>
              </w:rPr>
            </w:pPr>
          </w:p>
          <w:p w14:paraId="3AD9C5F4">
            <w:pPr>
              <w:pStyle w:val="154"/>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HAN002841</w:t>
            </w:r>
          </w:p>
        </w:tc>
        <w:tc>
          <w:tcPr>
            <w:tcW w:w="1712" w:type="dxa"/>
            <w:shd w:val="clear" w:color="auto" w:fill="BEBEBE" w:themeFill="background1" w:themeFillShade="BF"/>
          </w:tcPr>
          <w:p w14:paraId="4F8BF99B">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47F39297">
            <w:pPr>
              <w:pStyle w:val="154"/>
              <w:spacing w:before="134"/>
              <w:rPr>
                <w:rFonts w:asciiTheme="majorHAnsi" w:hAnsiTheme="majorHAnsi" w:cstheme="majorHAnsi"/>
                <w:color w:val="FF0000"/>
                <w:sz w:val="16"/>
                <w:szCs w:val="16"/>
              </w:rPr>
            </w:pPr>
          </w:p>
          <w:p w14:paraId="664B782E">
            <w:pPr>
              <w:pStyle w:val="154"/>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784E67EE">
            <w:pPr>
              <w:pStyle w:val="154"/>
              <w:spacing w:before="134"/>
              <w:rPr>
                <w:rFonts w:asciiTheme="majorHAnsi" w:hAnsiTheme="majorHAnsi" w:cstheme="majorHAnsi"/>
                <w:color w:val="FF0000"/>
                <w:sz w:val="16"/>
                <w:szCs w:val="16"/>
              </w:rPr>
            </w:pPr>
          </w:p>
          <w:p w14:paraId="72F612E3">
            <w:pPr>
              <w:pStyle w:val="154"/>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653F915D">
            <w:pPr>
              <w:pStyle w:val="154"/>
              <w:spacing w:before="134"/>
              <w:rPr>
                <w:rFonts w:asciiTheme="majorHAnsi" w:hAnsiTheme="majorHAnsi" w:cstheme="majorHAnsi"/>
                <w:color w:val="FF0000"/>
                <w:sz w:val="16"/>
                <w:szCs w:val="16"/>
              </w:rPr>
            </w:pPr>
          </w:p>
          <w:p w14:paraId="52B88336">
            <w:pPr>
              <w:pStyle w:val="154"/>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280656</w:t>
            </w:r>
          </w:p>
        </w:tc>
        <w:tc>
          <w:tcPr>
            <w:tcW w:w="925" w:type="dxa"/>
            <w:shd w:val="clear" w:color="auto" w:fill="BEBEBE" w:themeFill="background1" w:themeFillShade="BF"/>
          </w:tcPr>
          <w:p w14:paraId="0B8E9413">
            <w:pPr>
              <w:pStyle w:val="154"/>
              <w:spacing w:before="134"/>
              <w:rPr>
                <w:rFonts w:asciiTheme="majorHAnsi" w:hAnsiTheme="majorHAnsi" w:cstheme="majorHAnsi"/>
                <w:color w:val="FF0000"/>
                <w:sz w:val="16"/>
                <w:szCs w:val="16"/>
              </w:rPr>
            </w:pPr>
          </w:p>
          <w:p w14:paraId="77D34E21">
            <w:pPr>
              <w:pStyle w:val="154"/>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667271</w:t>
            </w:r>
          </w:p>
        </w:tc>
        <w:tc>
          <w:tcPr>
            <w:tcW w:w="1469" w:type="dxa"/>
            <w:shd w:val="clear" w:color="auto" w:fill="BEBEBE" w:themeFill="background1" w:themeFillShade="BF"/>
          </w:tcPr>
          <w:p w14:paraId="00692ECB">
            <w:pPr>
              <w:pStyle w:val="154"/>
              <w:spacing w:before="134"/>
              <w:rPr>
                <w:rFonts w:asciiTheme="majorHAnsi" w:hAnsiTheme="majorHAnsi" w:cstheme="majorHAnsi"/>
                <w:color w:val="FF0000"/>
                <w:sz w:val="16"/>
                <w:szCs w:val="16"/>
              </w:rPr>
            </w:pPr>
          </w:p>
          <w:p w14:paraId="5E34DD50">
            <w:pPr>
              <w:pStyle w:val="154"/>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5A190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6" w:hRule="atLeast"/>
        </w:trPr>
        <w:tc>
          <w:tcPr>
            <w:tcW w:w="1601" w:type="dxa"/>
            <w:shd w:val="clear" w:color="auto" w:fill="BEBEBE" w:themeFill="background1" w:themeFillShade="BF"/>
          </w:tcPr>
          <w:p w14:paraId="06F6C636">
            <w:pPr>
              <w:pStyle w:val="154"/>
              <w:spacing w:before="133"/>
              <w:rPr>
                <w:rFonts w:asciiTheme="majorHAnsi" w:hAnsiTheme="majorHAnsi" w:cstheme="majorHAnsi"/>
                <w:color w:val="FF0000"/>
                <w:sz w:val="16"/>
                <w:szCs w:val="16"/>
              </w:rPr>
            </w:pPr>
          </w:p>
          <w:p w14:paraId="441EAAC8">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HAN002843</w:t>
            </w:r>
          </w:p>
        </w:tc>
        <w:tc>
          <w:tcPr>
            <w:tcW w:w="1712" w:type="dxa"/>
            <w:shd w:val="clear" w:color="auto" w:fill="BEBEBE" w:themeFill="background1" w:themeFillShade="BF"/>
          </w:tcPr>
          <w:p w14:paraId="678A9817">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4AF9979A">
            <w:pPr>
              <w:pStyle w:val="154"/>
              <w:spacing w:before="133"/>
              <w:rPr>
                <w:rFonts w:asciiTheme="majorHAnsi" w:hAnsiTheme="majorHAnsi" w:cstheme="majorHAnsi"/>
                <w:color w:val="FF0000"/>
                <w:sz w:val="16"/>
                <w:szCs w:val="16"/>
              </w:rPr>
            </w:pPr>
          </w:p>
          <w:p w14:paraId="6439C257">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16E163D1">
            <w:pPr>
              <w:pStyle w:val="154"/>
              <w:spacing w:before="133"/>
              <w:rPr>
                <w:rFonts w:asciiTheme="majorHAnsi" w:hAnsiTheme="majorHAnsi" w:cstheme="majorHAnsi"/>
                <w:color w:val="FF0000"/>
                <w:sz w:val="16"/>
                <w:szCs w:val="16"/>
              </w:rPr>
            </w:pPr>
          </w:p>
          <w:p w14:paraId="5FBF0517">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3E333E17">
            <w:pPr>
              <w:pStyle w:val="154"/>
              <w:spacing w:before="133"/>
              <w:rPr>
                <w:rFonts w:asciiTheme="majorHAnsi" w:hAnsiTheme="majorHAnsi" w:cstheme="majorHAnsi"/>
                <w:color w:val="FF0000"/>
                <w:sz w:val="16"/>
                <w:szCs w:val="16"/>
              </w:rPr>
            </w:pPr>
          </w:p>
          <w:p w14:paraId="4EE1C010">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280660</w:t>
            </w:r>
          </w:p>
        </w:tc>
        <w:tc>
          <w:tcPr>
            <w:tcW w:w="925" w:type="dxa"/>
            <w:shd w:val="clear" w:color="auto" w:fill="BEBEBE" w:themeFill="background1" w:themeFillShade="BF"/>
          </w:tcPr>
          <w:p w14:paraId="4591F922">
            <w:pPr>
              <w:pStyle w:val="154"/>
              <w:spacing w:before="133"/>
              <w:rPr>
                <w:rFonts w:asciiTheme="majorHAnsi" w:hAnsiTheme="majorHAnsi" w:cstheme="majorHAnsi"/>
                <w:color w:val="FF0000"/>
                <w:sz w:val="16"/>
                <w:szCs w:val="16"/>
              </w:rPr>
            </w:pPr>
          </w:p>
          <w:p w14:paraId="0C0F6698">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667274</w:t>
            </w:r>
          </w:p>
        </w:tc>
        <w:tc>
          <w:tcPr>
            <w:tcW w:w="1469" w:type="dxa"/>
            <w:shd w:val="clear" w:color="auto" w:fill="BEBEBE" w:themeFill="background1" w:themeFillShade="BF"/>
          </w:tcPr>
          <w:p w14:paraId="45DF9582">
            <w:pPr>
              <w:pStyle w:val="154"/>
              <w:spacing w:before="133"/>
              <w:rPr>
                <w:rFonts w:asciiTheme="majorHAnsi" w:hAnsiTheme="majorHAnsi" w:cstheme="majorHAnsi"/>
                <w:color w:val="FF0000"/>
                <w:sz w:val="16"/>
                <w:szCs w:val="16"/>
              </w:rPr>
            </w:pPr>
          </w:p>
          <w:p w14:paraId="2D777039">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r w14:paraId="0AE5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hemeFill="background1" w:themeFillShade="BF"/>
          <w:tblCellMar>
            <w:top w:w="0" w:type="dxa"/>
            <w:left w:w="0" w:type="dxa"/>
            <w:bottom w:w="0" w:type="dxa"/>
            <w:right w:w="0" w:type="dxa"/>
          </w:tblCellMar>
        </w:tblPrEx>
        <w:trPr>
          <w:trHeight w:val="729" w:hRule="atLeast"/>
        </w:trPr>
        <w:tc>
          <w:tcPr>
            <w:tcW w:w="1601" w:type="dxa"/>
            <w:shd w:val="clear" w:color="auto" w:fill="BEBEBE" w:themeFill="background1" w:themeFillShade="BF"/>
          </w:tcPr>
          <w:p w14:paraId="0D0589C1">
            <w:pPr>
              <w:pStyle w:val="154"/>
              <w:spacing w:before="133"/>
              <w:rPr>
                <w:rFonts w:asciiTheme="majorHAnsi" w:hAnsiTheme="majorHAnsi" w:cstheme="majorHAnsi"/>
                <w:color w:val="FF0000"/>
                <w:sz w:val="16"/>
                <w:szCs w:val="16"/>
              </w:rPr>
            </w:pPr>
          </w:p>
          <w:p w14:paraId="2882621E">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pacing w:val="-2"/>
                <w:sz w:val="16"/>
                <w:szCs w:val="16"/>
              </w:rPr>
              <w:t>HAN002844</w:t>
            </w:r>
          </w:p>
        </w:tc>
        <w:tc>
          <w:tcPr>
            <w:tcW w:w="1712" w:type="dxa"/>
            <w:shd w:val="clear" w:color="auto" w:fill="BEBEBE" w:themeFill="background1" w:themeFillShade="BF"/>
          </w:tcPr>
          <w:p w14:paraId="2CFAEACC">
            <w:pPr>
              <w:pStyle w:val="154"/>
              <w:spacing w:before="119"/>
              <w:ind w:left="105"/>
              <w:rPr>
                <w:rFonts w:asciiTheme="majorHAnsi" w:hAnsiTheme="majorHAnsi" w:cstheme="majorHAnsi"/>
                <w:color w:val="FF0000"/>
                <w:sz w:val="16"/>
                <w:szCs w:val="16"/>
              </w:rPr>
            </w:pPr>
            <w:r>
              <w:rPr>
                <w:rFonts w:asciiTheme="majorHAnsi" w:hAnsiTheme="majorHAnsi" w:cstheme="majorHAnsi"/>
                <w:color w:val="FF0000"/>
                <w:spacing w:val="-2"/>
                <w:sz w:val="16"/>
                <w:szCs w:val="16"/>
              </w:rPr>
              <w:t>MAQUINA HEMODIALISE</w:t>
            </w:r>
          </w:p>
        </w:tc>
        <w:tc>
          <w:tcPr>
            <w:tcW w:w="1340" w:type="dxa"/>
            <w:shd w:val="clear" w:color="auto" w:fill="BEBEBE" w:themeFill="background1" w:themeFillShade="BF"/>
          </w:tcPr>
          <w:p w14:paraId="310E5C0B">
            <w:pPr>
              <w:pStyle w:val="154"/>
              <w:spacing w:before="133"/>
              <w:rPr>
                <w:rFonts w:asciiTheme="majorHAnsi" w:hAnsiTheme="majorHAnsi" w:cstheme="majorHAnsi"/>
                <w:color w:val="FF0000"/>
                <w:sz w:val="16"/>
                <w:szCs w:val="16"/>
              </w:rPr>
            </w:pPr>
          </w:p>
          <w:p w14:paraId="0EEDD3DD">
            <w:pPr>
              <w:pStyle w:val="154"/>
              <w:spacing w:before="1"/>
              <w:ind w:left="105"/>
              <w:rPr>
                <w:rFonts w:asciiTheme="majorHAnsi" w:hAnsiTheme="majorHAnsi" w:cstheme="majorHAnsi"/>
                <w:color w:val="FF0000"/>
                <w:sz w:val="16"/>
                <w:szCs w:val="16"/>
              </w:rPr>
            </w:pPr>
            <w:r>
              <w:rPr>
                <w:rFonts w:asciiTheme="majorHAnsi" w:hAnsiTheme="majorHAnsi" w:cstheme="majorHAnsi"/>
                <w:color w:val="FF0000"/>
                <w:sz w:val="16"/>
                <w:szCs w:val="16"/>
              </w:rPr>
              <w:t>B</w:t>
            </w:r>
            <w:r>
              <w:rPr>
                <w:rFonts w:asciiTheme="majorHAnsi" w:hAnsiTheme="majorHAnsi" w:cstheme="majorHAnsi"/>
                <w:color w:val="FF0000"/>
                <w:spacing w:val="-3"/>
                <w:sz w:val="16"/>
                <w:szCs w:val="16"/>
              </w:rPr>
              <w:t xml:space="preserve"> </w:t>
            </w:r>
            <w:r>
              <w:rPr>
                <w:rFonts w:asciiTheme="majorHAnsi" w:hAnsiTheme="majorHAnsi" w:cstheme="majorHAnsi"/>
                <w:color w:val="FF0000"/>
                <w:spacing w:val="-2"/>
                <w:sz w:val="16"/>
                <w:szCs w:val="16"/>
              </w:rPr>
              <w:t>BRAUN</w:t>
            </w:r>
          </w:p>
        </w:tc>
        <w:tc>
          <w:tcPr>
            <w:tcW w:w="1208" w:type="dxa"/>
            <w:shd w:val="clear" w:color="auto" w:fill="BEBEBE" w:themeFill="background1" w:themeFillShade="BF"/>
          </w:tcPr>
          <w:p w14:paraId="54E56BCC">
            <w:pPr>
              <w:pStyle w:val="154"/>
              <w:spacing w:before="133"/>
              <w:rPr>
                <w:rFonts w:asciiTheme="majorHAnsi" w:hAnsiTheme="majorHAnsi" w:cstheme="majorHAnsi"/>
                <w:color w:val="FF0000"/>
                <w:sz w:val="16"/>
                <w:szCs w:val="16"/>
              </w:rPr>
            </w:pPr>
          </w:p>
          <w:p w14:paraId="006558E4">
            <w:pPr>
              <w:pStyle w:val="154"/>
              <w:spacing w:before="1"/>
              <w:ind w:left="107"/>
              <w:rPr>
                <w:rFonts w:asciiTheme="majorHAnsi" w:hAnsiTheme="majorHAnsi" w:cstheme="majorHAnsi"/>
                <w:color w:val="FF0000"/>
                <w:sz w:val="16"/>
                <w:szCs w:val="16"/>
              </w:rPr>
            </w:pPr>
            <w:r>
              <w:rPr>
                <w:rFonts w:asciiTheme="majorHAnsi" w:hAnsiTheme="majorHAnsi" w:cstheme="majorHAnsi"/>
                <w:color w:val="FF0000"/>
                <w:sz w:val="16"/>
                <w:szCs w:val="16"/>
              </w:rPr>
              <w:t>DIALOG</w:t>
            </w:r>
            <w:r>
              <w:rPr>
                <w:rFonts w:asciiTheme="majorHAnsi" w:hAnsiTheme="majorHAnsi" w:cstheme="majorHAnsi"/>
                <w:color w:val="FF0000"/>
                <w:spacing w:val="-5"/>
                <w:sz w:val="16"/>
                <w:szCs w:val="16"/>
              </w:rPr>
              <w:t xml:space="preserve"> </w:t>
            </w:r>
            <w:r>
              <w:rPr>
                <w:rFonts w:asciiTheme="majorHAnsi" w:hAnsiTheme="majorHAnsi" w:cstheme="majorHAnsi"/>
                <w:color w:val="FF0000"/>
                <w:spacing w:val="-10"/>
                <w:sz w:val="16"/>
                <w:szCs w:val="16"/>
              </w:rPr>
              <w:t>+</w:t>
            </w:r>
          </w:p>
        </w:tc>
        <w:tc>
          <w:tcPr>
            <w:tcW w:w="886" w:type="dxa"/>
            <w:shd w:val="clear" w:color="auto" w:fill="BEBEBE" w:themeFill="background1" w:themeFillShade="BF"/>
          </w:tcPr>
          <w:p w14:paraId="4B0FC5E5">
            <w:pPr>
              <w:pStyle w:val="154"/>
              <w:spacing w:before="133"/>
              <w:rPr>
                <w:rFonts w:asciiTheme="majorHAnsi" w:hAnsiTheme="majorHAnsi" w:cstheme="majorHAnsi"/>
                <w:color w:val="FF0000"/>
                <w:sz w:val="16"/>
                <w:szCs w:val="16"/>
              </w:rPr>
            </w:pPr>
          </w:p>
          <w:p w14:paraId="3727BC55">
            <w:pPr>
              <w:pStyle w:val="154"/>
              <w:spacing w:before="1"/>
              <w:ind w:right="6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280661</w:t>
            </w:r>
          </w:p>
        </w:tc>
        <w:tc>
          <w:tcPr>
            <w:tcW w:w="925" w:type="dxa"/>
            <w:shd w:val="clear" w:color="auto" w:fill="BEBEBE" w:themeFill="background1" w:themeFillShade="BF"/>
          </w:tcPr>
          <w:p w14:paraId="0A70DE73">
            <w:pPr>
              <w:pStyle w:val="154"/>
              <w:spacing w:before="133"/>
              <w:rPr>
                <w:rFonts w:asciiTheme="majorHAnsi" w:hAnsiTheme="majorHAnsi" w:cstheme="majorHAnsi"/>
                <w:color w:val="FF0000"/>
                <w:sz w:val="16"/>
                <w:szCs w:val="16"/>
              </w:rPr>
            </w:pPr>
          </w:p>
          <w:p w14:paraId="2712A5E4">
            <w:pPr>
              <w:pStyle w:val="154"/>
              <w:spacing w:before="1"/>
              <w:ind w:right="101"/>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667275</w:t>
            </w:r>
          </w:p>
        </w:tc>
        <w:tc>
          <w:tcPr>
            <w:tcW w:w="1469" w:type="dxa"/>
            <w:shd w:val="clear" w:color="auto" w:fill="BEBEBE" w:themeFill="background1" w:themeFillShade="BF"/>
          </w:tcPr>
          <w:p w14:paraId="1172D394">
            <w:pPr>
              <w:pStyle w:val="154"/>
              <w:spacing w:before="133"/>
              <w:rPr>
                <w:rFonts w:asciiTheme="majorHAnsi" w:hAnsiTheme="majorHAnsi" w:cstheme="majorHAnsi"/>
                <w:color w:val="FF0000"/>
                <w:sz w:val="16"/>
                <w:szCs w:val="16"/>
              </w:rPr>
            </w:pPr>
          </w:p>
          <w:p w14:paraId="7D2B8DA2">
            <w:pPr>
              <w:pStyle w:val="154"/>
              <w:spacing w:before="1"/>
              <w:ind w:right="119"/>
              <w:jc w:val="center"/>
              <w:rPr>
                <w:rFonts w:asciiTheme="majorHAnsi" w:hAnsiTheme="majorHAnsi" w:cstheme="majorHAnsi"/>
                <w:color w:val="FF0000"/>
                <w:sz w:val="16"/>
                <w:szCs w:val="16"/>
              </w:rPr>
            </w:pPr>
            <w:r>
              <w:rPr>
                <w:rFonts w:asciiTheme="majorHAnsi" w:hAnsiTheme="majorHAnsi" w:cstheme="majorHAnsi"/>
                <w:color w:val="FF0000"/>
                <w:spacing w:val="-2"/>
                <w:sz w:val="16"/>
                <w:szCs w:val="16"/>
              </w:rPr>
              <w:t>HEMODIALISE</w:t>
            </w:r>
          </w:p>
        </w:tc>
      </w:tr>
    </w:tbl>
    <w:p w14:paraId="20A813D5">
      <w:pPr>
        <w:pStyle w:val="38"/>
        <w:spacing w:before="120" w:after="120"/>
        <w:ind w:left="0" w:right="-1"/>
        <w:contextualSpacing w:val="0"/>
        <w:jc w:val="both"/>
        <w:rPr>
          <w:rFonts w:asciiTheme="majorHAnsi" w:hAnsiTheme="majorHAnsi" w:cstheme="majorHAnsi"/>
          <w:sz w:val="22"/>
          <w:szCs w:val="22"/>
        </w:rPr>
      </w:pPr>
    </w:p>
    <w:p w14:paraId="6B0DA326">
      <w:pPr>
        <w:pStyle w:val="38"/>
        <w:numPr>
          <w:ilvl w:val="2"/>
          <w:numId w:val="11"/>
        </w:numPr>
        <w:spacing w:before="120" w:after="120"/>
        <w:ind w:left="0" w:right="-1"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JUSTIFICATIVA TÉCNICA DA COMPATIBILIDADE DO ITEM 29</w:t>
      </w:r>
    </w:p>
    <w:p w14:paraId="0538E1AB">
      <w:pPr>
        <w:pStyle w:val="38"/>
        <w:numPr>
          <w:ilvl w:val="2"/>
          <w:numId w:val="11"/>
        </w:numPr>
        <w:spacing w:before="120" w:after="120"/>
        <w:ind w:left="0" w:right="-1" w:firstLine="0"/>
        <w:contextualSpacing w:val="0"/>
        <w:jc w:val="both"/>
        <w:rPr>
          <w:rFonts w:asciiTheme="majorHAnsi" w:hAnsiTheme="majorHAnsi" w:cstheme="majorHAnsi"/>
          <w:sz w:val="22"/>
          <w:szCs w:val="22"/>
        </w:rPr>
      </w:pPr>
      <w:r>
        <w:rPr>
          <w:rFonts w:asciiTheme="majorHAnsi" w:hAnsiTheme="majorHAnsi" w:cstheme="majorHAnsi"/>
          <w:b/>
          <w:bCs/>
          <w:color w:val="EE0000"/>
          <w:sz w:val="22"/>
          <w:szCs w:val="22"/>
        </w:rPr>
        <w:t>Para todos os itens desse certame:</w:t>
      </w:r>
    </w:p>
    <w:p w14:paraId="72361025">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Embalagem primaria acondicionada de acordo com as normas de embalagem que garanta a integridade do produto até o momento de sua utilização, permitindo abertura e transferência com técnica asséptica; conforme RDC nº 751/2022;</w:t>
      </w:r>
    </w:p>
    <w:p w14:paraId="1F165008">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embalagem secundaria deve ser conforme a praxe do fabricante, de forma a garantir a integridade do produto durante o armazenamento até o momento do uso</w:t>
      </w:r>
    </w:p>
    <w:p w14:paraId="36090EA9">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rotulo da embalagem primaria e/ou o próprio produto deve conter informações de identificação e características do produto, tais como: nome do fabricante, lote, data de fabricação, data de validade do produto, método de esterilização, validade da esterilização;</w:t>
      </w:r>
    </w:p>
    <w:p w14:paraId="14843560">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Nome do responsável técnico, registro ANVISA/MS;</w:t>
      </w:r>
    </w:p>
    <w:p w14:paraId="2F005E65">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produto deve obedecer a qualquer legislação que seja inerente ao mesmo.</w:t>
      </w:r>
    </w:p>
    <w:p w14:paraId="3C321D36">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Embalagem primaria e secundaria rotuladas conforme a RDC 751/2022/ANVISA.</w:t>
      </w:r>
    </w:p>
    <w:p w14:paraId="69977642">
      <w:pPr>
        <w:pStyle w:val="38"/>
        <w:numPr>
          <w:ilvl w:val="1"/>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Fica estimado o valor global para futura aquisição em R$ 420.449,80 (Quatrocentos e vinte mil, quarenta e nove reais e oitenta centavos).</w:t>
      </w:r>
    </w:p>
    <w:p w14:paraId="72A0B36A">
      <w:pPr>
        <w:pStyle w:val="38"/>
        <w:numPr>
          <w:ilvl w:val="1"/>
          <w:numId w:val="11"/>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1A0FE9DD">
      <w:pPr>
        <w:pStyle w:val="38"/>
        <w:numPr>
          <w:ilvl w:val="1"/>
          <w:numId w:val="11"/>
        </w:numPr>
        <w:spacing w:before="120" w:after="120"/>
        <w:ind w:left="0" w:right="-1" w:firstLine="0"/>
        <w:contextualSpacing w:val="0"/>
        <w:jc w:val="both"/>
        <w:rPr>
          <w:rFonts w:asciiTheme="majorHAnsi" w:hAnsiTheme="majorHAnsi" w:cstheme="majorHAnsi"/>
          <w:bCs/>
          <w:color w:val="000000" w:themeColor="text1"/>
          <w:sz w:val="22"/>
          <w:szCs w:val="22"/>
          <w14:textFill>
            <w14:solidFill>
              <w14:schemeClr w14:val="tx1"/>
            </w14:solidFill>
          </w14:textFill>
        </w:rPr>
      </w:pPr>
      <w:r>
        <w:rPr>
          <w:rFonts w:asciiTheme="majorHAnsi" w:hAnsiTheme="majorHAnsi" w:cstheme="majorHAnsi"/>
          <w:bCs/>
          <w:color w:val="000000" w:themeColor="text1"/>
          <w:sz w:val="22"/>
          <w:szCs w:val="22"/>
          <w14:textFill>
            <w14:solidFill>
              <w14:schemeClr w14:val="tx1"/>
            </w14:solidFill>
          </w14:textFill>
        </w:rPr>
        <w:t>O objeto desta contratação não se enquadra como sendo de bem de luxo, conforme Decreto nº 10.818, de 27 de setembro de 2021.</w:t>
      </w:r>
    </w:p>
    <w:p w14:paraId="6F8B7C9A">
      <w:pPr>
        <w:pStyle w:val="38"/>
        <w:numPr>
          <w:ilvl w:val="1"/>
          <w:numId w:val="11"/>
        </w:numPr>
        <w:spacing w:before="120" w:after="120"/>
        <w:ind w:left="0" w:right="-1" w:firstLine="0"/>
        <w:contextualSpacing w:val="0"/>
        <w:jc w:val="both"/>
        <w:rPr>
          <w:rFonts w:asciiTheme="majorHAnsi" w:hAnsiTheme="majorHAnsi" w:cstheme="majorHAnsi"/>
          <w:b/>
          <w:color w:val="000000" w:themeColor="text1"/>
          <w:sz w:val="22"/>
          <w:szCs w:val="22"/>
          <w:u w:val="single"/>
          <w14:textFill>
            <w14:solidFill>
              <w14:schemeClr w14:val="tx1"/>
            </w14:solidFill>
          </w14:textFill>
        </w:rPr>
      </w:pPr>
      <w:r>
        <w:rPr>
          <w:rFonts w:asciiTheme="majorHAnsi" w:hAnsiTheme="majorHAnsi" w:cstheme="majorHAnsi"/>
          <w:b/>
          <w:color w:val="000000" w:themeColor="text1"/>
          <w:sz w:val="22"/>
          <w:szCs w:val="22"/>
          <w:u w:val="single"/>
          <w14:textFill>
            <w14:solidFill>
              <w14:schemeClr w14:val="tx1"/>
            </w14:solidFill>
          </w14:textFill>
        </w:rPr>
        <w:t>Da vigência da Ata de Registro de Preços</w:t>
      </w:r>
    </w:p>
    <w:p w14:paraId="55381E6C">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prazo de vigência da ata de registro de preços será de um ano, contado do primeiro dia útil subsequente à data de divulgação no PNCP, e poderá ser prorrogado por igual período, desde que comprovado que o preço é vantajoso para Administração (art. nº 22 do Decreto nº 11.462, de 2023 e art. 84 da Lei nº 14.133/2021).</w:t>
      </w:r>
    </w:p>
    <w:p w14:paraId="64F40673">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contrato decorrente da ata de registro e preços terá sua vigência estabelecida na forma prevista no art. 105 da Lei nº 14.133, de 2021.</w:t>
      </w:r>
    </w:p>
    <w:p w14:paraId="00A8553B">
      <w:pPr>
        <w:pStyle w:val="38"/>
        <w:numPr>
          <w:ilvl w:val="2"/>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É facultada, nos termos do PARECER Nº 00075/2024/DECOR/CGU/AGU e da legislação pertinente, a prorrogação da vigência da Ata de Registro de Preços, bem como a renovação dos quantitativos registrados, desde que demonstrado o interesse público.</w:t>
      </w:r>
    </w:p>
    <w:p w14:paraId="54DA57AE">
      <w:pPr>
        <w:pStyle w:val="38"/>
        <w:numPr>
          <w:ilvl w:val="1"/>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57627E3C">
      <w:pPr>
        <w:pStyle w:val="38"/>
        <w:numPr>
          <w:ilvl w:val="1"/>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7891A8CC">
      <w:pPr>
        <w:pStyle w:val="38"/>
        <w:numPr>
          <w:ilvl w:val="1"/>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Em caso de divergência entre as descrições e especificações constantes do CATMAT e do presente Termo de Referência, prevalecem estas últimas.</w:t>
      </w:r>
    </w:p>
    <w:p w14:paraId="0705949F">
      <w:pPr>
        <w:pStyle w:val="38"/>
        <w:numPr>
          <w:ilvl w:val="1"/>
          <w:numId w:val="11"/>
        </w:numPr>
        <w:spacing w:before="120" w:after="120"/>
        <w:ind w:left="0" w:right="-1" w:firstLine="0"/>
        <w:contextualSpacing w:val="0"/>
        <w:jc w:val="both"/>
        <w:rPr>
          <w:rFonts w:asciiTheme="majorHAnsi" w:hAnsiTheme="majorHAnsi" w:cstheme="majorHAnsi"/>
          <w:bCs/>
          <w:color w:val="EE0000"/>
          <w:sz w:val="22"/>
          <w:szCs w:val="22"/>
        </w:rPr>
      </w:pPr>
      <w:r>
        <w:rPr>
          <w:rFonts w:asciiTheme="majorHAnsi" w:hAnsiTheme="majorHAnsi" w:cstheme="majorHAnsi"/>
          <w:bCs/>
          <w:color w:val="EE0000"/>
          <w:sz w:val="22"/>
          <w:szCs w:val="22"/>
        </w:rPr>
        <w:t>O contrato oferece maior detalhamento das regras que serão aplicadas em relação à vigência da contratação.</w:t>
      </w:r>
    </w:p>
    <w:p w14:paraId="7C234AA2">
      <w:pPr>
        <w:pStyle w:val="38"/>
        <w:numPr>
          <w:ilvl w:val="0"/>
          <w:numId w:val="11"/>
        </w:numPr>
        <w:shd w:val="clear" w:color="auto" w:fill="F1F1F1" w:themeFill="background1" w:themeFillShade="F2"/>
        <w:ind w:left="0" w:firstLine="0"/>
        <w:jc w:val="both"/>
        <w:rPr>
          <w:rFonts w:asciiTheme="majorHAnsi" w:hAnsiTheme="majorHAnsi" w:cstheme="majorHAnsi"/>
          <w:b/>
          <w:bCs/>
          <w:sz w:val="22"/>
          <w:szCs w:val="22"/>
        </w:rPr>
      </w:pPr>
      <w:r>
        <w:rPr>
          <w:rFonts w:asciiTheme="majorHAnsi" w:hAnsiTheme="majorHAnsi" w:cstheme="majorHAnsi"/>
          <w:b/>
          <w:bCs/>
          <w:sz w:val="22"/>
          <w:szCs w:val="22"/>
        </w:rPr>
        <w:t>FUNDAMENTAÇÃO E DESCRIÇÃO DA NECESSIDADE DA CONTRATAÇÃO</w:t>
      </w:r>
    </w:p>
    <w:p w14:paraId="70F335DD">
      <w:pPr>
        <w:pStyle w:val="38"/>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Fundamentação da Contratação e de seus quantitativos encontra-se pormenorizada em tópico específico dos Estudos Técnicos Preliminares, tópico 4, apêndice deste Termo de Referência.</w:t>
      </w:r>
    </w:p>
    <w:p w14:paraId="3D6659CB">
      <w:pPr>
        <w:pStyle w:val="38"/>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objeto da contratação está previsto no Plano de Contratações Anual de 2026, conforme consta das informações básicas desse Termo de Referência.</w:t>
      </w:r>
    </w:p>
    <w:p w14:paraId="1A8F99FD">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Hospital Ana Nery (HAN), enquanto instituição de ensino e unidade de referência de alta complexidade em Cardiologia, Nefrologia (incluindo transplantes e hemodiálise) e Cirurgia Vascular, realiza procedimentos invasivos e cirúrgicos de grande porte que demandam suporte contínuo e ininterrupto de materiais médico-hospitalares. A assistência prestada integralmente pelo Sistema Único de Saúde (SUS) nessas especialidades exige uma infraestrutura de abastecimento altamente responsiva, na qual a disponibilidade de insumos de qualidade superior é condição crítica para a segurança, recuperação e sobrevida dos pacientes.</w:t>
      </w:r>
    </w:p>
    <w:p w14:paraId="12133F34">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presente aquisição tem por finalidade o suprimento de famílias de materiais essenciais e de uso diário, descritas a seguir, indispensáveis à manutenção das atividades das Unidades de Terapia Intensiva (UTIs), Centro Cirúrgico, Enfermarias e Ambulatórios Especializados:</w:t>
      </w:r>
    </w:p>
    <w:p w14:paraId="076C5B87">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Agulhas: Necessárias para acessos vasculares, bloqueios anestésicos, biópsias e administração de terapêutica medicamentosa segura, com estrita observância aos dispositivos de segurança contra acidentes perfurocortantes;</w:t>
      </w:r>
    </w:p>
    <w:p w14:paraId="62FFEEE8">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Drenos: Vitais para o pós-operatório de cirurgias cardíacas e vasculares, garantindo a evacuação eficiente de fluidos e monitoramento de sangramentos;</w:t>
      </w:r>
    </w:p>
    <w:p w14:paraId="0F7D2236">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Filtros: Elementos críticos para a proteção respiratória (HME/Bacteriológico) de pacientes em ventilação mecânica prolongada na UTI e para a retenção de partículas e impurezas em linhas de infusão e soluções;</w:t>
      </w:r>
    </w:p>
    <w:p w14:paraId="4E96229F">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Frascos e Bolsas: Destinados à coleta segura de secreções, drenagens torácicas e abdominais, nutrição enteral, além do manejo de efluentes, exigindo estanqueidade total para evitar contaminação ambiental e ocupacional;</w:t>
      </w:r>
    </w:p>
    <w:p w14:paraId="70BAFFA8">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Caixas Térmicas: Equipamentos de infraestrutura logística interna indispensáveis para a manutenção rigorosa da rede de frio no transporte de termolábeis, medicamentos especiais, hemoderivados e amostras biológicas entre os setores e laboratórios.</w:t>
      </w:r>
    </w:p>
    <w:p w14:paraId="50EEBE53">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No contexto da alta complexidade hospitalar, a qualidade desses itens está diretamente relacionada à sua funcionalidade clínica e desempenho biológico. Os insumos a serem adquiridos devem apresentar estrita conformidade com as normas técnicas (ABNT) e sanitárias (ANVISA) vigentes, atendendo a requisitos de biocompatibilidade e apirogenicidade (para materiais em contato direto com o sistema circulatório, como agulhas e drenos), eficiência de barreira antimicrobiana (para filtros respiratórios) e resistência mecânica a vazamentos (para frascos e bolsas), garantindo resultados assistenciais consistentes e mitigando o risco de eventos adversos ou infecções relacionadas à assistência à saúde (IRAS).</w:t>
      </w:r>
    </w:p>
    <w:p w14:paraId="72085E60">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quantitativos estimados foram dimensionados com base no histórico consolidado de consumo médio mensal extraído dos relatórios do Almoxarifado Central e das subunidades assistenciais do HAN. O cálculo considerou a taxa de ocupação dos leitos críticos, o perfil epidemiológico dos pacientes cardiopatas e nefropatas e o planejamento cirúrgico da instituição. O dimensionamento final visa garantir o abastecimento regular pelo período estimado de 12 (doze) meses, prevendo uma margem técnica de segurança para absorver variações sazonais, picos de demanda assistencial e evitar o risco de desabastecimento de itens de curva A.</w:t>
      </w:r>
    </w:p>
    <w:p w14:paraId="46197C1D">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Diante do exposto, a contratação mostra-se imprescindível para garantir a sustentabilidade operacional e a segurança assistencial do Hospital Ana Nery. A aquisição de materiais médico-hospitalares com especificações técnicas refinadas reafirma o compromisso institucional com a excelência do cuidado baseado em evidências, a segurança do paciente, a eficiência na aplicação dos recursos públicos e a dignidade no atendimento à população usuária do SUS.</w:t>
      </w:r>
    </w:p>
    <w:p w14:paraId="5ABB4C76">
      <w:pPr>
        <w:pStyle w:val="38"/>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Esta Administração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verbis:</w:t>
      </w:r>
      <w:bookmarkStart w:id="93" w:name="art3iii"/>
      <w:bookmarkEnd w:id="93"/>
    </w:p>
    <w:p w14:paraId="5E71223B">
      <w:pPr>
        <w:pStyle w:val="38"/>
        <w:spacing w:before="120" w:after="120"/>
        <w:ind w:left="2268"/>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“Art. 3º O SRP poderá ser adotado quando a Administração julgar pertinente, em especial:</w:t>
      </w:r>
    </w:p>
    <w:p w14:paraId="353B29B2">
      <w:pPr>
        <w:pStyle w:val="18"/>
        <w:spacing w:before="120" w:beforeAutospacing="0" w:after="120" w:afterAutospacing="0"/>
        <w:ind w:left="2268" w:right="-1"/>
        <w:jc w:val="both"/>
        <w:rPr>
          <w:rFonts w:asciiTheme="majorHAnsi" w:hAnsiTheme="majorHAnsi" w:cstheme="majorHAnsi"/>
          <w:color w:val="EE0000"/>
          <w:sz w:val="22"/>
          <w:szCs w:val="22"/>
        </w:rPr>
      </w:pPr>
      <w:r>
        <w:rPr>
          <w:rFonts w:asciiTheme="majorHAnsi" w:hAnsiTheme="majorHAnsi" w:cstheme="majorHAnsi"/>
          <w:color w:val="EE0000"/>
          <w:sz w:val="22"/>
          <w:szCs w:val="22"/>
        </w:rPr>
        <w:t>I - Quando, pelas características do objeto, houver necessidade de contratações permanentes ou frequentes;</w:t>
      </w:r>
    </w:p>
    <w:p w14:paraId="39BB5999">
      <w:pPr>
        <w:pStyle w:val="18"/>
        <w:spacing w:before="120" w:beforeAutospacing="0" w:after="120" w:afterAutospacing="0"/>
        <w:ind w:left="2268" w:right="-1"/>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II - Quando for conveniente a aquisição de bens com previsão de entregas parceladas ou contratação de serviços remunerados por unidade de medida, como quantidade de horas de serviço, postos de trabalho ou em regime de tarefa; </w:t>
      </w:r>
    </w:p>
    <w:p w14:paraId="63690471">
      <w:pPr>
        <w:pStyle w:val="18"/>
        <w:spacing w:before="120" w:beforeAutospacing="0" w:after="120" w:afterAutospacing="0"/>
        <w:ind w:left="2268" w:right="-1"/>
        <w:jc w:val="both"/>
        <w:rPr>
          <w:rFonts w:asciiTheme="majorHAnsi" w:hAnsiTheme="majorHAnsi" w:cstheme="majorHAnsi"/>
          <w:color w:val="EE0000"/>
          <w:sz w:val="22"/>
          <w:szCs w:val="22"/>
        </w:rPr>
      </w:pPr>
      <w:r>
        <w:rPr>
          <w:rFonts w:asciiTheme="majorHAnsi" w:hAnsiTheme="majorHAnsi" w:cstheme="majorHAnsi"/>
          <w:color w:val="EE0000"/>
          <w:sz w:val="22"/>
          <w:szCs w:val="22"/>
        </w:rPr>
        <w:t>[...]</w:t>
      </w:r>
    </w:p>
    <w:p w14:paraId="4EDC564A">
      <w:pPr>
        <w:pStyle w:val="18"/>
        <w:spacing w:before="120" w:beforeAutospacing="0" w:after="120" w:afterAutospacing="0"/>
        <w:ind w:left="2268" w:right="-1"/>
        <w:jc w:val="both"/>
        <w:rPr>
          <w:rFonts w:asciiTheme="majorHAnsi" w:hAnsiTheme="majorHAnsi" w:cstheme="majorHAnsi"/>
          <w:color w:val="EE0000"/>
          <w:sz w:val="22"/>
          <w:szCs w:val="22"/>
        </w:rPr>
      </w:pPr>
      <w:bookmarkStart w:id="94" w:name="art3iiv"/>
      <w:bookmarkEnd w:id="94"/>
      <w:r>
        <w:rPr>
          <w:rFonts w:asciiTheme="majorHAnsi" w:hAnsiTheme="majorHAnsi" w:cstheme="majorHAnsi"/>
          <w:color w:val="EE0000"/>
          <w:sz w:val="22"/>
          <w:szCs w:val="22"/>
        </w:rPr>
        <w:t>V - Quando, pela natureza do objeto, não for possível definir previamente o quantitativo a ser demandado pela Administração.”</w:t>
      </w:r>
    </w:p>
    <w:p w14:paraId="75E73CA8">
      <w:pPr>
        <w:pStyle w:val="38"/>
        <w:numPr>
          <w:ilvl w:val="0"/>
          <w:numId w:val="12"/>
        </w:numPr>
        <w:shd w:val="clear" w:color="auto" w:fill="F1F1F1" w:themeFill="background1" w:themeFillShade="F2"/>
        <w:ind w:left="0" w:firstLine="0"/>
        <w:rPr>
          <w:rFonts w:asciiTheme="majorHAnsi" w:hAnsiTheme="majorHAnsi" w:cstheme="majorHAnsi"/>
          <w:b/>
          <w:bCs/>
          <w:sz w:val="22"/>
          <w:szCs w:val="22"/>
        </w:rPr>
      </w:pPr>
      <w:r>
        <w:rPr>
          <w:rFonts w:asciiTheme="majorHAnsi" w:hAnsiTheme="majorHAnsi" w:cstheme="majorHAnsi"/>
          <w:b/>
          <w:bCs/>
          <w:sz w:val="22"/>
          <w:szCs w:val="22"/>
        </w:rPr>
        <w:t>DESCRIÇÃO DA SOLUÇÃO COMO UM TODO CONSIDERADO O CICLO DE VIDA DO OBJETO E ESPECIFICAÇÃO DO PRODUTO</w:t>
      </w:r>
    </w:p>
    <w:p w14:paraId="430EE8D3">
      <w:pPr>
        <w:pStyle w:val="38"/>
        <w:numPr>
          <w:ilvl w:val="1"/>
          <w:numId w:val="12"/>
        </w:numPr>
        <w:spacing w:before="120" w:after="120"/>
        <w:ind w:left="0" w:firstLine="0"/>
        <w:contextualSpacing w:val="0"/>
        <w:jc w:val="both"/>
        <w:rPr>
          <w:rFonts w:asciiTheme="majorHAnsi" w:hAnsiTheme="majorHAnsi" w:cstheme="majorHAnsi"/>
          <w:sz w:val="22"/>
          <w:szCs w:val="22"/>
        </w:rPr>
      </w:pPr>
      <w:bookmarkStart w:id="95" w:name="_Ref121236534"/>
      <w:r>
        <w:rPr>
          <w:rFonts w:asciiTheme="majorHAnsi" w:hAnsiTheme="majorHAnsi" w:cstheme="majorHAnsi"/>
          <w:sz w:val="22"/>
          <w:szCs w:val="22"/>
        </w:rPr>
        <w:t>A descrição da solução como um todo encontra-se pormenorizada em tópico específico dos Estudos Técnicos Preliminares</w:t>
      </w:r>
      <w:r>
        <w:rPr>
          <w:rFonts w:asciiTheme="majorHAnsi" w:hAnsiTheme="majorHAnsi" w:cstheme="majorHAnsi"/>
          <w:color w:val="0070C0"/>
          <w:sz w:val="22"/>
          <w:szCs w:val="22"/>
        </w:rPr>
        <w:t>, tópico 13</w:t>
      </w:r>
      <w:r>
        <w:rPr>
          <w:rFonts w:asciiTheme="majorHAnsi" w:hAnsiTheme="majorHAnsi" w:cstheme="majorHAnsi"/>
          <w:sz w:val="22"/>
          <w:szCs w:val="22"/>
        </w:rPr>
        <w:t>,  apêndice deste Termo de Referência.</w:t>
      </w:r>
      <w:bookmarkEnd w:id="95"/>
    </w:p>
    <w:p w14:paraId="2E06C0CB">
      <w:pPr>
        <w:pStyle w:val="38"/>
        <w:numPr>
          <w:ilvl w:val="3"/>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presente contratação tem por objetivo a aquisição de curativos correlatos de uso essencial e contínuo, indispensáveis à manutenção da assistência à saúde no Hospital Ana Nery (HAN). Os itens contemplados são padronizados na unidade e integram diretamente os protocolos clínicos e operacionais adotados nas diversas áreas assistenciais, como centro cirúrgico, unidades de terapia intensiva, enfermarias e ambulatórios.</w:t>
      </w:r>
    </w:p>
    <w:p w14:paraId="541EF2ED">
      <w:pPr>
        <w:pStyle w:val="38"/>
        <w:numPr>
          <w:ilvl w:val="3"/>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perfil de atendimento do HAN demanda soluções completas e integradas para o tratamento de complexos</w:t>
      </w:r>
    </w:p>
    <w:p w14:paraId="425A5D5E">
      <w:pPr>
        <w:pStyle w:val="38"/>
        <w:numPr>
          <w:ilvl w:val="3"/>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materiais deverão ser entregues em perfeitas condições de uso, com prazos de validade compatíveis com as normas sanitárias vigentes, embalagens íntegras, identificadas e invioladas, garantindo o pleno suporte aos procedimentos assistenciais. O fornecimento deverá assegurar que o desempenho técnico dos itens, contribua efetivamente para a segurança do paciente, prevenção de infecções e eficácia das intervenções clínicas.</w:t>
      </w:r>
    </w:p>
    <w:p w14:paraId="1FBCAEE0">
      <w:pPr>
        <w:pStyle w:val="38"/>
        <w:numPr>
          <w:ilvl w:val="3"/>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contratada deverá prestar, sempre que solicitada, suporte e esclarecimentos técnicos relativos aos materiais fornecidos, visando orientar as equipes assistenciais e os setores de recebimento quanto ao manuseio adequado, condições de armazenamento, características técnicas e demais informações constantes nas instruções de uso, registros sanitários e documentação dos produtos.</w:t>
      </w:r>
    </w:p>
    <w:p w14:paraId="248D850B">
      <w:pPr>
        <w:pStyle w:val="38"/>
        <w:numPr>
          <w:ilvl w:val="3"/>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As quantidades previstas são estimativas, podendo sofrer variações conforme a demanda assistencial, respeitados os limites máximos estabelecidos para cada item e seus respectivos valores. O método de embalagem e acondicionamento deverá garantir a proteção adequada dos curativos durante o transporte e armazenamento, devendo cada volume estar devidamente identificado e acompanhado de lista discriminando o conteúdo entregue.</w:t>
      </w:r>
    </w:p>
    <w:p w14:paraId="6435BD47">
      <w:pPr>
        <w:pStyle w:val="38"/>
        <w:numPr>
          <w:ilvl w:val="0"/>
          <w:numId w:val="12"/>
        </w:numPr>
        <w:shd w:val="clear" w:color="auto" w:fill="F1F1F1" w:themeFill="background1" w:themeFillShade="F2"/>
        <w:spacing w:before="120" w:after="120"/>
        <w:ind w:left="0" w:firstLine="0"/>
        <w:contextualSpacing w:val="0"/>
        <w:rPr>
          <w:rFonts w:asciiTheme="majorHAnsi" w:hAnsiTheme="majorHAnsi" w:cstheme="majorHAnsi"/>
          <w:b/>
          <w:bCs/>
          <w:sz w:val="22"/>
          <w:szCs w:val="22"/>
        </w:rPr>
      </w:pPr>
      <w:r>
        <w:rPr>
          <w:rFonts w:asciiTheme="majorHAnsi" w:hAnsiTheme="majorHAnsi" w:cstheme="majorHAnsi"/>
          <w:b/>
          <w:bCs/>
          <w:sz w:val="22"/>
          <w:szCs w:val="22"/>
        </w:rPr>
        <w:t>REQUISITOS DA CONTRATAÇÃO</w:t>
      </w:r>
    </w:p>
    <w:p w14:paraId="7CAB352A">
      <w:pPr>
        <w:pStyle w:val="38"/>
        <w:spacing w:before="120" w:after="120"/>
        <w:ind w:left="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Sustentabilidade</w:t>
      </w:r>
    </w:p>
    <w:p w14:paraId="4F238D6F">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Entregar os insumos médico-hospitalares em estrita conformidade com as especificações técnicas, quantitativos e marcas registrados no certame, com todos os recursos logísticos necessários ao perfeito adimplemento das cláusulas contratuais;</w:t>
      </w:r>
    </w:p>
    <w:p w14:paraId="21F5BADC">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Fornecer os materiais na qualidade exigida e dentro dos prazos de validade estabelecidos no instrumento convocatório, em total consonância com a proposta comercial adjudicada;</w:t>
      </w:r>
    </w:p>
    <w:p w14:paraId="6B0E5419">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observância ao art. 5º e ao art. 18, § 1º, inciso XII, da Lei Federal nº 14.133/2021, que estabelecem o desenvolvimento nacional sustentável como princípio e diretriz das contratações públicas, a execução do objeto deverá pautar-se por critérios que minimizem os impactos ambientais e otimizem a responsabilidade social.</w:t>
      </w:r>
    </w:p>
    <w:p w14:paraId="1FBD3C8B">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Sustentabilidade Ambiental e Manejo de Resíduos</w:t>
      </w:r>
      <w:r>
        <w:rPr>
          <w:rFonts w:asciiTheme="majorHAnsi" w:hAnsiTheme="majorHAnsi" w:cstheme="majorHAnsi"/>
          <w:color w:val="EE0000"/>
          <w:sz w:val="22"/>
          <w:szCs w:val="22"/>
        </w:rPr>
        <w:t>: Os produtos fornecidos deverão observar as diretrizes de descarte seguro e gerenciamento de resíduos de serviços de saúde, em conformidade com a Resolução RDC ANVISA nº 222/2018 e com a Política Nacional de Resíduos Sólidos (Lei Federal nº 12.305/2010), mitigando os impactos decorrentes do descarte pós-consumo de plásticos, elastômeros e materiais perfurocortantes ou de controle especial.</w:t>
      </w:r>
    </w:p>
    <w:p w14:paraId="39C864E8">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Logística Reversa e Embalagens:</w:t>
      </w:r>
      <w:r>
        <w:rPr>
          <w:rFonts w:asciiTheme="majorHAnsi" w:hAnsiTheme="majorHAnsi" w:cstheme="majorHAnsi"/>
          <w:color w:val="EE0000"/>
          <w:sz w:val="22"/>
          <w:szCs w:val="22"/>
        </w:rPr>
        <w:t xml:space="preserve"> Estimular-se-á a adoção de embalagens secundárias e caixas de transporte fabricadas com material reciclável, biodegradável ou proveniente de processos de menor impacto ambiental. Os materiais de transporte e acondicionamento deverão ser otimizados para reduzir o volume de resíduos sólidos gerados no ato do recebimento pelo Almoxarifado Central do hospital.</w:t>
      </w:r>
    </w:p>
    <w:p w14:paraId="57D3EBE6">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Regularidade Sanitária e Operacional</w:t>
      </w:r>
      <w:r>
        <w:rPr>
          <w:rFonts w:asciiTheme="majorHAnsi" w:hAnsiTheme="majorHAnsi" w:cstheme="majorHAnsi"/>
          <w:color w:val="EE0000"/>
          <w:sz w:val="22"/>
          <w:szCs w:val="22"/>
        </w:rPr>
        <w:t>: Exigência de que as empresas licitantes cumpram estritamente as obrigações de regularidade perante a vigilância sanitária, apresentando a Autorização de Funcionamento de Empresa (AFE) emitida pela ANVISA aplicável à atividade de comercialização/distribuição de dispositivos médicos, além de garantir que todos os itens entregues possuam registro ou notificação válidos junto ao órgão regulador.</w:t>
      </w:r>
    </w:p>
    <w:p w14:paraId="780DCBAA">
      <w:pPr>
        <w:pStyle w:val="38"/>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Dimensão Social:</w:t>
      </w:r>
      <w:r>
        <w:rPr>
          <w:rFonts w:asciiTheme="majorHAnsi" w:hAnsiTheme="majorHAnsi" w:cstheme="majorHAnsi"/>
          <w:color w:val="EE0000"/>
          <w:sz w:val="22"/>
          <w:szCs w:val="22"/>
        </w:rPr>
        <w:t xml:space="preserve"> A contratada deverá assegurar o cumprimento integral da legislação trabalhista, com estrita observância às Normas Regulamentadoras (NRs) do Ministério do Trabalho e Emprego relativas à segurança, medicina e higiene do trabalho, garantindo a proteção e a saúde dos trabalhadores envolvidos na cadeia logística e de distribuição dos insumos.</w:t>
      </w:r>
    </w:p>
    <w:p w14:paraId="444B354A">
      <w:pPr>
        <w:pStyle w:val="38"/>
        <w:numPr>
          <w:ilvl w:val="1"/>
          <w:numId w:val="12"/>
        </w:numPr>
        <w:spacing w:before="120" w:after="120"/>
        <w:ind w:left="0"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A contratada deverá:</w:t>
      </w:r>
    </w:p>
    <w:p w14:paraId="14482D87">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Entregar os itens conforme especificações deste Termo de Referência e contrato ou instrumento equivalente, com os recursos necessários ao perfeito cumprimento das cláusulas contratuais;</w:t>
      </w:r>
    </w:p>
    <w:p w14:paraId="30075F1F">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Fornecer o material, na qualidade e quantidade especificada, nos termos de sua proposta;</w:t>
      </w:r>
    </w:p>
    <w:p w14:paraId="25D90241">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Logística e Fornecimento:</w:t>
      </w:r>
      <w:r>
        <w:rPr>
          <w:rFonts w:asciiTheme="majorHAnsi" w:hAnsiTheme="majorHAnsi" w:cstheme="majorHAnsi"/>
          <w:color w:val="EE0000"/>
          <w:sz w:val="22"/>
          <w:szCs w:val="22"/>
        </w:rPr>
        <w:t xml:space="preserve"> Entregar os materiais médico-hospitalares em estrita conformidade com as marcas, modelos, quantidades e especificações técnicas homologadas, arcando com o ônus decorrente de eventual equívoco no dimensionamento de seus custos e propostas;</w:t>
      </w:r>
    </w:p>
    <w:p w14:paraId="113830DD">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Regularidade Fiscal e Faturamento:</w:t>
      </w:r>
      <w:r>
        <w:rPr>
          <w:rFonts w:asciiTheme="majorHAnsi" w:hAnsiTheme="majorHAnsi" w:cstheme="majorHAnsi"/>
          <w:color w:val="EE0000"/>
          <w:sz w:val="22"/>
          <w:szCs w:val="22"/>
        </w:rPr>
        <w:t xml:space="preserve"> Emitir os documentos fiscais de faturamento contendo as especificações detalhadas dos materiais fornecidos, valores, número da Nota de Empenho, número do Contrato e a respectiva unidade de saúde destinatária, guardando exata identidade com o instrumento de empenho;</w:t>
      </w:r>
    </w:p>
    <w:p w14:paraId="33B73912">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Alterações Contratuais:</w:t>
      </w:r>
      <w:r>
        <w:rPr>
          <w:rFonts w:asciiTheme="majorHAnsi" w:hAnsiTheme="majorHAnsi" w:cstheme="majorHAnsi"/>
          <w:color w:val="EE0000"/>
          <w:sz w:val="22"/>
          <w:szCs w:val="22"/>
        </w:rPr>
        <w:t xml:space="preserve"> Submeter-se às prerrogativas da Administração relativas aos acréscimos ou supressões do objeto que se fizerem necessários, nos limites estabelecidos no art. 124 da Lei Federal nº 14.133/2021;</w:t>
      </w:r>
    </w:p>
    <w:p w14:paraId="17153684">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Responsabilidade Integral:</w:t>
      </w:r>
      <w:r>
        <w:rPr>
          <w:rFonts w:asciiTheme="majorHAnsi" w:hAnsiTheme="majorHAnsi" w:cstheme="majorHAnsi"/>
          <w:color w:val="EE0000"/>
          <w:sz w:val="22"/>
          <w:szCs w:val="22"/>
        </w:rPr>
        <w:t xml:space="preserve"> Manter, durante toda a execução do contrato, a compatibilidade com as obrigações assumidas e a habilitação exigida no certame, responsabilizando-se civil e administrativamente por danos causados à Administração ou a terceiros, bem como pelo adimplemento de todos os encargos trabalhistas, previdenciários, fiscais e comerciais decorrentes da execução contratual, nos termos do art. 120 da Lei Federal nº 14.133/2021;</w:t>
      </w:r>
    </w:p>
    <w:p w14:paraId="23D92AAA">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Acompanhamento e Presteza:</w:t>
      </w:r>
      <w:r>
        <w:rPr>
          <w:rFonts w:asciiTheme="majorHAnsi" w:hAnsiTheme="majorHAnsi" w:cstheme="majorHAnsi"/>
          <w:color w:val="EE0000"/>
          <w:sz w:val="22"/>
          <w:szCs w:val="22"/>
        </w:rPr>
        <w:t xml:space="preserve"> Prestar com presteza todos os esclarecimentos e atender prontamente às notificações e reclamações formais emitidas pela fiscalização do Hospital Ana Nery.</w:t>
      </w:r>
    </w:p>
    <w:p w14:paraId="5D4684E3">
      <w:pPr>
        <w:pStyle w:val="38"/>
        <w:numPr>
          <w:ilvl w:val="1"/>
          <w:numId w:val="12"/>
        </w:numPr>
        <w:spacing w:before="120" w:after="120"/>
        <w:ind w:left="0" w:firstLine="0"/>
        <w:contextualSpacing w:val="0"/>
        <w:jc w:val="both"/>
        <w:rPr>
          <w:rFonts w:asciiTheme="majorHAnsi" w:hAnsiTheme="majorHAnsi" w:cstheme="majorHAnsi"/>
          <w:b/>
          <w:bCs/>
          <w:color w:val="EE0000"/>
          <w:sz w:val="22"/>
          <w:szCs w:val="22"/>
          <w:u w:val="single"/>
        </w:rPr>
      </w:pPr>
      <w:r>
        <w:rPr>
          <w:rFonts w:asciiTheme="majorHAnsi" w:hAnsiTheme="majorHAnsi" w:cstheme="majorHAnsi"/>
          <w:b/>
          <w:bCs/>
          <w:color w:val="EE0000"/>
          <w:sz w:val="22"/>
          <w:szCs w:val="22"/>
          <w:u w:val="single"/>
        </w:rPr>
        <w:t>São expressamente vedadas à Empresa:</w:t>
      </w:r>
    </w:p>
    <w:p w14:paraId="7564DD17">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veiculação de publicidade acerca deste Termo de Referência e do contrato, salvo se houver prévia autorização da Administração;</w:t>
      </w:r>
    </w:p>
    <w:p w14:paraId="3982B963">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subcontratação ou transferência total ou parcial das responsabilidades assumidas para terceiros (sejam fabricantes, distribuidores ou subempreiteiros), sem a anuência prévia, formal e motivada da Administração Pública, mantendo-se a responsabilidade integral da adjudicatária pela execução do objeto.</w:t>
      </w:r>
    </w:p>
    <w:p w14:paraId="670ED285">
      <w:pPr>
        <w:pStyle w:val="38"/>
        <w:spacing w:before="120" w:after="120"/>
        <w:ind w:left="0"/>
        <w:contextualSpacing w:val="0"/>
        <w:jc w:val="both"/>
        <w:rPr>
          <w:rFonts w:asciiTheme="majorHAnsi" w:hAnsiTheme="majorHAnsi" w:cstheme="majorHAnsi"/>
          <w:color w:val="EE0000"/>
          <w:sz w:val="22"/>
          <w:szCs w:val="22"/>
        </w:rPr>
      </w:pPr>
      <w:r>
        <w:rPr>
          <w:rFonts w:asciiTheme="majorHAnsi" w:hAnsiTheme="majorHAnsi" w:cstheme="majorHAnsi"/>
          <w:b/>
          <w:bCs/>
          <w:sz w:val="22"/>
          <w:szCs w:val="22"/>
          <w:u w:val="single"/>
        </w:rPr>
        <w:t>Da exigência de amostra</w:t>
      </w:r>
    </w:p>
    <w:p w14:paraId="3EAF2410">
      <w:pPr>
        <w:pStyle w:val="38"/>
        <w:numPr>
          <w:ilvl w:val="1"/>
          <w:numId w:val="12"/>
        </w:numPr>
        <w:spacing w:before="120" w:after="120"/>
        <w:ind w:left="0" w:firstLine="0"/>
        <w:contextualSpacing w:val="0"/>
        <w:jc w:val="both"/>
        <w:rPr>
          <w:rFonts w:asciiTheme="majorHAnsi" w:hAnsiTheme="majorHAnsi" w:cstheme="majorHAnsi"/>
          <w:sz w:val="22"/>
          <w:szCs w:val="22"/>
        </w:rPr>
      </w:pPr>
      <w:bookmarkStart w:id="96" w:name="_Hlk219196380"/>
      <w:r>
        <w:rPr>
          <w:rFonts w:asciiTheme="majorHAnsi" w:hAnsiTheme="majorHAnsi" w:cstheme="majorHAnsi"/>
          <w:sz w:val="22"/>
          <w:szCs w:val="22"/>
        </w:rPr>
        <w:t xml:space="preserve">Havendo o aceite da proposta quanto ao valor, o Fornecedor classificado provisoriamente em primeiro lugar, quando solicitado pelo pregoeiro, </w:t>
      </w:r>
      <w:r>
        <w:rPr>
          <w:rFonts w:asciiTheme="majorHAnsi" w:hAnsiTheme="majorHAnsi" w:cstheme="majorHAnsi"/>
          <w:color w:val="000000" w:themeColor="text1"/>
          <w:sz w:val="22"/>
          <w:szCs w:val="22"/>
          <w14:textFill>
            <w14:solidFill>
              <w14:schemeClr w14:val="tx1"/>
            </w14:solidFill>
          </w14:textFill>
        </w:rPr>
        <w:t>deverá apresentar amostra</w:t>
      </w:r>
      <w:r>
        <w:rPr>
          <w:rFonts w:asciiTheme="majorHAnsi" w:hAnsiTheme="majorHAnsi" w:cstheme="majorHAnsi"/>
          <w:sz w:val="22"/>
          <w:szCs w:val="22"/>
        </w:rPr>
        <w:t>, que terá data, local e horário de sua entrega divulgados por mensagem no sistema, cuja presença será facultada a todos os interessados, incluindo os demais fornecedores interessados.</w:t>
      </w:r>
    </w:p>
    <w:bookmarkEnd w:id="96"/>
    <w:p w14:paraId="60075B4B">
      <w:pPr>
        <w:pStyle w:val="38"/>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seja necessário o Pregoeiro poderá exigir do fornecedor amostras de todos os itens.</w:t>
      </w:r>
    </w:p>
    <w:p w14:paraId="15463227">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As amostras deverão ser entregues no endereço </w:t>
      </w:r>
      <w:r>
        <w:rPr>
          <w:rFonts w:asciiTheme="majorHAnsi" w:hAnsiTheme="majorHAnsi" w:cstheme="majorHAnsi"/>
          <w:b/>
          <w:bCs/>
          <w:color w:val="EE0000"/>
          <w:sz w:val="22"/>
          <w:szCs w:val="22"/>
          <w:u w:val="single"/>
        </w:rPr>
        <w:t>devidamente identificada</w:t>
      </w:r>
      <w:r>
        <w:rPr>
          <w:rFonts w:asciiTheme="majorHAnsi" w:hAnsiTheme="majorHAnsi" w:cstheme="majorHAnsi"/>
          <w:color w:val="EE0000"/>
          <w:sz w:val="22"/>
          <w:szCs w:val="22"/>
        </w:rPr>
        <w:t xml:space="preserve"> na forma que segue:</w:t>
      </w:r>
    </w:p>
    <w:p w14:paraId="40FEB6D8">
      <w:pPr>
        <w:spacing w:before="120" w:after="120"/>
        <w:jc w:val="both"/>
        <w:rPr>
          <w:rFonts w:asciiTheme="majorHAnsi" w:hAnsiTheme="majorHAnsi" w:cstheme="majorHAnsi"/>
          <w:color w:val="EE0000"/>
          <w:sz w:val="22"/>
          <w:szCs w:val="22"/>
        </w:rPr>
      </w:pPr>
    </w:p>
    <w:p w14:paraId="06B94A8C">
      <w:pPr>
        <w:pStyle w:val="38"/>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bookmarkStart w:id="97" w:name="_Hlk230260820"/>
      <w:r>
        <w:rPr>
          <w:rFonts w:asciiTheme="majorHAnsi" w:hAnsiTheme="majorHAnsi" w:cstheme="majorHAnsi"/>
          <w:b/>
          <w:bCs/>
          <w:color w:val="EE0000"/>
          <w:sz w:val="22"/>
          <w:szCs w:val="22"/>
        </w:rPr>
        <w:t xml:space="preserve">DESTINATÁRIO: </w:t>
      </w:r>
      <w:r>
        <w:rPr>
          <w:rFonts w:asciiTheme="majorHAnsi" w:hAnsiTheme="majorHAnsi" w:cstheme="majorHAnsi"/>
          <w:color w:val="EE0000"/>
          <w:sz w:val="22"/>
          <w:szCs w:val="22"/>
        </w:rPr>
        <w:t>COMPLEXO HOSPITALAR E DE SAÚDE DA UFBA A/C: PREGOEIRO(A) / EQUIPE DE APOIO (LICITAÇÃO)</w:t>
      </w:r>
    </w:p>
    <w:p w14:paraId="0D6D9AAE">
      <w:pPr>
        <w:pStyle w:val="38"/>
        <w:pBdr>
          <w:top w:val="single" w:color="auto" w:sz="4" w:space="1"/>
          <w:left w:val="single" w:color="auto" w:sz="4" w:space="4"/>
          <w:bottom w:val="single" w:color="auto" w:sz="4" w:space="1"/>
          <w:right w:val="single" w:color="auto" w:sz="4" w:space="4"/>
        </w:pBdr>
        <w:jc w:val="both"/>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ENDEREÇO DE ENTREGA: </w:t>
      </w:r>
      <w:r>
        <w:rPr>
          <w:rFonts w:asciiTheme="majorHAnsi" w:hAnsiTheme="majorHAnsi" w:cstheme="majorHAnsi"/>
          <w:color w:val="EE0000"/>
          <w:sz w:val="22"/>
          <w:szCs w:val="22"/>
        </w:rPr>
        <w:t xml:space="preserve">Campus Universitário de Ondina, PAF IV, Rua Barão de Jeremoabo, s/n, 1º andar Bairro: Ondina | CEP: 40170-115 | Salvador - BA Telefone: (71) 3283-5846 | E-mail: </w:t>
      </w:r>
      <w:r>
        <w:fldChar w:fldCharType="begin"/>
      </w:r>
      <w:r>
        <w:instrText xml:space="preserve"> HYPERLINK "mailto:licitacaosiunis@ufba.br" </w:instrText>
      </w:r>
      <w:r>
        <w:fldChar w:fldCharType="separate"/>
      </w:r>
      <w:r>
        <w:rPr>
          <w:rStyle w:val="15"/>
          <w:rFonts w:asciiTheme="majorHAnsi" w:hAnsiTheme="majorHAnsi" w:cstheme="majorHAnsi"/>
          <w:color w:val="EE0000"/>
          <w:sz w:val="22"/>
          <w:szCs w:val="22"/>
        </w:rPr>
        <w:t>licitacaosiunis@ufba.br</w:t>
      </w:r>
      <w:r>
        <w:rPr>
          <w:rStyle w:val="15"/>
          <w:rFonts w:asciiTheme="majorHAnsi" w:hAnsiTheme="majorHAnsi" w:cstheme="majorHAnsi"/>
          <w:color w:val="EE0000"/>
          <w:sz w:val="22"/>
          <w:szCs w:val="22"/>
        </w:rPr>
        <w:fldChar w:fldCharType="end"/>
      </w:r>
    </w:p>
    <w:p w14:paraId="40D3B311">
      <w:pPr>
        <w:pStyle w:val="38"/>
        <w:pBdr>
          <w:top w:val="single" w:color="auto" w:sz="4" w:space="1"/>
          <w:left w:val="single" w:color="auto" w:sz="4" w:space="4"/>
          <w:bottom w:val="single" w:color="auto" w:sz="4" w:space="1"/>
          <w:right w:val="single" w:color="auto" w:sz="4" w:space="4"/>
        </w:pBdr>
        <w:rPr>
          <w:rFonts w:asciiTheme="majorHAnsi" w:hAnsiTheme="majorHAnsi" w:cstheme="majorHAnsi"/>
          <w:b/>
          <w:bCs/>
          <w:color w:val="EE0000"/>
          <w:sz w:val="22"/>
          <w:szCs w:val="22"/>
        </w:rPr>
      </w:pPr>
      <w:r>
        <w:rPr>
          <w:rFonts w:asciiTheme="majorHAnsi" w:hAnsiTheme="majorHAnsi" w:cstheme="majorHAnsi"/>
          <w:b/>
          <w:bCs/>
          <w:color w:val="EE0000"/>
          <w:sz w:val="22"/>
          <w:szCs w:val="22"/>
        </w:rPr>
        <w:t>IDENTIFICAÇÃO DO CERTAME (PROCESSO):</w:t>
      </w:r>
    </w:p>
    <w:p w14:paraId="14897350">
      <w:pPr>
        <w:pStyle w:val="38"/>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PREGÃO ELETRÔNICO Nº: 90086/2026</w:t>
      </w:r>
    </w:p>
    <w:p w14:paraId="78197942">
      <w:pPr>
        <w:pStyle w:val="38"/>
        <w:pBdr>
          <w:top w:val="single" w:color="auto" w:sz="4" w:space="1"/>
          <w:left w:val="single" w:color="auto" w:sz="4" w:space="4"/>
          <w:bottom w:val="single" w:color="auto" w:sz="4" w:space="1"/>
          <w:right w:val="single" w:color="auto" w:sz="4" w:space="4"/>
        </w:pBdr>
        <w:rPr>
          <w:rFonts w:eastAsia="Times New Roman" w:asciiTheme="majorHAnsi" w:hAnsiTheme="majorHAnsi" w:cstheme="majorHAnsi"/>
          <w:b/>
          <w:bCs/>
          <w:color w:val="EE0000"/>
          <w:sz w:val="22"/>
          <w:szCs w:val="22"/>
        </w:rPr>
      </w:pPr>
      <w:r>
        <w:rPr>
          <w:rFonts w:asciiTheme="majorHAnsi" w:hAnsiTheme="majorHAnsi" w:cstheme="majorHAnsi"/>
          <w:b/>
          <w:bCs/>
          <w:color w:val="EE0000"/>
          <w:sz w:val="22"/>
          <w:szCs w:val="22"/>
        </w:rPr>
        <w:t>PROCESSO ADMINISTRATIVO Nº:</w:t>
      </w:r>
      <w:r>
        <w:rPr>
          <w:rFonts w:asciiTheme="majorHAnsi" w:hAnsiTheme="majorHAnsi" w:cstheme="majorHAnsi"/>
          <w:color w:val="EE0000"/>
          <w:sz w:val="22"/>
          <w:szCs w:val="22"/>
        </w:rPr>
        <w:t xml:space="preserve"> </w:t>
      </w:r>
      <w:r>
        <w:rPr>
          <w:rFonts w:asciiTheme="majorHAnsi" w:hAnsiTheme="majorHAnsi" w:cstheme="majorHAnsi"/>
          <w:b/>
          <w:bCs/>
          <w:color w:val="EE0000"/>
          <w:sz w:val="22"/>
          <w:szCs w:val="22"/>
        </w:rPr>
        <w:t>23066.033818/2026-97</w:t>
      </w:r>
      <w:r>
        <w:rPr>
          <w:rFonts w:eastAsia="Times New Roman" w:asciiTheme="majorHAnsi" w:hAnsiTheme="majorHAnsi" w:cstheme="majorHAnsi"/>
          <w:b/>
          <w:bCs/>
          <w:color w:val="EE0000"/>
          <w:sz w:val="22"/>
          <w:szCs w:val="22"/>
        </w:rPr>
        <w:t>/SIPAC</w:t>
      </w:r>
    </w:p>
    <w:p w14:paraId="044DD7D6">
      <w:pPr>
        <w:pStyle w:val="38"/>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IDENTIFICAÇÃO DOS ITENS: </w:t>
      </w:r>
      <w:r>
        <w:rPr>
          <w:rFonts w:asciiTheme="majorHAnsi" w:hAnsiTheme="majorHAnsi" w:cstheme="majorHAnsi"/>
          <w:color w:val="EE0000"/>
          <w:sz w:val="22"/>
          <w:szCs w:val="22"/>
        </w:rPr>
        <w:t>LOTE e ITEM: (     )  /  ITEM: [    ]</w:t>
      </w:r>
    </w:p>
    <w:p w14:paraId="395DCDC9">
      <w:pPr>
        <w:pStyle w:val="38"/>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CONTEÚDO:</w:t>
      </w:r>
      <w:r>
        <w:rPr>
          <w:rFonts w:asciiTheme="majorHAnsi" w:hAnsiTheme="majorHAnsi" w:cstheme="majorHAnsi"/>
          <w:color w:val="EE0000"/>
          <w:sz w:val="22"/>
          <w:szCs w:val="22"/>
        </w:rPr>
        <w:t xml:space="preserve"> AMOSTRA PARA ANÁLISE TÉCNICA (Não incorporar ao estoque)</w:t>
      </w:r>
    </w:p>
    <w:p w14:paraId="5EAC75D4">
      <w:pPr>
        <w:pStyle w:val="38"/>
        <w:pBdr>
          <w:top w:val="single" w:color="auto" w:sz="4" w:space="1"/>
          <w:left w:val="single" w:color="auto" w:sz="4" w:space="4"/>
          <w:bottom w:val="single" w:color="auto" w:sz="4" w:space="1"/>
          <w:right w:val="single" w:color="auto" w:sz="4" w:space="4"/>
        </w:pBdr>
        <w:rPr>
          <w:rFonts w:asciiTheme="majorHAnsi" w:hAnsiTheme="majorHAnsi" w:cstheme="majorHAnsi"/>
          <w:b/>
          <w:bCs/>
          <w:color w:val="EE0000"/>
          <w:sz w:val="22"/>
          <w:szCs w:val="22"/>
        </w:rPr>
      </w:pPr>
    </w:p>
    <w:p w14:paraId="19312FBE">
      <w:pPr>
        <w:pStyle w:val="38"/>
        <w:pBdr>
          <w:top w:val="single" w:color="auto" w:sz="4" w:space="1"/>
          <w:left w:val="single" w:color="auto" w:sz="4" w:space="4"/>
          <w:bottom w:val="single" w:color="auto" w:sz="4" w:space="1"/>
          <w:right w:val="single" w:color="auto" w:sz="4" w:space="4"/>
        </w:pBdr>
        <w:rPr>
          <w:rFonts w:asciiTheme="majorHAnsi" w:hAnsiTheme="majorHAnsi" w:cstheme="majorHAnsi"/>
          <w:b/>
          <w:bCs/>
          <w:color w:val="EE0000"/>
          <w:sz w:val="22"/>
          <w:szCs w:val="22"/>
        </w:rPr>
      </w:pPr>
      <w:r>
        <w:rPr>
          <w:rFonts w:asciiTheme="majorHAnsi" w:hAnsiTheme="majorHAnsi" w:cstheme="majorHAnsi"/>
          <w:b/>
          <w:bCs/>
          <w:color w:val="EE0000"/>
          <w:sz w:val="22"/>
          <w:szCs w:val="22"/>
        </w:rPr>
        <w:t>REMETENTE (LICITANTE):</w:t>
      </w:r>
    </w:p>
    <w:p w14:paraId="0F014AD1">
      <w:pPr>
        <w:pStyle w:val="38"/>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RAZÃO SOCIAL:</w:t>
      </w:r>
      <w:r>
        <w:rPr>
          <w:rFonts w:asciiTheme="majorHAnsi" w:hAnsiTheme="majorHAnsi" w:cstheme="majorHAnsi"/>
          <w:color w:val="EE0000"/>
          <w:sz w:val="22"/>
          <w:szCs w:val="22"/>
        </w:rPr>
        <w:t xml:space="preserve"> [Nome da Empresa]</w:t>
      </w:r>
    </w:p>
    <w:p w14:paraId="3F9FEFA5">
      <w:pPr>
        <w:pStyle w:val="38"/>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CNPJ:</w:t>
      </w:r>
      <w:r>
        <w:rPr>
          <w:rFonts w:asciiTheme="majorHAnsi" w:hAnsiTheme="majorHAnsi" w:cstheme="majorHAnsi"/>
          <w:color w:val="EE0000"/>
          <w:sz w:val="22"/>
          <w:szCs w:val="22"/>
        </w:rPr>
        <w:t xml:space="preserve"> [00.000.000/0001-00]</w:t>
      </w:r>
    </w:p>
    <w:p w14:paraId="75B95DDC">
      <w:pPr>
        <w:pStyle w:val="38"/>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CONTATO DA EMPRESA:</w:t>
      </w:r>
      <w:r>
        <w:rPr>
          <w:rFonts w:asciiTheme="majorHAnsi" w:hAnsiTheme="majorHAnsi" w:cstheme="majorHAnsi"/>
          <w:color w:val="EE0000"/>
          <w:sz w:val="22"/>
          <w:szCs w:val="22"/>
        </w:rPr>
        <w:t xml:space="preserve"> [Nome do responsável, telefone e e-mail]</w:t>
      </w:r>
    </w:p>
    <w:bookmarkEnd w:id="97"/>
    <w:p w14:paraId="6352C7B7">
      <w:pPr>
        <w:pStyle w:val="38"/>
        <w:numPr>
          <w:ilvl w:val="2"/>
          <w:numId w:val="12"/>
        </w:numPr>
        <w:spacing w:before="120" w:after="120"/>
        <w:ind w:left="0" w:firstLine="0"/>
        <w:contextualSpacing w:val="0"/>
        <w:jc w:val="both"/>
        <w:rPr>
          <w:rFonts w:asciiTheme="majorHAnsi" w:hAnsiTheme="majorHAnsi" w:cstheme="majorHAnsi"/>
          <w:color w:val="0070C0"/>
          <w:sz w:val="22"/>
          <w:szCs w:val="22"/>
        </w:rPr>
      </w:pPr>
      <w:r>
        <w:rPr>
          <w:rFonts w:asciiTheme="majorHAnsi" w:hAnsiTheme="majorHAnsi" w:cstheme="majorHAnsi"/>
          <w:color w:val="0070C0"/>
          <w:sz w:val="22"/>
          <w:szCs w:val="22"/>
        </w:rPr>
        <w:t>no prazo limite para entrega das amostras e de até 05 (cinco) dias corridos, sendo que a empresa assume total responsabilidade pelo envio e por eventual atraso na entrega.</w:t>
      </w:r>
    </w:p>
    <w:p w14:paraId="79C4AEFD">
      <w:pPr>
        <w:pStyle w:val="38"/>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É facultada prorrogação o prazo estabelecido, a partir de solicitação fundamentada no chat pelo interessado, antes de findo o prazo.</w:t>
      </w:r>
    </w:p>
    <w:p w14:paraId="097A1540">
      <w:pPr>
        <w:pStyle w:val="38"/>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No caso de não haver entrega da amostra ou ocorrer atraso na entrega, sem justificativa aceita, ou havendo entrega de amostra fora das especificações previstas, a proposta será recusada.</w:t>
      </w:r>
    </w:p>
    <w:p w14:paraId="2B8DFD1C">
      <w:pPr>
        <w:pStyle w:val="38"/>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amostra deverá estar devidamente identificada com o nome do licitante, telefone, e-mail, número da licitação, data e a que item se refere, deverá conter os respectivos prospectos e manuais, se for o caso, e dispor na embalagem de informações quanto às suas características, tais como data de fabricação, prazo de validade, quantidade do produto, sua marca, número de referência, código do produto e modelo.</w:t>
      </w:r>
    </w:p>
    <w:p w14:paraId="0133F23E">
      <w:pPr>
        <w:pStyle w:val="38"/>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Serão avaliados os seguintes aspectos e padrões mínimos de aceitabilidade: </w:t>
      </w:r>
    </w:p>
    <w:p w14:paraId="40E0EA8C">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Atender às especificações constantes deste Termo de Referência;</w:t>
      </w:r>
    </w:p>
    <w:p w14:paraId="0F92D547">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Estar na embalagem original dos materiais de consumo médico-hospitalar com dados de identificação completos: nome do material, data de fabricação, nº do lote, data de validade;</w:t>
      </w:r>
    </w:p>
    <w:p w14:paraId="0F0CD0A0">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Ter quantidade igual ou superior à solicitada pelo Pregoeiro;</w:t>
      </w:r>
    </w:p>
    <w:p w14:paraId="79AC36B4">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Parecer técnico favorável emitido pela comissão equivalente e/ou técnico/empregado/ servidor pertencente ao quadro de uma das unidades que compõe o COMPLEXO HOSPITALAR E DE SAÚDE, ou ainda de pessoas físicas ou jurídicas estranhas a ela, baseados nos seguintes critérios: atender às normas técnicas, qualidade, durabilidade, tecnologia, resistência e funcionamento, conforme o caso;</w:t>
      </w:r>
    </w:p>
    <w:p w14:paraId="5EBB9A83">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Padronização e gerência de riscos, bem como, reprovação em testes anteriores, serão recusados pela gestão do hospital;  </w:t>
      </w:r>
    </w:p>
    <w:p w14:paraId="5E238EFF">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Falta de Compatibilidade com o descritivo técnico solicitado neste termo de referência.  </w:t>
      </w:r>
    </w:p>
    <w:p w14:paraId="1531ACB3">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Avaliação de conformidade das embalagens e rótulos em consonância com os critérios estabelecidos na RDC  Nº 751, de 15 de setembro de 2022/MS/ANVISA.  </w:t>
      </w:r>
    </w:p>
    <w:p w14:paraId="2DBAFD42">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resultados das avaliações serão divulgados por meio de mensagem no sistema.</w:t>
      </w:r>
    </w:p>
    <w:p w14:paraId="7992A996">
      <w:pPr>
        <w:pStyle w:val="38"/>
        <w:numPr>
          <w:ilvl w:val="2"/>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A80CCD1">
      <w:pPr>
        <w:pStyle w:val="38"/>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exemplares colocados à disposição da Administração serão tratados como protótipos, podendo ser manuseados e desmontados pela equipe técnica responsável pela análise, não gerando direito a ressarcimento.</w:t>
      </w:r>
    </w:p>
    <w:p w14:paraId="0A3E2201">
      <w:pPr>
        <w:pStyle w:val="38"/>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Após a divulgação do resultado final do certame, as amostras entregues deverão ser recolhidas pelos fornecedores no prazo de 5 (cinco) dias corridos, após o qual poderão ser descartadas pela Administração, sem direito a ressarcimento. </w:t>
      </w:r>
    </w:p>
    <w:p w14:paraId="0CAB3D0F">
      <w:pPr>
        <w:pStyle w:val="38"/>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interessados deverão colocar à disposição da Administração todas as condições indispensáveis à realização de testes e fornecer, sem ônus, os manuais impressos em língua portuguesa, necessários ao seu perfeito manuseio, quando for o caso.</w:t>
      </w:r>
    </w:p>
    <w:p w14:paraId="205220DF">
      <w:pPr>
        <w:pStyle w:val="25"/>
        <w:numPr>
          <w:ilvl w:val="1"/>
          <w:numId w:val="12"/>
        </w:numPr>
        <w:ind w:left="0" w:firstLine="0"/>
        <w:jc w:val="both"/>
        <w:rPr>
          <w:rFonts w:asciiTheme="majorHAnsi" w:hAnsiTheme="majorHAnsi" w:cstheme="majorHAnsi"/>
          <w:color w:val="EE0000"/>
          <w:sz w:val="22"/>
          <w:szCs w:val="22"/>
        </w:rPr>
      </w:pPr>
      <w:bookmarkStart w:id="98" w:name="_Hlk230247625"/>
      <w:r>
        <w:rPr>
          <w:rFonts w:asciiTheme="majorHAnsi" w:hAnsiTheme="majorHAnsi" w:cstheme="majorHAnsi"/>
          <w:color w:val="EE0000"/>
          <w:sz w:val="22"/>
          <w:szCs w:val="22"/>
        </w:rPr>
        <w:t xml:space="preserve">A não apresentação das amostras no prazo estipulado, além de ensejar a desclassificação da proposta, sujeitará a empresa às sanções administrativas cabíveis por conduta comissiva/omissiva que retarda o andamento do certame, nos moldes do </w:t>
      </w:r>
      <w:r>
        <w:rPr>
          <w:rFonts w:asciiTheme="majorHAnsi" w:hAnsiTheme="majorHAnsi" w:cstheme="majorHAnsi"/>
          <w:b/>
          <w:bCs/>
          <w:color w:val="EE0000"/>
          <w:sz w:val="22"/>
          <w:szCs w:val="22"/>
        </w:rPr>
        <w:t>Acórdão TCU nº 299/2011 - Plenário</w:t>
      </w:r>
      <w:bookmarkEnd w:id="98"/>
      <w:r>
        <w:rPr>
          <w:rFonts w:asciiTheme="majorHAnsi" w:hAnsiTheme="majorHAnsi" w:cstheme="majorHAnsi"/>
          <w:color w:val="EE0000"/>
          <w:sz w:val="22"/>
          <w:szCs w:val="22"/>
        </w:rPr>
        <w:t>.</w:t>
      </w:r>
    </w:p>
    <w:p w14:paraId="09C3DC3D">
      <w:pPr>
        <w:pStyle w:val="38"/>
        <w:numPr>
          <w:ilvl w:val="1"/>
          <w:numId w:val="12"/>
        </w:numPr>
        <w:spacing w:before="120" w:after="120"/>
        <w:ind w:left="0" w:firstLine="0"/>
        <w:contextualSpacing w:val="0"/>
        <w:rPr>
          <w:rFonts w:asciiTheme="majorHAnsi" w:hAnsiTheme="majorHAnsi" w:cstheme="majorHAnsi"/>
          <w:b/>
          <w:bCs/>
          <w:sz w:val="22"/>
          <w:szCs w:val="22"/>
          <w:u w:val="single"/>
        </w:rPr>
      </w:pPr>
      <w:r>
        <w:rPr>
          <w:rFonts w:asciiTheme="majorHAnsi" w:hAnsiTheme="majorHAnsi" w:cstheme="majorHAnsi"/>
          <w:b/>
          <w:bCs/>
          <w:sz w:val="22"/>
          <w:szCs w:val="22"/>
          <w:u w:val="single"/>
        </w:rPr>
        <w:t xml:space="preserve">Subcontratação </w:t>
      </w:r>
    </w:p>
    <w:p w14:paraId="39E4BFBE">
      <w:pPr>
        <w:pStyle w:val="38"/>
        <w:numPr>
          <w:ilvl w:val="2"/>
          <w:numId w:val="12"/>
        </w:numPr>
        <w:spacing w:before="120" w:after="120"/>
        <w:ind w:left="0" w:firstLine="0"/>
        <w:contextualSpacing w:val="0"/>
        <w:jc w:val="both"/>
        <w:rPr>
          <w:rFonts w:asciiTheme="majorHAnsi" w:hAnsiTheme="majorHAnsi" w:cstheme="majorHAnsi"/>
          <w:color w:val="000000" w:themeColor="text1"/>
          <w:sz w:val="22"/>
          <w:szCs w:val="22"/>
          <w14:textFill>
            <w14:solidFill>
              <w14:schemeClr w14:val="tx1"/>
            </w14:solidFill>
          </w14:textFill>
        </w:rPr>
      </w:pPr>
      <w:r>
        <w:rPr>
          <w:rFonts w:asciiTheme="majorHAnsi" w:hAnsiTheme="majorHAnsi" w:cstheme="majorHAnsi"/>
          <w:color w:val="000000" w:themeColor="text1"/>
          <w:sz w:val="22"/>
          <w:szCs w:val="22"/>
          <w14:textFill>
            <w14:solidFill>
              <w14:schemeClr w14:val="tx1"/>
            </w14:solidFill>
          </w14:textFill>
        </w:rPr>
        <w:t xml:space="preserve">Não será admitida a subcontratação do objeto contratual, conforme disposição contida no art. 122, §2º da lei nº 14.133, de 2021. </w:t>
      </w:r>
    </w:p>
    <w:p w14:paraId="179C9C9D">
      <w:pPr>
        <w:pStyle w:val="38"/>
        <w:numPr>
          <w:ilvl w:val="1"/>
          <w:numId w:val="12"/>
        </w:numPr>
        <w:spacing w:before="120" w:after="120"/>
        <w:ind w:left="0" w:firstLine="0"/>
        <w:contextualSpacing w:val="0"/>
        <w:rPr>
          <w:rFonts w:asciiTheme="majorHAnsi" w:hAnsiTheme="majorHAnsi" w:cstheme="majorHAnsi"/>
          <w:b/>
          <w:bCs/>
          <w:color w:val="FF0000"/>
          <w:sz w:val="22"/>
          <w:szCs w:val="22"/>
          <w:u w:val="single"/>
        </w:rPr>
      </w:pPr>
      <w:r>
        <w:rPr>
          <w:rFonts w:asciiTheme="majorHAnsi" w:hAnsiTheme="majorHAnsi" w:cstheme="majorHAnsi"/>
          <w:b/>
          <w:bCs/>
          <w:color w:val="FF0000"/>
          <w:sz w:val="22"/>
          <w:szCs w:val="22"/>
          <w:u w:val="single"/>
        </w:rPr>
        <w:t>Garantia da contratação</w:t>
      </w:r>
    </w:p>
    <w:p w14:paraId="6E30FC8A">
      <w:pPr>
        <w:numPr>
          <w:ilvl w:val="2"/>
          <w:numId w:val="12"/>
        </w:numPr>
        <w:spacing w:before="120" w:after="120"/>
        <w:ind w:left="0" w:firstLine="0"/>
        <w:jc w:val="both"/>
        <w:rPr>
          <w:rFonts w:asciiTheme="majorHAnsi" w:hAnsiTheme="majorHAnsi" w:cstheme="majorHAnsi"/>
          <w:color w:val="EE0000"/>
          <w:sz w:val="22"/>
          <w:szCs w:val="22"/>
        </w:rPr>
      </w:pPr>
      <w:bookmarkStart w:id="99" w:name="_Hlk230331010"/>
      <w:bookmarkStart w:id="100" w:name="_Hlk230247715"/>
      <w:r>
        <w:rPr>
          <w:rFonts w:asciiTheme="majorHAnsi" w:hAnsiTheme="majorHAnsi" w:cstheme="majorHAnsi"/>
          <w:bCs/>
          <w:iCs/>
          <w:color w:val="EE0000"/>
          <w:sz w:val="22"/>
          <w:szCs w:val="22"/>
        </w:rPr>
        <w:t>Não haverá exigência de prestação de garantia da contratação, nos termos do art. 96 e seguintes da Lei Federal nº 14.133/2021, haja vista a modelagem de fornecimento sob demanda via Sistema de Registro de Preços (SRP), cujas justificativas técnicas restam detalhadas no Estudo Técnico Preliminar (ETP) deste processo, no tópico pertinente à justificativa para a não exigência de garantia</w:t>
      </w:r>
      <w:r>
        <w:rPr>
          <w:rFonts w:asciiTheme="majorHAnsi" w:hAnsiTheme="majorHAnsi" w:cstheme="majorHAnsi"/>
          <w:color w:val="EE0000"/>
          <w:sz w:val="22"/>
          <w:szCs w:val="22"/>
        </w:rPr>
        <w:t>, tópico 7 do ETP.</w:t>
      </w:r>
    </w:p>
    <w:bookmarkEnd w:id="99"/>
    <w:p w14:paraId="68551B3D">
      <w:pPr>
        <w:pStyle w:val="38"/>
        <w:numPr>
          <w:ilvl w:val="2"/>
          <w:numId w:val="12"/>
        </w:numPr>
        <w:spacing w:before="120" w:after="120"/>
        <w:ind w:left="0"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Justificativa:</w:t>
      </w:r>
    </w:p>
    <w:p w14:paraId="2402DC96">
      <w:pPr>
        <w:numPr>
          <w:ilvl w:val="2"/>
          <w:numId w:val="12"/>
        </w:numPr>
        <w:spacing w:before="120" w:after="120"/>
        <w:ind w:left="0" w:firstLine="0"/>
        <w:jc w:val="both"/>
        <w:rPr>
          <w:rFonts w:asciiTheme="majorHAnsi" w:hAnsiTheme="majorHAnsi" w:cstheme="majorHAnsi"/>
          <w:bCs/>
          <w:iCs/>
          <w:color w:val="EE0000"/>
          <w:sz w:val="22"/>
          <w:szCs w:val="22"/>
        </w:rPr>
      </w:pPr>
      <w:r>
        <w:rPr>
          <w:rFonts w:asciiTheme="majorHAnsi" w:hAnsiTheme="majorHAnsi" w:cstheme="majorHAnsi"/>
          <w:bCs/>
          <w:iCs/>
          <w:color w:val="EE0000"/>
          <w:sz w:val="22"/>
          <w:szCs w:val="22"/>
        </w:rPr>
        <w:t>A contratação refere-se ao fornecimento de materiais médicos de consumo, com entregas realizadas conforme a demanda da Administração, sendo a execução acompanhada por fiscalização contratual e submetida ao recebimento provisório e definitivo, com verificação da conformidade dos produtos quanto às especificações técnicas, qualidade e condições de fornecimento.</w:t>
      </w:r>
    </w:p>
    <w:p w14:paraId="1CD52FC6">
      <w:pPr>
        <w:numPr>
          <w:ilvl w:val="2"/>
          <w:numId w:val="12"/>
        </w:numPr>
        <w:spacing w:before="120" w:after="120"/>
        <w:ind w:left="0" w:firstLine="0"/>
        <w:jc w:val="both"/>
        <w:rPr>
          <w:rFonts w:asciiTheme="majorHAnsi" w:hAnsiTheme="majorHAnsi" w:cstheme="majorHAnsi"/>
          <w:bCs/>
          <w:iCs/>
          <w:color w:val="EE0000"/>
          <w:sz w:val="22"/>
          <w:szCs w:val="22"/>
        </w:rPr>
      </w:pPr>
      <w:r>
        <w:rPr>
          <w:rFonts w:asciiTheme="majorHAnsi" w:hAnsiTheme="majorHAnsi" w:cstheme="majorHAnsi"/>
          <w:bCs/>
          <w:iCs/>
          <w:color w:val="EE0000"/>
          <w:sz w:val="22"/>
          <w:szCs w:val="22"/>
        </w:rPr>
        <w:t>Os riscos inerentes à execução contratual são adequadamente mitigados pelos mecanismos previstos na legislação e nos instrumentos convocatórios, tais como fiscalização permanente da execução, aplicação de sanções administrativas, possibilidade de rescisão contratual, recusa de materiais em desconformidade com as especificações técnicas, obrigação de substituição dos produtos rejeitados e demais medidas previstas na Lei nº 14.133/2021.</w:t>
      </w:r>
    </w:p>
    <w:p w14:paraId="39968B22">
      <w:pPr>
        <w:numPr>
          <w:ilvl w:val="2"/>
          <w:numId w:val="12"/>
        </w:numPr>
        <w:spacing w:before="120" w:after="120"/>
        <w:ind w:left="0" w:firstLine="0"/>
        <w:jc w:val="both"/>
        <w:rPr>
          <w:rFonts w:asciiTheme="majorHAnsi" w:hAnsiTheme="majorHAnsi" w:cstheme="majorHAnsi"/>
          <w:bCs/>
          <w:iCs/>
          <w:color w:val="EE0000"/>
          <w:sz w:val="22"/>
          <w:szCs w:val="22"/>
        </w:rPr>
      </w:pPr>
      <w:r>
        <w:rPr>
          <w:rFonts w:asciiTheme="majorHAnsi" w:hAnsiTheme="majorHAnsi" w:cstheme="majorHAnsi"/>
          <w:bCs/>
          <w:iCs/>
          <w:color w:val="EE0000"/>
          <w:sz w:val="22"/>
          <w:szCs w:val="22"/>
        </w:rPr>
        <w:t>Ademais, a exigência de garantia contratual implicaria custos adicionais aos licitantes, os quais tendem a ser incorporados aos preços ofertados, sem proporcionar benefício proporcional à Administração, considerando a natureza do objeto, o baixo risco patrimonial da contratação e a existência de mecanismos suficientes para assegurar o fiel cumprimento das obrigações contratuais.</w:t>
      </w:r>
    </w:p>
    <w:p w14:paraId="5F6466C6">
      <w:pPr>
        <w:numPr>
          <w:ilvl w:val="2"/>
          <w:numId w:val="12"/>
        </w:numPr>
        <w:spacing w:before="120" w:after="120"/>
        <w:ind w:left="0" w:firstLine="0"/>
        <w:jc w:val="both"/>
        <w:rPr>
          <w:rFonts w:asciiTheme="majorHAnsi" w:hAnsiTheme="majorHAnsi" w:cstheme="majorHAnsi"/>
          <w:bCs/>
          <w:iCs/>
          <w:color w:val="EE0000"/>
          <w:sz w:val="22"/>
          <w:szCs w:val="22"/>
        </w:rPr>
      </w:pPr>
      <w:r>
        <w:rPr>
          <w:rFonts w:asciiTheme="majorHAnsi" w:hAnsiTheme="majorHAnsi" w:cstheme="majorHAnsi"/>
          <w:bCs/>
          <w:iCs/>
          <w:color w:val="EE0000"/>
          <w:sz w:val="22"/>
          <w:szCs w:val="22"/>
        </w:rPr>
        <w:t>Dessa forma, à luz dos princípios da razoabilidade, proporcionalidade, eficiência e economicidade, conclui-se que a exigência de garantia da execução contratual não se revela necessária para resguardar o interesse público nesta contratação.</w:t>
      </w:r>
    </w:p>
    <w:bookmarkEnd w:id="100"/>
    <w:p w14:paraId="29C7A873">
      <w:pPr>
        <w:pStyle w:val="38"/>
        <w:numPr>
          <w:ilvl w:val="1"/>
          <w:numId w:val="12"/>
        </w:numPr>
        <w:spacing w:before="120" w:after="120"/>
        <w:ind w:left="0" w:firstLine="0"/>
        <w:contextualSpacing w:val="0"/>
        <w:jc w:val="both"/>
        <w:rPr>
          <w:rFonts w:asciiTheme="majorHAnsi" w:hAnsiTheme="majorHAnsi" w:cstheme="majorHAnsi"/>
          <w:color w:val="FF0000"/>
          <w:sz w:val="22"/>
          <w:szCs w:val="22"/>
        </w:rPr>
      </w:pPr>
      <w:bookmarkStart w:id="101" w:name="_Hlk219197480"/>
      <w:r>
        <w:rPr>
          <w:rFonts w:asciiTheme="majorHAnsi" w:hAnsiTheme="majorHAnsi" w:cstheme="majorHAnsi"/>
          <w:b/>
          <w:bCs/>
          <w:color w:val="FF0000"/>
          <w:sz w:val="22"/>
          <w:szCs w:val="22"/>
          <w:u w:val="single"/>
        </w:rPr>
        <w:t>Reserva de cotas para microempresas e empresas de pequeno porte</w:t>
      </w:r>
    </w:p>
    <w:p w14:paraId="6B961A8B">
      <w:pPr>
        <w:pStyle w:val="38"/>
        <w:numPr>
          <w:ilvl w:val="2"/>
          <w:numId w:val="12"/>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Na presente licitação não será realizada a reserva cota de 25% (vinte e cinco) por cento do objeto da contratação para microempresas e empresas de pequeno porte, conforme disposição contida no tópico “5” do Estudo Técnico preliminar, parte integrante deste termo.</w:t>
      </w:r>
    </w:p>
    <w:p w14:paraId="78852D5F">
      <w:pPr>
        <w:pStyle w:val="38"/>
        <w:numPr>
          <w:ilvl w:val="2"/>
          <w:numId w:val="12"/>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De acordo com a Orientação Normativa nº 47 de 25 de abril de 2014, AGU,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10 do Decreto Nº 8.538, de 2015.</w:t>
      </w:r>
    </w:p>
    <w:p w14:paraId="282A7E7D">
      <w:pPr>
        <w:pStyle w:val="38"/>
        <w:numPr>
          <w:ilvl w:val="2"/>
          <w:numId w:val="12"/>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Por determinação do Hospital Ana Nery, documento anexo aos autos e conforme tópico, não será aplicado o critério de exclusividade, em atendimento ao Art. 49, III da Lei Complementar nº 123, de 2006, in verbis:</w:t>
      </w:r>
    </w:p>
    <w:p w14:paraId="01434753">
      <w:pPr>
        <w:pStyle w:val="38"/>
        <w:widowControl w:val="0"/>
        <w:spacing w:before="120" w:after="120"/>
        <w:ind w:left="2268" w:right="-1"/>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“Art. 49. Não se aplica o disposto nos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HYPERLINK "http://www.planalto.gov.br/ccivil_03/LEIS/LCP/Lcp123.htm" \l "art47" </w:instrText>
      </w:r>
      <w:r>
        <w:rPr>
          <w:rFonts w:asciiTheme="majorHAnsi" w:hAnsiTheme="majorHAnsi" w:cstheme="majorHAnsi"/>
          <w:sz w:val="22"/>
          <w:szCs w:val="22"/>
        </w:rPr>
        <w:fldChar w:fldCharType="separate"/>
      </w:r>
      <w:r>
        <w:rPr>
          <w:rFonts w:asciiTheme="majorHAnsi" w:hAnsiTheme="majorHAnsi" w:cstheme="majorHAnsi"/>
          <w:color w:val="FF0000"/>
          <w:sz w:val="22"/>
          <w:szCs w:val="22"/>
        </w:rPr>
        <w:t>arts. 47 e 48 desta Lei Complementar</w:t>
      </w:r>
      <w:r>
        <w:rPr>
          <w:rFonts w:asciiTheme="majorHAnsi" w:hAnsiTheme="majorHAnsi" w:cstheme="majorHAnsi"/>
          <w:color w:val="FF0000"/>
          <w:sz w:val="22"/>
          <w:szCs w:val="22"/>
        </w:rPr>
        <w:fldChar w:fldCharType="end"/>
      </w:r>
      <w:r>
        <w:rPr>
          <w:rFonts w:asciiTheme="majorHAnsi" w:hAnsiTheme="majorHAnsi" w:cstheme="majorHAnsi"/>
          <w:color w:val="FF0000"/>
          <w:sz w:val="22"/>
          <w:szCs w:val="22"/>
        </w:rPr>
        <w:t> quando:</w:t>
      </w:r>
    </w:p>
    <w:p w14:paraId="0D13DA53">
      <w:pPr>
        <w:pStyle w:val="38"/>
        <w:widowControl w:val="0"/>
        <w:spacing w:before="120" w:after="120"/>
        <w:ind w:left="2268" w:right="-1"/>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w:t>
      </w:r>
    </w:p>
    <w:p w14:paraId="4DAB6B35">
      <w:pPr>
        <w:pStyle w:val="38"/>
        <w:widowControl w:val="0"/>
        <w:spacing w:before="120" w:after="120"/>
        <w:ind w:left="2268" w:right="-1"/>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III - o tratamento diferenciado e simplificado para as microempresas e empresas de pequeno porte não for vantajoso para a administração pública ou representar prejuízo ao conjunto ou complexo do objeto a ser contratado”.</w:t>
      </w:r>
    </w:p>
    <w:bookmarkEnd w:id="101"/>
    <w:p w14:paraId="443CB96A">
      <w:pPr>
        <w:pStyle w:val="38"/>
        <w:numPr>
          <w:ilvl w:val="0"/>
          <w:numId w:val="13"/>
        </w:numPr>
        <w:spacing w:before="120" w:after="120"/>
        <w:contextualSpacing w:val="0"/>
        <w:jc w:val="both"/>
        <w:rPr>
          <w:rFonts w:asciiTheme="majorHAnsi" w:hAnsiTheme="majorHAnsi" w:cstheme="majorHAnsi"/>
          <w:b/>
          <w:bCs/>
          <w:vanish/>
          <w:sz w:val="22"/>
          <w:szCs w:val="22"/>
          <w:u w:val="single"/>
        </w:rPr>
      </w:pPr>
    </w:p>
    <w:p w14:paraId="68A201E7">
      <w:pPr>
        <w:pStyle w:val="38"/>
        <w:numPr>
          <w:ilvl w:val="0"/>
          <w:numId w:val="13"/>
        </w:numPr>
        <w:spacing w:before="120" w:after="120"/>
        <w:contextualSpacing w:val="0"/>
        <w:jc w:val="both"/>
        <w:rPr>
          <w:rFonts w:asciiTheme="majorHAnsi" w:hAnsiTheme="majorHAnsi" w:cstheme="majorHAnsi"/>
          <w:b/>
          <w:bCs/>
          <w:vanish/>
          <w:sz w:val="22"/>
          <w:szCs w:val="22"/>
          <w:u w:val="single"/>
        </w:rPr>
      </w:pPr>
    </w:p>
    <w:p w14:paraId="2A2FF86D">
      <w:pPr>
        <w:pStyle w:val="38"/>
        <w:numPr>
          <w:ilvl w:val="0"/>
          <w:numId w:val="13"/>
        </w:numPr>
        <w:spacing w:before="120" w:after="120"/>
        <w:contextualSpacing w:val="0"/>
        <w:jc w:val="both"/>
        <w:rPr>
          <w:rFonts w:asciiTheme="majorHAnsi" w:hAnsiTheme="majorHAnsi" w:cstheme="majorHAnsi"/>
          <w:b/>
          <w:bCs/>
          <w:vanish/>
          <w:sz w:val="22"/>
          <w:szCs w:val="22"/>
          <w:u w:val="single"/>
        </w:rPr>
      </w:pPr>
    </w:p>
    <w:p w14:paraId="0D5A2A98">
      <w:pPr>
        <w:pStyle w:val="38"/>
        <w:numPr>
          <w:ilvl w:val="0"/>
          <w:numId w:val="13"/>
        </w:numPr>
        <w:spacing w:before="120" w:after="120"/>
        <w:contextualSpacing w:val="0"/>
        <w:jc w:val="both"/>
        <w:rPr>
          <w:rFonts w:asciiTheme="majorHAnsi" w:hAnsiTheme="majorHAnsi" w:cstheme="majorHAnsi"/>
          <w:b/>
          <w:bCs/>
          <w:vanish/>
          <w:sz w:val="22"/>
          <w:szCs w:val="22"/>
          <w:u w:val="single"/>
        </w:rPr>
      </w:pPr>
    </w:p>
    <w:p w14:paraId="5720B726">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1D1F13E9">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4C4B82B9">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07E2CC13">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22BBB8B7">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16AA06B8">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13D08A34">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425299B3">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75DF3354">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0EC10C6A">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1F05EB64">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41242D9A">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23F6315B">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36D043AE">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6EC138F5">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05B30B8A">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40CE5C6A">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47BC1996">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162E697C">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0D91734C">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2000D565">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5B0752AA">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42FB2ED5">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39406A82">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7742E1DA">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5BDF6639">
      <w:pPr>
        <w:pStyle w:val="38"/>
        <w:numPr>
          <w:ilvl w:val="1"/>
          <w:numId w:val="13"/>
        </w:numPr>
        <w:spacing w:before="120" w:after="120"/>
        <w:contextualSpacing w:val="0"/>
        <w:jc w:val="both"/>
        <w:rPr>
          <w:rFonts w:asciiTheme="majorHAnsi" w:hAnsiTheme="majorHAnsi" w:cstheme="majorHAnsi"/>
          <w:b/>
          <w:bCs/>
          <w:vanish/>
          <w:sz w:val="22"/>
          <w:szCs w:val="22"/>
          <w:u w:val="single"/>
        </w:rPr>
      </w:pPr>
    </w:p>
    <w:p w14:paraId="246186A1">
      <w:pPr>
        <w:pStyle w:val="38"/>
        <w:numPr>
          <w:ilvl w:val="1"/>
          <w:numId w:val="13"/>
        </w:numPr>
        <w:spacing w:before="120" w:after="120"/>
        <w:ind w:left="432"/>
        <w:contextualSpacing w:val="0"/>
        <w:jc w:val="both"/>
        <w:rPr>
          <w:rFonts w:asciiTheme="majorHAnsi" w:hAnsiTheme="majorHAnsi" w:cstheme="majorHAnsi"/>
          <w:b/>
          <w:bCs/>
          <w:color w:val="FF0000"/>
          <w:sz w:val="22"/>
          <w:szCs w:val="22"/>
          <w:u w:val="single"/>
        </w:rPr>
      </w:pPr>
      <w:r>
        <w:rPr>
          <w:rFonts w:asciiTheme="majorHAnsi" w:hAnsiTheme="majorHAnsi" w:cstheme="majorHAnsi"/>
          <w:b/>
          <w:bCs/>
          <w:color w:val="FF0000"/>
          <w:sz w:val="22"/>
          <w:szCs w:val="22"/>
          <w:u w:val="single"/>
        </w:rPr>
        <w:t>Da não aplicação do critério de exclusividade para ME/EPP</w:t>
      </w:r>
    </w:p>
    <w:p w14:paraId="4C7693DF">
      <w:pPr>
        <w:pStyle w:val="38"/>
        <w:numPr>
          <w:ilvl w:val="2"/>
          <w:numId w:val="13"/>
        </w:numPr>
        <w:tabs>
          <w:tab w:val="left" w:pos="993"/>
        </w:tabs>
        <w:spacing w:before="120" w:after="120"/>
        <w:ind w:left="0" w:firstLine="0"/>
        <w:contextualSpacing w:val="0"/>
        <w:jc w:val="both"/>
        <w:rPr>
          <w:rFonts w:asciiTheme="majorHAnsi" w:hAnsiTheme="majorHAnsi" w:cstheme="majorHAnsi"/>
          <w:b/>
          <w:bCs/>
          <w:color w:val="FF0000"/>
          <w:sz w:val="22"/>
          <w:szCs w:val="22"/>
        </w:rPr>
      </w:pPr>
      <w:r>
        <w:rPr>
          <w:rFonts w:asciiTheme="majorHAnsi" w:hAnsiTheme="majorHAnsi" w:cstheme="majorHAnsi"/>
          <w:b/>
          <w:bCs/>
          <w:color w:val="FF0000"/>
          <w:sz w:val="22"/>
          <w:szCs w:val="22"/>
        </w:rPr>
        <w:t>Do Risco ao Desabastecimento e à Assistência Hospitalar</w:t>
      </w:r>
    </w:p>
    <w:p w14:paraId="7C13B37D">
      <w:pPr>
        <w:pStyle w:val="38"/>
        <w:numPr>
          <w:ilvl w:val="3"/>
          <w:numId w:val="13"/>
        </w:numPr>
        <w:tabs>
          <w:tab w:val="left" w:pos="993"/>
        </w:tabs>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 A manutenção do critério de exclusividade para ME/EPP no presente certame representa risco iminente de prejuízo à assistência à saúde. A potencial ausência de fornecedores com capacidade logística e produtiva compatível com a demanda hospitalar poderia ensejar o fracasso da licitação (itens desertos ou fracassados), culminando no desabastecimento de insumos críticos. Tal cenário comprometeria a continuidade dos serviços, com risco de paralisação de procedimentos cirúrgicos e prejuízos diretos aos pacientes internados.</w:t>
      </w:r>
    </w:p>
    <w:p w14:paraId="1AD9CEAE">
      <w:pPr>
        <w:pStyle w:val="38"/>
        <w:numPr>
          <w:ilvl w:val="2"/>
          <w:numId w:val="13"/>
        </w:numPr>
        <w:tabs>
          <w:tab w:val="left" w:pos="993"/>
        </w:tabs>
        <w:spacing w:before="120" w:after="120"/>
        <w:ind w:left="0" w:firstLine="0"/>
        <w:contextualSpacing w:val="0"/>
        <w:jc w:val="both"/>
        <w:rPr>
          <w:rFonts w:asciiTheme="majorHAnsi" w:hAnsiTheme="majorHAnsi" w:cstheme="majorHAnsi"/>
          <w:b/>
          <w:bCs/>
          <w:color w:val="FF0000"/>
          <w:sz w:val="22"/>
          <w:szCs w:val="22"/>
        </w:rPr>
      </w:pPr>
      <w:r>
        <w:rPr>
          <w:rFonts w:asciiTheme="majorHAnsi" w:hAnsiTheme="majorHAnsi" w:cstheme="majorHAnsi"/>
          <w:b/>
          <w:bCs/>
          <w:color w:val="FF0000"/>
          <w:sz w:val="22"/>
          <w:szCs w:val="22"/>
        </w:rPr>
        <w:t>Do Respaldo Legal à Exclusividade (Regra Geral)</w:t>
      </w:r>
    </w:p>
    <w:p w14:paraId="30DA9DE3">
      <w:pPr>
        <w:pStyle w:val="38"/>
        <w:numPr>
          <w:ilvl w:val="3"/>
          <w:numId w:val="13"/>
        </w:numPr>
        <w:tabs>
          <w:tab w:val="left" w:pos="993"/>
        </w:tabs>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 Ressalte-se que a reserva de mercado para ME/EPP fundamenta-se no Art. 48, inciso I, da Lei Complementar nº 123/2006 e no Art. 6º do Decreto nº 8.538/2015, que estabelecem a obrigatoriedade de licitações exclusivas para itens cujo valor seja de até R$ 80.000,00 (oitenta mil reais).</w:t>
      </w:r>
    </w:p>
    <w:p w14:paraId="4DE7DB8A">
      <w:pPr>
        <w:pStyle w:val="38"/>
        <w:numPr>
          <w:ilvl w:val="2"/>
          <w:numId w:val="13"/>
        </w:numPr>
        <w:spacing w:before="120" w:after="120"/>
        <w:ind w:left="0" w:firstLine="0"/>
        <w:contextualSpacing w:val="0"/>
        <w:jc w:val="both"/>
        <w:rPr>
          <w:rFonts w:asciiTheme="majorHAnsi" w:hAnsiTheme="majorHAnsi" w:cstheme="majorHAnsi"/>
          <w:b/>
          <w:bCs/>
          <w:color w:val="FF0000"/>
          <w:sz w:val="22"/>
          <w:szCs w:val="22"/>
        </w:rPr>
      </w:pPr>
      <w:r>
        <w:rPr>
          <w:rFonts w:asciiTheme="majorHAnsi" w:hAnsiTheme="majorHAnsi" w:cstheme="majorHAnsi"/>
          <w:b/>
          <w:bCs/>
          <w:color w:val="FF0000"/>
          <w:sz w:val="22"/>
          <w:szCs w:val="22"/>
        </w:rPr>
        <w:t>Das Exceções Legais</w:t>
      </w:r>
    </w:p>
    <w:p w14:paraId="52DE2150">
      <w:pPr>
        <w:pStyle w:val="38"/>
        <w:numPr>
          <w:ilvl w:val="3"/>
          <w:numId w:val="13"/>
        </w:numPr>
        <w:tabs>
          <w:tab w:val="left" w:pos="851"/>
        </w:tabs>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Princípio da Vantajosidade e do Interesse Público;</w:t>
      </w:r>
    </w:p>
    <w:p w14:paraId="2EB0CE49">
      <w:pPr>
        <w:pStyle w:val="38"/>
        <w:numPr>
          <w:ilvl w:val="3"/>
          <w:numId w:val="13"/>
        </w:numPr>
        <w:tabs>
          <w:tab w:val="left" w:pos="851"/>
        </w:tabs>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 O dever de exclusividade, contudo, não possui caráter absoluto. O Art. 49, inciso III, da LC nº 123/2006 e o Art. 10, inciso II, do Decreto nº 8.538/2015 desobrigam a Administração de aplicar o tratamento diferenciado quando este não se mostrar vantajoso para o interesse público ou representar prejuízo ao conjunto do objeto. No presente caso, a prioridade reside na garantia do suprimento e na mitigação de riscos operacionais.</w:t>
      </w:r>
    </w:p>
    <w:p w14:paraId="4FE6804A">
      <w:pPr>
        <w:pStyle w:val="38"/>
        <w:numPr>
          <w:ilvl w:val="2"/>
          <w:numId w:val="13"/>
        </w:numPr>
        <w:spacing w:before="120" w:after="120"/>
        <w:ind w:left="0" w:firstLine="0"/>
        <w:contextualSpacing w:val="0"/>
        <w:jc w:val="both"/>
        <w:rPr>
          <w:rFonts w:asciiTheme="majorHAnsi" w:hAnsiTheme="majorHAnsi" w:cstheme="majorHAnsi"/>
          <w:b/>
          <w:bCs/>
          <w:color w:val="FF0000"/>
          <w:sz w:val="22"/>
          <w:szCs w:val="22"/>
        </w:rPr>
      </w:pPr>
      <w:r>
        <w:rPr>
          <w:rFonts w:asciiTheme="majorHAnsi" w:hAnsiTheme="majorHAnsi" w:cstheme="majorHAnsi"/>
          <w:b/>
          <w:bCs/>
          <w:color w:val="FF0000"/>
          <w:sz w:val="22"/>
          <w:szCs w:val="22"/>
        </w:rPr>
        <w:t>Da Ponderação de Princípios e a Lei nº 14.133/2021</w:t>
      </w:r>
    </w:p>
    <w:p w14:paraId="58D47272">
      <w:pPr>
        <w:pStyle w:val="38"/>
        <w:numPr>
          <w:ilvl w:val="3"/>
          <w:numId w:val="13"/>
        </w:numPr>
        <w:tabs>
          <w:tab w:val="left" w:pos="851"/>
        </w:tabs>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 Em estrita observância ao Art. 5º da Lei nº 14.133/2021, a Administração deve sopesar os princípios da competitividade, economicidade e eficácia. Embora o fomento às ME/EPP seja um objetivo legal, este não deve se sobrepor ao dever de selecionar a proposta mais vantajosa e garantir a execução contratual segura, evitando a fragilização do sistema de saúde por hipossuficiência técnica ou econômica do fornecedor.</w:t>
      </w:r>
    </w:p>
    <w:p w14:paraId="693757E7">
      <w:pPr>
        <w:pStyle w:val="38"/>
        <w:numPr>
          <w:ilvl w:val="2"/>
          <w:numId w:val="13"/>
        </w:numPr>
        <w:spacing w:before="120" w:after="120"/>
        <w:ind w:left="0" w:firstLine="0"/>
        <w:contextualSpacing w:val="0"/>
        <w:jc w:val="both"/>
        <w:rPr>
          <w:rFonts w:asciiTheme="majorHAnsi" w:hAnsiTheme="majorHAnsi" w:cstheme="majorHAnsi"/>
          <w:b/>
          <w:bCs/>
          <w:color w:val="FF0000"/>
          <w:sz w:val="22"/>
          <w:szCs w:val="22"/>
        </w:rPr>
      </w:pPr>
      <w:r>
        <w:rPr>
          <w:rFonts w:asciiTheme="majorHAnsi" w:hAnsiTheme="majorHAnsi" w:cstheme="majorHAnsi"/>
          <w:b/>
          <w:bCs/>
          <w:color w:val="FF0000"/>
          <w:sz w:val="22"/>
          <w:szCs w:val="22"/>
        </w:rPr>
        <w:t>Da Capacidade Logística e Desenvolvimento Sustentável</w:t>
      </w:r>
    </w:p>
    <w:p w14:paraId="0B34269E">
      <w:pPr>
        <w:pStyle w:val="38"/>
        <w:numPr>
          <w:ilvl w:val="3"/>
          <w:numId w:val="13"/>
        </w:numPr>
        <w:tabs>
          <w:tab w:val="left" w:pos="851"/>
        </w:tabs>
        <w:spacing w:before="120" w:after="120"/>
        <w:ind w:left="0" w:firstLine="0"/>
        <w:contextualSpacing w:val="0"/>
        <w:jc w:val="both"/>
        <w:rPr>
          <w:rFonts w:asciiTheme="majorHAnsi" w:hAnsiTheme="majorHAnsi" w:cstheme="majorHAnsi"/>
          <w:b/>
          <w:bCs/>
          <w:color w:val="FF0000"/>
          <w:sz w:val="22"/>
          <w:szCs w:val="22"/>
        </w:rPr>
      </w:pPr>
      <w:r>
        <w:rPr>
          <w:rFonts w:asciiTheme="majorHAnsi" w:hAnsiTheme="majorHAnsi" w:cstheme="majorHAnsi"/>
          <w:color w:val="FF0000"/>
          <w:sz w:val="22"/>
          <w:szCs w:val="22"/>
        </w:rPr>
        <w:t xml:space="preserve"> A promoção do desenvolvimento nacional sustentável pressupõe o equilíbrio entre a demanda pública e a capacidade real do mercado. Em se tratando de materiais de saúde, a abertura do certame à ampla concorrência (incluindo fabricantes e grandes distribuidores) é medida imperativa para assegurar o binômio preço-qualidade e o atendimento integral do cronograma de entregas, garantindo a sustentabilidade da operação hospitalar.</w:t>
      </w:r>
    </w:p>
    <w:p w14:paraId="6ABA2BE0">
      <w:pPr>
        <w:pStyle w:val="38"/>
        <w:numPr>
          <w:ilvl w:val="2"/>
          <w:numId w:val="13"/>
        </w:numPr>
        <w:spacing w:before="120" w:after="120"/>
        <w:ind w:left="0" w:firstLine="0"/>
        <w:contextualSpacing w:val="0"/>
        <w:jc w:val="both"/>
        <w:rPr>
          <w:rFonts w:asciiTheme="majorHAnsi" w:hAnsiTheme="majorHAnsi" w:cstheme="majorHAnsi"/>
          <w:b/>
          <w:bCs/>
          <w:color w:val="FF0000"/>
          <w:sz w:val="22"/>
          <w:szCs w:val="22"/>
        </w:rPr>
      </w:pPr>
      <w:r>
        <w:rPr>
          <w:rFonts w:asciiTheme="majorHAnsi" w:hAnsiTheme="majorHAnsi" w:cstheme="majorHAnsi"/>
          <w:b/>
          <w:bCs/>
          <w:color w:val="FF0000"/>
          <w:sz w:val="22"/>
          <w:szCs w:val="22"/>
        </w:rPr>
        <w:t>Da Eficiência Processual e Racionalização de Custos</w:t>
      </w:r>
    </w:p>
    <w:p w14:paraId="03321E39">
      <w:pPr>
        <w:pStyle w:val="38"/>
        <w:numPr>
          <w:ilvl w:val="3"/>
          <w:numId w:val="13"/>
        </w:numPr>
        <w:tabs>
          <w:tab w:val="left" w:pos="851"/>
        </w:tabs>
        <w:spacing w:before="120" w:after="120"/>
        <w:ind w:left="0" w:firstLine="0"/>
        <w:contextualSpacing w:val="0"/>
        <w:jc w:val="both"/>
        <w:rPr>
          <w:rFonts w:asciiTheme="majorHAnsi" w:hAnsiTheme="majorHAnsi" w:cstheme="majorHAnsi"/>
          <w:b/>
          <w:bCs/>
          <w:color w:val="FF0000"/>
          <w:sz w:val="22"/>
          <w:szCs w:val="22"/>
        </w:rPr>
      </w:pPr>
      <w:r>
        <w:rPr>
          <w:rFonts w:asciiTheme="majorHAnsi" w:hAnsiTheme="majorHAnsi" w:cstheme="majorHAnsi"/>
          <w:color w:val="FF0000"/>
          <w:sz w:val="22"/>
          <w:szCs w:val="22"/>
        </w:rPr>
        <w:t xml:space="preserve"> A não aplicação da exclusividade visa, por fim, evitar o custo administrativo de eventuais reaberturas de certames. A repetição de processos licitatórios gera gastos extraordinários com pessoal, publicações e diligências, além de protelar a contratação de itens essenciais, configurando inequívoca ineficiência e desperdício de recursos públicos.</w:t>
      </w:r>
    </w:p>
    <w:p w14:paraId="34BE2F20">
      <w:pPr>
        <w:pStyle w:val="38"/>
        <w:numPr>
          <w:ilvl w:val="2"/>
          <w:numId w:val="13"/>
        </w:numPr>
        <w:spacing w:before="120" w:after="120" w:line="259" w:lineRule="auto"/>
        <w:ind w:left="0" w:firstLine="0"/>
        <w:contextualSpacing w:val="0"/>
        <w:jc w:val="both"/>
        <w:rPr>
          <w:rFonts w:asciiTheme="majorHAnsi" w:hAnsiTheme="majorHAnsi" w:cstheme="majorHAnsi"/>
          <w:b/>
          <w:bCs/>
          <w:color w:val="FF0000"/>
          <w:sz w:val="22"/>
          <w:szCs w:val="22"/>
        </w:rPr>
      </w:pPr>
      <w:r>
        <w:rPr>
          <w:rFonts w:asciiTheme="majorHAnsi" w:hAnsiTheme="majorHAnsi" w:cstheme="majorHAnsi"/>
          <w:b/>
          <w:bCs/>
          <w:color w:val="FF0000"/>
          <w:sz w:val="22"/>
          <w:szCs w:val="22"/>
        </w:rPr>
        <w:t>Conclusão Quanto ao Critério de Participação</w:t>
      </w:r>
    </w:p>
    <w:p w14:paraId="7F229DDD">
      <w:pPr>
        <w:pStyle w:val="38"/>
        <w:numPr>
          <w:ilvl w:val="3"/>
          <w:numId w:val="13"/>
        </w:numPr>
        <w:tabs>
          <w:tab w:val="left" w:pos="851"/>
        </w:tabs>
        <w:spacing w:before="120" w:after="120" w:line="259" w:lineRule="auto"/>
        <w:ind w:left="0" w:firstLine="0"/>
        <w:contextualSpacing w:val="0"/>
        <w:jc w:val="both"/>
        <w:rPr>
          <w:rFonts w:asciiTheme="majorHAnsi" w:hAnsiTheme="majorHAnsi" w:cstheme="majorHAnsi"/>
          <w:b/>
          <w:bCs/>
          <w:color w:val="FF0000"/>
          <w:sz w:val="22"/>
          <w:szCs w:val="22"/>
        </w:rPr>
      </w:pPr>
      <w:r>
        <w:rPr>
          <w:rFonts w:asciiTheme="majorHAnsi" w:hAnsiTheme="majorHAnsi" w:cstheme="majorHAnsi"/>
          <w:color w:val="FF0000"/>
          <w:sz w:val="22"/>
          <w:szCs w:val="22"/>
        </w:rPr>
        <w:t>Ante o exposto, fundamentando-se no Art. 49, inciso III, da Lei Complementar nº 123/2006 e no Art. 10, inciso II, do Decreto nº 8.538/2015, a Administração conclui pela não aplicação da exclusividade de participação para ME/EPP, bem como pela não reserva de cotas, para os itens que compõem este certame.</w:t>
      </w:r>
    </w:p>
    <w:p w14:paraId="6E0F23D0">
      <w:pPr>
        <w:pStyle w:val="38"/>
        <w:numPr>
          <w:ilvl w:val="3"/>
          <w:numId w:val="13"/>
        </w:numPr>
        <w:tabs>
          <w:tab w:val="left" w:pos="851"/>
        </w:tabs>
        <w:spacing w:before="120" w:after="120" w:line="259" w:lineRule="auto"/>
        <w:ind w:left="0" w:firstLine="0"/>
        <w:contextualSpacing w:val="0"/>
        <w:jc w:val="both"/>
        <w:rPr>
          <w:rFonts w:asciiTheme="majorHAnsi" w:hAnsiTheme="majorHAnsi" w:cstheme="majorHAnsi"/>
          <w:b/>
          <w:bCs/>
          <w:color w:val="FF0000"/>
          <w:sz w:val="22"/>
          <w:szCs w:val="22"/>
        </w:rPr>
      </w:pPr>
      <w:r>
        <w:rPr>
          <w:rFonts w:asciiTheme="majorHAnsi" w:hAnsiTheme="majorHAnsi" w:cstheme="majorHAnsi"/>
          <w:color w:val="FF0000"/>
          <w:sz w:val="22"/>
          <w:szCs w:val="22"/>
        </w:rPr>
        <w:t xml:space="preserve">Tal decisão configura medida excepcional e necessária, pautada no Princípio da Proporcionalidade e na Supremazia do Interesse Público, visando garantir a ampla competitividade e afastar o risco de desabastecimento de insumos essenciais à saúde. A abertura à ampla concorrência assegura que o </w:t>
      </w:r>
      <w:r>
        <w:rPr>
          <w:rFonts w:asciiTheme="majorHAnsi" w:hAnsiTheme="majorHAnsi" w:cstheme="majorHAnsi"/>
          <w:b/>
          <w:bCs/>
          <w:color w:val="FF0000"/>
          <w:sz w:val="22"/>
          <w:szCs w:val="22"/>
        </w:rPr>
        <w:t>Hospital Ana Nery</w:t>
      </w:r>
      <w:r>
        <w:rPr>
          <w:rFonts w:asciiTheme="majorHAnsi" w:hAnsiTheme="majorHAnsi" w:cstheme="majorHAnsi"/>
          <w:color w:val="FF0000"/>
          <w:sz w:val="22"/>
          <w:szCs w:val="22"/>
        </w:rPr>
        <w:t xml:space="preserve"> obtenha propostas que conciliem viabilidade econômica, capacidade logística e segurança técnica, garantindo a integridade dos serviços assistenciais e a continuidade dos procedimentos cirúrgicos e ambulatoriais.</w:t>
      </w:r>
    </w:p>
    <w:p w14:paraId="55DDDE91">
      <w:pPr>
        <w:pStyle w:val="38"/>
        <w:numPr>
          <w:ilvl w:val="0"/>
          <w:numId w:val="14"/>
        </w:numPr>
        <w:shd w:val="clear" w:color="auto" w:fill="F1F1F1" w:themeFill="background1" w:themeFillShade="F2"/>
        <w:rPr>
          <w:rFonts w:asciiTheme="majorHAnsi" w:hAnsiTheme="majorHAnsi" w:cstheme="majorHAnsi"/>
          <w:b/>
          <w:bCs/>
          <w:sz w:val="22"/>
          <w:szCs w:val="22"/>
        </w:rPr>
      </w:pPr>
      <w:r>
        <w:rPr>
          <w:rFonts w:asciiTheme="majorHAnsi" w:hAnsiTheme="majorHAnsi" w:cstheme="majorHAnsi"/>
          <w:b/>
          <w:bCs/>
          <w:sz w:val="22"/>
          <w:szCs w:val="22"/>
        </w:rPr>
        <w:t>MODELO DE EXECUÇÃO DO OBJETO</w:t>
      </w:r>
    </w:p>
    <w:p w14:paraId="3BB05231">
      <w:pPr>
        <w:pStyle w:val="38"/>
        <w:ind w:left="0"/>
        <w:rPr>
          <w:rFonts w:asciiTheme="majorHAnsi" w:hAnsiTheme="majorHAnsi" w:cstheme="majorHAnsi"/>
          <w:b/>
          <w:bCs/>
          <w:sz w:val="22"/>
          <w:szCs w:val="22"/>
          <w:u w:val="single"/>
        </w:rPr>
      </w:pPr>
      <w:r>
        <w:rPr>
          <w:rFonts w:asciiTheme="majorHAnsi" w:hAnsiTheme="majorHAnsi" w:cstheme="majorHAnsi"/>
          <w:b/>
          <w:bCs/>
          <w:sz w:val="22"/>
          <w:szCs w:val="22"/>
          <w:u w:val="single"/>
        </w:rPr>
        <w:t>Condições de Entrega</w:t>
      </w:r>
    </w:p>
    <w:p w14:paraId="764E02C1">
      <w:pPr>
        <w:pStyle w:val="38"/>
        <w:numPr>
          <w:ilvl w:val="1"/>
          <w:numId w:val="15"/>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entrega dos bens de consumo médico-hospitalar deverá ser realizada, no endereço constante na tabela abaixo, das 08h00 às 16h00. nos dias úteis.</w:t>
      </w:r>
    </w:p>
    <w:p w14:paraId="29CCA7F7">
      <w:pPr>
        <w:pBdr>
          <w:top w:val="single" w:color="auto" w:sz="4" w:space="1"/>
          <w:left w:val="single" w:color="auto" w:sz="4" w:space="4"/>
          <w:bottom w:val="single" w:color="auto" w:sz="4" w:space="1"/>
          <w:right w:val="single" w:color="auto" w:sz="4" w:space="4"/>
        </w:pBdr>
        <w:rPr>
          <w:rFonts w:asciiTheme="majorHAnsi" w:hAnsiTheme="majorHAnsi" w:cstheme="majorHAnsi"/>
          <w:b/>
          <w:bCs/>
          <w:color w:val="EE0000"/>
          <w:sz w:val="22"/>
          <w:szCs w:val="22"/>
          <w:u w:val="single"/>
        </w:rPr>
      </w:pPr>
      <w:bookmarkStart w:id="102" w:name="_Hlk230262335"/>
      <w:r>
        <w:rPr>
          <w:rFonts w:asciiTheme="majorHAnsi" w:hAnsiTheme="majorHAnsi" w:cstheme="majorHAnsi"/>
          <w:b/>
          <w:bCs/>
          <w:color w:val="EE0000"/>
          <w:sz w:val="22"/>
          <w:szCs w:val="22"/>
          <w:u w:val="single"/>
        </w:rPr>
        <w:t>DESTINATÁRIO: HOSPITAL ANA NERY/HAN</w:t>
      </w:r>
    </w:p>
    <w:p w14:paraId="2B548054">
      <w:pPr>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SETOR: </w:t>
      </w:r>
      <w:r>
        <w:rPr>
          <w:rFonts w:asciiTheme="majorHAnsi" w:hAnsiTheme="majorHAnsi" w:cstheme="majorHAnsi"/>
          <w:color w:val="EE0000"/>
          <w:sz w:val="22"/>
          <w:szCs w:val="22"/>
        </w:rPr>
        <w:t>Almoxarifado Central do Hospital Ana Nery/HAN</w:t>
      </w:r>
    </w:p>
    <w:p w14:paraId="63CBE8EF">
      <w:pPr>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ENDEREÇO DE ENTREGA: </w:t>
      </w:r>
      <w:r>
        <w:rPr>
          <w:rFonts w:asciiTheme="majorHAnsi" w:hAnsiTheme="majorHAnsi" w:cstheme="majorHAnsi"/>
          <w:color w:val="EE0000"/>
          <w:sz w:val="22"/>
          <w:szCs w:val="22"/>
        </w:rPr>
        <w:t xml:space="preserve">Rua Saldanha Marinho, snº, Caixa D’Agua, CEP.: 40.323-010 Salvador - BA Telefone: (71) </w:t>
      </w:r>
      <w:r>
        <w:rPr>
          <w:rFonts w:asciiTheme="majorHAnsi" w:hAnsiTheme="majorHAnsi" w:cstheme="majorHAnsi"/>
          <w:color w:val="EE0000"/>
          <w:sz w:val="22"/>
          <w:szCs w:val="22"/>
          <w:highlight w:val="cyan"/>
        </w:rPr>
        <w:t>3117-2025</w:t>
      </w:r>
      <w:r>
        <w:rPr>
          <w:rFonts w:asciiTheme="majorHAnsi" w:hAnsiTheme="majorHAnsi" w:cstheme="majorHAnsi"/>
          <w:color w:val="EE0000"/>
          <w:sz w:val="22"/>
          <w:szCs w:val="22"/>
        </w:rPr>
        <w:t xml:space="preserve"> | E-mail: </w:t>
      </w:r>
    </w:p>
    <w:p w14:paraId="20B41189">
      <w:pPr>
        <w:pBdr>
          <w:top w:val="single" w:color="auto" w:sz="4" w:space="1"/>
          <w:left w:val="single" w:color="auto" w:sz="4" w:space="4"/>
          <w:bottom w:val="single" w:color="auto" w:sz="4" w:space="1"/>
          <w:right w:val="single" w:color="auto" w:sz="4" w:space="4"/>
        </w:pBdr>
        <w:rPr>
          <w:rFonts w:asciiTheme="majorHAnsi" w:hAnsiTheme="majorHAnsi" w:cstheme="majorHAnsi"/>
          <w:b/>
          <w:bCs/>
          <w:color w:val="EE0000"/>
          <w:sz w:val="22"/>
          <w:szCs w:val="22"/>
        </w:rPr>
      </w:pPr>
      <w:r>
        <w:rPr>
          <w:rFonts w:asciiTheme="majorHAnsi" w:hAnsiTheme="majorHAnsi" w:cstheme="majorHAnsi"/>
          <w:b/>
          <w:bCs/>
          <w:color w:val="EE0000"/>
          <w:sz w:val="22"/>
          <w:szCs w:val="22"/>
        </w:rPr>
        <w:t>IDENTIFICAÇÃO DO CERTAME (PROCESSO):</w:t>
      </w:r>
    </w:p>
    <w:p w14:paraId="37118026">
      <w:pPr>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PREGÃO ELETRÔNICO Nº:</w:t>
      </w:r>
      <w:r>
        <w:rPr>
          <w:rFonts w:asciiTheme="majorHAnsi" w:hAnsiTheme="majorHAnsi" w:cstheme="majorHAnsi"/>
          <w:color w:val="EE0000"/>
          <w:sz w:val="22"/>
          <w:szCs w:val="22"/>
        </w:rPr>
        <w:t xml:space="preserve"> 90086/2026</w:t>
      </w:r>
    </w:p>
    <w:p w14:paraId="356E014E">
      <w:pPr>
        <w:pBdr>
          <w:top w:val="single" w:color="auto" w:sz="4" w:space="1"/>
          <w:left w:val="single" w:color="auto" w:sz="4" w:space="4"/>
          <w:bottom w:val="single" w:color="auto" w:sz="4" w:space="1"/>
          <w:right w:val="single" w:color="auto" w:sz="4" w:space="4"/>
        </w:pBdr>
        <w:rPr>
          <w:rFonts w:eastAsia="Times New Roman" w:asciiTheme="majorHAnsi" w:hAnsiTheme="majorHAnsi" w:cstheme="majorHAnsi"/>
          <w:color w:val="EE0000"/>
          <w:sz w:val="22"/>
          <w:szCs w:val="22"/>
        </w:rPr>
      </w:pPr>
      <w:r>
        <w:rPr>
          <w:rFonts w:asciiTheme="majorHAnsi" w:hAnsiTheme="majorHAnsi" w:cstheme="majorHAnsi"/>
          <w:b/>
          <w:bCs/>
          <w:color w:val="EE0000"/>
          <w:sz w:val="22"/>
          <w:szCs w:val="22"/>
        </w:rPr>
        <w:t>PROCESSO ADMINISTRATIVO Nº:</w:t>
      </w:r>
      <w:r>
        <w:rPr>
          <w:rFonts w:asciiTheme="majorHAnsi" w:hAnsiTheme="majorHAnsi" w:cstheme="majorHAnsi"/>
          <w:color w:val="EE0000"/>
          <w:sz w:val="22"/>
          <w:szCs w:val="22"/>
        </w:rPr>
        <w:t xml:space="preserve"> </w:t>
      </w:r>
      <w:r>
        <w:rPr>
          <w:rFonts w:eastAsia="Times New Roman" w:asciiTheme="majorHAnsi" w:hAnsiTheme="majorHAnsi" w:cstheme="majorHAnsi"/>
          <w:color w:val="EE0000"/>
          <w:sz w:val="22"/>
          <w:szCs w:val="22"/>
        </w:rPr>
        <w:t>23066.033818/2026-97/SIPAC</w:t>
      </w:r>
    </w:p>
    <w:p w14:paraId="5834DC76">
      <w:pPr>
        <w:pBdr>
          <w:top w:val="single" w:color="auto" w:sz="4" w:space="1"/>
          <w:left w:val="single" w:color="auto" w:sz="4" w:space="4"/>
          <w:bottom w:val="single" w:color="auto" w:sz="4" w:space="1"/>
          <w:right w:val="single" w:color="auto" w:sz="4" w:space="4"/>
        </w:pBdr>
        <w:rPr>
          <w:rFonts w:asciiTheme="majorHAnsi" w:hAnsiTheme="majorHAnsi" w:cstheme="majorHAnsi"/>
          <w:b/>
          <w:bCs/>
          <w:color w:val="EE0000"/>
          <w:sz w:val="22"/>
          <w:szCs w:val="22"/>
        </w:rPr>
      </w:pPr>
      <w:r>
        <w:rPr>
          <w:rFonts w:asciiTheme="majorHAnsi" w:hAnsiTheme="majorHAnsi" w:cstheme="majorHAnsi"/>
          <w:b/>
          <w:bCs/>
          <w:color w:val="EE0000"/>
          <w:sz w:val="22"/>
          <w:szCs w:val="22"/>
        </w:rPr>
        <w:t>IDENTIFICAÇÃO DOS ITENS: LOTE e ITEM: [     ]  /  ITEM: [    ]</w:t>
      </w:r>
    </w:p>
    <w:p w14:paraId="7EFA6D82">
      <w:pPr>
        <w:pBdr>
          <w:top w:val="single" w:color="auto" w:sz="4" w:space="1"/>
          <w:left w:val="single" w:color="auto" w:sz="4" w:space="4"/>
          <w:bottom w:val="single" w:color="auto" w:sz="4" w:space="1"/>
          <w:right w:val="single" w:color="auto" w:sz="4" w:space="4"/>
        </w:pBdr>
        <w:rPr>
          <w:rFonts w:asciiTheme="majorHAnsi" w:hAnsiTheme="majorHAnsi" w:cstheme="majorHAnsi"/>
          <w:b/>
          <w:bCs/>
          <w:color w:val="EE0000"/>
          <w:sz w:val="22"/>
          <w:szCs w:val="22"/>
        </w:rPr>
      </w:pPr>
      <w:r>
        <w:rPr>
          <w:rFonts w:asciiTheme="majorHAnsi" w:hAnsiTheme="majorHAnsi" w:cstheme="majorHAnsi"/>
          <w:b/>
          <w:bCs/>
          <w:color w:val="EE0000"/>
          <w:sz w:val="22"/>
          <w:szCs w:val="22"/>
        </w:rPr>
        <w:t>CONTEÚDO:</w:t>
      </w:r>
      <w:r>
        <w:rPr>
          <w:rFonts w:asciiTheme="majorHAnsi" w:hAnsiTheme="majorHAnsi" w:cstheme="majorHAnsi"/>
          <w:color w:val="EE0000"/>
          <w:sz w:val="22"/>
          <w:szCs w:val="22"/>
        </w:rPr>
        <w:t xml:space="preserve"> </w:t>
      </w:r>
      <w:r>
        <w:rPr>
          <w:rFonts w:asciiTheme="majorHAnsi" w:hAnsiTheme="majorHAnsi" w:cstheme="majorHAnsi"/>
          <w:b/>
          <w:bCs/>
          <w:color w:val="EE0000"/>
          <w:sz w:val="22"/>
          <w:szCs w:val="22"/>
        </w:rPr>
        <w:t>MATERIAIS MÉDICOS - AGULHA, DRENOS, FILTROS, FRASCO, CAIXA TÉRMICA E BOLSAS</w:t>
      </w:r>
    </w:p>
    <w:p w14:paraId="684821D7">
      <w:pPr>
        <w:pBdr>
          <w:top w:val="single" w:color="auto" w:sz="4" w:space="1"/>
          <w:left w:val="single" w:color="auto" w:sz="4" w:space="4"/>
          <w:bottom w:val="single" w:color="auto" w:sz="4" w:space="1"/>
          <w:right w:val="single" w:color="auto" w:sz="4" w:space="4"/>
        </w:pBdr>
        <w:rPr>
          <w:rFonts w:asciiTheme="majorHAnsi" w:hAnsiTheme="majorHAnsi" w:cstheme="majorHAnsi"/>
          <w:b/>
          <w:bCs/>
          <w:color w:val="EE0000"/>
          <w:sz w:val="22"/>
          <w:szCs w:val="22"/>
        </w:rPr>
      </w:pPr>
    </w:p>
    <w:p w14:paraId="32471AA2">
      <w:pPr>
        <w:pBdr>
          <w:top w:val="single" w:color="auto" w:sz="4" w:space="1"/>
          <w:left w:val="single" w:color="auto" w:sz="4" w:space="4"/>
          <w:bottom w:val="single" w:color="auto" w:sz="4" w:space="1"/>
          <w:right w:val="single" w:color="auto" w:sz="4" w:space="4"/>
        </w:pBdr>
        <w:rPr>
          <w:rFonts w:asciiTheme="majorHAnsi" w:hAnsiTheme="majorHAnsi" w:cstheme="majorHAnsi"/>
          <w:b/>
          <w:bCs/>
          <w:color w:val="EE0000"/>
          <w:sz w:val="22"/>
          <w:szCs w:val="22"/>
          <w:u w:val="single"/>
        </w:rPr>
      </w:pPr>
      <w:r>
        <w:rPr>
          <w:rFonts w:asciiTheme="majorHAnsi" w:hAnsiTheme="majorHAnsi" w:cstheme="majorHAnsi"/>
          <w:b/>
          <w:bCs/>
          <w:color w:val="EE0000"/>
          <w:sz w:val="22"/>
          <w:szCs w:val="22"/>
          <w:u w:val="single"/>
        </w:rPr>
        <w:t>REMETENTE (LICITANTE):</w:t>
      </w:r>
    </w:p>
    <w:p w14:paraId="6CD59769">
      <w:pPr>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RAZÃO SOCIAL:</w:t>
      </w:r>
      <w:r>
        <w:rPr>
          <w:rFonts w:asciiTheme="majorHAnsi" w:hAnsiTheme="majorHAnsi" w:cstheme="majorHAnsi"/>
          <w:color w:val="EE0000"/>
          <w:sz w:val="22"/>
          <w:szCs w:val="22"/>
        </w:rPr>
        <w:t xml:space="preserve"> [Nome da Empresa]</w:t>
      </w:r>
    </w:p>
    <w:p w14:paraId="591E79D3">
      <w:pPr>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CNPJ:</w:t>
      </w:r>
      <w:r>
        <w:rPr>
          <w:rFonts w:asciiTheme="majorHAnsi" w:hAnsiTheme="majorHAnsi" w:cstheme="majorHAnsi"/>
          <w:color w:val="EE0000"/>
          <w:sz w:val="22"/>
          <w:szCs w:val="22"/>
        </w:rPr>
        <w:t xml:space="preserve"> [00.000.000/0001-00]</w:t>
      </w:r>
    </w:p>
    <w:p w14:paraId="0134760A">
      <w:pPr>
        <w:pBdr>
          <w:top w:val="single" w:color="auto" w:sz="4" w:space="1"/>
          <w:left w:val="single" w:color="auto" w:sz="4" w:space="4"/>
          <w:bottom w:val="single" w:color="auto" w:sz="4" w:space="1"/>
          <w:right w:val="single" w:color="auto" w:sz="4" w:space="4"/>
        </w:pBdr>
        <w:rPr>
          <w:rFonts w:asciiTheme="majorHAnsi" w:hAnsiTheme="majorHAnsi" w:cstheme="majorHAnsi"/>
          <w:color w:val="EE0000"/>
          <w:sz w:val="22"/>
          <w:szCs w:val="22"/>
        </w:rPr>
      </w:pPr>
      <w:r>
        <w:rPr>
          <w:rFonts w:asciiTheme="majorHAnsi" w:hAnsiTheme="majorHAnsi" w:cstheme="majorHAnsi"/>
          <w:b/>
          <w:bCs/>
          <w:color w:val="EE0000"/>
          <w:sz w:val="22"/>
          <w:szCs w:val="22"/>
        </w:rPr>
        <w:t>CONTATO DA EMPRESA:</w:t>
      </w:r>
      <w:r>
        <w:rPr>
          <w:rFonts w:asciiTheme="majorHAnsi" w:hAnsiTheme="majorHAnsi" w:cstheme="majorHAnsi"/>
          <w:color w:val="EE0000"/>
          <w:sz w:val="22"/>
          <w:szCs w:val="22"/>
        </w:rPr>
        <w:t xml:space="preserve"> [Nome do responsável, telefone e e-mail]</w:t>
      </w:r>
    </w:p>
    <w:bookmarkEnd w:id="102"/>
    <w:p w14:paraId="54A0FDB4">
      <w:pPr>
        <w:pStyle w:val="38"/>
        <w:numPr>
          <w:ilvl w:val="1"/>
          <w:numId w:val="15"/>
        </w:numPr>
        <w:suppressAutoHyphens/>
        <w:spacing w:before="120" w:after="120"/>
        <w:ind w:left="0"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u w:val="single"/>
        </w:rPr>
        <w:t>Da forma de fornecimento e entrega</w:t>
      </w:r>
      <w:r>
        <w:rPr>
          <w:rFonts w:asciiTheme="majorHAnsi" w:hAnsiTheme="majorHAnsi" w:cstheme="majorHAnsi"/>
          <w:b/>
          <w:bCs/>
          <w:color w:val="EE0000"/>
          <w:sz w:val="22"/>
          <w:szCs w:val="22"/>
        </w:rPr>
        <w:t>:</w:t>
      </w:r>
    </w:p>
    <w:p w14:paraId="3F31B257">
      <w:pPr>
        <w:pStyle w:val="38"/>
        <w:numPr>
          <w:ilvl w:val="2"/>
          <w:numId w:val="15"/>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Provisoriamente, a partir da entrega, para efeito de verificação da conformidade com as especificações constantes deste Estudo Técnico Preliminar e da proposta, limitando-se a verificar a sua conformidade com o discriminado na Nota Fiscal, fazendo constar no canhoto e no verso da Nota a data de entrega e, se for o caso, as irregularidades observadas;</w:t>
      </w:r>
    </w:p>
    <w:p w14:paraId="709391A3">
      <w:pPr>
        <w:pStyle w:val="38"/>
        <w:numPr>
          <w:ilvl w:val="2"/>
          <w:numId w:val="15"/>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Definitivamente, após a verificação da conformidade com as especificações constantes da Solicitação e da proposta, e sua consequente aceitação que se dará </w:t>
      </w:r>
      <w:r>
        <w:rPr>
          <w:rFonts w:asciiTheme="majorHAnsi" w:hAnsiTheme="majorHAnsi" w:cstheme="majorHAnsi"/>
          <w:b/>
          <w:bCs/>
          <w:color w:val="EE0000"/>
          <w:sz w:val="22"/>
          <w:szCs w:val="22"/>
        </w:rPr>
        <w:t>até 05 (cinco) dias úteis</w:t>
      </w:r>
      <w:r>
        <w:rPr>
          <w:rFonts w:asciiTheme="majorHAnsi" w:hAnsiTheme="majorHAnsi" w:cstheme="majorHAnsi"/>
          <w:color w:val="EE0000"/>
          <w:sz w:val="22"/>
          <w:szCs w:val="22"/>
        </w:rPr>
        <w:t>, contados do recebimento provisório, por Comissão/Servidor designado pela Autoridade competente;</w:t>
      </w:r>
    </w:p>
    <w:p w14:paraId="684718D7">
      <w:pPr>
        <w:pStyle w:val="38"/>
        <w:numPr>
          <w:ilvl w:val="2"/>
          <w:numId w:val="15"/>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caso de não conformidade, a Comissão/ Servidor designado devolverá Nota Fiscal / Materiais, para as devidas correções;</w:t>
      </w:r>
    </w:p>
    <w:p w14:paraId="0A90EF6A">
      <w:pPr>
        <w:pStyle w:val="38"/>
        <w:numPr>
          <w:ilvl w:val="2"/>
          <w:numId w:val="15"/>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Durante o recebimento provisório, o Hospital Ana Nery (HAN) poderá exigir a substituição de qualquer dos materiais que não estejam de acordo com as especificações desta solicitação;</w:t>
      </w:r>
    </w:p>
    <w:p w14:paraId="753D59EC">
      <w:pPr>
        <w:pStyle w:val="38"/>
        <w:numPr>
          <w:ilvl w:val="2"/>
          <w:numId w:val="15"/>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Não serão pagos os materiais entregues em locais diferentes do mencionado no item 4.37 deste termo, ou materiais entregues a funcionários do Hospital Ana Nery não autorizados.</w:t>
      </w:r>
    </w:p>
    <w:p w14:paraId="4DAF9736">
      <w:pPr>
        <w:pStyle w:val="38"/>
        <w:numPr>
          <w:ilvl w:val="2"/>
          <w:numId w:val="15"/>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Na hipótese de a verificação, a que se refere o subitem anterior não ser procedida dentro do prazo fixado, reputar-se-á como realizada, consumando-se o recebimento definitivo no dia do esgotamento do prazo.</w:t>
      </w:r>
    </w:p>
    <w:p w14:paraId="6448E2C8">
      <w:pPr>
        <w:pStyle w:val="38"/>
        <w:numPr>
          <w:ilvl w:val="2"/>
          <w:numId w:val="15"/>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Os bens que não atenderem as especificações deverão ser </w:t>
      </w:r>
      <w:r>
        <w:rPr>
          <w:rFonts w:asciiTheme="majorHAnsi" w:hAnsiTheme="majorHAnsi" w:cstheme="majorHAnsi"/>
          <w:b/>
          <w:bCs/>
          <w:color w:val="EE0000"/>
          <w:sz w:val="22"/>
          <w:szCs w:val="22"/>
        </w:rPr>
        <w:t>substituídos</w:t>
      </w:r>
      <w:r>
        <w:rPr>
          <w:rFonts w:asciiTheme="majorHAnsi" w:hAnsiTheme="majorHAnsi" w:cstheme="majorHAnsi"/>
          <w:color w:val="EE0000"/>
          <w:sz w:val="22"/>
          <w:szCs w:val="22"/>
        </w:rPr>
        <w:t xml:space="preserve"> pela Contratada, no prazo máximo de </w:t>
      </w:r>
      <w:r>
        <w:rPr>
          <w:rFonts w:asciiTheme="majorHAnsi" w:hAnsiTheme="majorHAnsi" w:cstheme="majorHAnsi"/>
          <w:b/>
          <w:bCs/>
          <w:color w:val="EE0000"/>
          <w:sz w:val="22"/>
          <w:szCs w:val="22"/>
        </w:rPr>
        <w:t>10 (dez) dias corridos</w:t>
      </w:r>
      <w:r>
        <w:rPr>
          <w:rFonts w:asciiTheme="majorHAnsi" w:hAnsiTheme="majorHAnsi" w:cstheme="majorHAnsi"/>
          <w:color w:val="EE0000"/>
          <w:sz w:val="22"/>
          <w:szCs w:val="22"/>
        </w:rPr>
        <w:t>, sob pena de aplicação das sanções previstas no Termo de Referência.</w:t>
      </w:r>
    </w:p>
    <w:p w14:paraId="5B310FA3">
      <w:pPr>
        <w:pStyle w:val="38"/>
        <w:numPr>
          <w:ilvl w:val="2"/>
          <w:numId w:val="15"/>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administração rejeitará, no todo ou em parte, a entrega dos bens em desacordo com as especificações técnicas exigidas.</w:t>
      </w:r>
      <w:r>
        <w:rPr>
          <w:rFonts w:asciiTheme="majorHAnsi" w:hAnsiTheme="majorHAnsi" w:cstheme="majorHAnsi"/>
          <w:color w:val="EE0000"/>
          <w:sz w:val="22"/>
          <w:szCs w:val="22"/>
        </w:rPr>
        <w:tab/>
      </w:r>
    </w:p>
    <w:p w14:paraId="0431B929">
      <w:pPr>
        <w:pStyle w:val="38"/>
        <w:numPr>
          <w:ilvl w:val="2"/>
          <w:numId w:val="15"/>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As entregas dos bens de consumo médico-hospitalar ocorrerão de forma parcelada, conforme demanda do Hospital Ana Nery.</w:t>
      </w:r>
    </w:p>
    <w:p w14:paraId="0298FE50">
      <w:pPr>
        <w:pStyle w:val="38"/>
        <w:numPr>
          <w:ilvl w:val="2"/>
          <w:numId w:val="15"/>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As entregas dos bens de consumo médico-hospitalar correrão por conta do Fornecedor, sem gerar quaisquer ônus para o Hospital Ana Nery, e será solicitada mediante emissão de nota de empenho.</w:t>
      </w:r>
    </w:p>
    <w:p w14:paraId="4261012E">
      <w:pPr>
        <w:pStyle w:val="38"/>
        <w:numPr>
          <w:ilvl w:val="2"/>
          <w:numId w:val="15"/>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E770B72">
      <w:pPr>
        <w:pStyle w:val="38"/>
        <w:numPr>
          <w:ilvl w:val="2"/>
          <w:numId w:val="15"/>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O Fornecedor deverá fornecer os bens de consumo médico-hospitalar em perfeitas condições de uso, visando manter a continuidade dos serviços prestados pelo Hospital Ana Nery, e, substitui-los em caso de não conformidade com o objeto licitado.</w:t>
      </w:r>
    </w:p>
    <w:p w14:paraId="57FED4B4">
      <w:pPr>
        <w:pStyle w:val="38"/>
        <w:numPr>
          <w:ilvl w:val="2"/>
          <w:numId w:val="15"/>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O Fornecedor sempre que necessário, deverá esclarecer dúvidas técnicas quanto aos materiais de consumo médico-hospitalar fornecidos</w:t>
      </w:r>
    </w:p>
    <w:p w14:paraId="6632D162">
      <w:pPr>
        <w:pStyle w:val="38"/>
        <w:numPr>
          <w:ilvl w:val="2"/>
          <w:numId w:val="15"/>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O método de embalagem deverá ser tal que garanta a proteção adequada ao fornecimento durante o transporte. Cada embalagem deverá estar devidamente protegida e acompanhar lista indicando seu conteúdo.</w:t>
      </w:r>
    </w:p>
    <w:p w14:paraId="46978E31">
      <w:pPr>
        <w:pStyle w:val="38"/>
        <w:numPr>
          <w:ilvl w:val="2"/>
          <w:numId w:val="15"/>
        </w:numPr>
        <w:spacing w:before="120" w:after="120"/>
        <w:ind w:left="0" w:firstLine="0"/>
        <w:contextualSpacing w:val="0"/>
        <w:jc w:val="both"/>
        <w:rPr>
          <w:rFonts w:asciiTheme="majorHAnsi" w:hAnsiTheme="majorHAnsi" w:cstheme="majorHAnsi"/>
          <w:color w:val="EE0000"/>
          <w:sz w:val="22"/>
          <w:szCs w:val="22"/>
        </w:rPr>
      </w:pPr>
      <w:bookmarkStart w:id="103" w:name="_Hlk230856360"/>
      <w:r>
        <w:rPr>
          <w:rFonts w:asciiTheme="majorHAnsi" w:hAnsiTheme="majorHAnsi" w:cstheme="majorHAnsi"/>
          <w:color w:val="EE0000"/>
          <w:sz w:val="22"/>
          <w:szCs w:val="22"/>
        </w:rPr>
        <w:t xml:space="preserve"> O prazo de validade, durabilidade ou vida útil dos bens de consumo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 </w:t>
      </w:r>
    </w:p>
    <w:p w14:paraId="3F36D5BA">
      <w:pPr>
        <w:pStyle w:val="38"/>
        <w:widowControl w:val="0"/>
        <w:numPr>
          <w:ilvl w:val="1"/>
          <w:numId w:val="15"/>
        </w:numPr>
        <w:suppressAutoHyphens/>
        <w:spacing w:before="120" w:after="120"/>
        <w:ind w:left="0" w:firstLine="0"/>
        <w:contextualSpacing w:val="0"/>
        <w:jc w:val="both"/>
        <w:rPr>
          <w:rFonts w:asciiTheme="majorHAnsi" w:hAnsiTheme="majorHAnsi" w:cstheme="majorHAnsi"/>
          <w:b/>
          <w:color w:val="EE0000"/>
          <w:sz w:val="22"/>
          <w:szCs w:val="22"/>
          <w:u w:val="single"/>
        </w:rPr>
      </w:pPr>
      <w:r>
        <w:rPr>
          <w:rFonts w:asciiTheme="majorHAnsi" w:hAnsiTheme="majorHAnsi" w:cstheme="majorHAnsi"/>
          <w:b/>
          <w:color w:val="EE0000"/>
          <w:sz w:val="22"/>
          <w:szCs w:val="22"/>
          <w:u w:val="single"/>
        </w:rPr>
        <w:t>Dos prazos</w:t>
      </w:r>
    </w:p>
    <w:p w14:paraId="35B217F0">
      <w:pPr>
        <w:pStyle w:val="38"/>
        <w:numPr>
          <w:ilvl w:val="2"/>
          <w:numId w:val="15"/>
        </w:numPr>
        <w:tabs>
          <w:tab w:val="left" w:pos="851"/>
        </w:tabs>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entrega dos materiais deverá ocorrer em até </w:t>
      </w:r>
      <w:r>
        <w:rPr>
          <w:rFonts w:asciiTheme="majorHAnsi" w:hAnsiTheme="majorHAnsi" w:cstheme="majorHAnsi"/>
          <w:b/>
          <w:bCs/>
          <w:color w:val="EE0000"/>
          <w:sz w:val="22"/>
          <w:szCs w:val="22"/>
        </w:rPr>
        <w:t>15 (quinze) corridos</w:t>
      </w:r>
      <w:r>
        <w:rPr>
          <w:rFonts w:asciiTheme="majorHAnsi" w:hAnsiTheme="majorHAnsi" w:cstheme="majorHAnsi"/>
          <w:color w:val="EE0000"/>
          <w:sz w:val="22"/>
          <w:szCs w:val="22"/>
        </w:rPr>
        <w:t>, a partir do recebimento da Nota de Empenho ou documento equivalente pelo Fornecedor.</w:t>
      </w:r>
    </w:p>
    <w:p w14:paraId="0C4D2416">
      <w:pPr>
        <w:pStyle w:val="38"/>
        <w:numPr>
          <w:ilvl w:val="2"/>
          <w:numId w:val="15"/>
        </w:numPr>
        <w:tabs>
          <w:tab w:val="left" w:pos="851"/>
        </w:tabs>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terá 48 (quarenta e oito) horas para confirmar o recebimento do empenho voluntariamente; </w:t>
      </w:r>
    </w:p>
    <w:p w14:paraId="066E27ED">
      <w:pPr>
        <w:pStyle w:val="38"/>
        <w:numPr>
          <w:ilvl w:val="2"/>
          <w:numId w:val="15"/>
        </w:numPr>
        <w:tabs>
          <w:tab w:val="left" w:pos="851"/>
        </w:tabs>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ausência de confirmação voluntária ensejará a confirmação de forma compulsória, após o qual será iniciada a contagem do prazo para entrega. </w:t>
      </w:r>
    </w:p>
    <w:p w14:paraId="4AFE70F6">
      <w:pPr>
        <w:pStyle w:val="38"/>
        <w:numPr>
          <w:ilvl w:val="2"/>
          <w:numId w:val="15"/>
        </w:numPr>
        <w:tabs>
          <w:tab w:val="left" w:pos="851"/>
        </w:tabs>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Prazo para solicitação de prorrogação do prazo de entrega: 48 (quarenta e oito) horas antes do término do prazo de entrega;</w:t>
      </w:r>
    </w:p>
    <w:p w14:paraId="1E405A3F">
      <w:pPr>
        <w:pStyle w:val="38"/>
        <w:numPr>
          <w:ilvl w:val="2"/>
          <w:numId w:val="15"/>
        </w:numPr>
        <w:tabs>
          <w:tab w:val="left" w:pos="851"/>
        </w:tabs>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Prazo de substituição de produto avariado ou com característica que não atendam ao objeto do certame: Em até 05 (cinco) dias corridos, após notificação;</w:t>
      </w:r>
    </w:p>
    <w:p w14:paraId="25D2E44D">
      <w:pPr>
        <w:pStyle w:val="38"/>
        <w:numPr>
          <w:ilvl w:val="2"/>
          <w:numId w:val="15"/>
        </w:numPr>
        <w:tabs>
          <w:tab w:val="left" w:pos="851"/>
        </w:tabs>
        <w:suppressAutoHyphens/>
        <w:spacing w:before="120" w:after="120"/>
        <w:ind w:left="0" w:firstLine="0"/>
        <w:contextualSpacing w:val="0"/>
        <w:jc w:val="both"/>
        <w:rPr>
          <w:rFonts w:asciiTheme="majorHAnsi" w:hAnsiTheme="majorHAnsi" w:cstheme="majorHAnsi"/>
          <w:sz w:val="22"/>
          <w:szCs w:val="22"/>
          <w:lang w:eastAsia="en-US"/>
        </w:rPr>
      </w:pPr>
      <w:r>
        <w:rPr>
          <w:rFonts w:asciiTheme="majorHAnsi" w:hAnsiTheme="majorHAnsi" w:cstheme="majorHAnsi"/>
          <w:color w:val="EE0000"/>
          <w:sz w:val="22"/>
          <w:szCs w:val="22"/>
        </w:rPr>
        <w:t>A aquisição destes materiais será de forma parcelada, tantas quanto necessárias, sendo a entrega do material, por conta da contratada sem ônus para o Hospital Ana Nery, conforme necessidade da unidade, e solicitada mediante nota de empenho</w:t>
      </w:r>
      <w:r>
        <w:rPr>
          <w:rFonts w:asciiTheme="majorHAnsi" w:hAnsiTheme="majorHAnsi" w:cstheme="majorHAnsi"/>
          <w:sz w:val="22"/>
          <w:szCs w:val="22"/>
          <w:lang w:eastAsia="en-US"/>
        </w:rPr>
        <w:t>.</w:t>
      </w:r>
    </w:p>
    <w:bookmarkEnd w:id="103"/>
    <w:p w14:paraId="268D2767">
      <w:pPr>
        <w:pStyle w:val="38"/>
        <w:spacing w:before="120" w:after="120"/>
        <w:ind w:left="0"/>
        <w:contextualSpacing w:val="0"/>
        <w:jc w:val="both"/>
        <w:rPr>
          <w:rFonts w:asciiTheme="majorHAnsi" w:hAnsiTheme="majorHAnsi" w:cstheme="majorHAnsi"/>
          <w:b/>
          <w:bCs/>
          <w:sz w:val="22"/>
          <w:szCs w:val="22"/>
          <w:u w:val="single"/>
        </w:rPr>
      </w:pPr>
      <w:bookmarkStart w:id="104" w:name="_Hlk216791902"/>
      <w:r>
        <w:rPr>
          <w:rFonts w:asciiTheme="majorHAnsi" w:hAnsiTheme="majorHAnsi" w:cstheme="majorHAnsi"/>
          <w:b/>
          <w:bCs/>
          <w:sz w:val="22"/>
          <w:szCs w:val="22"/>
          <w:u w:val="single"/>
        </w:rPr>
        <w:t>Garantia, manutenção e assistência técnica.</w:t>
      </w:r>
    </w:p>
    <w:bookmarkEnd w:id="104"/>
    <w:p w14:paraId="102D748F">
      <w:pPr>
        <w:pStyle w:val="38"/>
        <w:numPr>
          <w:ilvl w:val="1"/>
          <w:numId w:val="15"/>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prazo de garantia é aquele estabelecido na Lei nº 8.078, de 11 de setembro de 1990 (CDC), alterações posteriores vigentes.</w:t>
      </w:r>
    </w:p>
    <w:p w14:paraId="3ADD5922">
      <w:pPr>
        <w:pStyle w:val="38"/>
        <w:numPr>
          <w:ilvl w:val="0"/>
          <w:numId w:val="15"/>
        </w:numPr>
        <w:shd w:val="clear" w:color="auto" w:fill="F1F1F1"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MODELO DE GESTÃO DO CONTRATO</w:t>
      </w:r>
    </w:p>
    <w:p w14:paraId="58B13641">
      <w:pPr>
        <w:pStyle w:val="38"/>
        <w:numPr>
          <w:ilvl w:val="1"/>
          <w:numId w:val="16"/>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O contrato deverá ser executado fielmente pelas partes, de acordo com as cláusulas avençadas e as normas da Lei nº 14.133, de 2021, e cada parte responderá pelas consequências de sua inexecução total ou parcial.</w:t>
      </w:r>
    </w:p>
    <w:p w14:paraId="217B51B4">
      <w:pPr>
        <w:pStyle w:val="38"/>
        <w:numPr>
          <w:ilvl w:val="1"/>
          <w:numId w:val="16"/>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Em caso de impedimento, ordem de paralisação ou suspensão do contrato, o cronograma de execução será prorrogado automaticamente pelo tempo correspondente, anotadas tais circunstâncias mediante simples apostila.</w:t>
      </w:r>
    </w:p>
    <w:p w14:paraId="12FA240F">
      <w:pPr>
        <w:pStyle w:val="38"/>
        <w:numPr>
          <w:ilvl w:val="1"/>
          <w:numId w:val="16"/>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As comunicações entre o órgão ou entidade e a contratada devem ser realizadas por escrito sempre que o ato exigir tal formalidade, admitindo-se o uso de mensagem eletrônica para esse fim.</w:t>
      </w:r>
    </w:p>
    <w:p w14:paraId="214619BC">
      <w:pPr>
        <w:pStyle w:val="38"/>
        <w:numPr>
          <w:ilvl w:val="1"/>
          <w:numId w:val="16"/>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O órgão ou entidade poderá convocar representante da empresa para adoção de providências que devam ser cumpridas de imediato.</w:t>
      </w:r>
    </w:p>
    <w:p w14:paraId="19560350">
      <w:pPr>
        <w:pStyle w:val="38"/>
        <w:numPr>
          <w:ilvl w:val="1"/>
          <w:numId w:val="16"/>
        </w:numPr>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C9C884">
      <w:pPr>
        <w:pStyle w:val="38"/>
        <w:ind w:left="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w:t>
      </w:r>
    </w:p>
    <w:p w14:paraId="3F1E2920">
      <w:pPr>
        <w:pStyle w:val="38"/>
        <w:numPr>
          <w:ilvl w:val="1"/>
          <w:numId w:val="16"/>
        </w:numPr>
        <w:ind w:left="0" w:firstLine="0"/>
        <w:jc w:val="both"/>
        <w:rPr>
          <w:rFonts w:asciiTheme="majorHAnsi" w:hAnsiTheme="majorHAnsi" w:cstheme="majorHAnsi"/>
          <w:color w:val="EE0000"/>
          <w:sz w:val="22"/>
          <w:szCs w:val="22"/>
        </w:rPr>
      </w:pPr>
      <w:r>
        <w:rPr>
          <w:rFonts w:asciiTheme="majorHAnsi" w:hAnsiTheme="majorHAnsi" w:cstheme="majorHAnsi"/>
          <w:sz w:val="22"/>
          <w:szCs w:val="22"/>
        </w:rPr>
        <w:t>A execução do contrato deverá ser acompanhada e fiscalizada pelos fiscais do contrato, ou pelos respectivos substitutos. (</w:t>
      </w:r>
      <w:r>
        <w:rPr>
          <w:rFonts w:asciiTheme="majorHAnsi" w:hAnsiTheme="majorHAnsi" w:cstheme="majorHAnsi"/>
          <w:color w:val="EE0000"/>
          <w:sz w:val="22"/>
          <w:szCs w:val="22"/>
        </w:rPr>
        <w:t>Lei nº 14.133, de 2021, art. 7º ,caput, Decreto nº 11.246, de 2022, art. 8º).</w:t>
      </w:r>
    </w:p>
    <w:p w14:paraId="031C7ACF">
      <w:pPr>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 Técnica</w:t>
      </w:r>
    </w:p>
    <w:p w14:paraId="76A003EE">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acompanhará a execução do contrato, para que sejam cumpridas todas as condições estabelecidas no contrato, de modo a assegurar os melhores resultados para a Administração.</w:t>
      </w:r>
    </w:p>
    <w:p w14:paraId="73C3AC29">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34B084A0">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Identificada qualquer inexatidão ou irregularidade, o fiscal técnico do contrato emitirá notificações para a correção da execução do contrato, determinando prazo para a correção.</w:t>
      </w:r>
    </w:p>
    <w:p w14:paraId="72DCBEF8">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19972FED">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ocorrências que possam inviabilizar a execução do contrato nas datas aprazadas, o fiscal técnico do contrato comunicará o fato imediatamente ao gestor do contrato.</w:t>
      </w:r>
    </w:p>
    <w:p w14:paraId="58164614">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comunicará ao gestor do contrato, em tempo hábil, o término do contrato sob sua responsabilidade, com vistas à renovação tempestiva ou à prorrogação contratual.</w:t>
      </w:r>
    </w:p>
    <w:p w14:paraId="698B42D5">
      <w:pPr>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 Administrativa</w:t>
      </w:r>
    </w:p>
    <w:p w14:paraId="1E8FCFDB">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E25BC4F">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8B5DB92">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3B544B5">
      <w:pPr>
        <w:jc w:val="both"/>
        <w:rPr>
          <w:rFonts w:asciiTheme="majorHAnsi" w:hAnsiTheme="majorHAnsi" w:cstheme="majorHAnsi"/>
          <w:b/>
          <w:bCs/>
          <w:sz w:val="22"/>
          <w:szCs w:val="22"/>
          <w:u w:val="single"/>
        </w:rPr>
      </w:pPr>
      <w:r>
        <w:rPr>
          <w:rFonts w:asciiTheme="majorHAnsi" w:hAnsiTheme="majorHAnsi" w:cstheme="majorHAnsi"/>
          <w:b/>
          <w:bCs/>
          <w:sz w:val="22"/>
          <w:szCs w:val="22"/>
          <w:u w:val="single"/>
        </w:rPr>
        <w:t>Gestor do Contrato</w:t>
      </w:r>
    </w:p>
    <w:p w14:paraId="6C19B755">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Cabe ao gestor do contrato:</w:t>
      </w:r>
    </w:p>
    <w:p w14:paraId="319B2114">
      <w:pPr>
        <w:pStyle w:val="38"/>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750D701">
      <w:pPr>
        <w:pStyle w:val="38"/>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635519ED">
      <w:pPr>
        <w:pStyle w:val="38"/>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52D08DC3">
      <w:pPr>
        <w:pStyle w:val="38"/>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5DB4490">
      <w:pPr>
        <w:pStyle w:val="38"/>
        <w:numPr>
          <w:ilvl w:val="2"/>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7E2102B">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elaborar relatório final com informações sobre a consecução dos objetivos que tenham justificado a contratação e eventuais condutas a serem adotadas para o aprimoramento das atividades da Administração.</w:t>
      </w:r>
    </w:p>
    <w:p w14:paraId="669322E0">
      <w:pPr>
        <w:pStyle w:val="38"/>
        <w:numPr>
          <w:ilvl w:val="1"/>
          <w:numId w:val="16"/>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enviar a documentação pertinente ao setor de contratos para a formalização dos procedimentos de liquidação e pagamento, no valor dimensionado pela fiscalização e gestão nos termos do contrato.</w:t>
      </w:r>
    </w:p>
    <w:p w14:paraId="35ADE2BD">
      <w:pPr>
        <w:pStyle w:val="38"/>
        <w:numPr>
          <w:ilvl w:val="0"/>
          <w:numId w:val="16"/>
        </w:numPr>
        <w:shd w:val="clear" w:color="auto" w:fill="F1F1F1"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INFRAÇÕES E SANÇÕES ADMINISTRATIVAS</w:t>
      </w:r>
    </w:p>
    <w:p w14:paraId="6AE02DB2">
      <w:pPr>
        <w:pStyle w:val="38"/>
        <w:numPr>
          <w:ilvl w:val="1"/>
          <w:numId w:val="17"/>
        </w:numPr>
        <w:spacing w:before="120" w:after="120"/>
        <w:ind w:left="0" w:firstLine="0"/>
        <w:contextualSpacing w:val="0"/>
        <w:jc w:val="both"/>
        <w:rPr>
          <w:rFonts w:asciiTheme="majorHAnsi" w:hAnsiTheme="majorHAnsi" w:cstheme="majorHAnsi"/>
          <w:sz w:val="22"/>
          <w:szCs w:val="22"/>
        </w:rPr>
      </w:pPr>
      <w:bookmarkStart w:id="105" w:name="_Hlk216942621"/>
      <w:r>
        <w:rPr>
          <w:rFonts w:asciiTheme="majorHAnsi" w:hAnsiTheme="majorHAnsi" w:cstheme="majorHAnsi"/>
          <w:sz w:val="22"/>
          <w:szCs w:val="22"/>
        </w:rPr>
        <w:t xml:space="preserve">Comete infração administrativa, nos termos da lei, o licitante que, com dolo ou culpa: </w:t>
      </w:r>
    </w:p>
    <w:p w14:paraId="3545F8FB">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parcial do contrato;</w:t>
      </w:r>
    </w:p>
    <w:p w14:paraId="586D7DA3">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parcial do contrato que cause grave dano à Administração ou ao funcionamento dos serviços públicos ou ao interesse coletivo;</w:t>
      </w:r>
    </w:p>
    <w:p w14:paraId="7B79C8DA">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total do contrato;</w:t>
      </w:r>
    </w:p>
    <w:p w14:paraId="0A1B4FF4">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ensejar o retardamento da execução ou da entrega do objeto da contratação sem motivo justificado;</w:t>
      </w:r>
    </w:p>
    <w:p w14:paraId="54D707C0">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apresentar documentação falsa ou prestar declaração falsa durante a execução do contrato;</w:t>
      </w:r>
    </w:p>
    <w:p w14:paraId="58512EDC">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praticar ato fraudulento na execução do contrato;</w:t>
      </w:r>
    </w:p>
    <w:p w14:paraId="3D7F8D28">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comportar-se de modo inidôneo ou cometer fraude de qualquer natureza;</w:t>
      </w:r>
    </w:p>
    <w:p w14:paraId="61570C33">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praticar ato lesivo previsto no art. 5º da Lei nº 12.846, de 1º de agosto de 2013.</w:t>
      </w:r>
    </w:p>
    <w:p w14:paraId="637BE41B">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aplicadas ao Contratado que incorrer nas infrações acima descritas as seguintes sanções:</w:t>
      </w:r>
    </w:p>
    <w:p w14:paraId="22EAC903">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Advertência, quando o Contratado der causa à inexecução parcial do contrato, sempre que não se justificar a imposição de penalidade mais grave;</w:t>
      </w:r>
    </w:p>
    <w:p w14:paraId="242E2C77">
      <w:pPr>
        <w:pStyle w:val="38"/>
        <w:numPr>
          <w:ilvl w:val="2"/>
          <w:numId w:val="17"/>
        </w:numPr>
        <w:spacing w:before="120" w:after="120"/>
        <w:ind w:left="0" w:firstLine="0"/>
        <w:contextualSpacing w:val="0"/>
        <w:jc w:val="both"/>
        <w:rPr>
          <w:rFonts w:asciiTheme="majorHAnsi" w:hAnsiTheme="majorHAnsi" w:cstheme="majorHAnsi"/>
          <w:sz w:val="22"/>
          <w:szCs w:val="22"/>
        </w:rPr>
      </w:pPr>
      <w:bookmarkStart w:id="106" w:name="_Hlk218502640"/>
      <w:r>
        <w:rPr>
          <w:rFonts w:asciiTheme="majorHAnsi" w:hAnsiTheme="majorHAnsi" w:cstheme="majorHAnsi"/>
          <w:sz w:val="22"/>
          <w:szCs w:val="22"/>
        </w:rPr>
        <w:t>Impedimento de licitar e contratar, quando praticadas as condutas descritas nos subitens 7.1.2, 7.1.3 e 7.1.4, acima, sempre que não se justificar a imposição de penalidade mais grave;</w:t>
      </w:r>
    </w:p>
    <w:bookmarkEnd w:id="106"/>
    <w:p w14:paraId="1A6CA9CC">
      <w:pPr>
        <w:pStyle w:val="38"/>
        <w:numPr>
          <w:ilvl w:val="2"/>
          <w:numId w:val="17"/>
        </w:numPr>
        <w:spacing w:before="120" w:after="120"/>
        <w:ind w:left="0" w:firstLine="0"/>
        <w:contextualSpacing w:val="0"/>
        <w:jc w:val="both"/>
        <w:rPr>
          <w:rFonts w:asciiTheme="majorHAnsi" w:hAnsiTheme="majorHAnsi" w:cstheme="majorHAnsi"/>
          <w:sz w:val="22"/>
          <w:szCs w:val="22"/>
        </w:rPr>
      </w:pPr>
      <w:bookmarkStart w:id="107" w:name="_Hlk218502662"/>
      <w:r>
        <w:rPr>
          <w:rFonts w:asciiTheme="majorHAnsi" w:hAnsiTheme="majorHAnsi" w:cstheme="majorHAnsi"/>
          <w:sz w:val="22"/>
          <w:szCs w:val="22"/>
        </w:rPr>
        <w:t>Declaração de inidoneidade para licitar e contratar, quando praticadas as condutas descritas nos subitens 7.1.5, 7.1.6, 7.1.7 e 7.1.8, do subitem acima, bem como nos subitens 7.1.2, 7.1.3 e 7.1.4, que justifiquem a imposição de penalidade mais grave.</w:t>
      </w:r>
    </w:p>
    <w:bookmarkEnd w:id="107"/>
    <w:p w14:paraId="55BAC569">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Multa:</w:t>
      </w:r>
    </w:p>
    <w:p w14:paraId="79341FDD">
      <w:pPr>
        <w:pStyle w:val="38"/>
        <w:numPr>
          <w:ilvl w:val="2"/>
          <w:numId w:val="17"/>
        </w:numPr>
        <w:spacing w:before="120" w:after="120"/>
        <w:ind w:left="0" w:firstLine="0"/>
        <w:contextualSpacing w:val="0"/>
        <w:jc w:val="both"/>
        <w:rPr>
          <w:rFonts w:asciiTheme="majorHAnsi" w:hAnsiTheme="majorHAnsi" w:cstheme="majorHAnsi"/>
          <w:sz w:val="22"/>
          <w:szCs w:val="22"/>
        </w:rPr>
      </w:pPr>
      <w:bookmarkStart w:id="108" w:name="_Hlk218502681"/>
      <w:r>
        <w:rPr>
          <w:rFonts w:asciiTheme="majorHAnsi" w:hAnsiTheme="majorHAnsi" w:cstheme="majorHAnsi"/>
          <w:sz w:val="22"/>
          <w:szCs w:val="22"/>
        </w:rPr>
        <w:t xml:space="preserve">Moratória, para as infrações descritas no subitem 7.1.4, de </w:t>
      </w:r>
      <w:r>
        <w:rPr>
          <w:rFonts w:asciiTheme="majorHAnsi" w:hAnsiTheme="majorHAnsi" w:cstheme="majorHAnsi"/>
          <w:color w:val="4F81BD" w:themeColor="accent1"/>
          <w:sz w:val="22"/>
          <w:szCs w:val="22"/>
          <w14:textFill>
            <w14:solidFill>
              <w14:schemeClr w14:val="accent1"/>
            </w14:solidFill>
          </w14:textFill>
        </w:rPr>
        <w:t xml:space="preserve">0,5% a 1% </w:t>
      </w:r>
      <w:r>
        <w:rPr>
          <w:rFonts w:asciiTheme="majorHAnsi" w:hAnsiTheme="majorHAnsi" w:cstheme="majorHAnsi"/>
          <w:sz w:val="22"/>
          <w:szCs w:val="22"/>
        </w:rPr>
        <w:t>por dia de atraso injustificado sobre o valor da parcela inadimplida, até o limite de 30 (trinta) dias;</w:t>
      </w:r>
    </w:p>
    <w:bookmarkEnd w:id="108"/>
    <w:p w14:paraId="5FB74F81">
      <w:pPr>
        <w:pStyle w:val="38"/>
        <w:numPr>
          <w:ilvl w:val="2"/>
          <w:numId w:val="17"/>
        </w:numPr>
        <w:spacing w:before="120" w:after="120"/>
        <w:ind w:left="0" w:firstLine="0"/>
        <w:contextualSpacing w:val="0"/>
        <w:jc w:val="both"/>
        <w:rPr>
          <w:rFonts w:asciiTheme="majorHAnsi" w:hAnsiTheme="majorHAnsi" w:cstheme="majorHAnsi"/>
          <w:sz w:val="22"/>
          <w:szCs w:val="22"/>
        </w:rPr>
      </w:pPr>
      <w:bookmarkStart w:id="109" w:name="_Hlk218502697"/>
      <w:r>
        <w:rPr>
          <w:rFonts w:asciiTheme="majorHAnsi" w:hAnsiTheme="majorHAnsi" w:cstheme="majorHAnsi"/>
          <w:sz w:val="22"/>
          <w:szCs w:val="22"/>
        </w:rPr>
        <w:t xml:space="preserve">Compensatória, para as infrações descritas nos subitens 7.1.5 a 7.1.8 de </w:t>
      </w:r>
      <w:r>
        <w:rPr>
          <w:rFonts w:asciiTheme="majorHAnsi" w:hAnsiTheme="majorHAnsi" w:cstheme="majorHAnsi"/>
          <w:color w:val="4F81BD" w:themeColor="accent1"/>
          <w:sz w:val="22"/>
          <w:szCs w:val="22"/>
          <w14:textFill>
            <w14:solidFill>
              <w14:schemeClr w14:val="accent1"/>
            </w14:solidFill>
          </w14:textFill>
        </w:rPr>
        <w:t xml:space="preserve">0,5% a 30% </w:t>
      </w:r>
      <w:r>
        <w:rPr>
          <w:rFonts w:asciiTheme="majorHAnsi" w:hAnsiTheme="majorHAnsi" w:cstheme="majorHAnsi"/>
          <w:sz w:val="22"/>
          <w:szCs w:val="22"/>
        </w:rPr>
        <w:t>do valor da contratação;</w:t>
      </w:r>
    </w:p>
    <w:bookmarkEnd w:id="109"/>
    <w:p w14:paraId="1671E933">
      <w:pPr>
        <w:pStyle w:val="38"/>
        <w:numPr>
          <w:ilvl w:val="2"/>
          <w:numId w:val="17"/>
        </w:numPr>
        <w:spacing w:before="120" w:after="120"/>
        <w:ind w:left="0" w:firstLine="0"/>
        <w:contextualSpacing w:val="0"/>
        <w:jc w:val="both"/>
        <w:rPr>
          <w:rFonts w:asciiTheme="majorHAnsi" w:hAnsiTheme="majorHAnsi" w:cstheme="majorHAnsi"/>
          <w:sz w:val="22"/>
          <w:szCs w:val="22"/>
        </w:rPr>
      </w:pPr>
      <w:bookmarkStart w:id="110" w:name="_Hlk218502779"/>
      <w:r>
        <w:rPr>
          <w:rFonts w:asciiTheme="majorHAnsi" w:hAnsiTheme="majorHAnsi" w:cstheme="majorHAnsi"/>
          <w:sz w:val="22"/>
          <w:szCs w:val="22"/>
        </w:rPr>
        <w:t xml:space="preserve">Compensatória, para a inexecução total do contrato prevista no subitem 7.1.3, de </w:t>
      </w:r>
      <w:r>
        <w:rPr>
          <w:rFonts w:asciiTheme="majorHAnsi" w:hAnsiTheme="majorHAnsi" w:cstheme="majorHAnsi"/>
          <w:color w:val="4F81BD" w:themeColor="accent1"/>
          <w:sz w:val="22"/>
          <w:szCs w:val="22"/>
          <w14:textFill>
            <w14:solidFill>
              <w14:schemeClr w14:val="accent1"/>
            </w14:solidFill>
          </w14:textFill>
        </w:rPr>
        <w:t xml:space="preserve">0,5% a 30% </w:t>
      </w:r>
      <w:r>
        <w:rPr>
          <w:rFonts w:asciiTheme="majorHAnsi" w:hAnsiTheme="majorHAnsi" w:cstheme="majorHAnsi"/>
          <w:sz w:val="22"/>
          <w:szCs w:val="22"/>
        </w:rPr>
        <w:t>do valor da contratação;</w:t>
      </w:r>
    </w:p>
    <w:bookmarkEnd w:id="110"/>
    <w:p w14:paraId="2B0BFB22">
      <w:pPr>
        <w:pStyle w:val="38"/>
        <w:numPr>
          <w:ilvl w:val="2"/>
          <w:numId w:val="17"/>
        </w:numPr>
        <w:spacing w:before="120" w:after="120"/>
        <w:ind w:left="0" w:firstLine="0"/>
        <w:contextualSpacing w:val="0"/>
        <w:jc w:val="both"/>
        <w:rPr>
          <w:rFonts w:asciiTheme="majorHAnsi" w:hAnsiTheme="majorHAnsi" w:cstheme="majorHAnsi"/>
          <w:sz w:val="22"/>
          <w:szCs w:val="22"/>
        </w:rPr>
      </w:pPr>
      <w:bookmarkStart w:id="111" w:name="_Hlk218502794"/>
      <w:r>
        <w:rPr>
          <w:rFonts w:asciiTheme="majorHAnsi" w:hAnsiTheme="majorHAnsi" w:cstheme="majorHAnsi"/>
          <w:sz w:val="22"/>
          <w:szCs w:val="22"/>
        </w:rPr>
        <w:t xml:space="preserve">Compensatória, para a infração descrita acima no subitem 7.1.2,  de </w:t>
      </w:r>
      <w:r>
        <w:rPr>
          <w:rFonts w:asciiTheme="majorHAnsi" w:hAnsiTheme="majorHAnsi" w:cstheme="majorHAnsi"/>
          <w:color w:val="4F81BD" w:themeColor="accent1"/>
          <w:sz w:val="22"/>
          <w:szCs w:val="22"/>
          <w14:textFill>
            <w14:solidFill>
              <w14:schemeClr w14:val="accent1"/>
            </w14:solidFill>
          </w14:textFill>
        </w:rPr>
        <w:t xml:space="preserve">0,5% a 30% </w:t>
      </w:r>
      <w:r>
        <w:rPr>
          <w:rFonts w:asciiTheme="majorHAnsi" w:hAnsiTheme="majorHAnsi" w:cstheme="majorHAnsi"/>
          <w:sz w:val="22"/>
          <w:szCs w:val="22"/>
        </w:rPr>
        <w:t>do valor da contratação;</w:t>
      </w:r>
    </w:p>
    <w:bookmarkEnd w:id="111"/>
    <w:p w14:paraId="05AE0446">
      <w:pPr>
        <w:pStyle w:val="38"/>
        <w:numPr>
          <w:ilvl w:val="2"/>
          <w:numId w:val="17"/>
        </w:numPr>
        <w:spacing w:before="120" w:after="120"/>
        <w:ind w:left="0" w:firstLine="0"/>
        <w:contextualSpacing w:val="0"/>
        <w:jc w:val="both"/>
        <w:rPr>
          <w:rFonts w:asciiTheme="majorHAnsi" w:hAnsiTheme="majorHAnsi" w:cstheme="majorHAnsi"/>
          <w:sz w:val="22"/>
          <w:szCs w:val="22"/>
        </w:rPr>
      </w:pPr>
      <w:bookmarkStart w:id="112" w:name="_Hlk175669195"/>
      <w:r>
        <w:rPr>
          <w:rFonts w:asciiTheme="majorHAnsi" w:hAnsiTheme="majorHAnsi" w:cstheme="majorHAnsi"/>
          <w:sz w:val="22"/>
          <w:szCs w:val="22"/>
        </w:rPr>
        <w:t xml:space="preserve">Compensatória, em substituição à multa moratória para a infração descrita no subitem 7.1.4, de </w:t>
      </w:r>
      <w:r>
        <w:rPr>
          <w:rFonts w:asciiTheme="majorHAnsi" w:hAnsiTheme="majorHAnsi" w:cstheme="majorHAnsi"/>
          <w:color w:val="4F81BD" w:themeColor="accent1"/>
          <w:sz w:val="22"/>
          <w:szCs w:val="22"/>
          <w14:textFill>
            <w14:solidFill>
              <w14:schemeClr w14:val="accent1"/>
            </w14:solidFill>
          </w14:textFill>
        </w:rPr>
        <w:t xml:space="preserve">0,5% a 30% </w:t>
      </w:r>
      <w:r>
        <w:rPr>
          <w:rFonts w:asciiTheme="majorHAnsi" w:hAnsiTheme="majorHAnsi" w:cstheme="majorHAnsi"/>
          <w:sz w:val="22"/>
          <w:szCs w:val="22"/>
        </w:rPr>
        <w:t>do valor da contratação;</w:t>
      </w:r>
    </w:p>
    <w:bookmarkEnd w:id="112"/>
    <w:p w14:paraId="7FE69864">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Compensatória, para a infração descrita no subitem 7.1.1, de </w:t>
      </w:r>
      <w:r>
        <w:rPr>
          <w:rFonts w:asciiTheme="majorHAnsi" w:hAnsiTheme="majorHAnsi" w:cstheme="majorHAnsi"/>
          <w:color w:val="4F81BD" w:themeColor="accent1"/>
          <w:sz w:val="22"/>
          <w:szCs w:val="22"/>
          <w14:textFill>
            <w14:solidFill>
              <w14:schemeClr w14:val="accent1"/>
            </w14:solidFill>
          </w14:textFill>
        </w:rPr>
        <w:t xml:space="preserve">0,5% a 30% </w:t>
      </w:r>
      <w:r>
        <w:rPr>
          <w:rFonts w:asciiTheme="majorHAnsi" w:hAnsiTheme="majorHAnsi" w:cstheme="majorHAnsi"/>
          <w:sz w:val="22"/>
          <w:szCs w:val="22"/>
        </w:rPr>
        <w:t>do valor da contratação.</w:t>
      </w:r>
    </w:p>
    <w:bookmarkEnd w:id="105"/>
    <w:p w14:paraId="4C711F8D">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previstas neste Termo de Referência não exclui, em hipótese alguma, a obrigação de reparação integral do dano causado ao Contratante.</w:t>
      </w:r>
    </w:p>
    <w:p w14:paraId="2AD43B5E">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Todas as sanções previstas neste Termo de Referência poderão ser aplicadas cumulativamente com a multa.</w:t>
      </w:r>
    </w:p>
    <w:p w14:paraId="2AF64224">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Antes da aplicação da multa será facultada a defesa do interessado no prazo de 15 (quinze) dias úteis, contado da data de sua intimação.</w:t>
      </w:r>
    </w:p>
    <w:p w14:paraId="4454335F">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6D43AA9C">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multa poderá ser recolhida administrativamente no prazo máximo de 15 (quinze) dias úteis, a contar da data do recebimento da comunicação enviada pela autoridade competente.</w:t>
      </w:r>
    </w:p>
    <w:p w14:paraId="57F5207A">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1EBC142">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Para a garantia da ampla defesa e contraditório, as notificações serão enviadas eletronicamente para os endereços de e-mail informados na proposta comercial, bem como os cadastrados pela empresa no SICAF.</w:t>
      </w:r>
    </w:p>
    <w:p w14:paraId="7C61F21D">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endereços de e-mail informados na proposta comercial e/ou cadastrados no Sicaf serão considerados de uso contínuo da empresa, não cabendo alegação de desconhecimento das comunicações a eles comprovadamente enviadas.</w:t>
      </w:r>
    </w:p>
    <w:p w14:paraId="54924D87">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aplicação das sanções serão considerados:</w:t>
      </w:r>
    </w:p>
    <w:p w14:paraId="0BB50BCA">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3B91EC65">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peculiaridades do caso concreto;</w:t>
      </w:r>
    </w:p>
    <w:p w14:paraId="6826B861">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307C4B57">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danos que dela provierem para o Contratante; e</w:t>
      </w:r>
    </w:p>
    <w:p w14:paraId="2B6303E0">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109875DB">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3EDFEFE">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personalidade jurídica do Contratado poderá ser desconsiderada sempre que utilizada com abuso do direito para facilitar, encobrir ou dissimular a prática dos atos ilícitos </w:t>
      </w:r>
      <w:bookmarkStart w:id="113" w:name="_Hlk170830482"/>
      <w:r>
        <w:rPr>
          <w:rFonts w:asciiTheme="majorHAnsi" w:hAnsiTheme="majorHAnsi" w:cstheme="majorHAnsi"/>
          <w:sz w:val="22"/>
          <w:szCs w:val="22"/>
        </w:rPr>
        <w:t>previstos neste Termo de Referência</w:t>
      </w:r>
      <w:bookmarkEnd w:id="113"/>
      <w:r>
        <w:rPr>
          <w:rFonts w:asciiTheme="majorHAnsi" w:hAnsiTheme="majorHAnsi" w:cstheme="majorHAnsi"/>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C5C251A">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6080D39">
      <w:pPr>
        <w:pStyle w:val="38"/>
        <w:numPr>
          <w:ilvl w:val="2"/>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penalidades serão obrigatoriamente registradas no SICAF.</w:t>
      </w:r>
    </w:p>
    <w:p w14:paraId="4DEFEEB7">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sanções de impedimento de licitar e contratar e declaração de inidoneidade para licitar ou contratar são passíveis de reabilitação na forma do art. 163 da Lei nº 14.133, de 2021.</w:t>
      </w:r>
    </w:p>
    <w:p w14:paraId="08A5C65D">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AB79621">
      <w:pPr>
        <w:pStyle w:val="38"/>
        <w:numPr>
          <w:ilvl w:val="1"/>
          <w:numId w:val="17"/>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previstas neste termo não exclui, em hipótese alguma, a obrigação de reparação integral dos danos causados ao Complexo Hospitalar e de Saúde-CHS/UFBA.</w:t>
      </w:r>
    </w:p>
    <w:p w14:paraId="5007609B">
      <w:pPr>
        <w:pStyle w:val="38"/>
        <w:numPr>
          <w:ilvl w:val="0"/>
          <w:numId w:val="17"/>
        </w:numPr>
        <w:shd w:val="clear" w:color="auto" w:fill="F1F1F1"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CRITÉRIOS DE MEDIÇÃO E DE PAGAMENTO</w:t>
      </w:r>
    </w:p>
    <w:p w14:paraId="4611F45F">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Recebimento</w:t>
      </w:r>
    </w:p>
    <w:p w14:paraId="39D8C717">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4C5A8A62">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bens poderão ser rejeitados, no todo ou em parte, inclusive antes do recebimento provisório, quando em desacordo com as especificações constantes neste Termo de Referência e na proposta, devendo ser substituídos no prazo de </w:t>
      </w:r>
      <w:r>
        <w:rPr>
          <w:rFonts w:asciiTheme="majorHAnsi" w:hAnsiTheme="majorHAnsi" w:cstheme="majorHAnsi"/>
          <w:color w:val="0070C0"/>
          <w:sz w:val="22"/>
          <w:szCs w:val="22"/>
        </w:rPr>
        <w:t xml:space="preserve">10 (dez) dias </w:t>
      </w:r>
      <w:r>
        <w:rPr>
          <w:rFonts w:asciiTheme="majorHAnsi" w:hAnsiTheme="majorHAnsi" w:cstheme="majorHAnsi"/>
          <w:sz w:val="22"/>
          <w:szCs w:val="22"/>
        </w:rPr>
        <w:t>corridos, a contar da notificação da contratada, às suas custas, sem prejuízo da aplicação das penalidades previstas neste Termo de Referência.</w:t>
      </w:r>
    </w:p>
    <w:p w14:paraId="487BA0F3">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recebimento definitivo ocorrerá no prazo de </w:t>
      </w:r>
      <w:r>
        <w:rPr>
          <w:rFonts w:asciiTheme="majorHAnsi" w:hAnsiTheme="majorHAnsi" w:cstheme="majorHAnsi"/>
          <w:color w:val="0070C0"/>
          <w:sz w:val="22"/>
          <w:szCs w:val="22"/>
        </w:rPr>
        <w:t>05 (cinco)</w:t>
      </w:r>
      <w:r>
        <w:rPr>
          <w:rFonts w:asciiTheme="majorHAnsi" w:hAnsiTheme="majorHAnsi" w:cstheme="majorHAnsi"/>
          <w:sz w:val="22"/>
          <w:szCs w:val="22"/>
        </w:rPr>
        <w:t xml:space="preserve"> dias úteis, a contar do recebimento da nota fiscal ou instrumento de cobrança equivalente pela Administração, após a verificação da qualidade e quantidade dos materiais de consumo médico-hospitalar e consequente aceitação mediante termo detalhado.</w:t>
      </w:r>
    </w:p>
    <w:p w14:paraId="49DA71D4">
      <w:pPr>
        <w:pStyle w:val="38"/>
        <w:numPr>
          <w:ilvl w:val="1"/>
          <w:numId w:val="18"/>
        </w:numPr>
        <w:spacing w:before="120" w:after="120"/>
        <w:ind w:left="0" w:firstLine="0"/>
        <w:contextualSpacing w:val="0"/>
        <w:jc w:val="both"/>
        <w:rPr>
          <w:rFonts w:asciiTheme="majorHAnsi" w:hAnsiTheme="majorHAnsi" w:cstheme="majorHAnsi"/>
          <w:sz w:val="22"/>
          <w:szCs w:val="22"/>
        </w:rPr>
      </w:pPr>
      <w:bookmarkStart w:id="114" w:name="_Hlk219296828"/>
      <w:r>
        <w:rPr>
          <w:rFonts w:asciiTheme="majorHAnsi" w:hAnsiTheme="majorHAnsi" w:cstheme="majorHAnsi"/>
          <w:sz w:val="22"/>
          <w:szCs w:val="22"/>
        </w:rPr>
        <w:t xml:space="preserve">Para as contratações decorrentes de despesas cujos valores não ultrapassem o limite de que trata o Inciso II do art. 75 da Lei nº 14.133, de 2021, o prazo máximo para o recebimento definitivo será de até </w:t>
      </w:r>
      <w:r>
        <w:rPr>
          <w:rFonts w:asciiTheme="majorHAnsi" w:hAnsiTheme="majorHAnsi" w:cstheme="majorHAnsi"/>
          <w:color w:val="0070C0"/>
          <w:sz w:val="22"/>
          <w:szCs w:val="22"/>
        </w:rPr>
        <w:t xml:space="preserve">05(cinco) dias </w:t>
      </w:r>
      <w:r>
        <w:rPr>
          <w:rFonts w:asciiTheme="majorHAnsi" w:hAnsiTheme="majorHAnsi" w:cstheme="majorHAnsi"/>
          <w:sz w:val="22"/>
          <w:szCs w:val="22"/>
        </w:rPr>
        <w:t>úteis.</w:t>
      </w:r>
    </w:p>
    <w:bookmarkEnd w:id="114"/>
    <w:p w14:paraId="5C4DACE7">
      <w:pPr>
        <w:pStyle w:val="38"/>
        <w:numPr>
          <w:ilvl w:val="1"/>
          <w:numId w:val="18"/>
        </w:numPr>
        <w:spacing w:before="120" w:after="120"/>
        <w:ind w:left="0" w:firstLine="0"/>
        <w:contextualSpacing w:val="0"/>
        <w:jc w:val="both"/>
        <w:rPr>
          <w:rFonts w:asciiTheme="majorHAnsi" w:hAnsiTheme="majorHAnsi" w:cstheme="majorHAnsi"/>
          <w:sz w:val="22"/>
          <w:szCs w:val="22"/>
        </w:rPr>
      </w:pPr>
      <w:bookmarkStart w:id="115" w:name="_Hlk219296876"/>
      <w:r>
        <w:rPr>
          <w:rFonts w:asciiTheme="majorHAnsi" w:hAnsiTheme="majorHAnsi" w:cstheme="majorHAnsi"/>
          <w:sz w:val="22"/>
          <w:szCs w:val="22"/>
        </w:rPr>
        <w:t>O prazo para recebimento definitivo poderá ser excepcionalmente prorrogado, de forma justificada, por igual período, quando houver necessidade de diligências para a aferição do atendimento das exigências contratuais.</w:t>
      </w:r>
    </w:p>
    <w:bookmarkEnd w:id="115"/>
    <w:p w14:paraId="2AEF006C">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DEFF54B">
      <w:pPr>
        <w:pStyle w:val="38"/>
        <w:numPr>
          <w:ilvl w:val="1"/>
          <w:numId w:val="18"/>
        </w:numPr>
        <w:spacing w:before="120" w:after="120"/>
        <w:ind w:left="0" w:firstLine="0"/>
        <w:contextualSpacing w:val="0"/>
        <w:rPr>
          <w:rFonts w:asciiTheme="majorHAnsi" w:hAnsiTheme="majorHAnsi" w:cstheme="majorHAnsi"/>
          <w:sz w:val="22"/>
          <w:szCs w:val="22"/>
        </w:rPr>
      </w:pPr>
      <w:r>
        <w:rPr>
          <w:rFonts w:asciiTheme="majorHAnsi" w:hAnsiTheme="majorHAnsi" w:cstheme="majorHAns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A211B7">
      <w:pPr>
        <w:pStyle w:val="38"/>
        <w:numPr>
          <w:ilvl w:val="1"/>
          <w:numId w:val="18"/>
        </w:numPr>
        <w:spacing w:before="120" w:after="120"/>
        <w:ind w:left="0" w:firstLine="0"/>
        <w:contextualSpacing w:val="0"/>
        <w:rPr>
          <w:rFonts w:asciiTheme="majorHAnsi" w:hAnsiTheme="majorHAnsi" w:cstheme="majorHAnsi"/>
          <w:sz w:val="22"/>
          <w:szCs w:val="22"/>
        </w:rPr>
      </w:pPr>
      <w:r>
        <w:rPr>
          <w:rFonts w:asciiTheme="majorHAnsi" w:hAnsiTheme="majorHAnsi" w:cstheme="majorHAnsi"/>
          <w:sz w:val="22"/>
          <w:szCs w:val="22"/>
        </w:rPr>
        <w:t>O recebimento provisório ou definitivo não excluirá a responsabilidade civil pela solidez e pela segurança dos bens nem a responsabilidade ético-profissional pela perfeita execução do contrato.</w:t>
      </w:r>
    </w:p>
    <w:p w14:paraId="098E80A9">
      <w:pPr>
        <w:pStyle w:val="38"/>
        <w:numPr>
          <w:ilvl w:val="1"/>
          <w:numId w:val="18"/>
        </w:numPr>
        <w:ind w:left="0" w:firstLine="0"/>
        <w:jc w:val="both"/>
        <w:rPr>
          <w:rFonts w:asciiTheme="majorHAnsi" w:hAnsiTheme="majorHAnsi" w:cstheme="majorHAnsi"/>
          <w:sz w:val="22"/>
          <w:szCs w:val="22"/>
        </w:rPr>
      </w:pPr>
      <w:r>
        <w:rPr>
          <w:rFonts w:asciiTheme="majorHAnsi" w:hAnsiTheme="majorHAnsi" w:cstheme="majorHAnsi"/>
          <w:sz w:val="22"/>
          <w:szCs w:val="22"/>
        </w:rPr>
        <w:t>As atividades de montagem, instalação e quaisquer outras necessárias para o funcionamento ou uso do bem correrão por conta do Contratado e são condição para o recebimento do objeto.</w:t>
      </w:r>
    </w:p>
    <w:p w14:paraId="3AEA8B71">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não conformidade, a Comissão e ou Servidor designado devolverá Nota Fiscal juntamente com os bens de consumo médico-hospitalar, para as devidas correções;</w:t>
      </w:r>
    </w:p>
    <w:p w14:paraId="52F442CB">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Durante o recebimento provisório, o Hospital Ana Nery poderá exigir a substituição de qualquer material que não estejam de acordo com as especificações descritas deste termo;</w:t>
      </w:r>
    </w:p>
    <w:p w14:paraId="7FB3504A">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Não serão pagos os bens entregues em locais diferentes do mencionado no item 5.5. deste Termo de Referência ou bens entregues a funcionários do Hospital Ana Nery não autorizados;</w:t>
      </w:r>
    </w:p>
    <w:p w14:paraId="1D1C3254">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hipótese de a verificação, a que se refere o subitem anterior não ser procedida dentro do prazo fixado, reputar-se-á como realizada, consumando-se o recebimento definitivo no dia do esgotamento do prazo;</w:t>
      </w:r>
    </w:p>
    <w:p w14:paraId="5DC37557">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bens que não atenderem as especificações deverão ser substituídos pela Contratada, no prazo máximo de 10(dez) dias corridos, sob pena de aplicação das sanções previstas neste Termo de Referência;</w:t>
      </w:r>
    </w:p>
    <w:p w14:paraId="2E79669E">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administração rejeitará, no todo ou em parte, a entrega dos bens em desacordo com as especificações técnicas exigidas.</w:t>
      </w:r>
    </w:p>
    <w:p w14:paraId="02629757">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u w:val="single"/>
        </w:rPr>
        <w:t>Liquidação</w:t>
      </w:r>
    </w:p>
    <w:p w14:paraId="1B549337">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Recebida a Nota Fiscal ou documento de cobrança equivalente, correrá o prazo de dez dias úteis para fins de liquidação, na forma desta seção, prorrogáveis por igual período, nos termos do art. 7º, §3º da Instrução Normativa SEGES/ME nº 77/2022.</w:t>
      </w:r>
    </w:p>
    <w:p w14:paraId="16A057B6">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prazo de que trata o item anterior será reduzido à metade, mantendo-se a possibilidade de prorrogação, no caso de contratações decorrentes de despesas cujos valores não ultrapassem o limite de que trata o </w:t>
      </w:r>
      <w:r>
        <w:fldChar w:fldCharType="begin"/>
      </w:r>
      <w:r>
        <w:instrText xml:space="preserve"> HYPERLINK "http://www.planalto.gov.br/ccivil_03/_ato2019-2022/2021/lei/L14133.htm" \l "art75" \h </w:instrText>
      </w:r>
      <w:r>
        <w:fldChar w:fldCharType="separate"/>
      </w:r>
      <w:r>
        <w:rPr>
          <w:rStyle w:val="15"/>
          <w:rFonts w:asciiTheme="majorHAnsi" w:hAnsiTheme="majorHAnsi" w:cstheme="majorHAnsi"/>
          <w:sz w:val="22"/>
          <w:szCs w:val="22"/>
        </w:rPr>
        <w:t>inciso II do art. 75 da Lei nº 14.133, de 2021</w:t>
      </w:r>
      <w:r>
        <w:rPr>
          <w:rStyle w:val="15"/>
          <w:rFonts w:asciiTheme="majorHAnsi" w:hAnsiTheme="majorHAnsi" w:cstheme="majorHAnsi"/>
          <w:sz w:val="22"/>
          <w:szCs w:val="22"/>
        </w:rPr>
        <w:fldChar w:fldCharType="end"/>
      </w:r>
      <w:r>
        <w:rPr>
          <w:rFonts w:asciiTheme="majorHAnsi" w:hAnsiTheme="majorHAnsi" w:cstheme="majorHAnsi"/>
          <w:sz w:val="22"/>
          <w:szCs w:val="22"/>
        </w:rPr>
        <w:t>.</w:t>
      </w:r>
    </w:p>
    <w:p w14:paraId="2051AA79">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Para fins de liquidação, o setor competente deverá verificar se a nota fiscal ou instrumento de cobrança equivalente apresentado expressa os elementos necessários e essenciais do documento, tais como: </w:t>
      </w:r>
    </w:p>
    <w:p w14:paraId="7805B720">
      <w:pPr>
        <w:pStyle w:val="38"/>
        <w:numPr>
          <w:ilvl w:val="3"/>
          <w:numId w:val="18"/>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prazo de validade;</w:t>
      </w:r>
    </w:p>
    <w:p w14:paraId="0E4F384B">
      <w:pPr>
        <w:pStyle w:val="38"/>
        <w:numPr>
          <w:ilvl w:val="3"/>
          <w:numId w:val="18"/>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data da emissão; </w:t>
      </w:r>
    </w:p>
    <w:p w14:paraId="102F5DDB">
      <w:pPr>
        <w:pStyle w:val="38"/>
        <w:numPr>
          <w:ilvl w:val="3"/>
          <w:numId w:val="18"/>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dados do contrato e do órgão contratante; </w:t>
      </w:r>
    </w:p>
    <w:p w14:paraId="04304E6A">
      <w:pPr>
        <w:pStyle w:val="38"/>
        <w:numPr>
          <w:ilvl w:val="3"/>
          <w:numId w:val="18"/>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período respectivo de execução do contrato; </w:t>
      </w:r>
    </w:p>
    <w:p w14:paraId="4C3CE04B">
      <w:pPr>
        <w:pStyle w:val="38"/>
        <w:numPr>
          <w:ilvl w:val="3"/>
          <w:numId w:val="18"/>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valor a pagar; e </w:t>
      </w:r>
    </w:p>
    <w:p w14:paraId="56758864">
      <w:pPr>
        <w:pStyle w:val="38"/>
        <w:numPr>
          <w:ilvl w:val="3"/>
          <w:numId w:val="18"/>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eventual destaque do valor de retenções tributárias cabíveis.</w:t>
      </w:r>
    </w:p>
    <w:p w14:paraId="75FE5AC9">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9EDD7E4">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fldChar w:fldCharType="begin"/>
      </w:r>
      <w:r>
        <w:instrText xml:space="preserve"> HYPERLINK "http://www.planalto.gov.br/ccivil_03/_ato2019-2022/2021/lei/L14133.htm" \l "art68" \h </w:instrText>
      </w:r>
      <w:r>
        <w:fldChar w:fldCharType="separate"/>
      </w:r>
      <w:r>
        <w:rPr>
          <w:rStyle w:val="15"/>
          <w:rFonts w:asciiTheme="majorHAnsi" w:hAnsiTheme="majorHAnsi" w:cstheme="majorHAnsi"/>
          <w:sz w:val="22"/>
          <w:szCs w:val="22"/>
        </w:rPr>
        <w:t xml:space="preserve">art. 68 da Lei nº 14.133, de 2021.  </w:t>
      </w:r>
      <w:r>
        <w:rPr>
          <w:rStyle w:val="15"/>
          <w:rFonts w:asciiTheme="majorHAnsi" w:hAnsiTheme="majorHAnsi" w:cstheme="majorHAnsi"/>
          <w:sz w:val="22"/>
          <w:szCs w:val="22"/>
        </w:rPr>
        <w:fldChar w:fldCharType="end"/>
      </w:r>
      <w:r>
        <w:rPr>
          <w:rFonts w:asciiTheme="majorHAnsi" w:hAnsiTheme="majorHAnsi" w:cstheme="majorHAnsi"/>
          <w:sz w:val="22"/>
          <w:szCs w:val="22"/>
        </w:rPr>
        <w:t xml:space="preserve"> </w:t>
      </w:r>
    </w:p>
    <w:p w14:paraId="74801DDE">
      <w:pPr>
        <w:pStyle w:val="38"/>
        <w:numPr>
          <w:ilvl w:val="2"/>
          <w:numId w:val="18"/>
        </w:numPr>
        <w:spacing w:before="120" w:after="120"/>
        <w:contextualSpacing w:val="0"/>
        <w:jc w:val="both"/>
        <w:rPr>
          <w:rFonts w:asciiTheme="majorHAnsi" w:hAnsiTheme="majorHAnsi" w:cstheme="majorHAnsi"/>
          <w:sz w:val="22"/>
          <w:szCs w:val="22"/>
        </w:rPr>
      </w:pPr>
      <w:r>
        <w:rPr>
          <w:rFonts w:asciiTheme="majorHAnsi" w:hAnsiTheme="majorHAnsi" w:cstheme="majorHAnsi"/>
          <w:sz w:val="22"/>
          <w:szCs w:val="22"/>
        </w:rPr>
        <w:t xml:space="preserve">A Administração deverá realizar consulta ao SICAF para: </w:t>
      </w:r>
    </w:p>
    <w:p w14:paraId="7206B7E5">
      <w:pPr>
        <w:pStyle w:val="38"/>
        <w:numPr>
          <w:ilvl w:val="3"/>
          <w:numId w:val="18"/>
        </w:numPr>
        <w:tabs>
          <w:tab w:val="left" w:pos="709"/>
          <w:tab w:val="left" w:pos="851"/>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verificar a manutenção das condições de habilitação exigidas no edital; </w:t>
      </w:r>
    </w:p>
    <w:p w14:paraId="06C9BBEA">
      <w:pPr>
        <w:pStyle w:val="38"/>
        <w:numPr>
          <w:ilvl w:val="3"/>
          <w:numId w:val="18"/>
        </w:numPr>
        <w:tabs>
          <w:tab w:val="left" w:pos="851"/>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043AACE5">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A077919">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BBD9EDA">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Persistindo a irregularidade, o contratante deverá adotar as medidas necessárias à rescisão contratual nos autos do processo administrativo correspondente, assegurada ao contratado a ampla defesa. </w:t>
      </w:r>
    </w:p>
    <w:p w14:paraId="64840B2D">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Havendo a efetiva execução do objeto, os pagamentos serão realizados normalmente, até que se decida pela rescisão do contrato, caso o contratado não regularize sua situação junto ao SICAF.  </w:t>
      </w:r>
    </w:p>
    <w:p w14:paraId="38ADB276">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b/>
          <w:bCs/>
          <w:sz w:val="22"/>
          <w:szCs w:val="22"/>
          <w:u w:val="single"/>
        </w:rPr>
        <w:t>Prazo de pagamento</w:t>
      </w:r>
    </w:p>
    <w:p w14:paraId="7AA42F08">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pagamento será efetuado no prazo de até </w:t>
      </w:r>
      <w:r>
        <w:rPr>
          <w:rFonts w:asciiTheme="majorHAnsi" w:hAnsiTheme="majorHAnsi" w:cstheme="majorHAnsi"/>
          <w:color w:val="000000" w:themeColor="text1"/>
          <w:sz w:val="22"/>
          <w:szCs w:val="22"/>
          <w14:textFill>
            <w14:solidFill>
              <w14:schemeClr w14:val="tx1"/>
            </w14:solidFill>
          </w14:textFill>
        </w:rPr>
        <w:t xml:space="preserve">10 (dez) dias </w:t>
      </w:r>
      <w:r>
        <w:rPr>
          <w:rFonts w:asciiTheme="majorHAnsi" w:hAnsiTheme="majorHAnsi" w:cstheme="majorHAnsi"/>
          <w:sz w:val="22"/>
          <w:szCs w:val="22"/>
        </w:rPr>
        <w:t xml:space="preserve">úteis contados da finalização da liquidação da despesa, conforme seção anterior, nos termos da </w:t>
      </w:r>
      <w:r>
        <w:fldChar w:fldCharType="begin"/>
      </w:r>
      <w:r>
        <w:instrText xml:space="preserve"> HYPERLINK "https://in.gov.br/en/web/dou/-/instrucao-normativa-seges/me-n-77-de-4-de-novembro-de-2022-441681061" \h </w:instrText>
      </w:r>
      <w:r>
        <w:fldChar w:fldCharType="separate"/>
      </w:r>
      <w:r>
        <w:rPr>
          <w:rStyle w:val="15"/>
          <w:rFonts w:asciiTheme="majorHAnsi" w:hAnsiTheme="majorHAnsi" w:cstheme="majorHAnsi"/>
          <w:sz w:val="22"/>
          <w:szCs w:val="22"/>
        </w:rPr>
        <w:t>Instrução Normativa SEGES/ME nº 77, de 2022</w:t>
      </w:r>
      <w:r>
        <w:rPr>
          <w:rStyle w:val="15"/>
          <w:rFonts w:asciiTheme="majorHAnsi" w:hAnsiTheme="majorHAnsi" w:cstheme="majorHAnsi"/>
          <w:sz w:val="22"/>
          <w:szCs w:val="22"/>
        </w:rPr>
        <w:fldChar w:fldCharType="end"/>
      </w:r>
      <w:r>
        <w:rPr>
          <w:rFonts w:asciiTheme="majorHAnsi" w:hAnsiTheme="majorHAnsi" w:cstheme="majorHAnsi"/>
          <w:sz w:val="22"/>
          <w:szCs w:val="22"/>
        </w:rPr>
        <w:t>.</w:t>
      </w:r>
    </w:p>
    <w:p w14:paraId="07AD41C4">
      <w:pPr>
        <w:pStyle w:val="38"/>
        <w:widowControl w:val="0"/>
        <w:numPr>
          <w:ilvl w:val="1"/>
          <w:numId w:val="18"/>
        </w:numPr>
        <w:spacing w:before="120" w:after="120"/>
        <w:ind w:left="0" w:right="-1" w:firstLine="0"/>
        <w:contextualSpacing w:val="0"/>
        <w:jc w:val="both"/>
        <w:rPr>
          <w:rFonts w:asciiTheme="majorHAnsi" w:hAnsiTheme="majorHAnsi" w:eastAsiaTheme="majorEastAsia" w:cstheme="majorHAnsi"/>
          <w:bCs/>
          <w:color w:val="000000" w:themeColor="text1"/>
          <w:sz w:val="22"/>
          <w:szCs w:val="22"/>
          <w14:textFill>
            <w14:solidFill>
              <w14:schemeClr w14:val="tx1"/>
            </w14:solidFill>
          </w14:textFill>
        </w:rPr>
      </w:pPr>
      <w:bookmarkStart w:id="116" w:name="_Hlk216944177"/>
      <w:r>
        <w:rPr>
          <w:rFonts w:asciiTheme="majorHAnsi" w:hAnsiTheme="majorHAnsi" w:eastAsiaTheme="majorEastAsia" w:cstheme="majorHAnsi"/>
          <w:color w:val="000000" w:themeColor="text1"/>
          <w:sz w:val="22"/>
          <w:szCs w:val="22"/>
          <w14:textFill>
            <w14:solidFill>
              <w14:schemeClr w14:val="tx1"/>
            </w14:solidFill>
          </w14:textFill>
        </w:rPr>
        <w:t xml:space="preserve">No caso de atraso Pelo Contratante, os valores devidos ao Contratado serão atualizados monetariamente entre o termo final do prazo de pagamento até a data de sua efetiva realização, mediante aplicação do índice </w:t>
      </w:r>
      <w:r>
        <w:rPr>
          <w:rFonts w:asciiTheme="majorHAnsi" w:hAnsiTheme="majorHAnsi" w:eastAsiaTheme="majorEastAsia" w:cstheme="majorHAnsi"/>
          <w:color w:val="0070C0"/>
          <w:sz w:val="22"/>
          <w:szCs w:val="22"/>
        </w:rPr>
        <w:t xml:space="preserve">IPCA/IBGE </w:t>
      </w:r>
      <w:r>
        <w:rPr>
          <w:rFonts w:asciiTheme="majorHAnsi" w:hAnsiTheme="majorHAnsi" w:eastAsiaTheme="majorEastAsia" w:cstheme="majorHAnsi"/>
          <w:color w:val="000000" w:themeColor="text1"/>
          <w:sz w:val="22"/>
          <w:szCs w:val="22"/>
          <w14:textFill>
            <w14:solidFill>
              <w14:schemeClr w14:val="tx1"/>
            </w14:solidFill>
          </w14:textFill>
        </w:rPr>
        <w:t>de correção monetária.</w:t>
      </w:r>
    </w:p>
    <w:bookmarkEnd w:id="116"/>
    <w:p w14:paraId="1CC0B96C">
      <w:pPr>
        <w:pStyle w:val="38"/>
        <w:numPr>
          <w:ilvl w:val="1"/>
          <w:numId w:val="18"/>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Forma de pagamento</w:t>
      </w:r>
    </w:p>
    <w:p w14:paraId="28962712">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pagamento será realizado por meio de ordem bancária, para crédito em banco, agência e conta corrente indicados pelo contratado.</w:t>
      </w:r>
    </w:p>
    <w:p w14:paraId="2365B847">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Será considerada data do pagamento o dia em que constar como emitida a ordem bancária para pagamento.</w:t>
      </w:r>
    </w:p>
    <w:p w14:paraId="105B545D">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Quando do pagamento, será efetuada a retenção tributária prevista na legislação aplicável.</w:t>
      </w:r>
    </w:p>
    <w:p w14:paraId="1AC01BB9">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Independentemente do percentual de tributo inserido na planilha, quando houver, serão retidos na fonte, quando da realização do pagamento, os percentuais estabelecidos na legislação vigente.</w:t>
      </w:r>
    </w:p>
    <w:p w14:paraId="56F45AED">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contratado regularmente optante pelo Simples Nacional, nos termos da </w:t>
      </w:r>
      <w:r>
        <w:fldChar w:fldCharType="begin"/>
      </w:r>
      <w:r>
        <w:instrText xml:space="preserve"> HYPERLINK "https://www.planalto.gov.br/ccivil_03/leis/lcp/lcp123.htm" \h </w:instrText>
      </w:r>
      <w:r>
        <w:fldChar w:fldCharType="separate"/>
      </w:r>
      <w:r>
        <w:rPr>
          <w:rStyle w:val="15"/>
          <w:rFonts w:asciiTheme="majorHAnsi" w:hAnsiTheme="majorHAnsi" w:cstheme="majorHAnsi"/>
          <w:sz w:val="22"/>
          <w:szCs w:val="22"/>
        </w:rPr>
        <w:t>Lei Complementar nº 123, de 2006</w:t>
      </w:r>
      <w:r>
        <w:rPr>
          <w:rStyle w:val="15"/>
          <w:rFonts w:asciiTheme="majorHAnsi" w:hAnsiTheme="majorHAnsi" w:cstheme="majorHAnsi"/>
          <w:sz w:val="22"/>
          <w:szCs w:val="22"/>
        </w:rPr>
        <w:fldChar w:fldCharType="end"/>
      </w:r>
      <w:r>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512450">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Cessão de Crédito</w:t>
      </w:r>
    </w:p>
    <w:p w14:paraId="7EEB18AE">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cessões de crédito dependerão de prévia aprovação do Contratante.</w:t>
      </w:r>
    </w:p>
    <w:p w14:paraId="1C1EC2B9">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eficácia da cessão de crédito, em relação à Administração, está condicionada à celebração de termo aditivo ao contrato administrativo.</w:t>
      </w:r>
    </w:p>
    <w:p w14:paraId="63210241">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046069A8">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1C2170B">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cessão de crédito não afetará a execução do objeto contratado, que continuará sob a integral responsabilidade do Contratado.</w:t>
      </w:r>
    </w:p>
    <w:p w14:paraId="0DFABFA4">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disposto nesta seção não afeta as operações de crédito de que trata a Instrução Normativa SEGES/MGI nº 82, de 21 de fevereiro de 2025, as quais ficam por esta regidas.</w:t>
      </w:r>
    </w:p>
    <w:p w14:paraId="6796A45C">
      <w:pPr>
        <w:pStyle w:val="38"/>
        <w:spacing w:before="120" w:after="120"/>
        <w:ind w:left="0"/>
        <w:contextualSpacing w:val="0"/>
        <w:jc w:val="both"/>
        <w:rPr>
          <w:rFonts w:asciiTheme="majorHAnsi" w:hAnsiTheme="majorHAnsi" w:cstheme="majorHAnsi"/>
          <w:sz w:val="22"/>
          <w:szCs w:val="22"/>
        </w:rPr>
      </w:pPr>
      <w:r>
        <w:rPr>
          <w:rFonts w:asciiTheme="majorHAnsi" w:hAnsiTheme="majorHAnsi" w:cstheme="majorHAnsi"/>
          <w:b/>
          <w:bCs/>
          <w:sz w:val="22"/>
          <w:szCs w:val="22"/>
          <w:u w:val="single"/>
        </w:rPr>
        <w:t>Reajuste</w:t>
      </w:r>
    </w:p>
    <w:p w14:paraId="192C4D98">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preços inicialmente contratados são fixos e irreajustáveis no prazo de um ano contado  da data do orçamento estimado, </w:t>
      </w:r>
      <w:r>
        <w:rPr>
          <w:rFonts w:asciiTheme="majorHAnsi" w:hAnsiTheme="majorHAnsi" w:cstheme="majorHAnsi"/>
          <w:color w:val="0070C0"/>
          <w:sz w:val="22"/>
          <w:szCs w:val="22"/>
        </w:rPr>
        <w:t>em 09/07/2026</w:t>
      </w:r>
      <w:r>
        <w:rPr>
          <w:rFonts w:asciiTheme="majorHAnsi" w:hAnsiTheme="majorHAnsi" w:cstheme="majorHAnsi"/>
          <w:b/>
          <w:bCs/>
          <w:color w:val="0070C0"/>
          <w:sz w:val="22"/>
          <w:szCs w:val="22"/>
        </w:rPr>
        <w:t>.</w:t>
      </w:r>
      <w:r>
        <w:rPr>
          <w:rFonts w:asciiTheme="majorHAnsi" w:hAnsiTheme="majorHAnsi" w:cstheme="majorHAnsi"/>
          <w:color w:val="0070C0"/>
          <w:sz w:val="22"/>
          <w:szCs w:val="22"/>
        </w:rPr>
        <w:t xml:space="preserve"> </w:t>
      </w:r>
      <w:bookmarkStart w:id="117" w:name="_Hlk219878785"/>
      <w:r>
        <w:rPr>
          <w:rFonts w:asciiTheme="majorHAnsi" w:hAnsiTheme="majorHAnsi" w:eastAsiaTheme="majorEastAsia" w:cstheme="majorHAnsi"/>
          <w:color w:val="0070C0"/>
          <w:sz w:val="22"/>
          <w:szCs w:val="22"/>
        </w:rPr>
        <w:t>(Lei nº 14.133, de 2021, art. 25, §7º, e art. 92, inciso V e § 3º).</w:t>
      </w:r>
    </w:p>
    <w:bookmarkEnd w:id="117"/>
    <w:p w14:paraId="53A97079">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Após o interregno de um ano, e independentemente de pedido da Contratado, os preços iniciais serão reajustados, mediante a aplicação, pelo Contratante, do índice </w:t>
      </w:r>
      <w:r>
        <w:rPr>
          <w:rFonts w:asciiTheme="majorHAnsi" w:hAnsiTheme="majorHAnsi" w:cstheme="majorHAnsi"/>
          <w:color w:val="0070C0"/>
          <w:sz w:val="22"/>
          <w:szCs w:val="22"/>
        </w:rPr>
        <w:t>IPCA/IBGE</w:t>
      </w:r>
      <w:r>
        <w:rPr>
          <w:rFonts w:asciiTheme="majorHAnsi" w:hAnsiTheme="majorHAnsi" w:cstheme="majorHAnsi"/>
          <w:sz w:val="22"/>
          <w:szCs w:val="22"/>
        </w:rPr>
        <w:t>, incidindo exclusivamente sobre as obrigações iniciadas após a implementação da anualidade.</w:t>
      </w:r>
    </w:p>
    <w:p w14:paraId="264CAAE6">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Nos reajustes subsequentes ao primeiro, o interregno mínimo de um ano será contado a partir dos efeitos financeiros do último reajuste.</w:t>
      </w:r>
    </w:p>
    <w:p w14:paraId="66450455">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atraso ou não divulgação do índice de reajustamento, o Contratante pagará ao Contratado a importância calculada pela última variação conhecida, restando a obrigação a liquidar a diferença tão logo definido seja publicado.</w:t>
      </w:r>
    </w:p>
    <w:p w14:paraId="00C4155D">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Nas aferições e pagamentos finais, o índice utilizado para o cálculo do reajuste deverá ser, obrigatoriamente , o definitivo.</w:t>
      </w:r>
    </w:p>
    <w:p w14:paraId="7D743426">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os índices estabelecidos para reajustamento venham a ser extinto ou se tornem inaplicáveis, será adotado o índice que vier a ser determinado pela legislação superveniente.</w:t>
      </w:r>
    </w:p>
    <w:p w14:paraId="6E018BD1">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4C5DB99A">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formalização do reajuste de preços será realizada por simples apostilamento dispensando a celebração de termo aditivo, conforme art. 136. Inciso I, da Lei nº 14.133, de 2021.</w:t>
      </w:r>
    </w:p>
    <w:p w14:paraId="42A61958">
      <w:pPr>
        <w:pStyle w:val="38"/>
        <w:numPr>
          <w:ilvl w:val="0"/>
          <w:numId w:val="18"/>
        </w:numPr>
        <w:shd w:val="clear" w:color="auto" w:fill="F1F1F1"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FORMA E CRITÉRIOS DE SELEÇÃO DO FORNECEDOR E FORMA DE FORNECIMENTO</w:t>
      </w:r>
    </w:p>
    <w:p w14:paraId="79271AFC">
      <w:pPr>
        <w:pStyle w:val="38"/>
        <w:numPr>
          <w:ilvl w:val="1"/>
          <w:numId w:val="18"/>
        </w:numPr>
        <w:spacing w:before="120" w:after="120"/>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Forma de seleção e critério de julgamento da proposta</w:t>
      </w:r>
    </w:p>
    <w:p w14:paraId="6C432377">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fornecedor será selecionado por meio da realização de procedimento de LICITAÇÃO, para Registro de Preços, na modalidade PREGÃO, sob a forma ELETRÔNICA, com adoção do critério de julgamento pelo MENOR PREÇO.</w:t>
      </w:r>
    </w:p>
    <w:p w14:paraId="66B4780D">
      <w:pPr>
        <w:pStyle w:val="38"/>
        <w:numPr>
          <w:ilvl w:val="1"/>
          <w:numId w:val="18"/>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Forma de Fornecimento e COMODATO</w:t>
      </w:r>
    </w:p>
    <w:p w14:paraId="346E7340">
      <w:pPr>
        <w:pStyle w:val="38"/>
        <w:numPr>
          <w:ilvl w:val="2"/>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A execução do objeto dar-se-á por entregas parceladas, em estrita observância ao cronograma de demanda e capacidade de armazenamento do Hospital Ana Nery.</w:t>
      </w:r>
    </w:p>
    <w:p w14:paraId="0C4820A4">
      <w:pPr>
        <w:pStyle w:val="38"/>
        <w:numPr>
          <w:ilvl w:val="2"/>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 A logística de entrega deve assegurar o abastecimento contínuo, considerando a natureza essencial dos itens (equipos e curativos) para as unidades assistenciais.</w:t>
      </w:r>
    </w:p>
    <w:p w14:paraId="4618E482">
      <w:pPr>
        <w:pStyle w:val="38"/>
        <w:numPr>
          <w:ilvl w:val="2"/>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O regime de </w:t>
      </w:r>
      <w:r>
        <w:rPr>
          <w:rFonts w:eastAsia="Times New Roman" w:asciiTheme="majorHAnsi" w:hAnsiTheme="majorHAnsi" w:cstheme="majorHAnsi"/>
          <w:b/>
          <w:bCs/>
          <w:sz w:val="22"/>
          <w:szCs w:val="22"/>
        </w:rPr>
        <w:t>comodato</w:t>
      </w:r>
      <w:r>
        <w:rPr>
          <w:rFonts w:eastAsia="Times New Roman" w:asciiTheme="majorHAnsi" w:hAnsiTheme="majorHAnsi" w:cstheme="majorHAnsi"/>
          <w:sz w:val="22"/>
          <w:szCs w:val="22"/>
        </w:rPr>
        <w:t xml:space="preserve"> dos equipamentos é condição vinculada ao fornecimento dos insumos. A Contratada obriga-se a disponibilizar os equipamentos em quantidade suficiente para o pleno consumo dos materiais licitados, responsabilizando-se pela instalação, treinamento das equipes e manutenção preventiva/corretiva.</w:t>
      </w:r>
    </w:p>
    <w:p w14:paraId="44031A28">
      <w:pPr>
        <w:pStyle w:val="38"/>
        <w:numPr>
          <w:ilvl w:val="1"/>
          <w:numId w:val="18"/>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Critérios de aceitabilidade de preços</w:t>
      </w:r>
    </w:p>
    <w:p w14:paraId="460F3C95">
      <w:pPr>
        <w:pStyle w:val="38"/>
        <w:numPr>
          <w:ilvl w:val="2"/>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A aceitabilidade das propostas será aferida a partir dos preços unitários máximos e, quando couber, dos preços globais por grupo, fixados pela Administração na tabela de preços estimado, constante no Item 1.1 deste Termo de Referência.</w:t>
      </w:r>
    </w:p>
    <w:p w14:paraId="519407FB">
      <w:pPr>
        <w:pStyle w:val="38"/>
        <w:numPr>
          <w:ilvl w:val="2"/>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Para os itens julgados de forma individual, será considerada desclassificada a proposta que apresentar valor superior ao preço unitário máximo fixado.</w:t>
      </w:r>
    </w:p>
    <w:p w14:paraId="3702F895">
      <w:pPr>
        <w:pStyle w:val="38"/>
        <w:numPr>
          <w:ilvl w:val="2"/>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Para os itens julgados por grupo (lote), a aceitabilidade será verificada sob duplo critério obrigatório:</w:t>
      </w:r>
    </w:p>
    <w:p w14:paraId="08074226">
      <w:pPr>
        <w:pStyle w:val="38"/>
        <w:numPr>
          <w:ilvl w:val="3"/>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Critério Global: O valor total do grupo não poderá exceder o valor global máximo estimado pela Administração para o lote;</w:t>
      </w:r>
    </w:p>
    <w:p w14:paraId="1981735D">
      <w:pPr>
        <w:pStyle w:val="38"/>
        <w:numPr>
          <w:ilvl w:val="3"/>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Critério Unitário: Os valores unitários de cada item que compõe o grupo não poderão, em hipótese alguma, ultrapassar os preços unitários máximos estabelecidos no Item 1.1, independentemente do desconto global ofertado para o lote.</w:t>
      </w:r>
    </w:p>
    <w:p w14:paraId="16337C2C">
      <w:pPr>
        <w:pStyle w:val="38"/>
        <w:numPr>
          <w:ilvl w:val="2"/>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 A conformidade dos preços unitários nos julgamentos por grupo visa garantir a economicidade das futuras aquisições fracionadas via Sistema de Registro de Preços, evitando o desequilíbrio entre os itens do lote.</w:t>
      </w:r>
    </w:p>
    <w:p w14:paraId="502F5F1A">
      <w:pPr>
        <w:pStyle w:val="38"/>
        <w:numPr>
          <w:ilvl w:val="2"/>
          <w:numId w:val="18"/>
        </w:numPr>
        <w:spacing w:before="120" w:after="120"/>
        <w:ind w:left="0" w:firstLine="0"/>
        <w:contextualSpacing w:val="0"/>
        <w:jc w:val="both"/>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 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44604E59">
      <w:pPr>
        <w:pStyle w:val="38"/>
        <w:numPr>
          <w:ilvl w:val="1"/>
          <w:numId w:val="18"/>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Exigências de habilitação</w:t>
      </w:r>
    </w:p>
    <w:p w14:paraId="3DAA875F">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Para fins de habilitação, deverá o licitante comprovar os seguintes requisitos:</w:t>
      </w:r>
    </w:p>
    <w:p w14:paraId="52181596">
      <w:pPr>
        <w:pStyle w:val="38"/>
        <w:numPr>
          <w:ilvl w:val="3"/>
          <w:numId w:val="18"/>
        </w:numPr>
        <w:spacing w:before="120" w:after="120"/>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Habilitação jurídica</w:t>
      </w:r>
    </w:p>
    <w:p w14:paraId="0100FFAD">
      <w:pPr>
        <w:pStyle w:val="38"/>
        <w:numPr>
          <w:ilvl w:val="4"/>
          <w:numId w:val="18"/>
        </w:numPr>
        <w:tabs>
          <w:tab w:val="left" w:pos="993"/>
        </w:tabs>
        <w:spacing w:before="120" w:after="120"/>
        <w:ind w:left="0" w:firstLine="0"/>
        <w:contextualSpacing w:val="0"/>
        <w:jc w:val="both"/>
        <w:rPr>
          <w:rFonts w:asciiTheme="majorHAnsi" w:hAnsiTheme="majorHAnsi" w:cstheme="majorHAnsi"/>
          <w:sz w:val="22"/>
          <w:szCs w:val="22"/>
        </w:rPr>
      </w:pPr>
      <w:bookmarkStart w:id="118" w:name="_Ref115800561"/>
      <w:r>
        <w:rPr>
          <w:rFonts w:asciiTheme="majorHAnsi" w:hAnsiTheme="majorHAnsi" w:cstheme="majorHAnsi"/>
          <w:sz w:val="22"/>
          <w:szCs w:val="22"/>
        </w:rPr>
        <w:t>pessoa física: cédula de identidade (RG) ou documento equivalente que, por força de lei, tenha validade para fins de identificação em todo o território nacional.</w:t>
      </w:r>
      <w:bookmarkEnd w:id="118"/>
    </w:p>
    <w:p w14:paraId="1E5D3DB5">
      <w:pPr>
        <w:pStyle w:val="38"/>
        <w:numPr>
          <w:ilvl w:val="4"/>
          <w:numId w:val="18"/>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empresário individual: inscrição no Registro Público de Empresas Mercantis, a cargo da Junta Comercial da respectiva sede.</w:t>
      </w:r>
    </w:p>
    <w:p w14:paraId="7A150286">
      <w:pPr>
        <w:pStyle w:val="38"/>
        <w:numPr>
          <w:ilvl w:val="4"/>
          <w:numId w:val="18"/>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15"/>
          <w:rFonts w:asciiTheme="majorHAnsi" w:hAnsiTheme="majorHAnsi" w:cstheme="majorHAnsi"/>
          <w:sz w:val="22"/>
          <w:szCs w:val="22"/>
        </w:rPr>
        <w:t>https://www.gov.br/empresas-e-negocios/pt-br/empreendedor</w:t>
      </w:r>
      <w:r>
        <w:rPr>
          <w:rStyle w:val="15"/>
          <w:rFonts w:asciiTheme="majorHAnsi" w:hAnsiTheme="majorHAnsi" w:cstheme="majorHAnsi"/>
          <w:sz w:val="22"/>
          <w:szCs w:val="22"/>
        </w:rPr>
        <w:fldChar w:fldCharType="end"/>
      </w:r>
      <w:r>
        <w:rPr>
          <w:rFonts w:asciiTheme="majorHAnsi" w:hAnsiTheme="majorHAnsi" w:cstheme="majorHAnsi"/>
          <w:sz w:val="22"/>
          <w:szCs w:val="22"/>
        </w:rPr>
        <w:t xml:space="preserve">; </w:t>
      </w:r>
    </w:p>
    <w:p w14:paraId="130EB5BF">
      <w:pPr>
        <w:pStyle w:val="38"/>
        <w:numPr>
          <w:ilvl w:val="4"/>
          <w:numId w:val="18"/>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5F2133">
      <w:pPr>
        <w:pStyle w:val="38"/>
        <w:numPr>
          <w:ilvl w:val="4"/>
          <w:numId w:val="18"/>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15"/>
          <w:rFonts w:asciiTheme="majorHAnsi" w:hAnsiTheme="majorHAnsi" w:cstheme="majorHAnsi"/>
          <w:sz w:val="22"/>
          <w:szCs w:val="22"/>
        </w:rPr>
        <w:t>Normativa DREI/ME n.º 77, de 18 de março de 2020</w:t>
      </w:r>
      <w:r>
        <w:rPr>
          <w:rStyle w:val="15"/>
          <w:rFonts w:asciiTheme="majorHAnsi" w:hAnsiTheme="majorHAnsi" w:cstheme="majorHAnsi"/>
          <w:sz w:val="22"/>
          <w:szCs w:val="22"/>
        </w:rPr>
        <w:fldChar w:fldCharType="end"/>
      </w:r>
      <w:r>
        <w:rPr>
          <w:rFonts w:asciiTheme="majorHAnsi" w:hAnsiTheme="majorHAnsi" w:cstheme="majorHAnsi"/>
          <w:sz w:val="22"/>
          <w:szCs w:val="22"/>
        </w:rPr>
        <w:t>;</w:t>
      </w:r>
    </w:p>
    <w:p w14:paraId="7A897FEF">
      <w:pPr>
        <w:pStyle w:val="38"/>
        <w:numPr>
          <w:ilvl w:val="4"/>
          <w:numId w:val="18"/>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 simples: inscrição do ato constitutivo no Registro Civil de Pessoas Jurídicas do local de sua sede, acompanhada de documento comprobatório de seus administradores;</w:t>
      </w:r>
    </w:p>
    <w:p w14:paraId="07FDEEEF">
      <w:pPr>
        <w:pStyle w:val="38"/>
        <w:numPr>
          <w:ilvl w:val="4"/>
          <w:numId w:val="18"/>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9" w:name="_Int_ySfCXwr4"/>
      <w:r>
        <w:rPr>
          <w:rFonts w:asciiTheme="majorHAnsi" w:hAnsiTheme="majorHAnsi" w:cstheme="majorHAnsi"/>
          <w:sz w:val="22"/>
          <w:szCs w:val="22"/>
        </w:rPr>
        <w:t>Mercantis onde</w:t>
      </w:r>
      <w:bookmarkEnd w:id="119"/>
      <w:r>
        <w:rPr>
          <w:rFonts w:asciiTheme="majorHAnsi" w:hAnsiTheme="majorHAnsi" w:cstheme="majorHAnsi"/>
          <w:sz w:val="22"/>
          <w:szCs w:val="22"/>
        </w:rPr>
        <w:t xml:space="preserve"> opera, com averbação no Registro onde tem sede a matriz;</w:t>
      </w:r>
    </w:p>
    <w:p w14:paraId="33C40B16">
      <w:pPr>
        <w:pStyle w:val="38"/>
        <w:numPr>
          <w:ilvl w:val="4"/>
          <w:numId w:val="18"/>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r>
        <w:fldChar w:fldCharType="begin"/>
      </w:r>
      <w:r>
        <w:instrText xml:space="preserve"> HYPERLINK "https://www.planalto.gov.br/ccivil_03/leis/l5764.htm" \l "art107" \h </w:instrText>
      </w:r>
      <w:r>
        <w:fldChar w:fldCharType="separate"/>
      </w:r>
      <w:r>
        <w:rPr>
          <w:rStyle w:val="15"/>
          <w:rFonts w:asciiTheme="majorHAnsi" w:hAnsiTheme="majorHAnsi" w:cstheme="majorHAnsi"/>
          <w:sz w:val="22"/>
          <w:szCs w:val="22"/>
        </w:rPr>
        <w:t>art. 107 da Lei nº 5.764, de 16 de dezembro 1971</w:t>
      </w:r>
      <w:r>
        <w:rPr>
          <w:rStyle w:val="15"/>
          <w:rFonts w:asciiTheme="majorHAnsi" w:hAnsiTheme="majorHAnsi" w:cstheme="majorHAnsi"/>
          <w:sz w:val="22"/>
          <w:szCs w:val="22"/>
        </w:rPr>
        <w:fldChar w:fldCharType="end"/>
      </w:r>
      <w:r>
        <w:rPr>
          <w:rFonts w:asciiTheme="majorHAnsi" w:hAnsiTheme="majorHAnsi" w:cstheme="majorHAnsi"/>
          <w:sz w:val="22"/>
          <w:szCs w:val="22"/>
        </w:rPr>
        <w:t>.</w:t>
      </w:r>
    </w:p>
    <w:p w14:paraId="02EA10AE">
      <w:pPr>
        <w:pStyle w:val="38"/>
        <w:numPr>
          <w:ilvl w:val="4"/>
          <w:numId w:val="18"/>
        </w:numPr>
        <w:tabs>
          <w:tab w:val="left" w:pos="993"/>
        </w:tabs>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apresentados deverão estar acompanhados de todas as alterações ou da consolidação respectiva.</w:t>
      </w:r>
    </w:p>
    <w:p w14:paraId="688E93D6">
      <w:pPr>
        <w:pStyle w:val="38"/>
        <w:numPr>
          <w:ilvl w:val="1"/>
          <w:numId w:val="18"/>
        </w:numPr>
        <w:spacing w:before="120" w:after="120"/>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Habilitação fiscal, social e trabalhista</w:t>
      </w:r>
    </w:p>
    <w:p w14:paraId="40CA7487">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inscrição no Cadastro Nacional de Pessoas Jurídicas ou no Cadastro de Pessoas Físicas, conforme o caso.</w:t>
      </w:r>
    </w:p>
    <w:p w14:paraId="31E52C38">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DE3DA1">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regularidade com o Fundo de Garantia do Tempo de Serviço (FGTS).</w:t>
      </w:r>
    </w:p>
    <w:p w14:paraId="4BEF28CC">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0FCF5BF">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Prova de inscrição no cadastro de contribuintes Estadual e Municipal, relativo ao domicílio ou sede do fornecedor, pertinente ao seu ramo de atividade e compatível com o objeto contratual. </w:t>
      </w:r>
    </w:p>
    <w:p w14:paraId="736C7FD8">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regularidade com a Fazenda Estadual e Municipal, do domicílio ou sede do fornecedor, relativa à atividade em cujo exercício contrata ou concorre.</w:t>
      </w:r>
    </w:p>
    <w:p w14:paraId="24716B0B">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2E245C4A">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3F54DD0">
      <w:pPr>
        <w:pStyle w:val="38"/>
        <w:numPr>
          <w:ilvl w:val="1"/>
          <w:numId w:val="18"/>
        </w:numPr>
        <w:spacing w:before="120" w:after="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Qualificação Econômico-Financeira</w:t>
      </w:r>
    </w:p>
    <w:p w14:paraId="34B6F09E">
      <w:pPr>
        <w:pStyle w:val="38"/>
        <w:numPr>
          <w:ilvl w:val="2"/>
          <w:numId w:val="18"/>
        </w:numPr>
        <w:spacing w:before="120" w:after="120"/>
        <w:ind w:left="0" w:firstLine="0"/>
        <w:contextualSpacing w:val="0"/>
        <w:jc w:val="both"/>
        <w:rPr>
          <w:rFonts w:asciiTheme="majorHAnsi" w:hAnsiTheme="majorHAnsi" w:cstheme="majorHAnsi"/>
          <w:sz w:val="22"/>
          <w:szCs w:val="22"/>
        </w:rPr>
      </w:pPr>
      <w:bookmarkStart w:id="120" w:name="_Hlk216945528"/>
      <w:r>
        <w:rPr>
          <w:rFonts w:asciiTheme="majorHAnsi" w:hAnsiTheme="majorHAnsi" w:cstheme="majorHAnsi"/>
          <w:sz w:val="22"/>
          <w:szCs w:val="22"/>
        </w:rPr>
        <w:t>Certidão negativa de insolvência civil expedida pelo distribuidor do domicilio ou sede do interessado, caso se trate de pessoa física, deste que admitida a sua participação na licitação, ou de sociedade simples.</w:t>
      </w:r>
    </w:p>
    <w:bookmarkEnd w:id="120"/>
    <w:p w14:paraId="69399EE2">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Certidão negativa de falência expedida pelo distribuidor da sede do fornecedor - </w:t>
      </w:r>
      <w:r>
        <w:fldChar w:fldCharType="begin"/>
      </w:r>
      <w:r>
        <w:instrText xml:space="preserve"> HYPERLINK "http://www.planalto.gov.br/ccivil_03/_ato2019-2022/2021/lei/L14133.htm" \l "art69" \h </w:instrText>
      </w:r>
      <w:r>
        <w:fldChar w:fldCharType="separate"/>
      </w:r>
      <w:r>
        <w:rPr>
          <w:rStyle w:val="15"/>
          <w:rFonts w:asciiTheme="majorHAnsi" w:hAnsiTheme="majorHAnsi" w:cstheme="majorHAnsi"/>
          <w:sz w:val="22"/>
          <w:szCs w:val="22"/>
        </w:rPr>
        <w:t>Lei nº 14.133, de 2021, art. 69, caput, inciso II</w:t>
      </w:r>
      <w:r>
        <w:rPr>
          <w:rStyle w:val="15"/>
          <w:rFonts w:asciiTheme="majorHAnsi" w:hAnsiTheme="majorHAnsi" w:cstheme="majorHAnsi"/>
          <w:sz w:val="22"/>
          <w:szCs w:val="22"/>
        </w:rPr>
        <w:fldChar w:fldCharType="end"/>
      </w:r>
      <w:r>
        <w:rPr>
          <w:rFonts w:asciiTheme="majorHAnsi" w:hAnsiTheme="majorHAnsi" w:cstheme="majorHAnsi"/>
          <w:sz w:val="22"/>
          <w:szCs w:val="22"/>
        </w:rPr>
        <w:t>).</w:t>
      </w:r>
    </w:p>
    <w:p w14:paraId="62913ADC">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Balanço patrimonial, demonstração de resultado de exercício e demais demonstrações contábeis </w:t>
      </w:r>
      <w:r>
        <w:rPr>
          <w:rFonts w:asciiTheme="majorHAnsi" w:hAnsiTheme="majorHAnsi" w:cstheme="majorHAnsi"/>
          <w:color w:val="0070C0"/>
          <w:sz w:val="22"/>
          <w:szCs w:val="22"/>
        </w:rPr>
        <w:t>dos 2 (dois) últimos exercícios sociais</w:t>
      </w:r>
      <w:r>
        <w:rPr>
          <w:rFonts w:asciiTheme="majorHAnsi" w:hAnsiTheme="majorHAnsi" w:cstheme="majorHAnsi"/>
          <w:sz w:val="22"/>
          <w:szCs w:val="22"/>
        </w:rPr>
        <w:t>, comprovando, índices de Liquidez Geral (LG), Liquidez Corrente (LC), e Solvência Geral (SG) superiores a 1 (um), obtidos por meio da aplicação das seguintes fórmulas:</w:t>
      </w:r>
    </w:p>
    <w:tbl>
      <w:tblPr>
        <w:tblStyle w:val="37"/>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2551"/>
        <w:gridCol w:w="1701"/>
        <w:gridCol w:w="142"/>
      </w:tblGrid>
      <w:tr w14:paraId="151B07A7">
        <w:tblPrEx>
          <w:tblCellMar>
            <w:top w:w="0" w:type="dxa"/>
            <w:left w:w="108" w:type="dxa"/>
            <w:bottom w:w="0" w:type="dxa"/>
            <w:right w:w="108" w:type="dxa"/>
          </w:tblCellMar>
        </w:tblPrEx>
        <w:trPr>
          <w:gridAfter w:val="1"/>
          <w:wAfter w:w="142" w:type="dxa"/>
        </w:trPr>
        <w:tc>
          <w:tcPr>
            <w:tcW w:w="2235" w:type="dxa"/>
            <w:vMerge w:val="restart"/>
            <w:vAlign w:val="center"/>
          </w:tcPr>
          <w:p w14:paraId="788C064D">
            <w:pPr>
              <w:pStyle w:val="38"/>
              <w:spacing w:before="120" w:after="120"/>
              <w:ind w:left="360"/>
              <w:contextualSpacing w:val="0"/>
              <w:jc w:val="both"/>
              <w:rPr>
                <w:rFonts w:asciiTheme="majorHAnsi" w:hAnsiTheme="majorHAnsi" w:cstheme="majorHAnsi"/>
                <w:sz w:val="22"/>
                <w:szCs w:val="22"/>
              </w:rPr>
            </w:pPr>
            <w:bookmarkStart w:id="121" w:name="_Hlk216945660"/>
            <w:r>
              <w:rPr>
                <w:rFonts w:asciiTheme="majorHAnsi" w:hAnsiTheme="majorHAnsi" w:cstheme="majorHAnsi"/>
                <w:sz w:val="22"/>
                <w:szCs w:val="22"/>
              </w:rPr>
              <w:t>LG =</w:t>
            </w:r>
          </w:p>
        </w:tc>
        <w:tc>
          <w:tcPr>
            <w:tcW w:w="4252" w:type="dxa"/>
            <w:gridSpan w:val="2"/>
            <w:tcBorders>
              <w:bottom w:val="single" w:color="auto" w:sz="4" w:space="0"/>
            </w:tcBorders>
            <w:vAlign w:val="bottom"/>
          </w:tcPr>
          <w:p w14:paraId="2EDAA5E5">
            <w:pPr>
              <w:pStyle w:val="38"/>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Ativo Circulante + Realizável a Longo Prazo</w:t>
            </w:r>
          </w:p>
        </w:tc>
      </w:tr>
      <w:tr w14:paraId="671DD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2" w:type="dxa"/>
        </w:trPr>
        <w:tc>
          <w:tcPr>
            <w:tcW w:w="2235" w:type="dxa"/>
            <w:vMerge w:val="continue"/>
          </w:tcPr>
          <w:p w14:paraId="490153C1">
            <w:pPr>
              <w:pStyle w:val="38"/>
              <w:numPr>
                <w:ilvl w:val="0"/>
                <w:numId w:val="18"/>
              </w:numPr>
              <w:spacing w:before="120" w:after="120"/>
              <w:contextualSpacing w:val="0"/>
              <w:jc w:val="both"/>
              <w:rPr>
                <w:rFonts w:asciiTheme="majorHAnsi" w:hAnsiTheme="majorHAnsi" w:cstheme="majorHAnsi"/>
                <w:sz w:val="22"/>
                <w:szCs w:val="22"/>
              </w:rPr>
            </w:pPr>
          </w:p>
        </w:tc>
        <w:tc>
          <w:tcPr>
            <w:tcW w:w="4252" w:type="dxa"/>
            <w:gridSpan w:val="2"/>
            <w:tcBorders>
              <w:top w:val="single" w:color="auto" w:sz="4" w:space="0"/>
            </w:tcBorders>
          </w:tcPr>
          <w:p w14:paraId="52F6F4E5">
            <w:pPr>
              <w:pStyle w:val="38"/>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14:paraId="6C5B1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Pr>
        <w:tc>
          <w:tcPr>
            <w:tcW w:w="2235" w:type="dxa"/>
            <w:vMerge w:val="restart"/>
            <w:vAlign w:val="center"/>
          </w:tcPr>
          <w:p w14:paraId="7DD894DC">
            <w:pPr>
              <w:pStyle w:val="38"/>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SG =</w:t>
            </w:r>
          </w:p>
        </w:tc>
        <w:tc>
          <w:tcPr>
            <w:tcW w:w="4394" w:type="dxa"/>
            <w:gridSpan w:val="3"/>
            <w:tcBorders>
              <w:bottom w:val="single" w:color="auto" w:sz="4" w:space="0"/>
            </w:tcBorders>
            <w:vAlign w:val="bottom"/>
          </w:tcPr>
          <w:p w14:paraId="78D3B1DB">
            <w:pPr>
              <w:pStyle w:val="38"/>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Ativo Total</w:t>
            </w:r>
          </w:p>
        </w:tc>
      </w:tr>
      <w:tr w14:paraId="72B06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Pr>
        <w:tc>
          <w:tcPr>
            <w:tcW w:w="2235" w:type="dxa"/>
            <w:vMerge w:val="continue"/>
          </w:tcPr>
          <w:p w14:paraId="7E2DF6CA">
            <w:pPr>
              <w:pStyle w:val="38"/>
              <w:numPr>
                <w:ilvl w:val="0"/>
                <w:numId w:val="18"/>
              </w:numPr>
              <w:spacing w:before="120" w:after="120"/>
              <w:contextualSpacing w:val="0"/>
              <w:jc w:val="both"/>
              <w:rPr>
                <w:rFonts w:asciiTheme="majorHAnsi" w:hAnsiTheme="majorHAnsi" w:cstheme="majorHAnsi"/>
                <w:sz w:val="22"/>
                <w:szCs w:val="22"/>
              </w:rPr>
            </w:pPr>
          </w:p>
        </w:tc>
        <w:tc>
          <w:tcPr>
            <w:tcW w:w="4394" w:type="dxa"/>
            <w:gridSpan w:val="3"/>
            <w:tcBorders>
              <w:top w:val="single" w:color="auto" w:sz="4" w:space="0"/>
            </w:tcBorders>
          </w:tcPr>
          <w:p w14:paraId="4461B02C">
            <w:pPr>
              <w:pStyle w:val="38"/>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14:paraId="677B9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843" w:type="dxa"/>
        </w:trPr>
        <w:tc>
          <w:tcPr>
            <w:tcW w:w="2235" w:type="dxa"/>
            <w:vMerge w:val="restart"/>
            <w:vAlign w:val="center"/>
          </w:tcPr>
          <w:p w14:paraId="75661925">
            <w:pPr>
              <w:pStyle w:val="38"/>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LC =</w:t>
            </w:r>
          </w:p>
        </w:tc>
        <w:tc>
          <w:tcPr>
            <w:tcW w:w="2551" w:type="dxa"/>
            <w:tcBorders>
              <w:bottom w:val="single" w:color="auto" w:sz="4" w:space="0"/>
            </w:tcBorders>
            <w:vAlign w:val="bottom"/>
          </w:tcPr>
          <w:p w14:paraId="68DFA9A2">
            <w:pPr>
              <w:pStyle w:val="38"/>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Ativo Circulante</w:t>
            </w:r>
          </w:p>
        </w:tc>
      </w:tr>
      <w:tr w14:paraId="365A1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843" w:type="dxa"/>
        </w:trPr>
        <w:tc>
          <w:tcPr>
            <w:tcW w:w="2235" w:type="dxa"/>
            <w:vMerge w:val="continue"/>
          </w:tcPr>
          <w:p w14:paraId="0C23022E">
            <w:pPr>
              <w:pStyle w:val="38"/>
              <w:numPr>
                <w:ilvl w:val="0"/>
                <w:numId w:val="18"/>
              </w:numPr>
              <w:spacing w:before="120" w:after="120"/>
              <w:contextualSpacing w:val="0"/>
              <w:jc w:val="both"/>
              <w:rPr>
                <w:rFonts w:asciiTheme="majorHAnsi" w:hAnsiTheme="majorHAnsi" w:cstheme="majorHAnsi"/>
                <w:sz w:val="22"/>
                <w:szCs w:val="22"/>
              </w:rPr>
            </w:pPr>
          </w:p>
        </w:tc>
        <w:tc>
          <w:tcPr>
            <w:tcW w:w="2551" w:type="dxa"/>
            <w:tcBorders>
              <w:top w:val="single" w:color="auto" w:sz="4" w:space="0"/>
            </w:tcBorders>
          </w:tcPr>
          <w:p w14:paraId="3617490C">
            <w:pPr>
              <w:pStyle w:val="38"/>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Passivo Circulante</w:t>
            </w:r>
          </w:p>
        </w:tc>
      </w:tr>
      <w:bookmarkEnd w:id="121"/>
    </w:tbl>
    <w:p w14:paraId="3A130DE7">
      <w:pPr>
        <w:pStyle w:val="38"/>
        <w:numPr>
          <w:ilvl w:val="2"/>
          <w:numId w:val="18"/>
        </w:numPr>
        <w:spacing w:before="120" w:after="120"/>
        <w:ind w:left="0" w:firstLine="0"/>
        <w:contextualSpacing w:val="0"/>
        <w:jc w:val="both"/>
        <w:rPr>
          <w:rFonts w:asciiTheme="majorHAnsi" w:hAnsiTheme="majorHAnsi" w:cstheme="majorHAnsi"/>
          <w:sz w:val="22"/>
          <w:szCs w:val="22"/>
        </w:rPr>
      </w:pPr>
      <w:bookmarkStart w:id="122" w:name="_Hlk218504123"/>
      <w:r>
        <w:rPr>
          <w:rFonts w:asciiTheme="majorHAnsi" w:hAnsiTheme="majorHAnsi" w:cstheme="majorHAnsi"/>
          <w:sz w:val="22"/>
          <w:szCs w:val="22"/>
        </w:rPr>
        <w:t xml:space="preserve">Caso a empresa licitante apresente resultado inferior ou igual a 1 (um) em qualquer dos índices de Liquidez Geral (LG), Solvência Geral (SG) e Liquidez Corrente (LC), será exigido para fins de habilitação patrimônio líquido mínimo de </w:t>
      </w:r>
      <w:r>
        <w:rPr>
          <w:rFonts w:asciiTheme="majorHAnsi" w:hAnsiTheme="majorHAnsi" w:cstheme="majorHAnsi"/>
          <w:color w:val="0070C0"/>
          <w:sz w:val="22"/>
          <w:szCs w:val="22"/>
        </w:rPr>
        <w:t xml:space="preserve">10% (dez por cento) </w:t>
      </w:r>
      <w:r>
        <w:rPr>
          <w:rFonts w:asciiTheme="majorHAnsi" w:hAnsiTheme="majorHAnsi" w:cstheme="majorHAnsi"/>
          <w:sz w:val="22"/>
          <w:szCs w:val="22"/>
        </w:rPr>
        <w:t>do valor total estimado da contratação.</w:t>
      </w:r>
    </w:p>
    <w:p w14:paraId="08091DCE">
      <w:pPr>
        <w:pStyle w:val="38"/>
        <w:numPr>
          <w:ilvl w:val="2"/>
          <w:numId w:val="18"/>
        </w:numPr>
        <w:spacing w:before="120" w:after="120"/>
        <w:contextualSpacing w:val="0"/>
        <w:jc w:val="both"/>
        <w:rPr>
          <w:rFonts w:asciiTheme="majorHAnsi" w:hAnsiTheme="majorHAnsi" w:cstheme="majorHAnsi"/>
          <w:sz w:val="22"/>
          <w:szCs w:val="22"/>
        </w:rPr>
      </w:pPr>
      <w:bookmarkStart w:id="123" w:name="_Hlk216946101"/>
      <w:r>
        <w:rPr>
          <w:rFonts w:asciiTheme="majorHAnsi" w:hAnsiTheme="majorHAnsi" w:cstheme="majorHAnsi"/>
          <w:sz w:val="22"/>
          <w:szCs w:val="22"/>
        </w:rPr>
        <w:t>Os indicadores fixados acima deverão ser atingidos em cada um dos dois últimos exercícios sociais sob pena de inabilitação.</w:t>
      </w:r>
    </w:p>
    <w:bookmarkEnd w:id="123"/>
    <w:p w14:paraId="60C914DE">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referidos acima limitar-se-ão ao último exercício no caso de a pessoa jurídica ter sido constituída há menos de 2 (dois) anos.</w:t>
      </w:r>
    </w:p>
    <w:p w14:paraId="1D3268DC">
      <w:pPr>
        <w:pStyle w:val="38"/>
        <w:numPr>
          <w:ilvl w:val="2"/>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referidos acima deverão ser exigidos com base no limite definido pela Receita Federal do Brasil para transmissão da Escrituração Contábil Digital - ECD ao Sped.</w:t>
      </w:r>
    </w:p>
    <w:p w14:paraId="31ED7C17">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sz w:val="22"/>
          <w:szCs w:val="22"/>
        </w:rPr>
        <w:t xml:space="preserve">As empresas criadas no exercício financeiro da licitação deverão atender a todas as exigências da habilitação e poderão substituir os demonstrativos contábeis pelo balanço de abertura. </w:t>
      </w:r>
      <w:r>
        <w:rPr>
          <w:rFonts w:asciiTheme="majorHAnsi" w:hAnsiTheme="majorHAnsi" w:cstheme="majorHAnsi"/>
          <w:color w:val="EE0000"/>
          <w:sz w:val="22"/>
          <w:szCs w:val="22"/>
        </w:rPr>
        <w:t>(Lei nº 14.133, de 2021, art. 65, §1º).</w:t>
      </w:r>
    </w:p>
    <w:p w14:paraId="7EBE52B9">
      <w:pPr>
        <w:pStyle w:val="38"/>
        <w:numPr>
          <w:ilvl w:val="1"/>
          <w:numId w:val="18"/>
        </w:numPr>
        <w:spacing w:before="120" w:after="120"/>
        <w:ind w:left="0" w:firstLine="0"/>
        <w:contextualSpacing w:val="0"/>
        <w:jc w:val="both"/>
        <w:rPr>
          <w:rFonts w:asciiTheme="majorHAnsi" w:hAnsiTheme="majorHAnsi" w:cstheme="majorHAnsi"/>
          <w:b/>
          <w:bCs/>
          <w:color w:val="000000" w:themeColor="text1"/>
          <w:sz w:val="22"/>
          <w:szCs w:val="22"/>
          <w:u w:val="single"/>
          <w14:textFill>
            <w14:solidFill>
              <w14:schemeClr w14:val="tx1"/>
            </w14:solidFill>
          </w14:textFill>
        </w:rPr>
      </w:pPr>
      <w:bookmarkStart w:id="124" w:name="_Hlk228772823"/>
      <w:r>
        <w:rPr>
          <w:rFonts w:asciiTheme="majorHAnsi" w:hAnsiTheme="majorHAnsi" w:cstheme="majorHAnsi"/>
          <w:b/>
          <w:bCs/>
          <w:color w:val="000000" w:themeColor="text1"/>
          <w:sz w:val="22"/>
          <w:szCs w:val="22"/>
          <w:u w:val="single"/>
          <w14:textFill>
            <w14:solidFill>
              <w14:schemeClr w14:val="tx1"/>
            </w14:solidFill>
          </w14:textFill>
        </w:rPr>
        <w:t>Qualificação Técnica.</w:t>
      </w:r>
    </w:p>
    <w:p w14:paraId="66787146">
      <w:pPr>
        <w:pStyle w:val="38"/>
        <w:numPr>
          <w:ilvl w:val="2"/>
          <w:numId w:val="18"/>
        </w:numPr>
        <w:spacing w:before="120" w:after="12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Requisitos de Forma e Comprovação:</w:t>
      </w:r>
    </w:p>
    <w:p w14:paraId="359E8430">
      <w:pPr>
        <w:pStyle w:val="38"/>
        <w:numPr>
          <w:ilvl w:val="3"/>
          <w:numId w:val="18"/>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Apresentar registro na ANVISA;</w:t>
      </w:r>
    </w:p>
    <w:p w14:paraId="1D4205A6">
      <w:pPr>
        <w:pStyle w:val="38"/>
        <w:numPr>
          <w:ilvl w:val="3"/>
          <w:numId w:val="18"/>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As características técnicas dos produtos ofertados deverão ser descritas pelos licitantes e obrigatoriamente comprovadas por meio de documentos de domínio público emitidos pelo fabricante;</w:t>
      </w:r>
    </w:p>
    <w:p w14:paraId="08DF6D7A">
      <w:pPr>
        <w:pStyle w:val="38"/>
        <w:numPr>
          <w:ilvl w:val="3"/>
          <w:numId w:val="18"/>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Serão aceitos catálogos, manuais, fichas técnicas ou impressões de páginas oficiais da internet, desde que contenham a descrição clara (visual e escrita) do produto ou componente;</w:t>
      </w:r>
    </w:p>
    <w:p w14:paraId="7E778F53">
      <w:pPr>
        <w:pStyle w:val="38"/>
        <w:numPr>
          <w:ilvl w:val="3"/>
          <w:numId w:val="18"/>
        </w:numPr>
        <w:tabs>
          <w:tab w:val="left" w:pos="851"/>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licitante deverá indicar expressamente o modelo e a marca de cada item ofertado.</w:t>
      </w:r>
    </w:p>
    <w:p w14:paraId="4BC25139">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Documentos ou materiais informativos redigidos em idioma estrangeiro deverão ser acompanhados de tradução simples para o português.</w:t>
      </w:r>
    </w:p>
    <w:p w14:paraId="78B2CB19">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Documentos apresentados por empresas distribuidoras deverão estar vinculados especificamente a cada marca ou fabricante dos produtos cotados.</w:t>
      </w:r>
    </w:p>
    <w:p w14:paraId="7E2684A6">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documentos poderão ser apresentados em original, por cópia autenticada ou por cópia simples, ficando esta última condicionada à exibição do original para autenticação por servidor da administração, se necessário.</w:t>
      </w:r>
    </w:p>
    <w:p w14:paraId="26BBDD33">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No caso de documentos publicados no Diário Oficial da União (DOU), o licitante deverá, preferencialmente, destacar com marca-texto o produto cotado e identificar o número do respectivo item/lote do edital para agilizar o julgamento das propostas.</w:t>
      </w:r>
    </w:p>
    <w:p w14:paraId="1021C1FA">
      <w:pPr>
        <w:pStyle w:val="38"/>
        <w:numPr>
          <w:ilvl w:val="1"/>
          <w:numId w:val="18"/>
        </w:numPr>
        <w:spacing w:before="120" w:after="120"/>
        <w:ind w:left="0"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Requisitos de Conteúdo e Regularidade Sanitária.</w:t>
      </w:r>
    </w:p>
    <w:p w14:paraId="7A1B3C21">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Registro Sanitário: Apresentar cópia do certificado de registro de cada produto no Ministério da Saúde/ANVISA, conforme o Art. 7º do Decreto Federal nº 8.077/2013, ou a publicação do referido registro no D.O.U.</w:t>
      </w:r>
    </w:p>
    <w:p w14:paraId="01DEB38E">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Caso o registro esteja vencido, o fornecedor deverá apresentar o certificado vencido acompanhado do comprovante de protocolo do pedido de revalidação (Petição), protocolado no prazo legal (até 180 dias antes do vencimento), conforme o Art. 8º do Decreto Federal nº 8.077/2013.</w:t>
      </w:r>
    </w:p>
    <w:p w14:paraId="579B01E9">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Para produtos isentos de registro, deverá ser apresentado o comprovante de cadastramento ou o documento de dispensa emitido pela ANVISA, fundamentado na Lei nº 6.360/76.</w:t>
      </w:r>
    </w:p>
    <w:p w14:paraId="70A531BE">
      <w:pPr>
        <w:pStyle w:val="38"/>
        <w:numPr>
          <w:ilvl w:val="1"/>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Controle de Qualidade: Quando exigido tecnicamente (especialmente para equipos e curativos especiais), poderão ser solicitados os protocolos dos métodos de controle de qualidade utilizados pelo fabricante, conforme normas vigentes.</w:t>
      </w:r>
    </w:p>
    <w:p w14:paraId="0C723EA9">
      <w:pPr>
        <w:pStyle w:val="38"/>
        <w:numPr>
          <w:ilvl w:val="1"/>
          <w:numId w:val="18"/>
        </w:numPr>
        <w:spacing w:before="120" w:after="120"/>
        <w:ind w:left="0" w:firstLine="0"/>
        <w:contextualSpacing w:val="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 xml:space="preserve">Autorizações de Operação: </w:t>
      </w:r>
    </w:p>
    <w:p w14:paraId="15DA9DF5">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AFE (Autorização de Funcionamento de Empresa): Comprovar a autorização para as atividades de fabricação, importação ou distribuição de materiais de uso em saúde, expedida pela ANVISA.</w:t>
      </w:r>
    </w:p>
    <w:p w14:paraId="7EEA7B32">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Licença Sanitária: Apresentar Alvará ou Licença de Funcionamento vigente, expedido pelo órgão de Vigilância Sanitária Estadual ou Municipal da sede da licitante.</w:t>
      </w:r>
    </w:p>
    <w:p w14:paraId="04851A0A">
      <w:pPr>
        <w:pStyle w:val="25"/>
        <w:widowControl w:val="0"/>
        <w:numPr>
          <w:ilvl w:val="1"/>
          <w:numId w:val="18"/>
        </w:numPr>
        <w:autoSpaceDE w:val="0"/>
        <w:autoSpaceDN w:val="0"/>
        <w:spacing w:before="120" w:beforeAutospacing="0" w:after="120" w:afterAutospacing="0"/>
        <w:ind w:left="0" w:firstLine="0"/>
        <w:jc w:val="both"/>
        <w:rPr>
          <w:rFonts w:asciiTheme="majorHAnsi" w:hAnsiTheme="majorHAnsi" w:cstheme="majorHAnsi"/>
          <w:b/>
          <w:bCs/>
          <w:color w:val="EE0000"/>
          <w:sz w:val="22"/>
          <w:szCs w:val="22"/>
        </w:rPr>
      </w:pPr>
      <w:bookmarkStart w:id="125" w:name="_Hlk230184216"/>
      <w:r>
        <w:rPr>
          <w:rFonts w:asciiTheme="majorHAnsi" w:hAnsiTheme="majorHAnsi" w:cstheme="majorHAnsi"/>
          <w:b/>
          <w:color w:val="EE0000"/>
          <w:sz w:val="22"/>
          <w:szCs w:val="22"/>
        </w:rPr>
        <w:t>Da Proposta</w:t>
      </w:r>
    </w:p>
    <w:p w14:paraId="0144A244">
      <w:pPr>
        <w:pStyle w:val="25"/>
        <w:widowControl w:val="0"/>
        <w:numPr>
          <w:ilvl w:val="2"/>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b/>
          <w:bCs/>
          <w:color w:val="EE0000"/>
          <w:sz w:val="22"/>
          <w:szCs w:val="22"/>
        </w:rPr>
        <w:t>Dos Requisitos de Aceitabilidade da Proposta (Conformidade do Produto):</w:t>
      </w:r>
    </w:p>
    <w:p w14:paraId="4111B9C2">
      <w:pPr>
        <w:pStyle w:val="25"/>
        <w:widowControl w:val="0"/>
        <w:numPr>
          <w:ilvl w:val="2"/>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 licitante deverá indicar expressamente o modelo, lote e a marca de cada item ofertado na sua proposta econômica.</w:t>
      </w:r>
    </w:p>
    <w:p w14:paraId="60102403">
      <w:pPr>
        <w:pStyle w:val="25"/>
        <w:widowControl w:val="0"/>
        <w:numPr>
          <w:ilvl w:val="2"/>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As características técnicas dos produtos ofertados deverão ser descritas pelos licitantes e obrigatoriamente comprovadas por meio de documentos de domínio público emitidos pelo fabricante. Serão aceitos catálogos, manuais, fichas técnicas ou impressões de páginas oficiais da internet, desde que contenham a descrição clara (visual e escrita) do produto ou componente.</w:t>
      </w:r>
    </w:p>
    <w:p w14:paraId="664278E7">
      <w:pPr>
        <w:pStyle w:val="25"/>
        <w:widowControl w:val="0"/>
        <w:numPr>
          <w:ilvl w:val="2"/>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Documentos ou materiais informativos redigidos em idioma estrangeiro deverão ser acompanhados de tradução simples para o português.</w:t>
      </w:r>
    </w:p>
    <w:p w14:paraId="1F2532C0">
      <w:pPr>
        <w:pStyle w:val="25"/>
        <w:widowControl w:val="0"/>
        <w:numPr>
          <w:ilvl w:val="1"/>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b/>
          <w:bCs/>
          <w:color w:val="EE0000"/>
          <w:sz w:val="22"/>
          <w:szCs w:val="22"/>
        </w:rPr>
        <w:t>Registro Sanitário do Produto:</w:t>
      </w:r>
    </w:p>
    <w:p w14:paraId="7118BAC0">
      <w:pPr>
        <w:pStyle w:val="25"/>
        <w:widowControl w:val="0"/>
        <w:numPr>
          <w:ilvl w:val="2"/>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Apresentar, junto com a proposta, cópia do certificado de registro de cada produto ofertado no Ministério da Saúde/ANVISA, conforme o Art. 7º do Decreto Federal nº 8.077/2013, ou a publicação do referido registro no D.O.U.</w:t>
      </w:r>
    </w:p>
    <w:p w14:paraId="5CC15122">
      <w:pPr>
        <w:pStyle w:val="25"/>
        <w:widowControl w:val="0"/>
        <w:numPr>
          <w:ilvl w:val="2"/>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Caso o registro esteja vencido, o fornecedor deverá apresentar o certificado vencido acompanhado do comprovante de protocolo do pedido de revalidação (Petição), protocolado no prazo legal (até 180 dias antes do vencimento), conforme o Art. 8º do Decreto Federal nº 8.077/2013.</w:t>
      </w:r>
    </w:p>
    <w:p w14:paraId="7F526914">
      <w:pPr>
        <w:pStyle w:val="25"/>
        <w:widowControl w:val="0"/>
        <w:numPr>
          <w:ilvl w:val="2"/>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Para produtos isentos de registro, deverá ser apresentado o comprovante de cadastramento ou o documento de dispensa emitido pela ANVISA, fundamentado na Lei nº 6.360/76.</w:t>
      </w:r>
    </w:p>
    <w:p w14:paraId="17961B68">
      <w:pPr>
        <w:pStyle w:val="25"/>
        <w:widowControl w:val="0"/>
        <w:numPr>
          <w:ilvl w:val="2"/>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No caso de documentos publicados no Diário Oficial da União (DOU), o licitante deverá, preferencialmente, destacar com marca-texto o produto cotado e identificar o número do respectivo item/lote do edital para agilizar o julgamento das propostas.</w:t>
      </w:r>
    </w:p>
    <w:p w14:paraId="74A61110">
      <w:pPr>
        <w:pStyle w:val="25"/>
        <w:widowControl w:val="0"/>
        <w:numPr>
          <w:ilvl w:val="2"/>
          <w:numId w:val="18"/>
        </w:numPr>
        <w:autoSpaceDE w:val="0"/>
        <w:autoSpaceDN w:val="0"/>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Documentos apresentados por empresas distribuidoras deverão estar vinculados especificamente a cada marca ou fabricante dos produtos cotados.</w:t>
      </w:r>
      <w:bookmarkEnd w:id="125"/>
    </w:p>
    <w:bookmarkEnd w:id="122"/>
    <w:bookmarkEnd w:id="124"/>
    <w:p w14:paraId="21E97A11">
      <w:pPr>
        <w:spacing w:before="120" w:after="120"/>
        <w:jc w:val="both"/>
        <w:rPr>
          <w:rFonts w:asciiTheme="majorHAnsi" w:hAnsiTheme="majorHAnsi" w:cstheme="majorHAnsi"/>
          <w:b/>
          <w:bCs/>
          <w:sz w:val="22"/>
          <w:szCs w:val="22"/>
          <w:u w:val="single"/>
        </w:rPr>
      </w:pPr>
      <w:r>
        <w:rPr>
          <w:rFonts w:asciiTheme="majorHAnsi" w:hAnsiTheme="majorHAnsi" w:cstheme="majorHAnsi"/>
          <w:b/>
          <w:bCs/>
          <w:sz w:val="22"/>
          <w:szCs w:val="22"/>
          <w:u w:val="single"/>
        </w:rPr>
        <w:t>Disposições gerais sobre habilitação</w:t>
      </w:r>
    </w:p>
    <w:p w14:paraId="14FC9D58">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Quando permitida a participação de empresas estrangeiras que não funcionem no País, as exigências de habilitação serão atendidas mediante documentos equivalentes, inicialmente apresentados em tradução livre.</w:t>
      </w:r>
    </w:p>
    <w:p w14:paraId="3A2CF12A">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92CBAF0">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Não serão aceitos documentos de habilitação com indicação de CNPJ/CPF diferentes, salvo aqueles legalmente permitidos.</w:t>
      </w:r>
    </w:p>
    <w:p w14:paraId="740C6B7E">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B84A69B">
      <w:pPr>
        <w:pStyle w:val="38"/>
        <w:numPr>
          <w:ilvl w:val="1"/>
          <w:numId w:val="18"/>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aceitos registros de CNPJ de fornecedor matriz e filial com diferenças de números de documentos pertinentes ao CND e ao CRF/FGTS, quando for comprovada a centralização do recolhimento dessas contribuições.</w:t>
      </w:r>
    </w:p>
    <w:p w14:paraId="4AF83617">
      <w:pPr>
        <w:pStyle w:val="38"/>
        <w:numPr>
          <w:ilvl w:val="0"/>
          <w:numId w:val="18"/>
        </w:numPr>
        <w:shd w:val="clear" w:color="auto" w:fill="F1F1F1" w:themeFill="background1" w:themeFillShade="F2"/>
        <w:spacing w:before="120" w:after="120"/>
        <w:contextualSpacing w:val="0"/>
        <w:rPr>
          <w:rFonts w:asciiTheme="majorHAnsi" w:hAnsiTheme="majorHAnsi" w:cstheme="majorHAnsi"/>
          <w:b/>
          <w:bCs/>
          <w:sz w:val="22"/>
          <w:szCs w:val="22"/>
        </w:rPr>
      </w:pPr>
      <w:r>
        <w:rPr>
          <w:rFonts w:asciiTheme="majorHAnsi" w:hAnsiTheme="majorHAnsi" w:cstheme="majorHAnsi"/>
          <w:b/>
          <w:bCs/>
          <w:sz w:val="22"/>
          <w:szCs w:val="22"/>
        </w:rPr>
        <w:t>ESTIMATIVAS DO VALOR DA CONTRATAÇÃO</w:t>
      </w:r>
    </w:p>
    <w:p w14:paraId="2F3FE986">
      <w:pPr>
        <w:pStyle w:val="38"/>
        <w:numPr>
          <w:ilvl w:val="1"/>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custo estimado da contratação, que corresponde ao valor máximo aceitável, é de R$ 420.449,80 (Quatrocentos e vinte mil, quatrocentos e quarenta e nove reais e oitenta centavos), conforme custos unitários apostos na tabela contida no item 1.1 acima.</w:t>
      </w:r>
    </w:p>
    <w:p w14:paraId="41EE7300">
      <w:pPr>
        <w:pStyle w:val="38"/>
        <w:numPr>
          <w:ilvl w:val="1"/>
          <w:numId w:val="18"/>
        </w:numPr>
        <w:spacing w:before="120" w:after="120"/>
        <w:ind w:left="0" w:firstLine="0"/>
        <w:contextualSpacing w:val="0"/>
        <w:jc w:val="both"/>
        <w:rPr>
          <w:rFonts w:asciiTheme="majorHAnsi" w:hAnsiTheme="majorHAnsi" w:cstheme="majorHAnsi"/>
          <w:color w:val="EE0000"/>
          <w:sz w:val="22"/>
          <w:szCs w:val="22"/>
        </w:rPr>
      </w:pPr>
      <w:bookmarkStart w:id="126" w:name="_Hlk218504267"/>
      <w:r>
        <w:rPr>
          <w:rFonts w:asciiTheme="majorHAnsi" w:hAnsiTheme="majorHAnsi" w:cstheme="majorHAnsi"/>
          <w:color w:val="EE0000"/>
          <w:sz w:val="22"/>
          <w:szCs w:val="22"/>
        </w:rPr>
        <w:t>Pesquisa de preços apurados pelo Núcleo de Compras do CHS, conforme documentos anexo ao processo.</w:t>
      </w:r>
    </w:p>
    <w:bookmarkEnd w:id="126"/>
    <w:p w14:paraId="73BE9F1D">
      <w:pPr>
        <w:pStyle w:val="38"/>
        <w:numPr>
          <w:ilvl w:val="1"/>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72EB0CC0">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3E550D46">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caso de criação, alteração ou extinção de quaisquer tributos ou encargos legais ou superveniência de disposições legais, com comprovada repercussão sobre os preços registrados;</w:t>
      </w:r>
    </w:p>
    <w:p w14:paraId="5FEB0314">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serão reajustados os preços registrados, respeitada a contagem da anualidade e o índice previsto para a contratação; ou</w:t>
      </w:r>
    </w:p>
    <w:p w14:paraId="55E20F80">
      <w:pPr>
        <w:pStyle w:val="38"/>
        <w:numPr>
          <w:ilvl w:val="2"/>
          <w:numId w:val="18"/>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poderão ser repactuados, a pedido do interessado, conforme critérios definidos para a contratação.</w:t>
      </w:r>
    </w:p>
    <w:p w14:paraId="5C79774B">
      <w:pPr>
        <w:pStyle w:val="38"/>
        <w:numPr>
          <w:ilvl w:val="0"/>
          <w:numId w:val="18"/>
        </w:numPr>
        <w:spacing w:before="120" w:after="120"/>
        <w:ind w:left="357" w:hanging="357"/>
        <w:contextualSpacing w:val="0"/>
        <w:rPr>
          <w:rFonts w:asciiTheme="majorHAnsi" w:hAnsiTheme="majorHAnsi" w:cstheme="majorHAnsi"/>
          <w:b/>
          <w:bCs/>
          <w:sz w:val="22"/>
          <w:szCs w:val="22"/>
        </w:rPr>
      </w:pPr>
      <w:r>
        <w:rPr>
          <w:rFonts w:asciiTheme="majorHAnsi" w:hAnsiTheme="majorHAnsi" w:cstheme="majorHAnsi"/>
          <w:b/>
          <w:bCs/>
          <w:sz w:val="22"/>
          <w:szCs w:val="22"/>
        </w:rPr>
        <w:t>ADEQUAÇÃO ORÇAMENTÁRIA</w:t>
      </w:r>
    </w:p>
    <w:p w14:paraId="3AE25143">
      <w:pPr>
        <w:pStyle w:val="38"/>
        <w:widowControl w:val="0"/>
        <w:numPr>
          <w:ilvl w:val="1"/>
          <w:numId w:val="18"/>
        </w:numPr>
        <w:spacing w:before="120" w:after="120"/>
        <w:ind w:left="0" w:right="-1" w:firstLine="0"/>
        <w:jc w:val="both"/>
        <w:rPr>
          <w:rFonts w:asciiTheme="majorHAnsi" w:hAnsiTheme="majorHAnsi" w:cstheme="majorHAnsi"/>
          <w:sz w:val="22"/>
          <w:szCs w:val="22"/>
        </w:rPr>
      </w:pPr>
      <w:r>
        <w:rPr>
          <w:rFonts w:asciiTheme="majorHAnsi" w:hAnsiTheme="majorHAnsi" w:cstheme="majorHAnsi"/>
          <w:sz w:val="22"/>
          <w:szCs w:val="22"/>
        </w:rPr>
        <w:t>A indicação da dotação orçamentária fica postergada para o momento da assinatura do contrato ou instrumento equivalente.</w:t>
      </w:r>
      <w:r>
        <w:rPr>
          <w:rFonts w:asciiTheme="majorHAnsi" w:hAnsiTheme="majorHAnsi" w:cstheme="majorHAnsi"/>
          <w:color w:val="EE0000"/>
          <w:sz w:val="22"/>
          <w:szCs w:val="22"/>
        </w:rPr>
        <w:t xml:space="preserve"> (art. 6º, inciso XXIII, alínea “j”, c/c art.18, caput, da lei nº 14.133, de 2021, art. 10, inciso IX, da Lei nº 8.429, de 1992).</w:t>
      </w:r>
    </w:p>
    <w:p w14:paraId="17544917">
      <w:pPr>
        <w:jc w:val="both"/>
        <w:rPr>
          <w:rFonts w:asciiTheme="majorHAnsi" w:hAnsiTheme="majorHAnsi" w:cstheme="majorHAnsi"/>
          <w:color w:val="EE0000"/>
          <w:sz w:val="22"/>
          <w:szCs w:val="22"/>
        </w:rPr>
      </w:pPr>
      <w:r>
        <w:rPr>
          <w:rFonts w:asciiTheme="majorHAnsi" w:hAnsiTheme="majorHAnsi" w:cstheme="majorHAnsi"/>
          <w:color w:val="EE0000"/>
          <w:sz w:val="22"/>
          <w:szCs w:val="22"/>
        </w:rPr>
        <w:t>GESTÃO/UNIDADE: 15223/150247</w:t>
      </w:r>
    </w:p>
    <w:p w14:paraId="1784B15A">
      <w:pPr>
        <w:jc w:val="both"/>
        <w:rPr>
          <w:rFonts w:asciiTheme="majorHAnsi" w:hAnsiTheme="majorHAnsi" w:cstheme="majorHAnsi"/>
          <w:color w:val="EE0000"/>
          <w:sz w:val="22"/>
          <w:szCs w:val="22"/>
        </w:rPr>
      </w:pPr>
      <w:r>
        <w:rPr>
          <w:rFonts w:asciiTheme="majorHAnsi" w:hAnsiTheme="majorHAnsi" w:cstheme="majorHAnsi"/>
          <w:color w:val="EE0000"/>
          <w:sz w:val="22"/>
          <w:szCs w:val="22"/>
        </w:rPr>
        <w:t>PROGRAMA: Fortalecimento do Sistema Único de Saúde (SUS)</w:t>
      </w:r>
    </w:p>
    <w:p w14:paraId="589493CC">
      <w:pPr>
        <w:jc w:val="both"/>
        <w:rPr>
          <w:rFonts w:asciiTheme="majorHAnsi" w:hAnsiTheme="majorHAnsi" w:cstheme="majorHAnsi"/>
          <w:color w:val="EE0000"/>
          <w:sz w:val="22"/>
          <w:szCs w:val="22"/>
        </w:rPr>
      </w:pPr>
      <w:r>
        <w:rPr>
          <w:rFonts w:asciiTheme="majorHAnsi" w:hAnsiTheme="majorHAnsi" w:cstheme="majorHAnsi"/>
          <w:color w:val="EE0000"/>
          <w:sz w:val="22"/>
          <w:szCs w:val="22"/>
        </w:rPr>
        <w:t>AÇÃO: Atenção à Saúde da População para Procedimentos em Média e Alta Complexidade</w:t>
      </w:r>
    </w:p>
    <w:p w14:paraId="56F6EB99">
      <w:pPr>
        <w:jc w:val="both"/>
        <w:rPr>
          <w:rFonts w:asciiTheme="majorHAnsi" w:hAnsiTheme="majorHAnsi" w:cstheme="majorHAnsi"/>
          <w:color w:val="EE0000"/>
          <w:sz w:val="22"/>
          <w:szCs w:val="22"/>
        </w:rPr>
      </w:pPr>
      <w:r>
        <w:rPr>
          <w:rFonts w:asciiTheme="majorHAnsi" w:hAnsiTheme="majorHAnsi" w:cstheme="majorHAnsi"/>
          <w:color w:val="EE0000"/>
          <w:sz w:val="22"/>
          <w:szCs w:val="22"/>
        </w:rPr>
        <w:t>FONTE: Fundo Nacional da Saúde/Ministério da Saúde</w:t>
      </w:r>
    </w:p>
    <w:p w14:paraId="59B93B66">
      <w:pPr>
        <w:pStyle w:val="38"/>
        <w:widowControl w:val="0"/>
        <w:numPr>
          <w:ilvl w:val="1"/>
          <w:numId w:val="18"/>
        </w:numPr>
        <w:spacing w:before="120" w:after="120"/>
        <w:ind w:left="0" w:right="-1" w:firstLine="0"/>
        <w:jc w:val="both"/>
        <w:rPr>
          <w:rFonts w:asciiTheme="majorHAnsi" w:hAnsiTheme="majorHAnsi" w:cstheme="majorHAnsi"/>
          <w:sz w:val="22"/>
          <w:szCs w:val="22"/>
        </w:rPr>
      </w:pPr>
      <w:bookmarkStart w:id="127" w:name="_Hlk218504909"/>
      <w:r>
        <w:rPr>
          <w:rFonts w:asciiTheme="majorHAnsi" w:hAnsiTheme="majorHAnsi" w:cstheme="majorHAnsi"/>
          <w:sz w:val="22"/>
          <w:szCs w:val="22"/>
        </w:rPr>
        <w:t>As dotações relativas aos exercícios financeiros subsequentes serão indicadas após aprovação da Lei Orçamentária respectiva e liberação dos créditos correspondentes, mediante apostilamento.</w:t>
      </w:r>
    </w:p>
    <w:bookmarkEnd w:id="127"/>
    <w:p w14:paraId="3228AAB2">
      <w:pPr>
        <w:pStyle w:val="70"/>
        <w:rPr>
          <w:rFonts w:asciiTheme="majorHAnsi" w:hAnsiTheme="majorHAnsi" w:cstheme="majorHAnsi"/>
        </w:rPr>
      </w:pPr>
      <w:r>
        <w:rPr>
          <w:rFonts w:asciiTheme="majorHAnsi" w:hAnsiTheme="majorHAnsi" w:cstheme="majorHAnsi"/>
        </w:rPr>
        <w:t>12.</w:t>
      </w:r>
      <w:r>
        <w:rPr>
          <w:rFonts w:asciiTheme="majorHAnsi" w:hAnsiTheme="majorHAnsi" w:cstheme="majorHAnsi"/>
        </w:rPr>
        <w:tab/>
      </w:r>
      <w:r>
        <w:rPr>
          <w:rFonts w:asciiTheme="majorHAnsi" w:hAnsiTheme="majorHAnsi" w:cstheme="majorHAnsi"/>
        </w:rPr>
        <w:t>DISPOSIÇÕES FINAIS</w:t>
      </w:r>
    </w:p>
    <w:p w14:paraId="5D29450E">
      <w:pPr>
        <w:widowControl w:val="0"/>
        <w:spacing w:before="120" w:after="120"/>
        <w:ind w:right="-1"/>
        <w:jc w:val="both"/>
        <w:rPr>
          <w:rFonts w:asciiTheme="majorHAnsi" w:hAnsiTheme="majorHAnsi" w:cstheme="majorHAnsi"/>
          <w:sz w:val="22"/>
          <w:szCs w:val="22"/>
        </w:rPr>
      </w:pPr>
      <w:r>
        <w:rPr>
          <w:rFonts w:asciiTheme="majorHAnsi" w:hAnsiTheme="majorHAnsi" w:cstheme="majorHAnsi"/>
          <w:sz w:val="22"/>
          <w:szCs w:val="22"/>
        </w:rPr>
        <w:t>12.1. As informações contidas neste Termo de Referência não serão classificadas como sigilosas.</w:t>
      </w:r>
    </w:p>
    <w:p w14:paraId="134B147D">
      <w:pPr>
        <w:spacing w:before="120" w:after="120"/>
        <w:jc w:val="both"/>
        <w:rPr>
          <w:rFonts w:asciiTheme="majorHAnsi" w:hAnsiTheme="majorHAnsi" w:eastAsiaTheme="majorEastAsia" w:cstheme="majorHAnsi"/>
          <w:b/>
          <w:bCs/>
          <w:color w:val="000000" w:themeColor="text1"/>
          <w:sz w:val="22"/>
          <w:szCs w:val="22"/>
          <w14:textFill>
            <w14:solidFill>
              <w14:schemeClr w14:val="tx1"/>
            </w14:solidFill>
          </w14:textFill>
        </w:rPr>
      </w:pPr>
      <w:r>
        <w:rPr>
          <w:rFonts w:asciiTheme="majorHAnsi" w:hAnsiTheme="majorHAnsi" w:eastAsiaTheme="majorEastAsia" w:cstheme="majorHAnsi"/>
          <w:b/>
          <w:bCs/>
          <w:color w:val="000000" w:themeColor="text1"/>
          <w:sz w:val="22"/>
          <w:szCs w:val="22"/>
          <w14:textFill>
            <w14:solidFill>
              <w14:schemeClr w14:val="tx1"/>
            </w14:solidFill>
          </w14:textFill>
        </w:rPr>
        <w:t>13.  DAS PARTES INTEGRANTES DESTE TERMO</w:t>
      </w:r>
    </w:p>
    <w:p w14:paraId="425DB030">
      <w:pPr>
        <w:widowControl w:val="0"/>
        <w:spacing w:before="120" w:after="120"/>
        <w:jc w:val="both"/>
        <w:rPr>
          <w:rFonts w:asciiTheme="majorHAnsi" w:hAnsiTheme="majorHAnsi" w:cstheme="majorHAnsi"/>
          <w:color w:val="000000" w:themeColor="text1"/>
          <w:sz w:val="22"/>
          <w:szCs w:val="22"/>
          <w14:textFill>
            <w14:solidFill>
              <w14:schemeClr w14:val="tx1"/>
            </w14:solidFill>
          </w14:textFill>
        </w:rPr>
      </w:pPr>
      <w:r>
        <w:rPr>
          <w:rFonts w:asciiTheme="majorHAnsi" w:hAnsiTheme="majorHAnsi" w:cstheme="majorHAnsi"/>
          <w:color w:val="000000" w:themeColor="text1"/>
          <w:sz w:val="22"/>
          <w:szCs w:val="22"/>
          <w14:textFill>
            <w14:solidFill>
              <w14:schemeClr w14:val="tx1"/>
            </w14:solidFill>
          </w14:textFill>
        </w:rPr>
        <w:t>13.1. Integram este Termo de Referência com se aqui estivessem transcritos:</w:t>
      </w:r>
    </w:p>
    <w:p w14:paraId="1F3D04CB">
      <w:pPr>
        <w:widowControl w:val="0"/>
        <w:spacing w:before="120" w:after="120"/>
        <w:jc w:val="both"/>
        <w:rPr>
          <w:rFonts w:asciiTheme="majorHAnsi" w:hAnsiTheme="majorHAnsi" w:cstheme="majorHAnsi"/>
          <w:color w:val="000000" w:themeColor="text1"/>
          <w:sz w:val="22"/>
          <w:szCs w:val="22"/>
          <w14:textFill>
            <w14:solidFill>
              <w14:schemeClr w14:val="tx1"/>
            </w14:solidFill>
          </w14:textFill>
        </w:rPr>
      </w:pPr>
      <w:r>
        <w:rPr>
          <w:rFonts w:asciiTheme="majorHAnsi" w:hAnsiTheme="majorHAnsi" w:cstheme="majorHAnsi"/>
          <w:color w:val="000000" w:themeColor="text1"/>
          <w:sz w:val="22"/>
          <w:szCs w:val="22"/>
          <w14:textFill>
            <w14:solidFill>
              <w14:schemeClr w14:val="tx1"/>
            </w14:solidFill>
          </w14:textFill>
        </w:rPr>
        <w:t>13.1.1. Anexo TR-I – Estudo Técnico Preliminar.</w:t>
      </w:r>
    </w:p>
    <w:p w14:paraId="02EDB40B">
      <w:pPr>
        <w:spacing w:before="120" w:after="120"/>
        <w:ind w:right="-1"/>
        <w:contextualSpacing/>
        <w:jc w:val="both"/>
        <w:rPr>
          <w:rFonts w:asciiTheme="majorHAnsi" w:hAnsiTheme="majorHAnsi" w:cstheme="majorHAnsi"/>
          <w:sz w:val="22"/>
          <w:szCs w:val="22"/>
        </w:rPr>
      </w:pPr>
    </w:p>
    <w:p w14:paraId="7420CABB">
      <w:pPr>
        <w:spacing w:before="120" w:after="120"/>
        <w:ind w:right="-1"/>
        <w:contextualSpacing/>
        <w:jc w:val="both"/>
        <w:rPr>
          <w:rFonts w:asciiTheme="majorHAnsi" w:hAnsiTheme="majorHAnsi" w:cstheme="majorHAnsi"/>
          <w:sz w:val="22"/>
          <w:szCs w:val="22"/>
        </w:rPr>
      </w:pPr>
      <w:r>
        <w:rPr>
          <w:rFonts w:asciiTheme="majorHAnsi" w:hAnsiTheme="majorHAnsi" w:cstheme="majorHAnsi"/>
          <w:sz w:val="22"/>
          <w:szCs w:val="22"/>
        </w:rPr>
        <w:t>Salvador/BA, 16 de julho de 2026.</w:t>
      </w:r>
    </w:p>
    <w:p w14:paraId="290E65BE">
      <w:pPr>
        <w:spacing w:before="120" w:after="120"/>
        <w:ind w:right="-1"/>
        <w:contextualSpacing/>
        <w:jc w:val="both"/>
        <w:rPr>
          <w:rFonts w:asciiTheme="majorHAnsi" w:hAnsiTheme="majorHAnsi" w:cstheme="majorHAnsi"/>
          <w:sz w:val="22"/>
          <w:szCs w:val="22"/>
        </w:rPr>
      </w:pPr>
      <w:r>
        <w:rPr>
          <w:rFonts w:asciiTheme="majorHAnsi" w:hAnsiTheme="majorHAnsi" w:cstheme="majorHAnsi"/>
          <w:sz w:val="22"/>
          <w:szCs w:val="22"/>
        </w:rPr>
        <w:t>Solicitado por:</w:t>
      </w:r>
    </w:p>
    <w:p w14:paraId="2861F388">
      <w:pPr>
        <w:spacing w:before="120" w:after="120"/>
        <w:ind w:right="-1"/>
        <w:contextualSpacing/>
        <w:jc w:val="both"/>
        <w:rPr>
          <w:rFonts w:asciiTheme="majorHAnsi" w:hAnsiTheme="majorHAnsi" w:cstheme="majorHAnsi"/>
          <w:bCs/>
          <w:sz w:val="22"/>
          <w:szCs w:val="22"/>
        </w:rPr>
      </w:pPr>
    </w:p>
    <w:p w14:paraId="50C86326">
      <w:pPr>
        <w:spacing w:before="120" w:after="120"/>
        <w:ind w:right="-1"/>
        <w:contextualSpacing/>
        <w:jc w:val="both"/>
        <w:rPr>
          <w:rFonts w:asciiTheme="majorHAnsi" w:hAnsiTheme="majorHAnsi" w:cstheme="majorHAnsi"/>
          <w:b/>
          <w:sz w:val="22"/>
          <w:szCs w:val="22"/>
        </w:rPr>
      </w:pPr>
      <w:r>
        <w:rPr>
          <w:rFonts w:asciiTheme="majorHAnsi" w:hAnsiTheme="majorHAnsi" w:cstheme="majorHAnsi"/>
          <w:b/>
          <w:sz w:val="22"/>
          <w:szCs w:val="22"/>
        </w:rPr>
        <w:t>João Paulo Alves</w:t>
      </w:r>
    </w:p>
    <w:p w14:paraId="3290923B">
      <w:pPr>
        <w:spacing w:before="120" w:after="120"/>
        <w:ind w:right="-1"/>
        <w:contextualSpacing/>
        <w:jc w:val="both"/>
        <w:rPr>
          <w:rFonts w:asciiTheme="majorHAnsi" w:hAnsiTheme="majorHAnsi" w:cstheme="majorHAnsi"/>
          <w:bCs/>
          <w:sz w:val="22"/>
          <w:szCs w:val="22"/>
        </w:rPr>
      </w:pPr>
      <w:r>
        <w:rPr>
          <w:rFonts w:asciiTheme="majorHAnsi" w:hAnsiTheme="majorHAnsi" w:cstheme="majorHAnsi"/>
          <w:bCs/>
          <w:sz w:val="22"/>
          <w:szCs w:val="22"/>
        </w:rPr>
        <w:t>Coordenação de Suprimentos/HAN</w:t>
      </w:r>
    </w:p>
    <w:p w14:paraId="6F46AAB6">
      <w:pPr>
        <w:spacing w:before="120" w:after="120"/>
        <w:ind w:right="-1"/>
        <w:contextualSpacing/>
        <w:jc w:val="both"/>
        <w:rPr>
          <w:rFonts w:asciiTheme="majorHAnsi" w:hAnsiTheme="majorHAnsi" w:cstheme="majorHAnsi"/>
          <w:bCs/>
          <w:sz w:val="22"/>
          <w:szCs w:val="22"/>
        </w:rPr>
      </w:pPr>
    </w:p>
    <w:p w14:paraId="050FFAB0">
      <w:pPr>
        <w:spacing w:before="120" w:after="120"/>
        <w:ind w:right="-1"/>
        <w:contextualSpacing/>
        <w:jc w:val="both"/>
        <w:rPr>
          <w:rFonts w:asciiTheme="majorHAnsi" w:hAnsiTheme="majorHAnsi" w:cstheme="majorHAnsi"/>
          <w:bCs/>
          <w:sz w:val="22"/>
          <w:szCs w:val="22"/>
        </w:rPr>
      </w:pPr>
    </w:p>
    <w:p w14:paraId="5110DB13">
      <w:pPr>
        <w:spacing w:before="120" w:after="120"/>
        <w:ind w:right="-1"/>
        <w:contextualSpacing/>
        <w:jc w:val="both"/>
        <w:rPr>
          <w:rFonts w:asciiTheme="majorHAnsi" w:hAnsiTheme="majorHAnsi" w:cstheme="majorHAnsi"/>
          <w:b/>
          <w:sz w:val="22"/>
          <w:szCs w:val="22"/>
          <w:lang w:val="es-ES"/>
        </w:rPr>
      </w:pPr>
      <w:r>
        <w:rPr>
          <w:rFonts w:asciiTheme="majorHAnsi" w:hAnsiTheme="majorHAnsi" w:cstheme="majorHAnsi"/>
          <w:b/>
          <w:sz w:val="22"/>
          <w:szCs w:val="22"/>
          <w:lang w:val="es-ES"/>
        </w:rPr>
        <w:t>Jefferson Gama</w:t>
      </w:r>
    </w:p>
    <w:p w14:paraId="0EB13708">
      <w:pPr>
        <w:spacing w:before="120" w:after="120"/>
        <w:ind w:right="-1"/>
        <w:contextualSpacing/>
        <w:jc w:val="both"/>
        <w:rPr>
          <w:rFonts w:asciiTheme="majorHAnsi" w:hAnsiTheme="majorHAnsi" w:cstheme="majorHAnsi"/>
          <w:bCs/>
          <w:sz w:val="22"/>
          <w:szCs w:val="22"/>
          <w:lang w:val="es-ES"/>
        </w:rPr>
      </w:pPr>
      <w:r>
        <w:rPr>
          <w:rFonts w:asciiTheme="majorHAnsi" w:hAnsiTheme="majorHAnsi" w:cstheme="majorHAnsi"/>
          <w:bCs/>
          <w:sz w:val="22"/>
          <w:szCs w:val="22"/>
          <w:lang w:val="es-ES"/>
        </w:rPr>
        <w:t>Gerente de Suprimentos/HAN</w:t>
      </w:r>
    </w:p>
    <w:p w14:paraId="3F98DA30">
      <w:pPr>
        <w:spacing w:before="120" w:after="120"/>
        <w:ind w:right="-1"/>
        <w:contextualSpacing/>
        <w:jc w:val="both"/>
        <w:rPr>
          <w:rFonts w:asciiTheme="majorHAnsi" w:hAnsiTheme="majorHAnsi" w:cstheme="majorHAnsi"/>
          <w:bCs/>
          <w:sz w:val="22"/>
          <w:szCs w:val="22"/>
          <w:lang w:val="es-ES"/>
        </w:rPr>
      </w:pPr>
    </w:p>
    <w:p w14:paraId="65F74AB0">
      <w:pPr>
        <w:spacing w:before="120" w:after="120"/>
        <w:ind w:right="-1"/>
        <w:contextualSpacing/>
        <w:jc w:val="both"/>
        <w:rPr>
          <w:rFonts w:asciiTheme="majorHAnsi" w:hAnsiTheme="majorHAnsi" w:cstheme="majorHAnsi"/>
          <w:b/>
          <w:sz w:val="22"/>
          <w:szCs w:val="22"/>
          <w:lang w:val="es-ES"/>
        </w:rPr>
      </w:pPr>
    </w:p>
    <w:p w14:paraId="5AF92750">
      <w:pPr>
        <w:spacing w:before="120" w:after="120"/>
        <w:ind w:left="5664" w:right="-1"/>
        <w:contextualSpacing/>
        <w:jc w:val="both"/>
        <w:rPr>
          <w:rFonts w:asciiTheme="majorHAnsi" w:hAnsiTheme="majorHAnsi" w:cstheme="majorHAnsi"/>
          <w:bCs/>
          <w:sz w:val="22"/>
          <w:szCs w:val="22"/>
        </w:rPr>
      </w:pPr>
      <w:r>
        <w:rPr>
          <w:rFonts w:asciiTheme="majorHAnsi" w:hAnsiTheme="majorHAnsi" w:cstheme="majorHAnsi"/>
          <w:bCs/>
          <w:sz w:val="22"/>
          <w:szCs w:val="22"/>
        </w:rPr>
        <w:t>Aprovo o presente Termo de Referência e autorizo a realização da licitação.</w:t>
      </w:r>
    </w:p>
    <w:p w14:paraId="23661F0D">
      <w:pPr>
        <w:spacing w:before="120" w:after="120"/>
        <w:ind w:left="5664" w:right="-1"/>
        <w:contextualSpacing/>
        <w:jc w:val="both"/>
        <w:rPr>
          <w:rFonts w:asciiTheme="majorHAnsi" w:hAnsiTheme="majorHAnsi" w:cstheme="majorHAnsi"/>
          <w:b/>
          <w:sz w:val="22"/>
          <w:szCs w:val="22"/>
        </w:rPr>
      </w:pPr>
    </w:p>
    <w:p w14:paraId="1FC1FA49">
      <w:pPr>
        <w:autoSpaceDE w:val="0"/>
        <w:autoSpaceDN w:val="0"/>
        <w:adjustRightInd w:val="0"/>
        <w:spacing w:before="120" w:after="120"/>
        <w:ind w:left="5664" w:right="-1"/>
        <w:contextualSpacing/>
        <w:jc w:val="right"/>
        <w:rPr>
          <w:rFonts w:eastAsia="Calibri" w:asciiTheme="majorHAnsi" w:hAnsiTheme="majorHAnsi" w:cstheme="majorHAnsi"/>
          <w:b/>
          <w:bCs/>
          <w:iCs/>
          <w:sz w:val="22"/>
          <w:szCs w:val="22"/>
        </w:rPr>
      </w:pPr>
    </w:p>
    <w:p w14:paraId="6FAB7DB6">
      <w:pPr>
        <w:autoSpaceDE w:val="0"/>
        <w:autoSpaceDN w:val="0"/>
        <w:adjustRightInd w:val="0"/>
        <w:spacing w:before="120" w:after="120"/>
        <w:ind w:left="5664" w:right="-1"/>
        <w:contextualSpacing/>
        <w:jc w:val="right"/>
        <w:rPr>
          <w:rFonts w:eastAsia="Calibri" w:asciiTheme="majorHAnsi" w:hAnsiTheme="majorHAnsi" w:cstheme="majorHAnsi"/>
          <w:b/>
          <w:bCs/>
          <w:iCs/>
          <w:sz w:val="22"/>
          <w:szCs w:val="22"/>
        </w:rPr>
      </w:pPr>
    </w:p>
    <w:p w14:paraId="21029BFD">
      <w:pPr>
        <w:autoSpaceDE w:val="0"/>
        <w:autoSpaceDN w:val="0"/>
        <w:adjustRightInd w:val="0"/>
        <w:spacing w:before="120" w:after="120"/>
        <w:ind w:left="5664" w:right="-1"/>
        <w:contextualSpacing/>
        <w:jc w:val="right"/>
        <w:rPr>
          <w:rFonts w:eastAsia="Calibri" w:asciiTheme="majorHAnsi" w:hAnsiTheme="majorHAnsi" w:cstheme="majorHAnsi"/>
          <w:sz w:val="22"/>
          <w:szCs w:val="22"/>
        </w:rPr>
      </w:pPr>
    </w:p>
    <w:p w14:paraId="7C270FE6">
      <w:pPr>
        <w:autoSpaceDE w:val="0"/>
        <w:autoSpaceDN w:val="0"/>
        <w:adjustRightInd w:val="0"/>
        <w:spacing w:before="120" w:after="120"/>
        <w:ind w:left="5664" w:right="-1"/>
        <w:contextualSpacing/>
        <w:rPr>
          <w:rFonts w:eastAsia="Calibri" w:asciiTheme="majorHAnsi" w:hAnsiTheme="majorHAnsi" w:cstheme="majorHAnsi"/>
          <w:b/>
          <w:bCs/>
          <w:sz w:val="22"/>
          <w:szCs w:val="22"/>
        </w:rPr>
      </w:pPr>
      <w:r>
        <w:rPr>
          <w:rFonts w:eastAsia="Calibri" w:asciiTheme="majorHAnsi" w:hAnsiTheme="majorHAnsi" w:cstheme="majorHAnsi"/>
          <w:b/>
          <w:bCs/>
          <w:sz w:val="22"/>
          <w:szCs w:val="22"/>
        </w:rPr>
        <w:t>Dr. Luiz Carlos Santana Passos</w:t>
      </w:r>
    </w:p>
    <w:p w14:paraId="0199E657">
      <w:pPr>
        <w:autoSpaceDE w:val="0"/>
        <w:autoSpaceDN w:val="0"/>
        <w:adjustRightInd w:val="0"/>
        <w:spacing w:before="120" w:after="120"/>
        <w:ind w:left="5664" w:right="-1"/>
        <w:contextualSpacing/>
        <w:rPr>
          <w:rFonts w:eastAsia="Calibri" w:asciiTheme="majorHAnsi" w:hAnsiTheme="majorHAnsi" w:cstheme="majorHAnsi"/>
          <w:sz w:val="22"/>
          <w:szCs w:val="22"/>
        </w:rPr>
      </w:pPr>
      <w:r>
        <w:rPr>
          <w:rFonts w:eastAsia="Calibri" w:asciiTheme="majorHAnsi" w:hAnsiTheme="majorHAnsi" w:cstheme="majorHAnsi"/>
          <w:sz w:val="22"/>
          <w:szCs w:val="22"/>
        </w:rPr>
        <w:t>Diretor Geral – HAN</w:t>
      </w:r>
    </w:p>
    <w:p w14:paraId="08264DC8">
      <w:pPr>
        <w:spacing w:before="120" w:after="120"/>
        <w:ind w:right="-1"/>
        <w:contextualSpacing/>
        <w:jc w:val="right"/>
        <w:rPr>
          <w:rFonts w:eastAsia="Calibri" w:asciiTheme="majorHAnsi" w:hAnsiTheme="majorHAnsi" w:cstheme="majorHAnsi"/>
          <w:b/>
          <w:bCs/>
          <w:sz w:val="22"/>
          <w:szCs w:val="22"/>
        </w:rPr>
      </w:pPr>
    </w:p>
    <w:p w14:paraId="4082B1A5">
      <w:pPr>
        <w:spacing w:before="120" w:after="120"/>
        <w:ind w:right="-1"/>
        <w:contextualSpacing/>
        <w:jc w:val="right"/>
        <w:rPr>
          <w:rFonts w:eastAsia="Calibri" w:asciiTheme="majorHAnsi" w:hAnsiTheme="majorHAnsi" w:cstheme="majorHAnsi"/>
          <w:b/>
          <w:bCs/>
          <w:sz w:val="22"/>
          <w:szCs w:val="22"/>
        </w:rPr>
      </w:pPr>
    </w:p>
    <w:p w14:paraId="70E5F0ED">
      <w:pPr>
        <w:spacing w:before="120" w:after="120"/>
        <w:ind w:right="-1"/>
        <w:contextualSpacing/>
        <w:jc w:val="right"/>
        <w:rPr>
          <w:rFonts w:eastAsia="Calibri" w:asciiTheme="majorHAnsi" w:hAnsiTheme="majorHAnsi" w:cstheme="majorHAnsi"/>
          <w:b/>
          <w:bCs/>
          <w:sz w:val="22"/>
          <w:szCs w:val="22"/>
        </w:rPr>
      </w:pPr>
    </w:p>
    <w:p w14:paraId="40589E7F">
      <w:pPr>
        <w:spacing w:before="120" w:after="120"/>
        <w:ind w:right="-1"/>
        <w:contextualSpacing/>
        <w:jc w:val="right"/>
        <w:rPr>
          <w:rFonts w:eastAsia="Calibri" w:asciiTheme="majorHAnsi" w:hAnsiTheme="majorHAnsi" w:cstheme="majorHAnsi"/>
          <w:b/>
          <w:bCs/>
          <w:sz w:val="22"/>
          <w:szCs w:val="22"/>
        </w:rPr>
      </w:pPr>
    </w:p>
    <w:p w14:paraId="22C54548">
      <w:pPr>
        <w:spacing w:before="120" w:after="120"/>
        <w:ind w:right="-1"/>
        <w:contextualSpacing/>
        <w:jc w:val="right"/>
        <w:rPr>
          <w:rFonts w:eastAsia="Calibri" w:asciiTheme="majorHAnsi" w:hAnsiTheme="majorHAnsi" w:cstheme="majorHAnsi"/>
          <w:b/>
          <w:bCs/>
          <w:sz w:val="22"/>
          <w:szCs w:val="22"/>
        </w:rPr>
      </w:pPr>
    </w:p>
    <w:p w14:paraId="04FF9827">
      <w:pPr>
        <w:spacing w:before="120" w:after="120"/>
        <w:ind w:right="-1"/>
        <w:contextualSpacing/>
        <w:jc w:val="right"/>
        <w:rPr>
          <w:rFonts w:eastAsia="Calibri" w:asciiTheme="majorHAnsi" w:hAnsiTheme="majorHAnsi" w:cstheme="majorHAnsi"/>
          <w:b/>
          <w:bCs/>
          <w:sz w:val="22"/>
          <w:szCs w:val="22"/>
        </w:rPr>
      </w:pPr>
    </w:p>
    <w:p w14:paraId="5C7CBE19">
      <w:pPr>
        <w:spacing w:before="120" w:after="120"/>
        <w:ind w:right="-1"/>
        <w:contextualSpacing/>
        <w:jc w:val="right"/>
        <w:rPr>
          <w:rFonts w:eastAsia="Calibri" w:asciiTheme="majorHAnsi" w:hAnsiTheme="majorHAnsi" w:cstheme="majorHAnsi"/>
          <w:b/>
          <w:bCs/>
          <w:sz w:val="22"/>
          <w:szCs w:val="22"/>
        </w:rPr>
      </w:pPr>
    </w:p>
    <w:p w14:paraId="3895AC2F">
      <w:pPr>
        <w:spacing w:before="120" w:after="120"/>
        <w:ind w:right="-1"/>
        <w:contextualSpacing/>
        <w:jc w:val="right"/>
        <w:rPr>
          <w:rFonts w:eastAsia="Calibri" w:asciiTheme="majorHAnsi" w:hAnsiTheme="majorHAnsi" w:cstheme="majorHAnsi"/>
          <w:b/>
          <w:bCs/>
          <w:sz w:val="22"/>
          <w:szCs w:val="22"/>
        </w:rPr>
      </w:pPr>
    </w:p>
    <w:p w14:paraId="60FB5E84">
      <w:pPr>
        <w:spacing w:before="120" w:after="120"/>
        <w:ind w:right="-1"/>
        <w:contextualSpacing/>
        <w:jc w:val="right"/>
        <w:rPr>
          <w:rFonts w:eastAsia="Calibri" w:asciiTheme="majorHAnsi" w:hAnsiTheme="majorHAnsi" w:cstheme="majorHAnsi"/>
          <w:b/>
          <w:bCs/>
          <w:sz w:val="22"/>
          <w:szCs w:val="22"/>
        </w:rPr>
      </w:pPr>
    </w:p>
    <w:p w14:paraId="2665C6D2">
      <w:pPr>
        <w:spacing w:before="120" w:after="120"/>
        <w:ind w:right="-1"/>
        <w:contextualSpacing/>
        <w:jc w:val="right"/>
        <w:rPr>
          <w:rFonts w:eastAsia="Calibri" w:asciiTheme="majorHAnsi" w:hAnsiTheme="majorHAnsi" w:cstheme="majorHAnsi"/>
          <w:b/>
          <w:bCs/>
          <w:sz w:val="22"/>
          <w:szCs w:val="22"/>
        </w:rPr>
      </w:pPr>
    </w:p>
    <w:p w14:paraId="29892A1A">
      <w:pPr>
        <w:spacing w:before="120" w:after="120"/>
        <w:ind w:right="-1"/>
        <w:contextualSpacing/>
        <w:jc w:val="right"/>
        <w:rPr>
          <w:rFonts w:eastAsia="Calibri" w:asciiTheme="majorHAnsi" w:hAnsiTheme="majorHAnsi" w:cstheme="majorHAnsi"/>
          <w:b/>
          <w:bCs/>
          <w:sz w:val="22"/>
          <w:szCs w:val="22"/>
        </w:rPr>
      </w:pPr>
    </w:p>
    <w:p w14:paraId="0E20E9AF">
      <w:pPr>
        <w:spacing w:before="120" w:after="120"/>
        <w:ind w:right="-1"/>
        <w:contextualSpacing/>
        <w:jc w:val="right"/>
        <w:rPr>
          <w:rFonts w:eastAsia="Calibri" w:asciiTheme="majorHAnsi" w:hAnsiTheme="majorHAnsi" w:cstheme="majorHAnsi"/>
          <w:b/>
          <w:bCs/>
          <w:sz w:val="22"/>
          <w:szCs w:val="22"/>
        </w:rPr>
      </w:pPr>
    </w:p>
    <w:p w14:paraId="1FB1A7EE">
      <w:pPr>
        <w:spacing w:before="120" w:after="120"/>
        <w:ind w:right="-1"/>
        <w:contextualSpacing/>
        <w:jc w:val="right"/>
        <w:rPr>
          <w:rFonts w:eastAsia="Calibri" w:asciiTheme="majorHAnsi" w:hAnsiTheme="majorHAnsi" w:cstheme="majorHAnsi"/>
          <w:b/>
          <w:bCs/>
          <w:sz w:val="22"/>
          <w:szCs w:val="22"/>
        </w:rPr>
      </w:pPr>
    </w:p>
    <w:p w14:paraId="7D8428A1">
      <w:pPr>
        <w:spacing w:before="120" w:after="120"/>
        <w:ind w:right="-1"/>
        <w:contextualSpacing/>
        <w:jc w:val="right"/>
        <w:rPr>
          <w:rFonts w:eastAsia="Calibri" w:asciiTheme="majorHAnsi" w:hAnsiTheme="majorHAnsi" w:cstheme="majorHAnsi"/>
          <w:b/>
          <w:bCs/>
          <w:sz w:val="22"/>
          <w:szCs w:val="22"/>
        </w:rPr>
      </w:pPr>
    </w:p>
    <w:p w14:paraId="52179A27">
      <w:pPr>
        <w:spacing w:before="120" w:after="120"/>
        <w:ind w:right="-1"/>
        <w:contextualSpacing/>
        <w:jc w:val="right"/>
        <w:rPr>
          <w:rFonts w:eastAsia="Calibri" w:asciiTheme="majorHAnsi" w:hAnsiTheme="majorHAnsi" w:cstheme="majorHAnsi"/>
          <w:b/>
          <w:bCs/>
          <w:sz w:val="22"/>
          <w:szCs w:val="22"/>
        </w:rPr>
      </w:pPr>
    </w:p>
    <w:p w14:paraId="6E81B922">
      <w:pPr>
        <w:spacing w:before="120" w:after="120"/>
        <w:ind w:right="-1"/>
        <w:contextualSpacing/>
        <w:jc w:val="right"/>
        <w:rPr>
          <w:rFonts w:eastAsia="Calibri" w:asciiTheme="majorHAnsi" w:hAnsiTheme="majorHAnsi" w:cstheme="majorHAnsi"/>
          <w:b/>
          <w:bCs/>
          <w:sz w:val="22"/>
          <w:szCs w:val="22"/>
        </w:rPr>
      </w:pPr>
    </w:p>
    <w:p w14:paraId="01A84DEF">
      <w:pPr>
        <w:spacing w:before="120" w:after="120"/>
        <w:ind w:right="-1"/>
        <w:contextualSpacing/>
        <w:jc w:val="right"/>
        <w:rPr>
          <w:rFonts w:eastAsia="Calibri" w:asciiTheme="majorHAnsi" w:hAnsiTheme="majorHAnsi" w:cstheme="majorHAnsi"/>
          <w:b/>
          <w:bCs/>
          <w:sz w:val="22"/>
          <w:szCs w:val="22"/>
        </w:rPr>
      </w:pPr>
    </w:p>
    <w:p w14:paraId="30C2719D">
      <w:pPr>
        <w:spacing w:before="120" w:after="120"/>
        <w:ind w:right="-1"/>
        <w:contextualSpacing/>
        <w:jc w:val="right"/>
        <w:rPr>
          <w:rFonts w:eastAsia="Calibri" w:asciiTheme="majorHAnsi" w:hAnsiTheme="majorHAnsi" w:cstheme="majorHAnsi"/>
          <w:b/>
          <w:bCs/>
          <w:sz w:val="22"/>
          <w:szCs w:val="22"/>
        </w:rPr>
      </w:pPr>
    </w:p>
    <w:p w14:paraId="2E8D58D2">
      <w:pPr>
        <w:spacing w:before="120" w:after="120"/>
        <w:ind w:right="-1"/>
        <w:contextualSpacing/>
        <w:jc w:val="right"/>
        <w:rPr>
          <w:rFonts w:eastAsia="Calibri" w:asciiTheme="majorHAnsi" w:hAnsiTheme="majorHAnsi" w:cstheme="majorHAnsi"/>
          <w:b/>
          <w:bCs/>
          <w:sz w:val="22"/>
          <w:szCs w:val="22"/>
        </w:rPr>
      </w:pPr>
    </w:p>
    <w:p w14:paraId="7F954BE3">
      <w:pPr>
        <w:spacing w:before="120" w:after="120"/>
        <w:ind w:right="-1"/>
        <w:contextualSpacing/>
        <w:jc w:val="right"/>
        <w:rPr>
          <w:rFonts w:eastAsia="Calibri" w:asciiTheme="majorHAnsi" w:hAnsiTheme="majorHAnsi" w:cstheme="majorHAnsi"/>
          <w:b/>
          <w:bCs/>
          <w:sz w:val="22"/>
          <w:szCs w:val="22"/>
        </w:rPr>
      </w:pPr>
    </w:p>
    <w:p w14:paraId="1D8D32A0">
      <w:pPr>
        <w:spacing w:before="120" w:after="120"/>
        <w:ind w:right="-1"/>
        <w:contextualSpacing/>
        <w:jc w:val="right"/>
        <w:rPr>
          <w:rFonts w:eastAsia="Calibri" w:asciiTheme="majorHAnsi" w:hAnsiTheme="majorHAnsi" w:cstheme="majorHAnsi"/>
          <w:b/>
          <w:bCs/>
          <w:sz w:val="22"/>
          <w:szCs w:val="22"/>
        </w:rPr>
      </w:pPr>
    </w:p>
    <w:p w14:paraId="4CDBD640">
      <w:pPr>
        <w:spacing w:before="120" w:after="120"/>
        <w:ind w:right="-1"/>
        <w:contextualSpacing/>
        <w:jc w:val="right"/>
        <w:rPr>
          <w:rFonts w:eastAsia="Calibri" w:asciiTheme="majorHAnsi" w:hAnsiTheme="majorHAnsi" w:cstheme="majorHAnsi"/>
          <w:b/>
          <w:bCs/>
          <w:sz w:val="22"/>
          <w:szCs w:val="22"/>
        </w:rPr>
      </w:pPr>
    </w:p>
    <w:p w14:paraId="28B742F2">
      <w:pPr>
        <w:spacing w:before="120" w:after="120"/>
        <w:ind w:right="-1"/>
        <w:contextualSpacing/>
        <w:jc w:val="right"/>
        <w:rPr>
          <w:rFonts w:eastAsia="Calibri" w:asciiTheme="majorHAnsi" w:hAnsiTheme="majorHAnsi" w:cstheme="majorHAnsi"/>
          <w:b/>
          <w:bCs/>
          <w:sz w:val="22"/>
          <w:szCs w:val="22"/>
        </w:rPr>
      </w:pPr>
    </w:p>
    <w:p w14:paraId="199014C2">
      <w:pPr>
        <w:spacing w:before="120" w:after="120"/>
        <w:ind w:right="-1"/>
        <w:contextualSpacing/>
        <w:jc w:val="right"/>
        <w:rPr>
          <w:rFonts w:eastAsia="Calibri" w:asciiTheme="majorHAnsi" w:hAnsiTheme="majorHAnsi" w:cstheme="majorHAnsi"/>
          <w:b/>
          <w:bCs/>
          <w:sz w:val="22"/>
          <w:szCs w:val="22"/>
        </w:rPr>
      </w:pPr>
    </w:p>
    <w:p w14:paraId="47791DF5">
      <w:pPr>
        <w:spacing w:before="120" w:after="120"/>
        <w:ind w:right="-1"/>
        <w:contextualSpacing/>
        <w:jc w:val="right"/>
        <w:rPr>
          <w:rFonts w:eastAsia="Calibri" w:asciiTheme="majorHAnsi" w:hAnsiTheme="majorHAnsi" w:cstheme="majorHAnsi"/>
          <w:b/>
          <w:bCs/>
          <w:sz w:val="22"/>
          <w:szCs w:val="22"/>
        </w:rPr>
      </w:pPr>
    </w:p>
    <w:p w14:paraId="0C7F24C9">
      <w:pPr>
        <w:spacing w:before="120" w:after="120"/>
        <w:ind w:right="-1"/>
        <w:contextualSpacing/>
        <w:jc w:val="right"/>
        <w:rPr>
          <w:rFonts w:eastAsia="Calibri" w:asciiTheme="majorHAnsi" w:hAnsiTheme="majorHAnsi" w:cstheme="majorHAnsi"/>
          <w:b/>
          <w:bCs/>
          <w:sz w:val="22"/>
          <w:szCs w:val="22"/>
        </w:rPr>
      </w:pPr>
    </w:p>
    <w:p w14:paraId="04B2F243">
      <w:pPr>
        <w:spacing w:before="120" w:after="120"/>
        <w:ind w:right="-1"/>
        <w:contextualSpacing/>
        <w:jc w:val="right"/>
        <w:rPr>
          <w:rFonts w:eastAsia="Calibri" w:asciiTheme="majorHAnsi" w:hAnsiTheme="majorHAnsi" w:cstheme="majorHAnsi"/>
          <w:b/>
          <w:bCs/>
          <w:sz w:val="22"/>
          <w:szCs w:val="22"/>
        </w:rPr>
      </w:pPr>
    </w:p>
    <w:p w14:paraId="6004B381">
      <w:pPr>
        <w:spacing w:before="120" w:after="120"/>
        <w:ind w:right="-1"/>
        <w:contextualSpacing/>
        <w:jc w:val="right"/>
        <w:rPr>
          <w:rFonts w:eastAsia="Calibri" w:asciiTheme="majorHAnsi" w:hAnsiTheme="majorHAnsi" w:cstheme="majorHAnsi"/>
          <w:b/>
          <w:bCs/>
          <w:sz w:val="22"/>
          <w:szCs w:val="22"/>
        </w:rPr>
      </w:pPr>
    </w:p>
    <w:p w14:paraId="2F673A6D">
      <w:pPr>
        <w:spacing w:before="120" w:after="120"/>
        <w:ind w:right="-1"/>
        <w:contextualSpacing/>
        <w:jc w:val="right"/>
        <w:rPr>
          <w:rFonts w:eastAsia="Calibri" w:asciiTheme="majorHAnsi" w:hAnsiTheme="majorHAnsi" w:cstheme="majorHAnsi"/>
          <w:b/>
          <w:bCs/>
          <w:sz w:val="22"/>
          <w:szCs w:val="22"/>
        </w:rPr>
      </w:pPr>
    </w:p>
    <w:p w14:paraId="263923EB">
      <w:pPr>
        <w:spacing w:before="120" w:after="120"/>
        <w:ind w:right="-1"/>
        <w:contextualSpacing/>
        <w:jc w:val="right"/>
        <w:rPr>
          <w:rFonts w:eastAsia="Calibri" w:asciiTheme="majorHAnsi" w:hAnsiTheme="majorHAnsi" w:cstheme="majorHAnsi"/>
          <w:b/>
          <w:bCs/>
          <w:sz w:val="22"/>
          <w:szCs w:val="22"/>
        </w:rPr>
      </w:pPr>
    </w:p>
    <w:p w14:paraId="7923AA50">
      <w:pPr>
        <w:spacing w:before="120" w:after="120"/>
        <w:ind w:right="-1"/>
        <w:contextualSpacing/>
        <w:jc w:val="right"/>
        <w:rPr>
          <w:rFonts w:eastAsia="Calibri" w:asciiTheme="majorHAnsi" w:hAnsiTheme="majorHAnsi" w:cstheme="majorHAnsi"/>
          <w:b/>
          <w:bCs/>
          <w:sz w:val="22"/>
          <w:szCs w:val="22"/>
        </w:rPr>
      </w:pPr>
    </w:p>
    <w:p w14:paraId="6849A4E3">
      <w:pPr>
        <w:spacing w:before="120" w:after="120"/>
        <w:ind w:right="-1"/>
        <w:contextualSpacing/>
        <w:jc w:val="right"/>
        <w:rPr>
          <w:rFonts w:eastAsia="Calibri" w:asciiTheme="majorHAnsi" w:hAnsiTheme="majorHAnsi" w:cstheme="majorHAnsi"/>
          <w:b/>
          <w:bCs/>
          <w:sz w:val="22"/>
          <w:szCs w:val="22"/>
        </w:rPr>
      </w:pPr>
    </w:p>
    <w:p w14:paraId="6C4792F8">
      <w:pPr>
        <w:spacing w:before="120" w:after="120"/>
        <w:ind w:right="-1"/>
        <w:contextualSpacing/>
        <w:jc w:val="right"/>
        <w:rPr>
          <w:rFonts w:eastAsia="Calibri" w:asciiTheme="majorHAnsi" w:hAnsiTheme="majorHAnsi" w:cstheme="majorHAnsi"/>
          <w:b/>
          <w:bCs/>
          <w:sz w:val="22"/>
          <w:szCs w:val="22"/>
        </w:rPr>
      </w:pPr>
    </w:p>
    <w:p w14:paraId="10DE33A0">
      <w:pPr>
        <w:spacing w:before="120" w:after="120"/>
        <w:ind w:right="-1"/>
        <w:contextualSpacing/>
        <w:jc w:val="right"/>
        <w:rPr>
          <w:rFonts w:eastAsia="Calibri" w:asciiTheme="majorHAnsi" w:hAnsiTheme="majorHAnsi" w:cstheme="majorHAnsi"/>
          <w:b/>
          <w:bCs/>
          <w:sz w:val="22"/>
          <w:szCs w:val="22"/>
        </w:rPr>
      </w:pPr>
    </w:p>
    <w:p w14:paraId="376F3A99">
      <w:pPr>
        <w:spacing w:before="120" w:after="120" w:line="360" w:lineRule="auto"/>
        <w:ind w:right="140"/>
        <w:jc w:val="center"/>
        <w:rPr>
          <w:rFonts w:asciiTheme="majorHAnsi" w:hAnsiTheme="majorHAnsi" w:cstheme="majorHAnsi"/>
          <w:b/>
          <w:color w:val="000000" w:themeColor="text1"/>
          <w:sz w:val="22"/>
          <w:szCs w:val="22"/>
          <w14:textFill>
            <w14:solidFill>
              <w14:schemeClr w14:val="tx1"/>
            </w14:solidFill>
          </w14:textFill>
        </w:rPr>
      </w:pPr>
      <w:r>
        <w:rPr>
          <w:rFonts w:asciiTheme="majorHAnsi" w:hAnsiTheme="majorHAnsi" w:cstheme="majorHAnsi"/>
          <w:b/>
          <w:color w:val="000000" w:themeColor="text1"/>
          <w:sz w:val="22"/>
          <w:szCs w:val="22"/>
          <w14:textFill>
            <w14:solidFill>
              <w14:schemeClr w14:val="tx1"/>
            </w14:solidFill>
          </w14:textFill>
        </w:rPr>
        <w:t>ANEXO II</w:t>
      </w:r>
    </w:p>
    <w:p w14:paraId="4127BF45">
      <w:pPr>
        <w:spacing w:before="120" w:after="120" w:line="360" w:lineRule="auto"/>
        <w:jc w:val="center"/>
        <w:rPr>
          <w:rFonts w:asciiTheme="majorHAnsi" w:hAnsiTheme="majorHAnsi" w:cstheme="majorHAnsi"/>
          <w:b/>
          <w:color w:val="000000" w:themeColor="text1"/>
          <w:sz w:val="22"/>
          <w:szCs w:val="22"/>
          <w14:textFill>
            <w14:solidFill>
              <w14:schemeClr w14:val="tx1"/>
            </w14:solidFill>
          </w14:textFill>
        </w:rPr>
      </w:pPr>
      <w:r>
        <w:rPr>
          <w:rFonts w:asciiTheme="majorHAnsi" w:hAnsiTheme="majorHAnsi" w:cstheme="majorHAnsi"/>
          <w:b/>
          <w:color w:val="000000" w:themeColor="text1"/>
          <w:sz w:val="22"/>
          <w:szCs w:val="22"/>
          <w14:textFill>
            <w14:solidFill>
              <w14:schemeClr w14:val="tx1"/>
            </w14:solidFill>
          </w14:textFill>
        </w:rPr>
        <w:t>Regras aplicáveis ao instrumento substitutivo ao contrato</w:t>
      </w:r>
    </w:p>
    <w:p w14:paraId="2CE1A30B">
      <w:pPr>
        <w:spacing w:before="120" w:after="120" w:line="360" w:lineRule="auto"/>
        <w:jc w:val="both"/>
        <w:rPr>
          <w:rFonts w:asciiTheme="majorHAnsi" w:hAnsiTheme="majorHAnsi" w:cstheme="majorHAnsi"/>
          <w:b/>
          <w:i/>
          <w:iCs/>
          <w:color w:val="FF0000"/>
          <w:sz w:val="22"/>
          <w:szCs w:val="22"/>
        </w:rPr>
      </w:pPr>
      <w:r>
        <w:rPr>
          <w:rFonts w:asciiTheme="majorHAnsi" w:hAnsiTheme="majorHAnsi" w:cstheme="majorHAnsi"/>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6738A2D4">
      <w:pPr>
        <w:spacing w:before="120" w:after="120" w:line="360" w:lineRule="auto"/>
        <w:ind w:left="357"/>
        <w:jc w:val="center"/>
        <w:rPr>
          <w:rFonts w:asciiTheme="majorHAnsi" w:hAnsiTheme="majorHAnsi" w:cstheme="majorHAnsi"/>
          <w:b/>
          <w:i/>
          <w:iCs/>
          <w:color w:val="FF0000"/>
          <w:sz w:val="22"/>
          <w:szCs w:val="22"/>
        </w:rPr>
      </w:pPr>
      <w:bookmarkStart w:id="128" w:name="_Hlk175669327"/>
    </w:p>
    <w:p w14:paraId="02CB83F3">
      <w:pPr>
        <w:pStyle w:val="53"/>
        <w:keepNext w:val="0"/>
        <w:keepLines w:val="0"/>
        <w:numPr>
          <w:ilvl w:val="0"/>
          <w:numId w:val="19"/>
        </w:numPr>
        <w:tabs>
          <w:tab w:val="clear" w:pos="567"/>
        </w:tabs>
        <w:spacing w:before="120" w:beforeLines="0" w:after="120" w:afterLines="0" w:line="360" w:lineRule="auto"/>
        <w:ind w:left="0" w:firstLine="0"/>
        <w:rPr>
          <w:rFonts w:asciiTheme="majorHAnsi" w:hAnsiTheme="majorHAnsi" w:cstheme="majorHAnsi"/>
          <w:sz w:val="22"/>
          <w:szCs w:val="22"/>
        </w:rPr>
      </w:pPr>
      <w:r>
        <w:rPr>
          <w:rFonts w:asciiTheme="majorHAnsi" w:hAnsiTheme="majorHAnsi" w:cstheme="majorHAnsi"/>
          <w:sz w:val="22"/>
          <w:szCs w:val="22"/>
        </w:rPr>
        <w:t>FORMALIZAÇÃO DA CONTRATAÇÃO</w:t>
      </w:r>
    </w:p>
    <w:p w14:paraId="5491A817">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O adjudicatário terá o prazo de </w:t>
      </w:r>
      <w:r>
        <w:rPr>
          <w:rFonts w:asciiTheme="majorHAnsi" w:hAnsiTheme="majorHAnsi" w:cstheme="majorHAnsi"/>
          <w:b/>
          <w:color w:val="00B0F0"/>
          <w:sz w:val="22"/>
          <w:szCs w:val="22"/>
        </w:rPr>
        <w:t>5 (cinco) dias</w:t>
      </w:r>
      <w:r>
        <w:rPr>
          <w:rFonts w:asciiTheme="majorHAnsi" w:hAnsiTheme="majorHAnsi" w:cstheme="majorHAnsi"/>
          <w:i/>
          <w:sz w:val="22"/>
          <w:szCs w:val="22"/>
        </w:rPr>
        <w:t>,</w:t>
      </w:r>
      <w:r>
        <w:rPr>
          <w:rFonts w:asciiTheme="majorHAnsi" w:hAnsiTheme="majorHAnsi" w:cstheme="majorHAnsi"/>
          <w:i/>
          <w:color w:val="FF0000"/>
          <w:sz w:val="22"/>
          <w:szCs w:val="22"/>
        </w:rPr>
        <w:t xml:space="preserve"> </w:t>
      </w:r>
      <w:r>
        <w:rPr>
          <w:rFonts w:asciiTheme="majorHAnsi" w:hAnsiTheme="majorHAnsi" w:cstheme="majorHAnsi"/>
          <w:sz w:val="22"/>
          <w:szCs w:val="22"/>
        </w:rPr>
        <w:t>contado a partir da data de sua convocação, para aceitar o instrumento equivalente ao contrato</w:t>
      </w:r>
      <w:r>
        <w:rPr>
          <w:rFonts w:asciiTheme="majorHAnsi" w:hAnsiTheme="majorHAnsi" w:cstheme="majorHAnsi"/>
          <w:b/>
          <w:color w:val="00B0F0"/>
          <w:sz w:val="22"/>
          <w:szCs w:val="22"/>
        </w:rPr>
        <w:t xml:space="preserve"> </w:t>
      </w:r>
      <w:r>
        <w:rPr>
          <w:rFonts w:asciiTheme="majorHAnsi" w:hAnsiTheme="majorHAnsi" w:cstheme="majorHAnsi"/>
          <w:i/>
          <w:color w:val="FF0000"/>
          <w:sz w:val="22"/>
          <w:szCs w:val="22"/>
        </w:rPr>
        <w:t>[constante deste Anexo]</w:t>
      </w:r>
      <w:r>
        <w:rPr>
          <w:rFonts w:asciiTheme="majorHAnsi" w:hAnsiTheme="majorHAnsi" w:cstheme="majorHAnsi"/>
          <w:sz w:val="22"/>
          <w:szCs w:val="22"/>
        </w:rPr>
        <w:t>, sob pena de decair do direito à contratação, sem prejuízo das sanções previstas.</w:t>
      </w:r>
    </w:p>
    <w:bookmarkEnd w:id="128"/>
    <w:p w14:paraId="72EA57A4">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O prazo poderá ser prorrogado, por igual período, por solicitação justificada do adjudicatário e aceita pela Administração.</w:t>
      </w:r>
    </w:p>
    <w:p w14:paraId="233124E4">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O aceite do instrumento equivalente pelo adjudicatário implica no reconhecimento de que:</w:t>
      </w:r>
    </w:p>
    <w:p w14:paraId="2F61117A">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referido instrumento substitui o termo de contrato, sendo-lhe aplicáveis as disposições da Lei nº 14.133/2021;</w:t>
      </w:r>
    </w:p>
    <w:p w14:paraId="39E83635">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o Contratado se vincula à sua proposta e às previsões contidas no Edital no Termo de Referência e em seus anexos, conforme Termo de Ciência e Concordância (Anexo II).</w:t>
      </w:r>
    </w:p>
    <w:p w14:paraId="1C7474A2">
      <w:pPr>
        <w:pStyle w:val="72"/>
        <w:numPr>
          <w:ilvl w:val="0"/>
          <w:numId w:val="0"/>
        </w:numPr>
        <w:rPr>
          <w:rFonts w:asciiTheme="majorHAnsi" w:hAnsiTheme="majorHAnsi" w:cstheme="majorHAnsi"/>
          <w:sz w:val="22"/>
          <w:szCs w:val="22"/>
        </w:rPr>
      </w:pPr>
    </w:p>
    <w:p w14:paraId="3AAB3B7A">
      <w:pPr>
        <w:pStyle w:val="53"/>
        <w:keepNext w:val="0"/>
        <w:keepLines w:val="0"/>
        <w:numPr>
          <w:ilvl w:val="0"/>
          <w:numId w:val="19"/>
        </w:numPr>
        <w:tabs>
          <w:tab w:val="clear" w:pos="567"/>
        </w:tabs>
        <w:spacing w:before="120" w:beforeLines="0" w:after="120" w:afterLines="0" w:line="360" w:lineRule="auto"/>
        <w:ind w:left="0" w:firstLine="0"/>
        <w:rPr>
          <w:rFonts w:asciiTheme="majorHAnsi" w:hAnsiTheme="majorHAnsi" w:cstheme="majorHAnsi"/>
          <w:sz w:val="22"/>
          <w:szCs w:val="22"/>
        </w:rPr>
      </w:pPr>
      <w:r>
        <w:rPr>
          <w:rFonts w:asciiTheme="majorHAnsi" w:hAnsiTheme="majorHAnsi" w:cstheme="majorHAnsi"/>
          <w:sz w:val="22"/>
          <w:szCs w:val="22"/>
        </w:rPr>
        <w:t>VIGÊNCIA E PRORROGAÇÃO</w:t>
      </w:r>
    </w:p>
    <w:p w14:paraId="56157BE1">
      <w:pPr>
        <w:pStyle w:val="137"/>
        <w:numPr>
          <w:ilvl w:val="1"/>
          <w:numId w:val="19"/>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da contratação é aquele estabelecido no Termo de Referência, na forma do artigo 105 da Lei n° 14.133, de 2021.</w:t>
      </w:r>
    </w:p>
    <w:p w14:paraId="113E484C">
      <w:pPr>
        <w:pStyle w:val="137"/>
        <w:numPr>
          <w:ilvl w:val="1"/>
          <w:numId w:val="19"/>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D68521F">
      <w:pPr>
        <w:pStyle w:val="137"/>
        <w:spacing w:line="360" w:lineRule="auto"/>
        <w:rPr>
          <w:rFonts w:asciiTheme="majorHAnsi" w:hAnsiTheme="majorHAnsi" w:cstheme="majorHAnsi"/>
          <w:sz w:val="22"/>
          <w:szCs w:val="22"/>
        </w:rPr>
      </w:pPr>
    </w:p>
    <w:p w14:paraId="46231FD1">
      <w:pPr>
        <w:pStyle w:val="53"/>
        <w:keepNext w:val="0"/>
        <w:keepLines w:val="0"/>
        <w:numPr>
          <w:ilvl w:val="0"/>
          <w:numId w:val="19"/>
        </w:numPr>
        <w:tabs>
          <w:tab w:val="clear" w:pos="567"/>
        </w:tabs>
        <w:spacing w:before="120" w:beforeLines="0" w:after="120" w:afterLines="0"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OBRIGAÇÕES DO CONTRATANTE </w:t>
      </w:r>
    </w:p>
    <w:p w14:paraId="4C886360">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São obrigações do Contratante:</w:t>
      </w:r>
    </w:p>
    <w:p w14:paraId="27593A89">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Exigir o cumprimento de todas as obrigações assumidas pelo Contratado, de acordo com o Termo de Referência e seus anexos;</w:t>
      </w:r>
    </w:p>
    <w:p w14:paraId="25275963">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Receber o objeto no prazo e condições estabelecidas no Termo de Referência;</w:t>
      </w:r>
    </w:p>
    <w:p w14:paraId="719CE69B">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B47B8A1">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Acompanhar e fiscalizar a execução contratual e o cumprimento das obrigações pelo Contratado;</w:t>
      </w:r>
    </w:p>
    <w:p w14:paraId="7982B6C0">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Efetuar o pagamento ao Contratado do valor correspondente </w:t>
      </w:r>
      <w:r>
        <w:rPr>
          <w:rFonts w:eastAsia="Arial" w:asciiTheme="majorHAnsi" w:hAnsiTheme="majorHAnsi" w:cstheme="majorHAnsi"/>
          <w:sz w:val="22"/>
          <w:szCs w:val="22"/>
        </w:rPr>
        <w:t>ao fornecimento</w:t>
      </w:r>
      <w:r>
        <w:rPr>
          <w:rFonts w:asciiTheme="majorHAnsi" w:hAnsiTheme="majorHAnsi" w:cstheme="majorHAnsi"/>
          <w:sz w:val="22"/>
          <w:szCs w:val="22"/>
        </w:rPr>
        <w:t xml:space="preserve"> do objeto, no prazo, forma e condições estabelecidos no Termo de Referência</w:t>
      </w:r>
      <w:r>
        <w:rPr>
          <w:rFonts w:eastAsia="Arial" w:asciiTheme="majorHAnsi" w:hAnsiTheme="majorHAnsi" w:cstheme="majorHAnsi"/>
          <w:sz w:val="22"/>
          <w:szCs w:val="22"/>
        </w:rPr>
        <w:t xml:space="preserve"> e neste Anexo</w:t>
      </w:r>
      <w:r>
        <w:rPr>
          <w:rFonts w:asciiTheme="majorHAnsi" w:hAnsiTheme="majorHAnsi" w:cstheme="majorHAnsi"/>
          <w:sz w:val="22"/>
          <w:szCs w:val="22"/>
        </w:rPr>
        <w:t>;</w:t>
      </w:r>
    </w:p>
    <w:p w14:paraId="26A9E1C8">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Aplicar ao Contratado as sanções previstas na lei e no Termo de Referência; </w:t>
      </w:r>
    </w:p>
    <w:p w14:paraId="5E477D36">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779B6C5C">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20990D45">
      <w:pPr>
        <w:pStyle w:val="73"/>
        <w:numPr>
          <w:ilvl w:val="3"/>
          <w:numId w:val="19"/>
        </w:numPr>
        <w:ind w:left="0" w:firstLine="0"/>
        <w:rPr>
          <w:rFonts w:asciiTheme="majorHAnsi" w:hAnsiTheme="majorHAnsi" w:cstheme="majorHAnsi"/>
          <w:bCs/>
          <w:sz w:val="22"/>
          <w:szCs w:val="22"/>
        </w:rPr>
      </w:pPr>
      <w:r>
        <w:rPr>
          <w:rFonts w:asciiTheme="majorHAnsi" w:hAnsiTheme="majorHAnsi" w:cstheme="majorHAnsi"/>
          <w:sz w:val="22"/>
          <w:szCs w:val="22"/>
        </w:rPr>
        <w:t xml:space="preserve"> A Administração terá o prazo de</w:t>
      </w:r>
      <w:r>
        <w:rPr>
          <w:rFonts w:asciiTheme="majorHAnsi" w:hAnsiTheme="majorHAnsi" w:cstheme="majorHAnsi"/>
          <w:i/>
          <w:color w:val="FF0000"/>
          <w:sz w:val="22"/>
          <w:szCs w:val="22"/>
        </w:rPr>
        <w:t xml:space="preserve"> </w:t>
      </w:r>
      <w:r>
        <w:rPr>
          <w:rFonts w:asciiTheme="majorHAnsi" w:hAnsiTheme="majorHAnsi" w:cstheme="majorHAnsi"/>
          <w:b/>
          <w:color w:val="00B0F0"/>
          <w:sz w:val="22"/>
          <w:szCs w:val="22"/>
        </w:rPr>
        <w:t>5 (cinco) dias</w:t>
      </w:r>
      <w:r>
        <w:rPr>
          <w:rFonts w:asciiTheme="majorHAnsi" w:hAnsiTheme="majorHAnsi" w:cstheme="majorHAnsi"/>
          <w:sz w:val="22"/>
          <w:szCs w:val="22"/>
        </w:rPr>
        <w:t xml:space="preserve">, a contar da data do protocolo do requerimento para decidir, admitida a prorrogação motivada, por igual período. </w:t>
      </w:r>
    </w:p>
    <w:p w14:paraId="2A9ECFAF">
      <w:pPr>
        <w:pStyle w:val="72"/>
        <w:numPr>
          <w:ilvl w:val="2"/>
          <w:numId w:val="19"/>
        </w:numPr>
        <w:ind w:left="0" w:firstLine="0"/>
        <w:rPr>
          <w:rFonts w:asciiTheme="majorHAnsi" w:hAnsiTheme="majorHAnsi" w:cstheme="majorHAnsi"/>
          <w:color w:val="FF0000"/>
          <w:sz w:val="22"/>
          <w:szCs w:val="22"/>
        </w:rPr>
      </w:pPr>
      <w:r>
        <w:rPr>
          <w:rFonts w:asciiTheme="majorHAnsi" w:hAnsiTheme="majorHAnsi" w:cstheme="majorHAnsi"/>
          <w:sz w:val="22"/>
          <w:szCs w:val="22"/>
        </w:rPr>
        <w:t xml:space="preserve">Responder eventuais pedidos de reestabelecimento do equilíbrio econômico-financeiro feitos pelo Contratado no prazo máximo de </w:t>
      </w:r>
      <w:r>
        <w:rPr>
          <w:rFonts w:asciiTheme="majorHAnsi" w:hAnsiTheme="majorHAnsi" w:cstheme="majorHAnsi"/>
          <w:b/>
          <w:color w:val="00B0F0"/>
          <w:sz w:val="22"/>
          <w:szCs w:val="22"/>
        </w:rPr>
        <w:t>5 (cinco) dias.</w:t>
      </w:r>
    </w:p>
    <w:p w14:paraId="29922838">
      <w:pPr>
        <w:pStyle w:val="156"/>
        <w:numPr>
          <w:ilvl w:val="1"/>
          <w:numId w:val="19"/>
        </w:numPr>
        <w:ind w:left="0" w:firstLine="0"/>
        <w:rPr>
          <w:rFonts w:asciiTheme="majorHAnsi" w:hAnsiTheme="majorHAnsi" w:cstheme="majorHAnsi"/>
          <w:sz w:val="22"/>
          <w:szCs w:val="22"/>
        </w:rPr>
      </w:pPr>
      <w:bookmarkStart w:id="129" w:name="_Hlk114499841"/>
      <w:bookmarkEnd w:id="129"/>
      <w:r>
        <w:rPr>
          <w:rFonts w:asciiTheme="majorHAnsi" w:hAnsiTheme="majorHAnsi" w:cstheme="majorHAnsi"/>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71DB64C">
      <w:pPr>
        <w:pStyle w:val="53"/>
        <w:keepNext w:val="0"/>
        <w:keepLines w:val="0"/>
        <w:numPr>
          <w:ilvl w:val="0"/>
          <w:numId w:val="19"/>
        </w:numPr>
        <w:tabs>
          <w:tab w:val="clear" w:pos="567"/>
        </w:tabs>
        <w:spacing w:before="120" w:beforeLines="0" w:after="120" w:afterLines="0" w:line="360" w:lineRule="auto"/>
        <w:ind w:left="0" w:firstLine="0"/>
        <w:rPr>
          <w:rFonts w:asciiTheme="majorHAnsi" w:hAnsiTheme="majorHAnsi" w:cstheme="majorHAnsi"/>
          <w:sz w:val="22"/>
          <w:szCs w:val="22"/>
        </w:rPr>
      </w:pPr>
      <w:r>
        <w:rPr>
          <w:rFonts w:asciiTheme="majorHAnsi" w:hAnsiTheme="majorHAnsi" w:cstheme="majorHAnsi"/>
          <w:sz w:val="22"/>
          <w:szCs w:val="22"/>
        </w:rPr>
        <w:t>OBRIGAÇÕES DO CONTRATADO</w:t>
      </w:r>
    </w:p>
    <w:p w14:paraId="79E76629">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3D4729F5">
      <w:pPr>
        <w:pStyle w:val="72"/>
        <w:numPr>
          <w:ilvl w:val="2"/>
          <w:numId w:val="19"/>
        </w:numPr>
        <w:ind w:left="0" w:firstLine="0"/>
        <w:rPr>
          <w:rFonts w:eastAsia="Arial" w:asciiTheme="majorHAnsi" w:hAnsiTheme="majorHAnsi" w:cstheme="majorHAnsi"/>
          <w:sz w:val="22"/>
          <w:szCs w:val="22"/>
        </w:rPr>
      </w:pPr>
      <w:bookmarkStart w:id="130" w:name="_Hlk175669396"/>
      <w:r>
        <w:rPr>
          <w:rFonts w:asciiTheme="majorHAnsi" w:hAnsiTheme="majorHAnsi" w:cstheme="majorHAnsi"/>
          <w:sz w:val="22"/>
          <w:szCs w:val="22"/>
        </w:rPr>
        <w:t xml:space="preserve">Entregar o objeto acompanhado do manual do usuário, com uma versão em </w:t>
      </w:r>
      <w:r>
        <w:rPr>
          <w:rFonts w:eastAsia="Arial" w:asciiTheme="majorHAnsi" w:hAnsiTheme="majorHAnsi" w:cstheme="majorHAnsi"/>
          <w:sz w:val="22"/>
          <w:szCs w:val="22"/>
        </w:rPr>
        <w:t>português.</w:t>
      </w:r>
    </w:p>
    <w:bookmarkEnd w:id="130"/>
    <w:p w14:paraId="6E21679B">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Responsabilizar-se pelos vícios e danos decorrentes do objeto, de acordo com o Código de </w:t>
      </w:r>
      <w:r>
        <w:rPr>
          <w:rFonts w:eastAsia="MS Mincho" w:asciiTheme="majorHAnsi" w:hAnsiTheme="majorHAnsi" w:cstheme="majorHAnsi"/>
          <w:sz w:val="22"/>
          <w:szCs w:val="22"/>
        </w:rPr>
        <w:t>Defesa</w:t>
      </w:r>
      <w:r>
        <w:rPr>
          <w:rFonts w:asciiTheme="majorHAnsi" w:hAnsiTheme="majorHAnsi" w:cstheme="majorHAnsi"/>
          <w:sz w:val="22"/>
          <w:szCs w:val="22"/>
        </w:rPr>
        <w:t xml:space="preserve"> do Consumidor;</w:t>
      </w:r>
    </w:p>
    <w:p w14:paraId="129089B7">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Comunicar ao Contratante, no prazo máximo de 24 (vinte e quatro) horas que antecede a </w:t>
      </w:r>
      <w:r>
        <w:rPr>
          <w:rFonts w:eastAsia="MS Mincho" w:asciiTheme="majorHAnsi" w:hAnsiTheme="majorHAnsi" w:cstheme="majorHAnsi"/>
          <w:sz w:val="22"/>
          <w:szCs w:val="22"/>
        </w:rPr>
        <w:t>data</w:t>
      </w:r>
      <w:r>
        <w:rPr>
          <w:rFonts w:asciiTheme="majorHAnsi" w:hAnsiTheme="majorHAnsi" w:cstheme="majorHAnsi"/>
          <w:sz w:val="22"/>
          <w:szCs w:val="22"/>
        </w:rPr>
        <w:t xml:space="preserve"> da entrega, os motivos que impossibilitem o cumprimento do prazo previsto, com a devida comprovação;</w:t>
      </w:r>
    </w:p>
    <w:p w14:paraId="4DFFF43E">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Atender às determinações regulares emitidas pelo fiscal </w:t>
      </w:r>
      <w:r>
        <w:rPr>
          <w:rFonts w:eastAsia="Arial" w:asciiTheme="majorHAnsi" w:hAnsiTheme="majorHAnsi" w:cstheme="majorHAnsi"/>
          <w:sz w:val="22"/>
          <w:szCs w:val="22"/>
        </w:rPr>
        <w:t>ou gestor contratuais</w:t>
      </w:r>
      <w:r>
        <w:rPr>
          <w:rFonts w:asciiTheme="majorHAnsi" w:hAnsiTheme="majorHAnsi" w:cstheme="majorHAnsi"/>
          <w:sz w:val="22"/>
          <w:szCs w:val="22"/>
        </w:rPr>
        <w:t xml:space="preserve"> ou autoridade superior e prestar todo esclarecimento ou informação por eles solicitados;</w:t>
      </w:r>
    </w:p>
    <w:p w14:paraId="6F49C24A">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Reparar, corrigir, remover, reconstruir ou substituir, às suas expensas, no total ou em parte, no prazo fixado pelo fiscal</w:t>
      </w:r>
      <w:r>
        <w:rPr>
          <w:rFonts w:eastAsia="Arial" w:asciiTheme="majorHAnsi" w:hAnsiTheme="majorHAnsi" w:cstheme="majorHAnsi"/>
          <w:sz w:val="22"/>
          <w:szCs w:val="22"/>
        </w:rPr>
        <w:t xml:space="preserve"> contratual</w:t>
      </w:r>
      <w:r>
        <w:rPr>
          <w:rFonts w:asciiTheme="majorHAnsi" w:hAnsiTheme="majorHAnsi" w:cstheme="majorHAnsi"/>
          <w:sz w:val="22"/>
          <w:szCs w:val="22"/>
        </w:rPr>
        <w:t xml:space="preserve">, os </w:t>
      </w:r>
      <w:r>
        <w:rPr>
          <w:rFonts w:eastAsia="Arial" w:asciiTheme="majorHAnsi" w:hAnsiTheme="majorHAnsi" w:cstheme="majorHAnsi"/>
          <w:sz w:val="22"/>
          <w:szCs w:val="22"/>
        </w:rPr>
        <w:t>bens</w:t>
      </w:r>
      <w:r>
        <w:rPr>
          <w:rFonts w:asciiTheme="majorHAnsi" w:hAnsiTheme="majorHAnsi" w:cstheme="majorHAnsi"/>
          <w:sz w:val="22"/>
          <w:szCs w:val="22"/>
        </w:rPr>
        <w:t xml:space="preserve"> nos quais se verificarem vícios, defeitos ou incorreções resultantes da execução ou dos materiais empregados;</w:t>
      </w:r>
    </w:p>
    <w:p w14:paraId="7BAF93EE">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CB05D4">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contratual, </w:t>
      </w:r>
      <w:r>
        <w:rPr>
          <w:rFonts w:eastAsia="MS Mincho" w:asciiTheme="majorHAnsi" w:hAnsiTheme="majorHAnsi" w:cstheme="majorHAnsi"/>
          <w:sz w:val="22"/>
          <w:szCs w:val="22"/>
        </w:rPr>
        <w:t>junto com a Nota Fiscal para fins de pagamento, os seguintes documentos:</w:t>
      </w:r>
    </w:p>
    <w:p w14:paraId="1CAB4CF1">
      <w:pPr>
        <w:pStyle w:val="73"/>
        <w:numPr>
          <w:ilvl w:val="3"/>
          <w:numId w:val="19"/>
        </w:numPr>
        <w:ind w:left="0" w:firstLine="0"/>
        <w:rPr>
          <w:rFonts w:asciiTheme="majorHAnsi" w:hAnsiTheme="majorHAnsi" w:cstheme="majorHAnsi"/>
          <w:sz w:val="22"/>
          <w:szCs w:val="22"/>
        </w:rPr>
      </w:pPr>
      <w:r>
        <w:rPr>
          <w:rFonts w:asciiTheme="majorHAnsi" w:hAnsiTheme="majorHAnsi" w:cstheme="majorHAnsi"/>
          <w:sz w:val="22"/>
          <w:szCs w:val="22"/>
        </w:rPr>
        <w:t>prova de regularidade relativa à Seguridade Social;</w:t>
      </w:r>
    </w:p>
    <w:p w14:paraId="72B3727E">
      <w:pPr>
        <w:pStyle w:val="73"/>
        <w:numPr>
          <w:ilvl w:val="3"/>
          <w:numId w:val="19"/>
        </w:numPr>
        <w:ind w:left="0" w:firstLine="0"/>
        <w:rPr>
          <w:rFonts w:asciiTheme="majorHAnsi" w:hAnsiTheme="majorHAnsi" w:cstheme="majorHAnsi"/>
          <w:sz w:val="22"/>
          <w:szCs w:val="22"/>
        </w:rPr>
      </w:pPr>
      <w:r>
        <w:rPr>
          <w:rFonts w:asciiTheme="majorHAnsi" w:hAnsiTheme="majorHAnsi" w:cstheme="majorHAnsi"/>
          <w:sz w:val="22"/>
          <w:szCs w:val="22"/>
        </w:rPr>
        <w:t>certidão conjunta relativa aos tributos federais e à Dívida Ativa da União;</w:t>
      </w:r>
    </w:p>
    <w:p w14:paraId="693C4DC6">
      <w:pPr>
        <w:pStyle w:val="73"/>
        <w:numPr>
          <w:ilvl w:val="3"/>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certidões que comprovem a regularidade perante a Fazenda Estadual ou Distrital do domicílio ou sede do Contratado; </w:t>
      </w:r>
    </w:p>
    <w:p w14:paraId="49808477">
      <w:pPr>
        <w:pStyle w:val="73"/>
        <w:numPr>
          <w:ilvl w:val="3"/>
          <w:numId w:val="19"/>
        </w:numPr>
        <w:ind w:left="0" w:firstLine="0"/>
        <w:rPr>
          <w:rFonts w:asciiTheme="majorHAnsi" w:hAnsiTheme="majorHAnsi" w:cstheme="majorHAnsi"/>
          <w:sz w:val="22"/>
          <w:szCs w:val="22"/>
        </w:rPr>
      </w:pPr>
      <w:r>
        <w:rPr>
          <w:rFonts w:asciiTheme="majorHAnsi" w:hAnsiTheme="majorHAnsi" w:cstheme="majorHAnsi"/>
          <w:sz w:val="22"/>
          <w:szCs w:val="22"/>
        </w:rPr>
        <w:t>Certidão de Regularidade do FGTS – CRF; e</w:t>
      </w:r>
    </w:p>
    <w:p w14:paraId="62669368">
      <w:pPr>
        <w:pStyle w:val="73"/>
        <w:numPr>
          <w:ilvl w:val="3"/>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Certidão Negativa de Débitos Trabalhistas – CNDT; </w:t>
      </w:r>
    </w:p>
    <w:p w14:paraId="1431F63E">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Responsabilizar-se pelo cumprimento </w:t>
      </w:r>
      <w:r>
        <w:rPr>
          <w:rFonts w:eastAsia="MS Mincho" w:asciiTheme="majorHAnsi" w:hAnsiTheme="majorHAnsi" w:cstheme="majorHAnsi"/>
          <w:sz w:val="22"/>
          <w:szCs w:val="22"/>
        </w:rPr>
        <w:t>de</w:t>
      </w:r>
      <w:r>
        <w:rPr>
          <w:rFonts w:asciiTheme="majorHAnsi" w:hAnsiTheme="majorHAnsi" w:cstheme="majorHAnsi"/>
          <w:sz w:val="22"/>
          <w:szCs w:val="22"/>
        </w:rPr>
        <w:t xml:space="preserve"> todas as obrigações trabalhistas, previdenciárias, </w:t>
      </w:r>
      <w:r>
        <w:rPr>
          <w:rFonts w:eastAsia="MS Mincho" w:asciiTheme="majorHAnsi" w:hAnsiTheme="majorHAnsi" w:cstheme="majorHAnsi"/>
          <w:sz w:val="22"/>
          <w:szCs w:val="22"/>
        </w:rPr>
        <w:t>fiscais, comerciais</w:t>
      </w:r>
      <w:r>
        <w:rPr>
          <w:rFonts w:asciiTheme="majorHAnsi" w:hAnsiTheme="majorHAnsi" w:cstheme="majorHAnsi"/>
          <w:sz w:val="22"/>
          <w:szCs w:val="22"/>
        </w:rPr>
        <w:t xml:space="preserve"> e as demais previstas em legislação específica, cuja inadimplência não transfere a responsabilidade ao </w:t>
      </w:r>
      <w:r>
        <w:rPr>
          <w:rFonts w:eastAsia="MS Mincho" w:asciiTheme="majorHAnsi" w:hAnsiTheme="majorHAnsi" w:cstheme="majorHAnsi"/>
          <w:sz w:val="22"/>
          <w:szCs w:val="22"/>
        </w:rPr>
        <w:t>Contratante e não poderá onerar o objeto da contratação;</w:t>
      </w:r>
    </w:p>
    <w:p w14:paraId="5BC06CDB">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Comunicar ao Fiscal, no prazo de 24 (vinte e quatro) horas, qualquer ocorrência anormal ou acidente que se verifique no local </w:t>
      </w:r>
      <w:r>
        <w:rPr>
          <w:rFonts w:eastAsia="MS Mincho" w:asciiTheme="majorHAnsi" w:hAnsiTheme="majorHAnsi" w:cstheme="majorHAnsi"/>
          <w:sz w:val="22"/>
          <w:szCs w:val="22"/>
        </w:rPr>
        <w:t>da execução do objeto contratual</w:t>
      </w:r>
      <w:r>
        <w:rPr>
          <w:rFonts w:asciiTheme="majorHAnsi" w:hAnsiTheme="majorHAnsi" w:cstheme="majorHAnsi"/>
          <w:sz w:val="22"/>
          <w:szCs w:val="22"/>
        </w:rPr>
        <w:t>.</w:t>
      </w:r>
    </w:p>
    <w:p w14:paraId="001D0094">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73ABDA45">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 xml:space="preserve">Manter, durante toda a vigência da contratação, em compatibilidade com as obrigações assumidas, todas as condições exigidas para habilitação na licitação ou para qualificação na contratação direta; </w:t>
      </w:r>
    </w:p>
    <w:p w14:paraId="22E1853A">
      <w:pPr>
        <w:pStyle w:val="72"/>
        <w:numPr>
          <w:ilvl w:val="2"/>
          <w:numId w:val="19"/>
        </w:numPr>
        <w:ind w:left="0" w:firstLine="0"/>
        <w:rPr>
          <w:rFonts w:asciiTheme="majorHAnsi" w:hAnsiTheme="majorHAnsi" w:cstheme="majorHAnsi"/>
          <w:b/>
          <w:sz w:val="22"/>
          <w:szCs w:val="22"/>
        </w:rPr>
      </w:pPr>
      <w:r>
        <w:rPr>
          <w:rFonts w:asciiTheme="majorHAnsi" w:hAnsiTheme="majorHAnsi" w:cstheme="majorHAnsi"/>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40C0C32F">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Comprovar a reserva de cargos a que se refere a cláusula acima, no prazo fixado pela fiscalização contratual, com a indicação dos empregados que preencheram as referidas vagas;</w:t>
      </w:r>
    </w:p>
    <w:p w14:paraId="3E0CB5FF">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Guardar sigilo sobre todas as informações obtidas em decorrência da execução do objeto;</w:t>
      </w:r>
    </w:p>
    <w:p w14:paraId="08AEBBE6">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26B2C3D">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Cumprir, além dos postulados legais vigentes de âmbito federal, estadual ou municipal, as normas de segurança do Contratante;</w:t>
      </w:r>
    </w:p>
    <w:p w14:paraId="548CF727">
      <w:pPr>
        <w:pStyle w:val="53"/>
        <w:keepNext w:val="0"/>
        <w:keepLines w:val="0"/>
        <w:numPr>
          <w:ilvl w:val="0"/>
          <w:numId w:val="19"/>
        </w:numPr>
        <w:tabs>
          <w:tab w:val="clear" w:pos="567"/>
        </w:tabs>
        <w:spacing w:before="120" w:beforeLines="0" w:after="120" w:afterLines="0" w:line="360" w:lineRule="auto"/>
        <w:ind w:left="0" w:firstLine="0"/>
        <w:rPr>
          <w:rFonts w:asciiTheme="majorHAnsi" w:hAnsiTheme="majorHAnsi" w:cstheme="majorHAnsi"/>
          <w:sz w:val="22"/>
          <w:szCs w:val="22"/>
        </w:rPr>
      </w:pPr>
      <w:r>
        <w:rPr>
          <w:rFonts w:asciiTheme="majorHAnsi" w:hAnsiTheme="majorHAnsi" w:cstheme="majorHAnsi"/>
          <w:sz w:val="22"/>
          <w:szCs w:val="22"/>
        </w:rPr>
        <w:t>DA EXTINÇÃO CONTRATUAL</w:t>
      </w:r>
    </w:p>
    <w:p w14:paraId="3EF26896">
      <w:pPr>
        <w:pStyle w:val="137"/>
        <w:numPr>
          <w:ilvl w:val="1"/>
          <w:numId w:val="19"/>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será extinta quando cumpridas as obrigações de ambas as partes, ainda que isso ocorra antes do prazo estipulado para tanto.</w:t>
      </w:r>
    </w:p>
    <w:p w14:paraId="74A31F07">
      <w:pPr>
        <w:pStyle w:val="137"/>
        <w:numPr>
          <w:ilvl w:val="1"/>
          <w:numId w:val="19"/>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30EA35E5">
      <w:pPr>
        <w:pStyle w:val="137"/>
        <w:numPr>
          <w:ilvl w:val="1"/>
          <w:numId w:val="19"/>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Quando a não conclusão do objeto referida no item anterior decorrer de culpa do Contratado:</w:t>
      </w:r>
    </w:p>
    <w:p w14:paraId="242270D4">
      <w:pPr>
        <w:pStyle w:val="161"/>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ficará ele constituído em mora, sendo-lhe aplicáveis as respectivas sanções administrativas; e</w:t>
      </w:r>
    </w:p>
    <w:p w14:paraId="584F384D">
      <w:pPr>
        <w:pStyle w:val="161"/>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poderá a Administração optar pela extinção contratual e, nesse caso, adotará as medidas admitidas em lei para a continuidade da execução contratual.</w:t>
      </w:r>
    </w:p>
    <w:p w14:paraId="722FC028">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2CEBA4BC">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Nesta hipótese, aplicam-se também os artigos 138 e 139 da mesma Lei.</w:t>
      </w:r>
    </w:p>
    <w:p w14:paraId="671B90D8">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A alteração social ou a modificação da finalidade ou da estrutura da empresa não ensejará a extinção se não restringir sua capacidade de concluir o objeto.</w:t>
      </w:r>
    </w:p>
    <w:p w14:paraId="2790926D">
      <w:pPr>
        <w:pStyle w:val="73"/>
        <w:numPr>
          <w:ilvl w:val="3"/>
          <w:numId w:val="19"/>
        </w:numPr>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Se a operação </w:t>
      </w:r>
      <w:r>
        <w:rPr>
          <w:rFonts w:asciiTheme="majorHAnsi" w:hAnsiTheme="majorHAnsi" w:cstheme="majorHAnsi"/>
          <w:sz w:val="22"/>
          <w:szCs w:val="22"/>
        </w:rPr>
        <w:t>implicar mudança da pessoa jurídica contratada, deverá ser formalizado termo aditivo para alteração subjetiva.</w:t>
      </w:r>
    </w:p>
    <w:p w14:paraId="704E1EE9">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O termo de extinção, sempre que possível, será precedido:</w:t>
      </w:r>
    </w:p>
    <w:p w14:paraId="0004BD25">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Balanço dos eventos contratuais já cumpridos ou parcialmente cumpridos;</w:t>
      </w:r>
    </w:p>
    <w:p w14:paraId="50D8E884">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Relação dos pagamentos já efetuados e ainda devidos;</w:t>
      </w:r>
    </w:p>
    <w:p w14:paraId="2C5CF303">
      <w:pPr>
        <w:pStyle w:val="72"/>
        <w:numPr>
          <w:ilvl w:val="2"/>
          <w:numId w:val="19"/>
        </w:numPr>
        <w:ind w:left="0" w:firstLine="0"/>
        <w:rPr>
          <w:rFonts w:asciiTheme="majorHAnsi" w:hAnsiTheme="majorHAnsi" w:cstheme="majorHAnsi"/>
          <w:sz w:val="22"/>
          <w:szCs w:val="22"/>
        </w:rPr>
      </w:pPr>
      <w:r>
        <w:rPr>
          <w:rFonts w:asciiTheme="majorHAnsi" w:hAnsiTheme="majorHAnsi" w:cstheme="majorHAnsi"/>
          <w:sz w:val="22"/>
          <w:szCs w:val="22"/>
        </w:rPr>
        <w:t>Indenizações e multas.</w:t>
      </w:r>
    </w:p>
    <w:p w14:paraId="04E38060">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A extinção contratual não configura óbice para o reconhecimento do desequilíbrio econômico-financeiro, hipótese em que será concedida indenização por meio de termo indenizatório.</w:t>
      </w:r>
    </w:p>
    <w:p w14:paraId="26C0A4E4">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47827347">
      <w:pPr>
        <w:pStyle w:val="53"/>
        <w:keepNext w:val="0"/>
        <w:keepLines w:val="0"/>
        <w:numPr>
          <w:ilvl w:val="0"/>
          <w:numId w:val="19"/>
        </w:numPr>
        <w:tabs>
          <w:tab w:val="clear" w:pos="567"/>
        </w:tabs>
        <w:spacing w:before="120" w:beforeLines="0" w:after="120" w:afterLines="0" w:line="360" w:lineRule="auto"/>
        <w:ind w:left="0" w:firstLine="0"/>
        <w:rPr>
          <w:rFonts w:asciiTheme="majorHAnsi" w:hAnsiTheme="majorHAnsi" w:cstheme="majorHAnsi"/>
          <w:sz w:val="22"/>
          <w:szCs w:val="22"/>
        </w:rPr>
      </w:pPr>
      <w:r>
        <w:rPr>
          <w:rFonts w:asciiTheme="majorHAnsi" w:hAnsiTheme="majorHAnsi" w:cstheme="majorHAnsi"/>
          <w:sz w:val="22"/>
          <w:szCs w:val="22"/>
        </w:rPr>
        <w:t>DOS CASOS OMISSOS</w:t>
      </w:r>
    </w:p>
    <w:p w14:paraId="728D4A53">
      <w:pPr>
        <w:pStyle w:val="156"/>
        <w:numPr>
          <w:ilvl w:val="1"/>
          <w:numId w:val="19"/>
        </w:numPr>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Os casos </w:t>
      </w:r>
      <w:r>
        <w:rPr>
          <w:rFonts w:asciiTheme="majorHAnsi" w:hAnsiTheme="majorHAnsi" w:cstheme="majorHAnsi"/>
          <w:sz w:val="22"/>
          <w:szCs w:val="22"/>
        </w:rPr>
        <w:t xml:space="preserve">omissos serão decididos pelo Contratante, segundo as disposições contidas na Lei nº 14.133, de 2021, e demais normas federais aplicáveis e, subsidiariamente, segundo as disposições contidas na </w:t>
      </w:r>
      <w:r>
        <w:fldChar w:fldCharType="begin"/>
      </w:r>
      <w:r>
        <w:instrText xml:space="preserve"> HYPERLINK "https://www.planalto.gov.br/ccivil_03/leis/l8078compilado.htm" \h </w:instrText>
      </w:r>
      <w:r>
        <w:fldChar w:fldCharType="separate"/>
      </w:r>
      <w:r>
        <w:rPr>
          <w:rFonts w:asciiTheme="majorHAnsi" w:hAnsiTheme="majorHAnsi" w:cstheme="majorHAnsi"/>
          <w:sz w:val="22"/>
          <w:szCs w:val="22"/>
        </w:rPr>
        <w:t>Lei nº 8.078, de 1990 – Código de Defesa do Consumidor</w:t>
      </w:r>
      <w:r>
        <w:rPr>
          <w:rFonts w:asciiTheme="majorHAnsi" w:hAnsiTheme="majorHAnsi" w:cstheme="majorHAnsi"/>
          <w:sz w:val="22"/>
          <w:szCs w:val="22"/>
        </w:rPr>
        <w:fldChar w:fldCharType="end"/>
      </w:r>
      <w:r>
        <w:rPr>
          <w:rFonts w:asciiTheme="majorHAnsi" w:hAnsiTheme="majorHAnsi" w:cstheme="majorHAnsi"/>
          <w:sz w:val="22"/>
          <w:szCs w:val="22"/>
        </w:rPr>
        <w:t xml:space="preserve"> – e normas e princípios gerais dos contratos.</w:t>
      </w:r>
    </w:p>
    <w:p w14:paraId="316942B2">
      <w:pPr>
        <w:pStyle w:val="156"/>
        <w:numPr>
          <w:ilvl w:val="0"/>
          <w:numId w:val="0"/>
        </w:numPr>
        <w:rPr>
          <w:rFonts w:asciiTheme="majorHAnsi" w:hAnsiTheme="majorHAnsi" w:cstheme="majorHAnsi"/>
          <w:sz w:val="22"/>
          <w:szCs w:val="22"/>
        </w:rPr>
      </w:pPr>
    </w:p>
    <w:p w14:paraId="2E3079E9">
      <w:pPr>
        <w:pStyle w:val="53"/>
        <w:keepNext w:val="0"/>
        <w:keepLines w:val="0"/>
        <w:numPr>
          <w:ilvl w:val="0"/>
          <w:numId w:val="19"/>
        </w:numPr>
        <w:tabs>
          <w:tab w:val="clear" w:pos="567"/>
        </w:tabs>
        <w:spacing w:before="120" w:beforeLines="0" w:after="120" w:afterLines="0" w:line="360" w:lineRule="auto"/>
        <w:ind w:left="0" w:firstLine="0"/>
        <w:rPr>
          <w:rFonts w:asciiTheme="majorHAnsi" w:hAnsiTheme="majorHAnsi" w:cstheme="majorHAnsi"/>
          <w:sz w:val="22"/>
          <w:szCs w:val="22"/>
        </w:rPr>
      </w:pPr>
      <w:r>
        <w:rPr>
          <w:rFonts w:asciiTheme="majorHAnsi" w:hAnsiTheme="majorHAnsi" w:cstheme="majorHAnsi"/>
          <w:sz w:val="22"/>
          <w:szCs w:val="22"/>
        </w:rPr>
        <w:t>ALTERAÇÕES</w:t>
      </w:r>
    </w:p>
    <w:p w14:paraId="14C1B1EB">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Eventuais alterações contratuais reger-se-ão pela disciplina dos arts. 124 e seguintes da Lei nº 14.133, de 2021.</w:t>
      </w:r>
    </w:p>
    <w:p w14:paraId="65D348C7">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da contratação.</w:t>
      </w:r>
    </w:p>
    <w:p w14:paraId="759BF446">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As supressões resultantes de acordo celebrado entre as partes contratantes poderão exceder o limite de 25% (vinte e cinco por cento) do valor inicial atualizado do contrato.</w:t>
      </w:r>
    </w:p>
    <w:p w14:paraId="7AF7168A">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428A8BC">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Registros que não caracterizam alterações contratuais podem ser realizados por simples apostila, dispensada a celebração de termo aditivo, na forma do art. 136 da Lei nº 14.133, de 2021.</w:t>
      </w:r>
    </w:p>
    <w:p w14:paraId="56DE3732">
      <w:pPr>
        <w:pStyle w:val="156"/>
        <w:numPr>
          <w:ilvl w:val="0"/>
          <w:numId w:val="0"/>
        </w:numPr>
        <w:rPr>
          <w:rFonts w:asciiTheme="majorHAnsi" w:hAnsiTheme="majorHAnsi" w:cstheme="majorHAnsi"/>
          <w:sz w:val="22"/>
          <w:szCs w:val="22"/>
        </w:rPr>
      </w:pPr>
    </w:p>
    <w:p w14:paraId="25F85F98">
      <w:pPr>
        <w:pStyle w:val="53"/>
        <w:keepNext w:val="0"/>
        <w:keepLines w:val="0"/>
        <w:numPr>
          <w:ilvl w:val="0"/>
          <w:numId w:val="19"/>
        </w:numPr>
        <w:tabs>
          <w:tab w:val="clear" w:pos="567"/>
        </w:tabs>
        <w:spacing w:before="120" w:beforeLines="0" w:after="120" w:afterLines="0" w:line="360" w:lineRule="auto"/>
        <w:ind w:left="0" w:firstLine="0"/>
        <w:rPr>
          <w:rFonts w:asciiTheme="majorHAnsi" w:hAnsiTheme="majorHAnsi" w:cstheme="majorHAnsi"/>
          <w:sz w:val="22"/>
          <w:szCs w:val="22"/>
        </w:rPr>
      </w:pPr>
      <w:r>
        <w:rPr>
          <w:rFonts w:asciiTheme="majorHAnsi" w:hAnsiTheme="majorHAnsi" w:cstheme="majorHAnsi"/>
          <w:sz w:val="22"/>
          <w:szCs w:val="22"/>
        </w:rPr>
        <w:t>FORO</w:t>
      </w:r>
    </w:p>
    <w:p w14:paraId="4478094F">
      <w:pPr>
        <w:pStyle w:val="156"/>
        <w:numPr>
          <w:ilvl w:val="1"/>
          <w:numId w:val="19"/>
        </w:numPr>
        <w:ind w:left="0" w:firstLine="0"/>
        <w:rPr>
          <w:rFonts w:asciiTheme="majorHAnsi" w:hAnsiTheme="majorHAnsi" w:cstheme="majorHAnsi"/>
          <w:sz w:val="22"/>
          <w:szCs w:val="22"/>
        </w:rPr>
      </w:pPr>
      <w:r>
        <w:rPr>
          <w:rFonts w:asciiTheme="majorHAnsi" w:hAnsiTheme="majorHAnsi" w:cstheme="majorHAnsi"/>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4C09F34A">
      <w:pPr>
        <w:spacing w:before="120" w:after="120" w:line="360" w:lineRule="auto"/>
        <w:jc w:val="center"/>
        <w:rPr>
          <w:rFonts w:asciiTheme="majorHAnsi" w:hAnsiTheme="majorHAnsi" w:cstheme="majorHAnsi"/>
          <w:b/>
          <w:sz w:val="22"/>
          <w:szCs w:val="22"/>
        </w:rPr>
      </w:pPr>
      <w:r>
        <w:rPr>
          <w:rFonts w:eastAsia="Times New Roman" w:asciiTheme="majorHAnsi" w:hAnsiTheme="majorHAnsi" w:cstheme="majorHAnsi"/>
          <w:color w:val="000080"/>
          <w:sz w:val="22"/>
          <w:szCs w:val="22"/>
          <w:u w:val="single"/>
        </w:rPr>
        <w:br w:type="page"/>
      </w:r>
      <w:r>
        <w:rPr>
          <w:rFonts w:asciiTheme="majorHAnsi" w:hAnsiTheme="majorHAnsi" w:cstheme="majorHAnsi"/>
          <w:b/>
          <w:sz w:val="22"/>
          <w:szCs w:val="22"/>
        </w:rPr>
        <w:t>ANEXO III</w:t>
      </w:r>
    </w:p>
    <w:p w14:paraId="34C744AF">
      <w:pPr>
        <w:jc w:val="center"/>
        <w:outlineLvl w:val="0"/>
        <w:rPr>
          <w:rFonts w:asciiTheme="majorHAnsi" w:hAnsiTheme="majorHAnsi" w:cstheme="majorHAnsi"/>
          <w:b/>
          <w:sz w:val="22"/>
          <w:szCs w:val="22"/>
        </w:rPr>
      </w:pPr>
    </w:p>
    <w:p w14:paraId="5BA2CF81">
      <w:pPr>
        <w:spacing w:after="360"/>
        <w:jc w:val="center"/>
        <w:rPr>
          <w:rFonts w:asciiTheme="majorHAnsi" w:hAnsiTheme="majorHAnsi" w:cstheme="majorHAnsi"/>
          <w:b/>
          <w:sz w:val="22"/>
          <w:szCs w:val="22"/>
        </w:rPr>
      </w:pPr>
      <w:r>
        <w:rPr>
          <w:rFonts w:asciiTheme="majorHAnsi" w:hAnsiTheme="majorHAnsi" w:cstheme="majorHAnsi"/>
          <w:b/>
          <w:sz w:val="22"/>
          <w:szCs w:val="22"/>
        </w:rPr>
        <w:t>TERMO DE CIÊNCIA E CONCORDÂNCIA</w:t>
      </w:r>
    </w:p>
    <w:p w14:paraId="0FFF7137">
      <w:pPr>
        <w:spacing w:before="120" w:after="120" w:line="276" w:lineRule="auto"/>
        <w:jc w:val="both"/>
        <w:rPr>
          <w:rFonts w:asciiTheme="majorHAnsi" w:hAnsiTheme="majorHAnsi" w:cstheme="majorHAnsi"/>
          <w:sz w:val="22"/>
          <w:szCs w:val="22"/>
        </w:rPr>
      </w:pPr>
      <w:r>
        <w:rPr>
          <w:rFonts w:asciiTheme="majorHAnsi" w:hAnsiTheme="majorHAnsi" w:cstheme="majorHAnsi"/>
          <w:sz w:val="22"/>
          <w:szCs w:val="22"/>
        </w:rPr>
        <w:t>Por meio deste instrumento, .....................</w:t>
      </w:r>
      <w:r>
        <w:rPr>
          <w:rFonts w:asciiTheme="majorHAnsi" w:hAnsiTheme="majorHAnsi" w:cstheme="majorHAnsi"/>
          <w:color w:val="FF0000"/>
          <w:sz w:val="22"/>
          <w:szCs w:val="22"/>
        </w:rPr>
        <w:t xml:space="preserve"> </w:t>
      </w:r>
      <w:r>
        <w:rPr>
          <w:rFonts w:asciiTheme="majorHAnsi" w:hAnsiTheme="majorHAnsi" w:cstheme="majorHAnsi"/>
          <w:i/>
          <w:iCs/>
          <w:color w:val="FF0000"/>
          <w:sz w:val="22"/>
          <w:szCs w:val="22"/>
        </w:rPr>
        <w:t>(identificar o Contratado)</w:t>
      </w:r>
      <w:r>
        <w:rPr>
          <w:rFonts w:asciiTheme="majorHAnsi" w:hAnsiTheme="majorHAnsi" w:cstheme="majorHAnsi"/>
          <w:color w:val="FF0000"/>
          <w:sz w:val="22"/>
          <w:szCs w:val="22"/>
        </w:rPr>
        <w:t xml:space="preserve"> </w:t>
      </w:r>
      <w:r>
        <w:rPr>
          <w:rFonts w:asciiTheme="majorHAnsi" w:hAnsiTheme="majorHAnsi" w:cstheme="majorHAnsi"/>
          <w:sz w:val="22"/>
          <w:szCs w:val="22"/>
        </w:rPr>
        <w:t>declara que</w:t>
      </w:r>
      <w:r>
        <w:rPr>
          <w:rFonts w:asciiTheme="majorHAnsi" w:hAnsiTheme="majorHAnsi" w:cstheme="majorHAnsi"/>
          <w:color w:val="FF0000"/>
          <w:sz w:val="22"/>
          <w:szCs w:val="22"/>
        </w:rPr>
        <w:t xml:space="preserve"> </w:t>
      </w:r>
      <w:r>
        <w:rPr>
          <w:rFonts w:asciiTheme="majorHAnsi" w:hAnsiTheme="majorHAnsi" w:cstheme="majorHAnsi"/>
          <w:sz w:val="22"/>
          <w:szCs w:val="22"/>
        </w:rPr>
        <w:t>está</w:t>
      </w:r>
      <w:r>
        <w:rPr>
          <w:rFonts w:asciiTheme="majorHAnsi" w:hAnsiTheme="majorHAnsi" w:cstheme="majorHAnsi"/>
          <w:color w:val="FF0000"/>
          <w:sz w:val="22"/>
          <w:szCs w:val="22"/>
        </w:rPr>
        <w:t xml:space="preserve"> </w:t>
      </w:r>
      <w:r>
        <w:rPr>
          <w:rFonts w:asciiTheme="majorHAnsi" w:hAnsiTheme="majorHAnsi" w:cstheme="majorHAnsi"/>
          <w:sz w:val="22"/>
          <w:szCs w:val="22"/>
        </w:rPr>
        <w:t>ciente e concorda com as disposições e obrigações previstas no</w:t>
      </w:r>
      <w:r>
        <w:rPr>
          <w:rFonts w:asciiTheme="majorHAnsi" w:hAnsiTheme="majorHAnsi" w:cstheme="majorHAnsi"/>
          <w:i/>
          <w:iCs/>
          <w:color w:val="FF0000"/>
          <w:sz w:val="22"/>
          <w:szCs w:val="22"/>
        </w:rPr>
        <w:t xml:space="preserve"> Edital</w:t>
      </w:r>
      <w:r>
        <w:rPr>
          <w:rFonts w:asciiTheme="majorHAnsi" w:hAnsiTheme="majorHAnsi" w:cstheme="majorHAnsi"/>
          <w:sz w:val="22"/>
          <w:szCs w:val="22"/>
        </w:rPr>
        <w:t xml:space="preserve">, no Termo de Referência e nos demais anexos a que se refere o </w:t>
      </w:r>
      <w:r>
        <w:rPr>
          <w:rFonts w:asciiTheme="majorHAnsi" w:hAnsiTheme="majorHAnsi" w:cstheme="majorHAnsi"/>
          <w:i/>
          <w:iCs/>
          <w:color w:val="FF0000"/>
          <w:sz w:val="22"/>
          <w:szCs w:val="22"/>
        </w:rPr>
        <w:t xml:space="preserve">Pregão </w:t>
      </w:r>
      <w:r>
        <w:rPr>
          <w:rFonts w:asciiTheme="majorHAnsi" w:hAnsiTheme="majorHAnsi" w:cstheme="majorHAnsi"/>
          <w:sz w:val="22"/>
          <w:szCs w:val="22"/>
        </w:rPr>
        <w:t>nº 90086/2026, bem como que se responsabiliza, sob as penas da Lei, pela veracidade e legitimidade das informações e documentos apresentados durante o processo de contratação.</w:t>
      </w:r>
    </w:p>
    <w:p w14:paraId="55A70D4A">
      <w:pPr>
        <w:spacing w:before="360"/>
        <w:jc w:val="center"/>
        <w:rPr>
          <w:rFonts w:asciiTheme="majorHAnsi" w:hAnsiTheme="majorHAnsi" w:cstheme="majorHAnsi"/>
          <w:sz w:val="22"/>
          <w:szCs w:val="22"/>
        </w:rPr>
      </w:pPr>
      <w:r>
        <w:rPr>
          <w:rFonts w:asciiTheme="majorHAnsi" w:hAnsiTheme="majorHAnsi" w:cstheme="majorHAnsi"/>
          <w:sz w:val="22"/>
          <w:szCs w:val="22"/>
        </w:rPr>
        <w:t xml:space="preserve">Local-UF, </w:t>
      </w:r>
      <w:r>
        <w:rPr>
          <w:rFonts w:asciiTheme="majorHAnsi" w:hAnsiTheme="majorHAnsi" w:cstheme="majorHAnsi"/>
          <w:color w:val="FF0000"/>
          <w:sz w:val="22"/>
          <w:szCs w:val="22"/>
        </w:rPr>
        <w:t>........</w:t>
      </w:r>
      <w:r>
        <w:rPr>
          <w:rFonts w:asciiTheme="majorHAnsi" w:hAnsiTheme="majorHAnsi" w:cstheme="majorHAnsi"/>
          <w:sz w:val="22"/>
          <w:szCs w:val="22"/>
        </w:rPr>
        <w:t xml:space="preserve"> de </w:t>
      </w:r>
      <w:r>
        <w:rPr>
          <w:rFonts w:asciiTheme="majorHAnsi" w:hAnsiTheme="majorHAnsi" w:cstheme="majorHAnsi"/>
          <w:color w:val="FF0000"/>
          <w:sz w:val="22"/>
          <w:szCs w:val="22"/>
        </w:rPr>
        <w:t>...................</w:t>
      </w:r>
      <w:r>
        <w:rPr>
          <w:rFonts w:asciiTheme="majorHAnsi" w:hAnsiTheme="majorHAnsi" w:cstheme="majorHAnsi"/>
          <w:sz w:val="22"/>
          <w:szCs w:val="22"/>
        </w:rPr>
        <w:t xml:space="preserve"> de 20</w:t>
      </w:r>
      <w:r>
        <w:rPr>
          <w:rFonts w:asciiTheme="majorHAnsi" w:hAnsiTheme="majorHAnsi" w:cstheme="majorHAnsi"/>
          <w:color w:val="FF0000"/>
          <w:sz w:val="22"/>
          <w:szCs w:val="22"/>
        </w:rPr>
        <w:t xml:space="preserve">.... </w:t>
      </w:r>
      <w:r>
        <w:rPr>
          <w:rFonts w:asciiTheme="majorHAnsi" w:hAnsiTheme="majorHAnsi" w:cstheme="majorHAnsi"/>
          <w:sz w:val="22"/>
          <w:szCs w:val="22"/>
        </w:rPr>
        <w:t>.</w:t>
      </w:r>
    </w:p>
    <w:p w14:paraId="04B5C693">
      <w:pPr>
        <w:spacing w:before="480"/>
        <w:jc w:val="center"/>
        <w:rPr>
          <w:rFonts w:asciiTheme="majorHAnsi" w:hAnsiTheme="majorHAnsi" w:cstheme="majorHAnsi"/>
          <w:sz w:val="22"/>
          <w:szCs w:val="22"/>
        </w:rPr>
      </w:pPr>
      <w:r>
        <w:rPr>
          <w:rFonts w:asciiTheme="majorHAnsi" w:hAnsiTheme="majorHAnsi" w:cstheme="majorHAnsi"/>
          <w:sz w:val="22"/>
          <w:szCs w:val="22"/>
        </w:rPr>
        <w:t>__________________________________________</w:t>
      </w:r>
    </w:p>
    <w:p w14:paraId="4C8F9E17">
      <w:pPr>
        <w:jc w:val="center"/>
        <w:rPr>
          <w:rFonts w:asciiTheme="majorHAnsi" w:hAnsiTheme="majorHAnsi" w:cstheme="majorHAnsi"/>
          <w:sz w:val="22"/>
          <w:szCs w:val="22"/>
        </w:rPr>
      </w:pPr>
      <w:r>
        <w:rPr>
          <w:rFonts w:asciiTheme="majorHAnsi" w:hAnsiTheme="majorHAnsi" w:cstheme="majorHAnsi"/>
          <w:sz w:val="22"/>
          <w:szCs w:val="22"/>
        </w:rPr>
        <w:t xml:space="preserve">(Nome </w:t>
      </w:r>
      <w:r>
        <w:rPr>
          <w:rFonts w:asciiTheme="majorHAnsi" w:hAnsiTheme="majorHAnsi" w:cstheme="majorHAnsi"/>
          <w:i/>
          <w:color w:val="FF0000"/>
          <w:sz w:val="22"/>
          <w:szCs w:val="22"/>
        </w:rPr>
        <w:t>e Cargo do Representante Legal</w:t>
      </w:r>
      <w:r>
        <w:rPr>
          <w:rFonts w:asciiTheme="majorHAnsi" w:hAnsiTheme="majorHAnsi" w:cstheme="majorHAnsi"/>
          <w:sz w:val="22"/>
          <w:szCs w:val="22"/>
        </w:rPr>
        <w:t>)</w:t>
      </w:r>
    </w:p>
    <w:p w14:paraId="3CB0A409">
      <w:pPr>
        <w:spacing w:before="120" w:after="120" w:line="360" w:lineRule="auto"/>
        <w:ind w:left="284"/>
        <w:jc w:val="center"/>
        <w:rPr>
          <w:rFonts w:asciiTheme="majorHAnsi" w:hAnsiTheme="majorHAnsi" w:cstheme="majorHAnsi"/>
          <w:sz w:val="22"/>
          <w:szCs w:val="22"/>
        </w:rPr>
      </w:pPr>
    </w:p>
    <w:p w14:paraId="5F91B247">
      <w:pPr>
        <w:spacing w:before="120" w:after="120" w:line="360" w:lineRule="auto"/>
        <w:ind w:left="284"/>
        <w:jc w:val="center"/>
        <w:rPr>
          <w:rFonts w:asciiTheme="majorHAnsi" w:hAnsiTheme="majorHAnsi" w:cstheme="majorHAnsi"/>
          <w:sz w:val="22"/>
          <w:szCs w:val="22"/>
        </w:rPr>
      </w:pPr>
    </w:p>
    <w:p w14:paraId="737132CB">
      <w:pPr>
        <w:spacing w:before="120" w:after="120" w:line="360" w:lineRule="auto"/>
        <w:ind w:left="284"/>
        <w:jc w:val="center"/>
        <w:rPr>
          <w:rFonts w:asciiTheme="majorHAnsi" w:hAnsiTheme="majorHAnsi" w:cstheme="majorHAnsi"/>
          <w:sz w:val="22"/>
          <w:szCs w:val="22"/>
        </w:rPr>
      </w:pPr>
    </w:p>
    <w:p w14:paraId="58B69041">
      <w:pPr>
        <w:spacing w:before="120" w:after="120" w:line="360" w:lineRule="auto"/>
        <w:ind w:left="284"/>
        <w:jc w:val="center"/>
        <w:rPr>
          <w:rFonts w:asciiTheme="majorHAnsi" w:hAnsiTheme="majorHAnsi" w:cstheme="majorHAnsi"/>
          <w:sz w:val="22"/>
          <w:szCs w:val="22"/>
        </w:rPr>
      </w:pPr>
    </w:p>
    <w:p w14:paraId="6EC8E6DA">
      <w:pPr>
        <w:spacing w:before="120" w:after="120" w:line="360" w:lineRule="auto"/>
        <w:ind w:left="284"/>
        <w:jc w:val="center"/>
        <w:rPr>
          <w:rFonts w:asciiTheme="majorHAnsi" w:hAnsiTheme="majorHAnsi" w:cstheme="majorHAnsi"/>
          <w:sz w:val="22"/>
          <w:szCs w:val="22"/>
        </w:rPr>
      </w:pPr>
    </w:p>
    <w:p w14:paraId="2C4D1FD9">
      <w:pPr>
        <w:spacing w:before="120" w:after="120" w:line="360" w:lineRule="auto"/>
        <w:ind w:left="284"/>
        <w:jc w:val="center"/>
        <w:rPr>
          <w:rFonts w:asciiTheme="majorHAnsi" w:hAnsiTheme="majorHAnsi" w:cstheme="majorHAnsi"/>
          <w:sz w:val="22"/>
          <w:szCs w:val="22"/>
        </w:rPr>
      </w:pPr>
    </w:p>
    <w:p w14:paraId="25CB9BFA">
      <w:pPr>
        <w:spacing w:before="120" w:after="120" w:line="360" w:lineRule="auto"/>
        <w:ind w:left="284"/>
        <w:jc w:val="center"/>
        <w:rPr>
          <w:rFonts w:asciiTheme="majorHAnsi" w:hAnsiTheme="majorHAnsi" w:cstheme="majorHAnsi"/>
          <w:sz w:val="22"/>
          <w:szCs w:val="22"/>
        </w:rPr>
      </w:pPr>
    </w:p>
    <w:p w14:paraId="0F2B9EFD">
      <w:pPr>
        <w:spacing w:before="120" w:after="120" w:line="360" w:lineRule="auto"/>
        <w:ind w:left="284"/>
        <w:jc w:val="center"/>
        <w:rPr>
          <w:rFonts w:asciiTheme="majorHAnsi" w:hAnsiTheme="majorHAnsi" w:cstheme="majorHAnsi"/>
          <w:sz w:val="22"/>
          <w:szCs w:val="22"/>
        </w:rPr>
      </w:pPr>
    </w:p>
    <w:p w14:paraId="177F093C">
      <w:pPr>
        <w:spacing w:before="120" w:after="120" w:line="360" w:lineRule="auto"/>
        <w:ind w:left="284"/>
        <w:jc w:val="center"/>
        <w:rPr>
          <w:rFonts w:asciiTheme="majorHAnsi" w:hAnsiTheme="majorHAnsi" w:cstheme="majorHAnsi"/>
          <w:sz w:val="22"/>
          <w:szCs w:val="22"/>
        </w:rPr>
      </w:pPr>
    </w:p>
    <w:p w14:paraId="7F91F48C">
      <w:pPr>
        <w:spacing w:before="120" w:after="120" w:line="360" w:lineRule="auto"/>
        <w:ind w:left="284"/>
        <w:jc w:val="center"/>
        <w:rPr>
          <w:rFonts w:asciiTheme="majorHAnsi" w:hAnsiTheme="majorHAnsi" w:cstheme="majorHAnsi"/>
          <w:sz w:val="22"/>
          <w:szCs w:val="22"/>
        </w:rPr>
      </w:pPr>
    </w:p>
    <w:p w14:paraId="1D5F9014">
      <w:pPr>
        <w:spacing w:before="120" w:after="120" w:line="360" w:lineRule="auto"/>
        <w:ind w:left="284"/>
        <w:jc w:val="center"/>
        <w:rPr>
          <w:rFonts w:asciiTheme="majorHAnsi" w:hAnsiTheme="majorHAnsi" w:cstheme="majorHAnsi"/>
          <w:sz w:val="22"/>
          <w:szCs w:val="22"/>
        </w:rPr>
      </w:pPr>
    </w:p>
    <w:p w14:paraId="7627146C">
      <w:pPr>
        <w:spacing w:before="120" w:after="120" w:line="360" w:lineRule="auto"/>
        <w:ind w:left="284"/>
        <w:jc w:val="center"/>
        <w:rPr>
          <w:rFonts w:asciiTheme="majorHAnsi" w:hAnsiTheme="majorHAnsi" w:cstheme="majorHAnsi"/>
          <w:sz w:val="22"/>
          <w:szCs w:val="22"/>
        </w:rPr>
      </w:pPr>
    </w:p>
    <w:p w14:paraId="5447662C">
      <w:pPr>
        <w:spacing w:before="120" w:after="120" w:line="360" w:lineRule="auto"/>
        <w:ind w:left="284"/>
        <w:jc w:val="center"/>
        <w:rPr>
          <w:rFonts w:asciiTheme="majorHAnsi" w:hAnsiTheme="majorHAnsi" w:cstheme="majorHAnsi"/>
          <w:sz w:val="22"/>
          <w:szCs w:val="22"/>
        </w:rPr>
      </w:pPr>
    </w:p>
    <w:p w14:paraId="52279866">
      <w:pPr>
        <w:spacing w:line="360" w:lineRule="auto"/>
        <w:ind w:left="284"/>
        <w:jc w:val="center"/>
        <w:rPr>
          <w:rFonts w:asciiTheme="majorHAnsi" w:hAnsiTheme="majorHAnsi" w:cstheme="majorHAnsi"/>
          <w:b/>
          <w:sz w:val="22"/>
          <w:szCs w:val="22"/>
          <w:u w:val="single"/>
        </w:rPr>
      </w:pPr>
    </w:p>
    <w:p w14:paraId="540E68E8">
      <w:pPr>
        <w:spacing w:line="360" w:lineRule="auto"/>
        <w:ind w:left="284"/>
        <w:jc w:val="center"/>
        <w:rPr>
          <w:rFonts w:asciiTheme="majorHAnsi" w:hAnsiTheme="majorHAnsi" w:cstheme="majorHAnsi"/>
          <w:b/>
          <w:sz w:val="22"/>
          <w:szCs w:val="22"/>
          <w:u w:val="single"/>
        </w:rPr>
      </w:pPr>
      <w:r>
        <w:rPr>
          <w:rFonts w:asciiTheme="majorHAnsi" w:hAnsiTheme="majorHAnsi" w:cstheme="majorHAnsi"/>
          <w:b/>
          <w:sz w:val="22"/>
          <w:szCs w:val="22"/>
          <w:u w:val="single"/>
        </w:rPr>
        <w:t>ANEXO IV</w:t>
      </w:r>
    </w:p>
    <w:p w14:paraId="47DB5CAE">
      <w:pPr>
        <w:spacing w:line="360" w:lineRule="auto"/>
        <w:ind w:left="284"/>
        <w:jc w:val="center"/>
        <w:rPr>
          <w:rFonts w:asciiTheme="majorHAnsi" w:hAnsiTheme="majorHAnsi" w:cstheme="majorHAnsi"/>
          <w:b/>
          <w:color w:val="FF0000"/>
          <w:sz w:val="22"/>
          <w:szCs w:val="22"/>
          <w:u w:val="single"/>
        </w:rPr>
      </w:pPr>
      <w:r>
        <w:rPr>
          <w:rFonts w:asciiTheme="majorHAnsi" w:hAnsiTheme="majorHAnsi" w:cstheme="majorHAnsi"/>
          <w:b/>
          <w:sz w:val="22"/>
          <w:szCs w:val="22"/>
          <w:u w:val="single"/>
        </w:rPr>
        <w:t xml:space="preserve">MINUTA DA ATA DE REGISTRO DE PREÇOS Nº </w:t>
      </w:r>
      <w:r>
        <w:rPr>
          <w:rFonts w:asciiTheme="majorHAnsi" w:hAnsiTheme="majorHAnsi" w:cstheme="majorHAnsi"/>
          <w:b/>
          <w:color w:val="FF0000"/>
          <w:sz w:val="22"/>
          <w:szCs w:val="22"/>
          <w:u w:val="single"/>
        </w:rPr>
        <w:t>XX/XX</w:t>
      </w:r>
    </w:p>
    <w:p w14:paraId="457F553B">
      <w:pPr>
        <w:spacing w:line="360" w:lineRule="auto"/>
        <w:ind w:left="284"/>
        <w:jc w:val="center"/>
        <w:rPr>
          <w:rFonts w:asciiTheme="majorHAnsi" w:hAnsiTheme="majorHAnsi" w:cstheme="majorHAnsi"/>
          <w:b/>
          <w:sz w:val="22"/>
          <w:szCs w:val="22"/>
          <w:u w:val="single"/>
        </w:rPr>
      </w:pPr>
    </w:p>
    <w:p w14:paraId="40F57FFE">
      <w:pPr>
        <w:spacing w:line="360" w:lineRule="auto"/>
        <w:ind w:left="284"/>
        <w:jc w:val="center"/>
        <w:rPr>
          <w:rFonts w:asciiTheme="majorHAnsi" w:hAnsiTheme="majorHAnsi" w:cstheme="majorHAnsi"/>
          <w:b/>
          <w:sz w:val="22"/>
          <w:szCs w:val="22"/>
          <w:u w:val="single"/>
        </w:rPr>
      </w:pPr>
    </w:p>
    <w:p w14:paraId="253BF8A9">
      <w:pPr>
        <w:spacing w:line="360" w:lineRule="auto"/>
        <w:jc w:val="both"/>
        <w:rPr>
          <w:rFonts w:asciiTheme="majorHAnsi" w:hAnsiTheme="majorHAnsi" w:cstheme="majorHAnsi"/>
          <w:b/>
          <w:color w:val="FF0000"/>
          <w:sz w:val="22"/>
          <w:szCs w:val="22"/>
        </w:rPr>
      </w:pPr>
      <w:r>
        <w:rPr>
          <w:rFonts w:asciiTheme="majorHAnsi" w:hAnsiTheme="majorHAnsi" w:cstheme="majorHAnsi"/>
          <w:b/>
          <w:sz w:val="22"/>
          <w:szCs w:val="22"/>
        </w:rPr>
        <w:t xml:space="preserve">Processo Administrativo n° </w:t>
      </w:r>
      <w:r>
        <w:rPr>
          <w:rFonts w:asciiTheme="majorHAnsi" w:hAnsiTheme="majorHAnsi" w:cstheme="majorHAnsi"/>
          <w:b/>
          <w:color w:val="FF0000"/>
          <w:sz w:val="22"/>
          <w:szCs w:val="22"/>
        </w:rPr>
        <w:t>23066.033818/2026-97</w:t>
      </w:r>
    </w:p>
    <w:p w14:paraId="08BF2684">
      <w:pPr>
        <w:spacing w:line="360" w:lineRule="auto"/>
        <w:jc w:val="both"/>
        <w:rPr>
          <w:rFonts w:asciiTheme="majorHAnsi" w:hAnsiTheme="majorHAnsi" w:cstheme="majorHAnsi"/>
          <w:b/>
          <w:color w:val="FF0000"/>
          <w:sz w:val="22"/>
          <w:szCs w:val="22"/>
        </w:rPr>
      </w:pPr>
      <w:r>
        <w:rPr>
          <w:rFonts w:asciiTheme="majorHAnsi" w:hAnsiTheme="majorHAnsi" w:cstheme="majorHAnsi"/>
          <w:b/>
          <w:sz w:val="22"/>
          <w:szCs w:val="22"/>
        </w:rPr>
        <w:t xml:space="preserve">Ata de Registro de Preços nº </w:t>
      </w:r>
      <w:r>
        <w:rPr>
          <w:rFonts w:asciiTheme="majorHAnsi" w:hAnsiTheme="majorHAnsi" w:cstheme="majorHAnsi"/>
          <w:b/>
          <w:color w:val="FF0000"/>
          <w:sz w:val="22"/>
          <w:szCs w:val="22"/>
        </w:rPr>
        <w:t>XX/XXXX</w:t>
      </w:r>
    </w:p>
    <w:p w14:paraId="2835557E">
      <w:pPr>
        <w:spacing w:line="360" w:lineRule="auto"/>
        <w:jc w:val="both"/>
        <w:rPr>
          <w:rFonts w:asciiTheme="majorHAnsi" w:hAnsiTheme="majorHAnsi" w:cstheme="majorHAnsi"/>
          <w:b/>
          <w:sz w:val="22"/>
          <w:szCs w:val="22"/>
        </w:rPr>
      </w:pPr>
    </w:p>
    <w:p w14:paraId="211D9DD0">
      <w:pPr>
        <w:spacing w:line="360" w:lineRule="auto"/>
        <w:jc w:val="center"/>
        <w:rPr>
          <w:rFonts w:asciiTheme="majorHAnsi" w:hAnsiTheme="majorHAnsi" w:cstheme="majorHAnsi"/>
          <w:b/>
          <w:sz w:val="22"/>
          <w:szCs w:val="22"/>
        </w:rPr>
      </w:pPr>
    </w:p>
    <w:p w14:paraId="083C02A4">
      <w:pPr>
        <w:spacing w:before="120" w:after="120"/>
        <w:jc w:val="both"/>
        <w:rPr>
          <w:rFonts w:asciiTheme="majorHAnsi" w:hAnsiTheme="majorHAnsi" w:cstheme="majorHAnsi"/>
          <w:b/>
          <w:sz w:val="22"/>
          <w:szCs w:val="22"/>
        </w:rPr>
      </w:pPr>
      <w:r>
        <w:rPr>
          <w:rFonts w:asciiTheme="majorHAnsi" w:hAnsiTheme="majorHAnsi" w:cstheme="majorHAnsi"/>
          <w:sz w:val="22"/>
          <w:szCs w:val="22"/>
          <w:lang w:eastAsia="ar-SA"/>
        </w:rPr>
        <w:t xml:space="preserve">A </w:t>
      </w:r>
      <w:r>
        <w:rPr>
          <w:rFonts w:asciiTheme="majorHAnsi" w:hAnsiTheme="majorHAnsi" w:cstheme="majorHAnsi"/>
          <w:b/>
          <w:color w:val="FF0000"/>
          <w:sz w:val="22"/>
          <w:szCs w:val="22"/>
        </w:rPr>
        <w:t>UNIVERSIDADE FEDERAL DA BAHIA</w:t>
      </w:r>
      <w:r>
        <w:rPr>
          <w:rFonts w:asciiTheme="majorHAnsi" w:hAnsiTheme="majorHAnsi" w:cstheme="majorHAnsi"/>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color w:val="FF0000"/>
          <w:sz w:val="22"/>
          <w:szCs w:val="22"/>
        </w:rPr>
        <w:t>COMPLEXO HOSPITALAR E DE SAÚDE/UFBA</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inscrito no CNPJ/MF sob n.º </w:t>
      </w:r>
      <w:r>
        <w:rPr>
          <w:rFonts w:asciiTheme="majorHAnsi" w:hAnsiTheme="majorHAnsi" w:cstheme="majorHAnsi"/>
          <w:color w:val="FF0000"/>
          <w:sz w:val="22"/>
          <w:szCs w:val="22"/>
        </w:rPr>
        <w:t>15.180.714/0005-20</w:t>
      </w:r>
      <w:r>
        <w:rPr>
          <w:rFonts w:asciiTheme="majorHAnsi" w:hAnsiTheme="majorHAnsi" w:cstheme="majorHAnsi"/>
          <w:sz w:val="22"/>
          <w:szCs w:val="22"/>
        </w:rPr>
        <w:t xml:space="preserve">, com sede na </w:t>
      </w:r>
      <w:r>
        <w:rPr>
          <w:rFonts w:asciiTheme="majorHAnsi" w:hAnsiTheme="majorHAnsi" w:cstheme="majorHAnsi"/>
          <w:color w:val="FF0000"/>
          <w:sz w:val="22"/>
          <w:szCs w:val="22"/>
        </w:rPr>
        <w:t>Rua Barão de Jeremoabo, PAF IV, 1 andar, Ondina , CEP 40170-115, Ondina, Salvador -Ba</w:t>
      </w:r>
      <w:r>
        <w:rPr>
          <w:rFonts w:asciiTheme="majorHAnsi" w:hAnsiTheme="majorHAnsi" w:cstheme="majorHAnsi"/>
          <w:sz w:val="22"/>
          <w:szCs w:val="22"/>
          <w:lang w:eastAsia="ar-SA"/>
        </w:rPr>
        <w:t xml:space="preserve">, neste ato representado pelo(a) </w:t>
      </w:r>
      <w:r>
        <w:rPr>
          <w:rFonts w:asciiTheme="majorHAnsi" w:hAnsiTheme="majorHAnsi" w:cstheme="majorHAnsi"/>
          <w:color w:val="FF0000"/>
          <w:sz w:val="22"/>
          <w:szCs w:val="22"/>
          <w:lang w:eastAsia="ar-SA"/>
        </w:rPr>
        <w:t xml:space="preserve">seu(ua) Ordenador(a) de Despesa Substituto(a), nomeado(a) através da Portaria </w:t>
      </w:r>
      <w:r>
        <w:rPr>
          <w:rFonts w:asciiTheme="majorHAnsi" w:hAnsiTheme="majorHAnsi" w:cstheme="majorHAnsi"/>
          <w:bCs/>
          <w:color w:val="FF0000"/>
          <w:sz w:val="22"/>
          <w:szCs w:val="22"/>
          <w:lang w:eastAsia="ar-SA"/>
        </w:rPr>
        <w:t>nº 131 de 05 de outubro de 2021</w:t>
      </w:r>
      <w:r>
        <w:rPr>
          <w:rFonts w:asciiTheme="majorHAnsi" w:hAnsiTheme="majorHAnsi" w:cstheme="majorHAnsi"/>
          <w:color w:val="FF0000"/>
          <w:sz w:val="22"/>
          <w:szCs w:val="22"/>
          <w:lang w:eastAsia="ar-SA"/>
        </w:rPr>
        <w:t xml:space="preserve">, </w:t>
      </w:r>
      <w:r>
        <w:rPr>
          <w:rFonts w:asciiTheme="majorHAnsi" w:hAnsiTheme="majorHAnsi" w:cstheme="majorHAnsi"/>
          <w:b/>
          <w:color w:val="FF0000"/>
          <w:sz w:val="22"/>
          <w:szCs w:val="22"/>
        </w:rPr>
        <w:t>DEBORAH LANDULFO MEDRADO DE VINHAES TORRES</w:t>
      </w:r>
      <w:r>
        <w:rPr>
          <w:rFonts w:asciiTheme="majorHAnsi" w:hAnsiTheme="majorHAnsi" w:cstheme="majorHAnsi"/>
          <w:color w:val="FF0000"/>
          <w:sz w:val="22"/>
          <w:szCs w:val="22"/>
        </w:rPr>
        <w:t>, matrícula SIAPE 8285469</w:t>
      </w:r>
      <w:r>
        <w:rPr>
          <w:rFonts w:asciiTheme="majorHAnsi" w:hAnsiTheme="majorHAnsi" w:cstheme="majorHAnsi"/>
          <w:sz w:val="22"/>
          <w:szCs w:val="22"/>
        </w:rPr>
        <w:t xml:space="preserve">, considerando o julgamento da </w:t>
      </w:r>
      <w:r>
        <w:rPr>
          <w:rFonts w:asciiTheme="majorHAnsi" w:hAnsiTheme="majorHAnsi" w:cstheme="majorHAnsi"/>
          <w:color w:val="FF0000"/>
          <w:sz w:val="22"/>
          <w:szCs w:val="22"/>
        </w:rPr>
        <w:t xml:space="preserve">licitação na modalidade de pregão, na forma </w:t>
      </w:r>
      <w:r>
        <w:rPr>
          <w:rFonts w:asciiTheme="majorHAnsi" w:hAnsiTheme="majorHAnsi" w:cstheme="majorHAnsi"/>
          <w:iCs/>
          <w:color w:val="FF0000"/>
          <w:sz w:val="22"/>
          <w:szCs w:val="22"/>
        </w:rPr>
        <w:t>eletrônica</w:t>
      </w:r>
      <w:r>
        <w:rPr>
          <w:rFonts w:asciiTheme="majorHAnsi" w:hAnsiTheme="majorHAnsi" w:cstheme="majorHAnsi"/>
          <w:sz w:val="22"/>
          <w:szCs w:val="22"/>
        </w:rPr>
        <w:t xml:space="preserve">, para </w:t>
      </w:r>
      <w:r>
        <w:rPr>
          <w:rFonts w:asciiTheme="majorHAnsi" w:hAnsiTheme="majorHAnsi" w:cstheme="majorHAnsi"/>
          <w:b/>
          <w:sz w:val="22"/>
          <w:szCs w:val="22"/>
        </w:rPr>
        <w:t>REGISTRO DE PREÇOS</w:t>
      </w:r>
      <w:r>
        <w:rPr>
          <w:rFonts w:asciiTheme="majorHAnsi" w:hAnsiTheme="majorHAnsi" w:cstheme="majorHAnsi"/>
          <w:sz w:val="22"/>
          <w:szCs w:val="22"/>
        </w:rPr>
        <w:t xml:space="preserve"> nº </w:t>
      </w:r>
      <w:r>
        <w:rPr>
          <w:rFonts w:asciiTheme="majorHAnsi" w:hAnsiTheme="majorHAnsi" w:cstheme="majorHAnsi"/>
          <w:b/>
          <w:color w:val="FF0000"/>
          <w:sz w:val="22"/>
          <w:szCs w:val="22"/>
        </w:rPr>
        <w:t>90086/2026</w:t>
      </w:r>
      <w:r>
        <w:rPr>
          <w:rFonts w:asciiTheme="majorHAnsi" w:hAnsiTheme="majorHAnsi" w:cstheme="majorHAnsi"/>
          <w:sz w:val="22"/>
          <w:szCs w:val="22"/>
        </w:rPr>
        <w:t xml:space="preserve">, publicada no ...... de ...../...../200....., processo administrativo </w:t>
      </w:r>
      <w:r>
        <w:rPr>
          <w:rFonts w:asciiTheme="majorHAnsi" w:hAnsiTheme="majorHAnsi" w:cstheme="majorHAnsi"/>
          <w:b/>
          <w:sz w:val="22"/>
          <w:szCs w:val="22"/>
        </w:rPr>
        <w:t xml:space="preserve">nº </w:t>
      </w:r>
      <w:r>
        <w:rPr>
          <w:rFonts w:asciiTheme="majorHAnsi" w:hAnsiTheme="majorHAnsi" w:cstheme="majorHAnsi"/>
          <w:b/>
          <w:color w:val="FF0000"/>
          <w:sz w:val="22"/>
          <w:szCs w:val="22"/>
        </w:rPr>
        <w:t>23066.033818/2026-97</w:t>
      </w:r>
      <w:r>
        <w:rPr>
          <w:rFonts w:asciiTheme="majorHAnsi" w:hAnsiTheme="majorHAnsi" w:cstheme="majorHAnsi"/>
          <w:sz w:val="22"/>
          <w:szCs w:val="22"/>
        </w:rPr>
        <w:t xml:space="preserve">, RESOLVE registrar os preços da(s)  empresa(s) indicada(s) e qualificada(s) nesta ATA, de acordo com a classificação por ela(s) alcançada(s) e na(s)  quantidade(s)  cotada(s), atendendo as condições previstas no </w:t>
      </w:r>
      <w:r>
        <w:rPr>
          <w:rFonts w:asciiTheme="majorHAnsi" w:hAnsiTheme="majorHAnsi" w:cstheme="majorHAnsi"/>
          <w:color w:val="FF0000"/>
          <w:sz w:val="22"/>
          <w:szCs w:val="22"/>
        </w:rPr>
        <w:t>Edital de licitação</w:t>
      </w:r>
      <w:r>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013E0B66">
      <w:pPr>
        <w:spacing w:line="360" w:lineRule="auto"/>
        <w:jc w:val="both"/>
        <w:rPr>
          <w:rFonts w:asciiTheme="majorHAnsi" w:hAnsiTheme="majorHAnsi" w:cstheme="majorHAnsi"/>
          <w:sz w:val="22"/>
          <w:szCs w:val="22"/>
        </w:rPr>
      </w:pPr>
    </w:p>
    <w:p w14:paraId="4447F5E9">
      <w:pPr>
        <w:pStyle w:val="38"/>
        <w:numPr>
          <w:ilvl w:val="0"/>
          <w:numId w:val="20"/>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DO OBJETO</w:t>
      </w:r>
    </w:p>
    <w:p w14:paraId="17B1CBC8">
      <w:pPr>
        <w:widowControl w:val="0"/>
        <w:numPr>
          <w:ilvl w:val="1"/>
          <w:numId w:val="21"/>
        </w:numPr>
        <w:suppressAutoHyphens/>
        <w:spacing w:before="120" w:after="120" w:line="360" w:lineRule="auto"/>
        <w:ind w:left="0"/>
        <w:jc w:val="both"/>
        <w:rPr>
          <w:rFonts w:asciiTheme="majorHAnsi" w:hAnsiTheme="majorHAnsi" w:cstheme="majorHAnsi"/>
          <w:sz w:val="22"/>
          <w:szCs w:val="22"/>
        </w:rPr>
      </w:pPr>
      <w:r>
        <w:rPr>
          <w:rFonts w:asciiTheme="majorHAnsi" w:hAnsiTheme="majorHAnsi" w:cstheme="majorHAnsi"/>
          <w:sz w:val="22"/>
          <w:szCs w:val="22"/>
        </w:rPr>
        <w:t>A presente Ata tem por objeto o registro de preços para a eventual contratação</w:t>
      </w:r>
      <w:r>
        <w:rPr>
          <w:rFonts w:asciiTheme="majorHAnsi" w:hAnsiTheme="majorHAnsi" w:cstheme="majorHAnsi"/>
          <w:b/>
          <w:caps/>
          <w:sz w:val="22"/>
          <w:szCs w:val="22"/>
        </w:rPr>
        <w:t xml:space="preserve"> </w:t>
      </w:r>
      <w:r>
        <w:rPr>
          <w:rFonts w:asciiTheme="majorHAnsi" w:hAnsiTheme="majorHAnsi" w:cstheme="majorHAnsi"/>
          <w:sz w:val="22"/>
          <w:szCs w:val="22"/>
        </w:rPr>
        <w:t xml:space="preserve">de </w:t>
      </w:r>
      <w:r>
        <w:rPr>
          <w:rFonts w:asciiTheme="majorHAnsi" w:hAnsiTheme="majorHAnsi" w:cstheme="majorHAnsi"/>
          <w:b/>
          <w:bCs/>
          <w:color w:val="FF0000"/>
          <w:sz w:val="22"/>
          <w:szCs w:val="22"/>
        </w:rPr>
        <w:t>AQUISIÇÃO DE MATERIAL MÉDICO HOSPITALAR</w:t>
      </w:r>
      <w:r>
        <w:rPr>
          <w:rFonts w:asciiTheme="majorHAnsi" w:hAnsiTheme="majorHAnsi" w:cstheme="majorHAnsi"/>
          <w:bCs/>
          <w:color w:val="FF0000"/>
          <w:sz w:val="22"/>
          <w:szCs w:val="22"/>
        </w:rPr>
        <w:t>,</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visando atender as necessidades do Hospital Ana Nery, unidade integrante do Complexo Hospitalar e de Saúde/UFBA, especificado (s) no(s) item (ns) .......... do Termo de Referência, Anexo </w:t>
      </w:r>
      <w:r>
        <w:rPr>
          <w:rFonts w:asciiTheme="majorHAnsi" w:hAnsiTheme="majorHAnsi" w:cstheme="majorHAnsi"/>
          <w:color w:val="FF0000"/>
          <w:sz w:val="22"/>
          <w:szCs w:val="22"/>
        </w:rPr>
        <w:t>I</w:t>
      </w:r>
      <w:r>
        <w:rPr>
          <w:rFonts w:asciiTheme="majorHAnsi" w:hAnsiTheme="majorHAnsi" w:cstheme="majorHAnsi"/>
          <w:sz w:val="22"/>
          <w:szCs w:val="22"/>
        </w:rPr>
        <w:t xml:space="preserve"> do </w:t>
      </w:r>
      <w:r>
        <w:rPr>
          <w:rFonts w:asciiTheme="majorHAnsi" w:hAnsiTheme="majorHAnsi" w:cstheme="majorHAnsi"/>
          <w:color w:val="FF0000"/>
          <w:sz w:val="22"/>
          <w:szCs w:val="22"/>
        </w:rPr>
        <w:t>Edital de Licitação nº</w:t>
      </w:r>
      <w:r>
        <w:rPr>
          <w:rFonts w:asciiTheme="majorHAnsi" w:hAnsiTheme="majorHAnsi" w:cstheme="majorHAnsi"/>
          <w:sz w:val="22"/>
          <w:szCs w:val="22"/>
        </w:rPr>
        <w:t xml:space="preserve"> </w:t>
      </w:r>
      <w:r>
        <w:rPr>
          <w:rFonts w:asciiTheme="majorHAnsi" w:hAnsiTheme="majorHAnsi" w:cstheme="majorHAnsi"/>
          <w:b/>
          <w:color w:val="FF0000"/>
          <w:sz w:val="22"/>
          <w:szCs w:val="22"/>
        </w:rPr>
        <w:t>90086/2026</w:t>
      </w:r>
      <w:r>
        <w:rPr>
          <w:rFonts w:asciiTheme="majorHAnsi" w:hAnsiTheme="majorHAnsi" w:cstheme="majorHAnsi"/>
          <w:color w:val="FF0000"/>
          <w:sz w:val="22"/>
          <w:szCs w:val="22"/>
        </w:rPr>
        <w:t xml:space="preserve">, </w:t>
      </w:r>
      <w:r>
        <w:rPr>
          <w:rFonts w:asciiTheme="majorHAnsi" w:hAnsiTheme="majorHAnsi" w:cstheme="majorHAnsi"/>
          <w:sz w:val="22"/>
          <w:szCs w:val="22"/>
        </w:rPr>
        <w:t>que é parte integrante desta Ata, assim como as propostas cujos preços tenham sido registrados, independentemente de transcrição.</w:t>
      </w:r>
    </w:p>
    <w:p w14:paraId="1AE37852">
      <w:pPr>
        <w:widowControl w:val="0"/>
        <w:suppressAutoHyphens/>
        <w:spacing w:before="120" w:after="120" w:line="360" w:lineRule="auto"/>
        <w:jc w:val="both"/>
        <w:rPr>
          <w:rFonts w:asciiTheme="majorHAnsi" w:hAnsiTheme="majorHAnsi" w:cstheme="majorHAnsi"/>
          <w:sz w:val="22"/>
          <w:szCs w:val="22"/>
        </w:rPr>
      </w:pPr>
    </w:p>
    <w:p w14:paraId="238BB244">
      <w:pPr>
        <w:pStyle w:val="38"/>
        <w:numPr>
          <w:ilvl w:val="0"/>
          <w:numId w:val="20"/>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 xml:space="preserve"> DOS PREÇOS, ESPECIFICAÇÕES E QUANTITATIVOS</w:t>
      </w:r>
    </w:p>
    <w:p w14:paraId="41429153">
      <w:pPr>
        <w:pStyle w:val="70"/>
        <w:numPr>
          <w:ilvl w:val="1"/>
          <w:numId w:val="20"/>
        </w:numPr>
        <w:rPr>
          <w:rFonts w:asciiTheme="majorHAnsi" w:hAnsiTheme="majorHAnsi" w:cstheme="majorHAnsi"/>
        </w:rPr>
      </w:pPr>
      <w:r>
        <w:rPr>
          <w:rFonts w:asciiTheme="majorHAnsi" w:hAnsiTheme="majorHAnsi" w:cstheme="majorHAnsi"/>
        </w:rPr>
        <w:t xml:space="preserve">O preço registrado, as especificações do objeto, as quantidades mínimas e máximas de cada item, fornecedor (es) e as demais condições ofertadas na(s) proposta(s) são as que seguem: </w:t>
      </w:r>
    </w:p>
    <w:tbl>
      <w:tblPr>
        <w:tblStyle w:val="10"/>
        <w:tblW w:w="10065" w:type="dxa"/>
        <w:tblInd w:w="-145" w:type="dxa"/>
        <w:tblLayout w:type="fixed"/>
        <w:tblCellMar>
          <w:top w:w="0" w:type="dxa"/>
          <w:left w:w="10" w:type="dxa"/>
          <w:bottom w:w="0" w:type="dxa"/>
          <w:right w:w="10" w:type="dxa"/>
        </w:tblCellMar>
      </w:tblPr>
      <w:tblGrid>
        <w:gridCol w:w="993"/>
        <w:gridCol w:w="1263"/>
        <w:gridCol w:w="1253"/>
        <w:gridCol w:w="1541"/>
        <w:gridCol w:w="1121"/>
        <w:gridCol w:w="1121"/>
        <w:gridCol w:w="841"/>
        <w:gridCol w:w="841"/>
        <w:gridCol w:w="1091"/>
      </w:tblGrid>
      <w:tr w14:paraId="5A6E57BC">
        <w:tblPrEx>
          <w:tblCellMar>
            <w:top w:w="0" w:type="dxa"/>
            <w:left w:w="10" w:type="dxa"/>
            <w:bottom w:w="0" w:type="dxa"/>
            <w:right w:w="10" w:type="dxa"/>
          </w:tblCellMar>
        </w:tblPrEx>
        <w:trPr>
          <w:trHeight w:val="869" w:hRule="atLeast"/>
        </w:trPr>
        <w:tc>
          <w:tcPr>
            <w:tcW w:w="993" w:type="dxa"/>
            <w:tcBorders>
              <w:top w:val="single" w:color="000000" w:sz="2" w:space="0"/>
              <w:left w:val="single" w:color="000000" w:sz="2" w:space="0"/>
              <w:bottom w:val="single" w:color="000000" w:sz="2" w:space="0"/>
              <w:right w:val="single" w:color="000000" w:sz="2" w:space="0"/>
            </w:tcBorders>
            <w:vAlign w:val="center"/>
          </w:tcPr>
          <w:p w14:paraId="31CE06F4">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Item</w:t>
            </w:r>
          </w:p>
          <w:p w14:paraId="47ED8466">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do</w:t>
            </w:r>
          </w:p>
          <w:p w14:paraId="7DFD1B03">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TR</w:t>
            </w:r>
          </w:p>
        </w:tc>
        <w:tc>
          <w:tcPr>
            <w:tcW w:w="9072" w:type="dxa"/>
            <w:gridSpan w:val="8"/>
            <w:tcBorders>
              <w:top w:val="single" w:color="000000" w:sz="2" w:space="0"/>
              <w:left w:val="single" w:color="000000" w:sz="2" w:space="0"/>
              <w:bottom w:val="single" w:color="000000" w:sz="2" w:space="0"/>
              <w:right w:val="single" w:color="000000" w:sz="2" w:space="0"/>
            </w:tcBorders>
          </w:tcPr>
          <w:p w14:paraId="720239BF">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Fornecedor </w:t>
            </w:r>
            <w:r>
              <w:rPr>
                <w:rFonts w:asciiTheme="majorHAnsi" w:hAnsiTheme="majorHAnsi" w:cstheme="majorHAnsi"/>
                <w:i/>
                <w:color w:val="FF0000"/>
                <w:sz w:val="22"/>
                <w:szCs w:val="22"/>
              </w:rPr>
              <w:t>[razão social, CNPJ/MF, endereço, contatos, representante]</w:t>
            </w:r>
          </w:p>
        </w:tc>
      </w:tr>
      <w:tr w14:paraId="19516690">
        <w:tblPrEx>
          <w:tblCellMar>
            <w:top w:w="0" w:type="dxa"/>
            <w:left w:w="10" w:type="dxa"/>
            <w:bottom w:w="0" w:type="dxa"/>
            <w:right w:w="10" w:type="dxa"/>
          </w:tblCellMar>
        </w:tblPrEx>
        <w:trPr>
          <w:trHeight w:val="674" w:hRule="atLeast"/>
        </w:trPr>
        <w:tc>
          <w:tcPr>
            <w:tcW w:w="993" w:type="dxa"/>
            <w:tcBorders>
              <w:top w:val="nil"/>
              <w:left w:val="single" w:color="000000" w:sz="2" w:space="0"/>
              <w:bottom w:val="single" w:color="000000" w:sz="2" w:space="0"/>
              <w:right w:val="nil"/>
            </w:tcBorders>
            <w:vAlign w:val="center"/>
          </w:tcPr>
          <w:p w14:paraId="5628B12B">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X</w:t>
            </w:r>
          </w:p>
        </w:tc>
        <w:tc>
          <w:tcPr>
            <w:tcW w:w="1263" w:type="dxa"/>
            <w:tcBorders>
              <w:top w:val="nil"/>
              <w:left w:val="single" w:color="000000" w:sz="2" w:space="0"/>
              <w:bottom w:val="single" w:color="000000" w:sz="2" w:space="0"/>
              <w:right w:val="nil"/>
            </w:tcBorders>
          </w:tcPr>
          <w:p w14:paraId="7221B1B5">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1253" w:type="dxa"/>
            <w:tcBorders>
              <w:top w:val="nil"/>
              <w:left w:val="single" w:color="000000" w:sz="2" w:space="0"/>
              <w:bottom w:val="single" w:color="000000" w:sz="2" w:space="0"/>
              <w:right w:val="nil"/>
            </w:tcBorders>
          </w:tcPr>
          <w:p w14:paraId="11AB6CF6">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Marca </w:t>
            </w:r>
          </w:p>
          <w:p w14:paraId="787FC4BF">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exigida no edital)</w:t>
            </w:r>
          </w:p>
        </w:tc>
        <w:tc>
          <w:tcPr>
            <w:tcW w:w="1541" w:type="dxa"/>
            <w:tcBorders>
              <w:top w:val="nil"/>
              <w:left w:val="single" w:color="000000" w:sz="2" w:space="0"/>
              <w:bottom w:val="single" w:color="000000" w:sz="2" w:space="0"/>
              <w:right w:val="nil"/>
            </w:tcBorders>
          </w:tcPr>
          <w:p w14:paraId="58ABDA1B">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Modelo</w:t>
            </w:r>
          </w:p>
          <w:p w14:paraId="53DB2E6D">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exigido no edital)</w:t>
            </w:r>
          </w:p>
        </w:tc>
        <w:tc>
          <w:tcPr>
            <w:tcW w:w="1121" w:type="dxa"/>
            <w:tcBorders>
              <w:top w:val="nil"/>
              <w:left w:val="single" w:color="000000" w:sz="2" w:space="0"/>
              <w:bottom w:val="single" w:color="000000" w:sz="2" w:space="0"/>
              <w:right w:val="nil"/>
            </w:tcBorders>
          </w:tcPr>
          <w:p w14:paraId="1A90E5AA">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Unidade</w:t>
            </w:r>
          </w:p>
        </w:tc>
        <w:tc>
          <w:tcPr>
            <w:tcW w:w="1121" w:type="dxa"/>
            <w:tcBorders>
              <w:top w:val="nil"/>
              <w:left w:val="single" w:color="000000" w:sz="2" w:space="0"/>
              <w:bottom w:val="single" w:color="000000" w:sz="2" w:space="0"/>
              <w:right w:val="nil"/>
            </w:tcBorders>
          </w:tcPr>
          <w:p w14:paraId="43C76AF9">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ype="textWrapping"/>
            </w:r>
            <w:r>
              <w:rPr>
                <w:rFonts w:asciiTheme="majorHAnsi" w:hAnsiTheme="majorHAnsi" w:cstheme="majorHAnsi"/>
                <w:sz w:val="22"/>
                <w:szCs w:val="22"/>
              </w:rPr>
              <w:t>Máxima</w:t>
            </w:r>
          </w:p>
        </w:tc>
        <w:tc>
          <w:tcPr>
            <w:tcW w:w="841" w:type="dxa"/>
            <w:tcBorders>
              <w:top w:val="nil"/>
              <w:left w:val="single" w:color="000000" w:sz="2" w:space="0"/>
              <w:bottom w:val="single" w:color="000000" w:sz="2" w:space="0"/>
              <w:right w:val="single" w:color="000000" w:sz="2" w:space="0"/>
            </w:tcBorders>
          </w:tcPr>
          <w:p w14:paraId="545F9F7B">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ype="textWrapping"/>
            </w:r>
            <w:r>
              <w:rPr>
                <w:rFonts w:asciiTheme="majorHAnsi" w:hAnsiTheme="majorHAnsi" w:cstheme="majorHAnsi"/>
                <w:sz w:val="22"/>
                <w:szCs w:val="22"/>
              </w:rPr>
              <w:t>Mínima</w:t>
            </w:r>
          </w:p>
        </w:tc>
        <w:tc>
          <w:tcPr>
            <w:tcW w:w="841" w:type="dxa"/>
            <w:tcBorders>
              <w:top w:val="nil"/>
              <w:left w:val="single" w:color="000000" w:sz="2" w:space="0"/>
              <w:bottom w:val="single" w:color="000000" w:sz="2" w:space="0"/>
              <w:right w:val="nil"/>
            </w:tcBorders>
          </w:tcPr>
          <w:p w14:paraId="73762765">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Valor</w:t>
            </w:r>
            <w:r>
              <w:rPr>
                <w:rFonts w:asciiTheme="majorHAnsi" w:hAnsiTheme="majorHAnsi" w:cstheme="majorHAnsi"/>
                <w:sz w:val="22"/>
                <w:szCs w:val="22"/>
              </w:rPr>
              <w:br w:type="textWrapping"/>
            </w:r>
            <w:r>
              <w:rPr>
                <w:rFonts w:asciiTheme="majorHAnsi" w:hAnsiTheme="majorHAnsi" w:cstheme="majorHAnsi"/>
                <w:sz w:val="22"/>
                <w:szCs w:val="22"/>
              </w:rPr>
              <w:t>Unitário</w:t>
            </w:r>
          </w:p>
        </w:tc>
        <w:tc>
          <w:tcPr>
            <w:tcW w:w="1091" w:type="dxa"/>
            <w:tcBorders>
              <w:top w:val="nil"/>
              <w:left w:val="single" w:color="000000" w:sz="2" w:space="0"/>
              <w:bottom w:val="single" w:color="000000" w:sz="2" w:space="0"/>
              <w:right w:val="single" w:color="000000" w:sz="2" w:space="0"/>
            </w:tcBorders>
          </w:tcPr>
          <w:p w14:paraId="16D2353F">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14:paraId="1FAAB515">
        <w:tblPrEx>
          <w:tblCellMar>
            <w:top w:w="0" w:type="dxa"/>
            <w:left w:w="10" w:type="dxa"/>
            <w:bottom w:w="0" w:type="dxa"/>
            <w:right w:w="10" w:type="dxa"/>
          </w:tblCellMar>
        </w:tblPrEx>
        <w:trPr>
          <w:trHeight w:val="174" w:hRule="atLeast"/>
        </w:trPr>
        <w:tc>
          <w:tcPr>
            <w:tcW w:w="993" w:type="dxa"/>
            <w:tcBorders>
              <w:top w:val="nil"/>
              <w:left w:val="single" w:color="000000" w:sz="2" w:space="0"/>
              <w:bottom w:val="single" w:color="000000" w:sz="2" w:space="0"/>
              <w:right w:val="nil"/>
            </w:tcBorders>
          </w:tcPr>
          <w:p w14:paraId="62D87063">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63" w:type="dxa"/>
            <w:tcBorders>
              <w:top w:val="nil"/>
              <w:left w:val="single" w:color="000000" w:sz="2" w:space="0"/>
              <w:bottom w:val="single" w:color="000000" w:sz="2" w:space="0"/>
              <w:right w:val="nil"/>
            </w:tcBorders>
          </w:tcPr>
          <w:p w14:paraId="245C6A25">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color="000000" w:sz="2" w:space="0"/>
              <w:bottom w:val="single" w:color="000000" w:sz="2" w:space="0"/>
              <w:right w:val="nil"/>
            </w:tcBorders>
          </w:tcPr>
          <w:p w14:paraId="0860E1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color="000000" w:sz="2" w:space="0"/>
              <w:bottom w:val="single" w:color="000000" w:sz="2" w:space="0"/>
              <w:right w:val="nil"/>
            </w:tcBorders>
          </w:tcPr>
          <w:p w14:paraId="07BDF088">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color="000000" w:sz="2" w:space="0"/>
              <w:bottom w:val="single" w:color="000000" w:sz="2" w:space="0"/>
              <w:right w:val="nil"/>
            </w:tcBorders>
          </w:tcPr>
          <w:p w14:paraId="1CC1469C">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color="000000" w:sz="2" w:space="0"/>
              <w:bottom w:val="single" w:color="000000" w:sz="2" w:space="0"/>
              <w:right w:val="nil"/>
            </w:tcBorders>
          </w:tcPr>
          <w:p w14:paraId="3DBE80CD">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color="000000" w:sz="2" w:space="0"/>
              <w:bottom w:val="single" w:color="000000" w:sz="2" w:space="0"/>
              <w:right w:val="single" w:color="000000" w:sz="2" w:space="0"/>
            </w:tcBorders>
          </w:tcPr>
          <w:p w14:paraId="505FFFCE">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color="000000" w:sz="2" w:space="0"/>
              <w:bottom w:val="single" w:color="000000" w:sz="2" w:space="0"/>
              <w:right w:val="nil"/>
            </w:tcBorders>
          </w:tcPr>
          <w:p w14:paraId="0DE558AE">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91" w:type="dxa"/>
            <w:tcBorders>
              <w:top w:val="nil"/>
              <w:left w:val="single" w:color="000000" w:sz="2" w:space="0"/>
              <w:bottom w:val="single" w:color="000000" w:sz="2" w:space="0"/>
              <w:right w:val="single" w:color="000000" w:sz="2" w:space="0"/>
            </w:tcBorders>
          </w:tcPr>
          <w:p w14:paraId="3287D2B2">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72F1A5DE">
      <w:pPr>
        <w:pStyle w:val="70"/>
        <w:numPr>
          <w:ilvl w:val="1"/>
          <w:numId w:val="20"/>
        </w:numPr>
        <w:ind w:left="0" w:firstLine="426"/>
        <w:rPr>
          <w:rFonts w:asciiTheme="majorHAnsi" w:hAnsiTheme="majorHAnsi" w:cstheme="majorHAnsi"/>
        </w:rPr>
      </w:pPr>
      <w:r>
        <w:rPr>
          <w:rFonts w:asciiTheme="majorHAnsi" w:hAnsiTheme="majorHAnsi" w:cstheme="majorHAnsi"/>
        </w:rPr>
        <w:t>A listagem do cadastro de reserva referente ao presente registro de preços consta como anexo a esta Ata.</w:t>
      </w:r>
    </w:p>
    <w:p w14:paraId="3B751B2D">
      <w:pPr>
        <w:pStyle w:val="38"/>
        <w:numPr>
          <w:ilvl w:val="0"/>
          <w:numId w:val="20"/>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DA ADESÃO À ATA DE REGISTRO DE PREÇOS</w:t>
      </w:r>
    </w:p>
    <w:p w14:paraId="16A06BFC">
      <w:pPr>
        <w:pStyle w:val="70"/>
        <w:numPr>
          <w:ilvl w:val="1"/>
          <w:numId w:val="22"/>
        </w:numPr>
        <w:ind w:left="0" w:firstLine="0"/>
        <w:rPr>
          <w:rFonts w:asciiTheme="majorHAnsi" w:hAnsiTheme="majorHAnsi" w:cstheme="majorHAnsi"/>
        </w:rPr>
      </w:pPr>
      <w:r>
        <w:rPr>
          <w:rFonts w:asciiTheme="majorHAnsi" w:hAnsiTheme="majorHAnsi" w:cstheme="majorHAnsi"/>
        </w:rPr>
        <w:t>Não será admitida a adesão à ata de registro de preços decorrente desta licitação ou desta contratação direta, conforme justificativa apresentada nos estudos técnicos preliminares.</w:t>
      </w:r>
    </w:p>
    <w:p w14:paraId="235B65D6">
      <w:pPr>
        <w:pStyle w:val="70"/>
        <w:numPr>
          <w:ilvl w:val="1"/>
          <w:numId w:val="22"/>
        </w:numPr>
        <w:ind w:left="0" w:firstLine="0"/>
        <w:rPr>
          <w:rFonts w:asciiTheme="majorHAnsi" w:hAnsiTheme="majorHAnsi" w:cstheme="majorHAnsi"/>
        </w:rPr>
      </w:pPr>
      <w:r>
        <w:rPr>
          <w:rFonts w:asciiTheme="majorHAnsi" w:hAnsiTheme="majorHAnsi" w:cstheme="majorHAnsi"/>
        </w:rPr>
        <w:t>É vedado efetuar acréscimos nos quantitativos fixados na ata de registro de preços.</w:t>
      </w:r>
    </w:p>
    <w:p w14:paraId="045E7A91">
      <w:pPr>
        <w:pStyle w:val="38"/>
        <w:numPr>
          <w:ilvl w:val="0"/>
          <w:numId w:val="20"/>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VALIDADE, FORMALIZAÇÃO DA ATA DE REGISTRO DE PREÇOS E CADASTRO RESERVA</w:t>
      </w:r>
    </w:p>
    <w:p w14:paraId="3790CC84">
      <w:pPr>
        <w:pStyle w:val="70"/>
        <w:numPr>
          <w:ilvl w:val="1"/>
          <w:numId w:val="20"/>
        </w:numPr>
        <w:ind w:left="0" w:firstLine="0"/>
        <w:rPr>
          <w:rFonts w:asciiTheme="majorHAnsi" w:hAnsiTheme="majorHAnsi" w:cstheme="majorHAnsi"/>
        </w:rPr>
      </w:pPr>
      <w:r>
        <w:rPr>
          <w:rFonts w:asciiTheme="majorHAnsi" w:hAnsiTheme="majorHAnsi" w:cstheme="majorHAnsi"/>
        </w:rPr>
        <w:t xml:space="preserve">A validade da Ata de Registro de Preços será de 1 (um) ano, contado a partir do primeiro dia útil subsequente à data de divulgação no PNCP, </w:t>
      </w:r>
      <w:r>
        <w:rPr>
          <w:rFonts w:asciiTheme="majorHAnsi" w:hAnsiTheme="majorHAnsi" w:cstheme="majorHAnsi"/>
          <w:color w:val="FF0000"/>
        </w:rPr>
        <w:t>podendo ser prorrogada por igual período, mediante a anuência do fornecedor, desde que comprovado o preço vantajoso.</w:t>
      </w:r>
    </w:p>
    <w:p w14:paraId="4902B480">
      <w:pPr>
        <w:pStyle w:val="70"/>
        <w:numPr>
          <w:ilvl w:val="1"/>
          <w:numId w:val="20"/>
        </w:numPr>
        <w:ind w:left="0" w:firstLine="0"/>
        <w:rPr>
          <w:rFonts w:asciiTheme="majorHAnsi" w:hAnsiTheme="majorHAnsi" w:cstheme="majorHAnsi"/>
        </w:rPr>
      </w:pPr>
      <w:r>
        <w:rPr>
          <w:rFonts w:asciiTheme="majorHAnsi" w:hAnsiTheme="majorHAnsi" w:cstheme="majorHAnsi"/>
        </w:rPr>
        <w:t>Em caso de prorrogação da ata, poderá ser renovado o quantitativo originalmente registrado.</w:t>
      </w:r>
    </w:p>
    <w:p w14:paraId="07D37675">
      <w:pPr>
        <w:pStyle w:val="70"/>
        <w:numPr>
          <w:ilvl w:val="1"/>
          <w:numId w:val="20"/>
        </w:numPr>
        <w:ind w:left="0" w:firstLine="0"/>
        <w:rPr>
          <w:rFonts w:asciiTheme="majorHAnsi" w:hAnsiTheme="majorHAnsi" w:cstheme="majorHAnsi"/>
        </w:rPr>
      </w:pPr>
      <w:r>
        <w:rPr>
          <w:rFonts w:asciiTheme="majorHAnsi" w:hAnsiTheme="majorHAnsi" w:cstheme="majorHAnsi"/>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67425D1">
      <w:pPr>
        <w:pStyle w:val="70"/>
        <w:numPr>
          <w:ilvl w:val="1"/>
          <w:numId w:val="20"/>
        </w:numPr>
        <w:ind w:left="0" w:firstLine="0"/>
        <w:rPr>
          <w:rFonts w:asciiTheme="majorHAnsi" w:hAnsiTheme="majorHAnsi" w:cstheme="majorHAnsi"/>
        </w:rPr>
      </w:pPr>
      <w:r>
        <w:rPr>
          <w:rFonts w:asciiTheme="majorHAnsi" w:hAnsiTheme="majorHAnsi" w:cstheme="majorHAnsi"/>
        </w:rPr>
        <w:t>Na formalização do contrato ou do instrumento substituto deverá haver a indicação da disponibilidade dos créditos orçamentários respectivos.</w:t>
      </w:r>
    </w:p>
    <w:p w14:paraId="40DBAF6C">
      <w:pPr>
        <w:pStyle w:val="70"/>
        <w:numPr>
          <w:ilvl w:val="1"/>
          <w:numId w:val="20"/>
        </w:numPr>
        <w:ind w:left="0" w:firstLine="0"/>
        <w:rPr>
          <w:rFonts w:asciiTheme="majorHAnsi" w:hAnsiTheme="majorHAnsi" w:cstheme="majorHAnsi"/>
        </w:rPr>
      </w:pPr>
      <w:r>
        <w:rPr>
          <w:rFonts w:asciiTheme="majorHAnsi" w:hAnsiTheme="majorHAnsi" w:cstheme="majorHAnsi"/>
        </w:rPr>
        <w:t>A contratação com os fornecedores registrados na ata será formalizada pelo órgão ou pela en</w:t>
      </w:r>
      <w:r>
        <w:rPr>
          <w:rFonts w:eastAsia="Arial" w:asciiTheme="majorHAnsi" w:hAnsiTheme="majorHAnsi" w:cstheme="majorHAnsi"/>
        </w:rPr>
        <w:t>ti</w:t>
      </w:r>
      <w:r>
        <w:rPr>
          <w:rFonts w:asciiTheme="majorHAnsi" w:hAnsiTheme="majorHAnsi" w:cstheme="majorHAnsi"/>
        </w:rPr>
        <w:t>dade interessada por intermédio de instrumento contratual, emissão de nota de empenho de despesa, autorização de compra ou outro instrumento hábil, conforme o art. 95 da Lei nº 14.133, de 2021.</w:t>
      </w:r>
    </w:p>
    <w:p w14:paraId="46E59CAC">
      <w:pPr>
        <w:pStyle w:val="70"/>
        <w:numPr>
          <w:ilvl w:val="1"/>
          <w:numId w:val="20"/>
        </w:numPr>
        <w:ind w:left="0" w:firstLine="0"/>
        <w:rPr>
          <w:rFonts w:asciiTheme="majorHAnsi" w:hAnsiTheme="majorHAnsi" w:cstheme="majorHAnsi"/>
        </w:rPr>
      </w:pPr>
      <w:r>
        <w:rPr>
          <w:rFonts w:asciiTheme="majorHAnsi" w:hAnsiTheme="majorHAnsi" w:cstheme="majorHAnsi"/>
        </w:rPr>
        <w:t xml:space="preserve"> O instrumento contratual de que trata o item 4.2. deverá ser assinado no prazo de validade da ata de registro de preços.</w:t>
      </w:r>
    </w:p>
    <w:p w14:paraId="71B85589">
      <w:pPr>
        <w:pStyle w:val="70"/>
        <w:numPr>
          <w:ilvl w:val="1"/>
          <w:numId w:val="20"/>
        </w:numPr>
        <w:ind w:left="0" w:firstLine="0"/>
        <w:rPr>
          <w:rFonts w:asciiTheme="majorHAnsi" w:hAnsiTheme="majorHAnsi" w:cstheme="majorHAnsi"/>
        </w:rPr>
      </w:pPr>
      <w:r>
        <w:rPr>
          <w:rFonts w:asciiTheme="majorHAnsi" w:hAnsiTheme="majorHAnsi" w:cstheme="majorHAnsi"/>
        </w:rPr>
        <w:t>Os contratos decorrentes do sistema de registro de preços poderão ser alterados, observado o art. 124 da Lei nº 14.133, de 2021.</w:t>
      </w:r>
    </w:p>
    <w:p w14:paraId="47B66DEB">
      <w:pPr>
        <w:pStyle w:val="70"/>
        <w:numPr>
          <w:ilvl w:val="1"/>
          <w:numId w:val="20"/>
        </w:numPr>
        <w:ind w:left="0" w:firstLine="0"/>
        <w:rPr>
          <w:rFonts w:asciiTheme="majorHAnsi" w:hAnsiTheme="majorHAnsi" w:cstheme="majorHAnsi"/>
        </w:rPr>
      </w:pPr>
      <w:r>
        <w:rPr>
          <w:rFonts w:asciiTheme="majorHAnsi" w:hAnsiTheme="majorHAnsi" w:cstheme="majorHAnsi"/>
        </w:rPr>
        <w:t>Após a homologação da licitação ou da contratação direta, deverão ser observadas as seguintes condições para formalização da ata de registro de preços:</w:t>
      </w:r>
    </w:p>
    <w:p w14:paraId="3CA3A1AB">
      <w:pPr>
        <w:pStyle w:val="70"/>
        <w:numPr>
          <w:ilvl w:val="1"/>
          <w:numId w:val="20"/>
        </w:numPr>
        <w:ind w:left="0" w:firstLine="0"/>
        <w:rPr>
          <w:rFonts w:asciiTheme="majorHAnsi" w:hAnsiTheme="majorHAnsi" w:cstheme="majorHAnsi"/>
        </w:rPr>
      </w:pPr>
      <w:r>
        <w:rPr>
          <w:rFonts w:asciiTheme="majorHAnsi" w:hAnsiTheme="majorHAnsi" w:cstheme="majorHAnsi"/>
        </w:rPr>
        <w:t>Serão registrados na ata os preços e os quantitativos do adjudicatário, devendo ser observada a possibilidade de o licitante oferecer ou não proposta em quantitativo inferior ao máximo previsto no edital e se obrigar nos limites dela;</w:t>
      </w:r>
    </w:p>
    <w:p w14:paraId="6C7DFA08">
      <w:pPr>
        <w:pStyle w:val="70"/>
        <w:numPr>
          <w:ilvl w:val="1"/>
          <w:numId w:val="20"/>
        </w:numPr>
        <w:ind w:left="0" w:firstLine="0"/>
        <w:rPr>
          <w:rFonts w:asciiTheme="majorHAnsi" w:hAnsiTheme="majorHAnsi" w:cstheme="majorHAnsi"/>
        </w:rPr>
      </w:pPr>
      <w:r>
        <w:rPr>
          <w:rFonts w:asciiTheme="majorHAnsi" w:hAnsiTheme="majorHAnsi" w:cstheme="majorHAnsi"/>
        </w:rPr>
        <w:t>Será incluído na ata, na forma de anexo, o registro dos licitantes ou dos fornecedores que:</w:t>
      </w:r>
    </w:p>
    <w:p w14:paraId="37EDE7BD">
      <w:pPr>
        <w:pStyle w:val="70"/>
        <w:numPr>
          <w:ilvl w:val="1"/>
          <w:numId w:val="20"/>
        </w:numPr>
        <w:ind w:left="0" w:firstLine="0"/>
        <w:rPr>
          <w:rFonts w:asciiTheme="majorHAnsi" w:hAnsiTheme="majorHAnsi" w:cstheme="majorHAnsi"/>
        </w:rPr>
      </w:pPr>
      <w:r>
        <w:rPr>
          <w:rFonts w:asciiTheme="majorHAnsi" w:hAnsiTheme="majorHAnsi" w:cstheme="majorHAnsi"/>
        </w:rPr>
        <w:t xml:space="preserve">Aceitarem cotar os bens, as obras ou os serviços com preços iguais aos do adjudicatário, observada a classificação da licitação; e </w:t>
      </w:r>
    </w:p>
    <w:p w14:paraId="3CE0079D">
      <w:pPr>
        <w:pStyle w:val="70"/>
        <w:numPr>
          <w:ilvl w:val="1"/>
          <w:numId w:val="20"/>
        </w:numPr>
        <w:ind w:left="0" w:firstLine="0"/>
        <w:rPr>
          <w:rFonts w:asciiTheme="majorHAnsi" w:hAnsiTheme="majorHAnsi" w:cstheme="majorHAnsi"/>
        </w:rPr>
      </w:pPr>
      <w:r>
        <w:rPr>
          <w:rFonts w:asciiTheme="majorHAnsi" w:hAnsiTheme="majorHAnsi" w:cstheme="majorHAnsi"/>
        </w:rPr>
        <w:t xml:space="preserve">Mantiverem sua proposta original. </w:t>
      </w:r>
      <w:bookmarkStart w:id="131" w:name="cadastro_reserva"/>
      <w:bookmarkEnd w:id="131"/>
    </w:p>
    <w:p w14:paraId="7990F696">
      <w:pPr>
        <w:pStyle w:val="70"/>
        <w:numPr>
          <w:ilvl w:val="1"/>
          <w:numId w:val="20"/>
        </w:numPr>
        <w:ind w:left="0" w:firstLine="0"/>
        <w:rPr>
          <w:rFonts w:asciiTheme="majorHAnsi" w:hAnsiTheme="majorHAnsi" w:cstheme="majorHAnsi"/>
        </w:rPr>
      </w:pPr>
      <w:r>
        <w:rPr>
          <w:rFonts w:asciiTheme="majorHAnsi" w:hAnsiTheme="majorHAnsi" w:cstheme="majorHAnsi"/>
        </w:rPr>
        <w:t>Será respeitada, nas contratações, a ordem de classificação dos licitantes ou dos fornecedores registrados na ata.</w:t>
      </w:r>
    </w:p>
    <w:p w14:paraId="4950CF8E">
      <w:pPr>
        <w:pStyle w:val="70"/>
        <w:numPr>
          <w:ilvl w:val="1"/>
          <w:numId w:val="20"/>
        </w:numPr>
        <w:ind w:left="0" w:firstLine="0"/>
        <w:rPr>
          <w:rFonts w:asciiTheme="majorHAnsi" w:hAnsiTheme="majorHAnsi" w:cstheme="majorHAnsi"/>
        </w:rPr>
      </w:pPr>
      <w:r>
        <w:rPr>
          <w:rFonts w:asciiTheme="majorHAnsi" w:hAnsiTheme="majorHAnsi" w:cstheme="majorHAnsi"/>
        </w:rPr>
        <w:t>O registro a que se refere o item 4.4.2 tem por objetivo a formação de cadastro de reserva para o caso de impossibilidade de atendimento pelo signatário da ata.</w:t>
      </w:r>
    </w:p>
    <w:p w14:paraId="3C374630">
      <w:pPr>
        <w:pStyle w:val="70"/>
        <w:numPr>
          <w:ilvl w:val="1"/>
          <w:numId w:val="20"/>
        </w:numPr>
        <w:ind w:left="0" w:firstLine="0"/>
        <w:rPr>
          <w:rFonts w:asciiTheme="majorHAnsi" w:hAnsiTheme="majorHAnsi" w:cstheme="majorHAnsi"/>
        </w:rPr>
      </w:pPr>
      <w:r>
        <w:rPr>
          <w:rFonts w:asciiTheme="majorHAnsi" w:hAnsiTheme="majorHAnsi" w:cstheme="majorHAnsi"/>
        </w:rPr>
        <w:t>Para fins da ordem de classificação, os licitantes ou fornecedores que aceitarem reduzir suas propostas para o preço do adjudicatário antecederão aqueles que mantiverem sua proposta original.</w:t>
      </w:r>
    </w:p>
    <w:p w14:paraId="2F8C83D8">
      <w:pPr>
        <w:pStyle w:val="70"/>
        <w:numPr>
          <w:ilvl w:val="1"/>
          <w:numId w:val="20"/>
        </w:numPr>
        <w:ind w:left="0" w:firstLine="0"/>
        <w:rPr>
          <w:rFonts w:asciiTheme="majorHAnsi" w:hAnsiTheme="majorHAnsi" w:cstheme="majorHAnsi"/>
        </w:rPr>
      </w:pPr>
      <w:r>
        <w:rPr>
          <w:rFonts w:asciiTheme="majorHAnsi" w:hAnsiTheme="majorHAnsi" w:cstheme="majorHAnsi"/>
        </w:rPr>
        <w:t xml:space="preserve">A habilitação dos licitantes que comporão o cadastro de reserva a que se refere o item </w:t>
      </w:r>
      <w:r>
        <w:rPr>
          <w:rFonts w:asciiTheme="majorHAnsi" w:hAnsiTheme="majorHAnsi" w:cstheme="majorHAnsi"/>
        </w:rPr>
        <w:fldChar w:fldCharType="begin"/>
      </w:r>
      <w:r>
        <w:rPr>
          <w:rFonts w:asciiTheme="majorHAnsi" w:hAnsiTheme="majorHAnsi" w:cstheme="majorHAnsi"/>
        </w:rPr>
        <w:instrText xml:space="preserve"> REF cadastro_reserva \r \h  \* MERGEFORMAT </w:instrText>
      </w:r>
      <w:r>
        <w:rPr>
          <w:rFonts w:asciiTheme="majorHAnsi" w:hAnsiTheme="majorHAnsi" w:cstheme="majorHAnsi"/>
        </w:rPr>
        <w:fldChar w:fldCharType="separate"/>
      </w:r>
      <w:r>
        <w:rPr>
          <w:rFonts w:asciiTheme="majorHAnsi" w:hAnsiTheme="majorHAnsi" w:cstheme="majorHAnsi"/>
        </w:rPr>
        <w:t>4.12</w:t>
      </w:r>
      <w:r>
        <w:rPr>
          <w:rFonts w:asciiTheme="majorHAnsi" w:hAnsiTheme="majorHAnsi" w:cstheme="majorHAnsi"/>
        </w:rPr>
        <w:fldChar w:fldCharType="end"/>
      </w:r>
      <w:r>
        <w:rPr>
          <w:rFonts w:asciiTheme="majorHAnsi" w:hAnsiTheme="majorHAnsi" w:cstheme="majorHAnsi"/>
        </w:rPr>
        <w:t xml:space="preserve"> somente será efetuada quando houver necessidade de contratação dos licitantes remanescentes, nas seguintes hipóteses:</w:t>
      </w:r>
      <w:bookmarkStart w:id="132" w:name="habilitacao_reserva"/>
      <w:bookmarkEnd w:id="132"/>
    </w:p>
    <w:p w14:paraId="3CAAB83B">
      <w:pPr>
        <w:pStyle w:val="70"/>
        <w:numPr>
          <w:ilvl w:val="1"/>
          <w:numId w:val="20"/>
        </w:numPr>
        <w:ind w:left="0" w:firstLine="0"/>
        <w:rPr>
          <w:rFonts w:asciiTheme="majorHAnsi" w:hAnsiTheme="majorHAnsi" w:cstheme="majorHAnsi"/>
        </w:rPr>
      </w:pPr>
      <w:r>
        <w:rPr>
          <w:rFonts w:asciiTheme="majorHAnsi" w:hAnsiTheme="majorHAnsi" w:cstheme="majorHAnsi"/>
        </w:rPr>
        <w:t>Quando o licitante vencedor não assinar a ata de registro de preços, no prazo e nas condições estabelecidos no edital; e</w:t>
      </w:r>
    </w:p>
    <w:p w14:paraId="7C6A8333">
      <w:pPr>
        <w:pStyle w:val="70"/>
        <w:numPr>
          <w:ilvl w:val="1"/>
          <w:numId w:val="20"/>
        </w:numPr>
        <w:ind w:left="0" w:firstLine="0"/>
        <w:rPr>
          <w:rFonts w:asciiTheme="majorHAnsi" w:hAnsiTheme="majorHAnsi" w:cstheme="majorHAnsi"/>
        </w:rPr>
      </w:pPr>
      <w:r>
        <w:rPr>
          <w:rFonts w:asciiTheme="majorHAnsi" w:hAnsiTheme="majorHAnsi" w:cstheme="majorHAnsi"/>
        </w:rPr>
        <w:t xml:space="preserve">Quando houver o cancelamento do registro do licitante ou do registro de preços nas hipóteses previstas no item </w:t>
      </w:r>
      <w:r>
        <w:rPr>
          <w:rFonts w:asciiTheme="majorHAnsi" w:hAnsiTheme="majorHAnsi" w:cstheme="majorHAnsi"/>
        </w:rPr>
        <w:fldChar w:fldCharType="begin"/>
      </w:r>
      <w:r>
        <w:rPr>
          <w:rFonts w:asciiTheme="majorHAnsi" w:hAnsiTheme="majorHAnsi" w:cstheme="majorHAnsi"/>
        </w:rPr>
        <w:instrText xml:space="preserve"> REF cancelamento \r \h  \* MERGEFORMAT </w:instrText>
      </w:r>
      <w:r>
        <w:rPr>
          <w:rFonts w:asciiTheme="majorHAnsi" w:hAnsiTheme="majorHAnsi" w:cstheme="majorHAnsi"/>
        </w:rPr>
        <w:fldChar w:fldCharType="separate"/>
      </w:r>
      <w:r>
        <w:rPr>
          <w:rFonts w:asciiTheme="majorHAnsi" w:hAnsiTheme="majorHAnsi" w:cstheme="majorHAnsi"/>
        </w:rPr>
        <w:t>8</w:t>
      </w:r>
      <w:r>
        <w:rPr>
          <w:rFonts w:asciiTheme="majorHAnsi" w:hAnsiTheme="majorHAnsi" w:cstheme="majorHAnsi"/>
        </w:rPr>
        <w:fldChar w:fldCharType="end"/>
      </w:r>
      <w:r>
        <w:rPr>
          <w:rFonts w:asciiTheme="majorHAnsi" w:hAnsiTheme="majorHAnsi" w:cstheme="majorHAnsi"/>
        </w:rPr>
        <w:t>.</w:t>
      </w:r>
    </w:p>
    <w:p w14:paraId="1D383E94">
      <w:pPr>
        <w:pStyle w:val="70"/>
        <w:numPr>
          <w:ilvl w:val="1"/>
          <w:numId w:val="20"/>
        </w:numPr>
        <w:ind w:left="0" w:firstLine="0"/>
        <w:rPr>
          <w:rFonts w:asciiTheme="majorHAnsi" w:hAnsiTheme="majorHAnsi" w:cstheme="majorHAnsi"/>
        </w:rPr>
      </w:pPr>
      <w:r>
        <w:rPr>
          <w:rFonts w:asciiTheme="majorHAnsi" w:hAnsiTheme="majorHAnsi" w:cstheme="majorHAnsi"/>
        </w:rPr>
        <w:t>O preço registrado com indicação dos licitantes e fornecedores será divulgado no PNCP e ficará disponibilizado durante a vigência da ata de registro de preços.</w:t>
      </w:r>
    </w:p>
    <w:p w14:paraId="11C581C5">
      <w:pPr>
        <w:pStyle w:val="70"/>
        <w:numPr>
          <w:ilvl w:val="1"/>
          <w:numId w:val="20"/>
        </w:numPr>
        <w:ind w:left="0" w:firstLine="0"/>
        <w:rPr>
          <w:rFonts w:asciiTheme="majorHAnsi" w:hAnsiTheme="majorHAnsi" w:cstheme="majorHAnsi"/>
        </w:rPr>
      </w:pPr>
      <w:r>
        <w:rPr>
          <w:rFonts w:asciiTheme="majorHAnsi" w:hAnsiTheme="majorHAnsi" w:cstheme="majorHAnsi"/>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110196A">
      <w:pPr>
        <w:pStyle w:val="70"/>
        <w:numPr>
          <w:ilvl w:val="1"/>
          <w:numId w:val="20"/>
        </w:numPr>
        <w:ind w:left="0" w:firstLine="0"/>
        <w:rPr>
          <w:rFonts w:asciiTheme="majorHAnsi" w:hAnsiTheme="majorHAnsi" w:cstheme="majorHAnsi"/>
        </w:rPr>
      </w:pPr>
      <w:r>
        <w:rPr>
          <w:rFonts w:asciiTheme="majorHAnsi" w:hAnsiTheme="majorHAnsi" w:cstheme="majorHAnsi"/>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1ABCFD9">
      <w:pPr>
        <w:pStyle w:val="70"/>
        <w:numPr>
          <w:ilvl w:val="1"/>
          <w:numId w:val="20"/>
        </w:numPr>
        <w:ind w:left="0" w:firstLine="0"/>
        <w:rPr>
          <w:rFonts w:asciiTheme="majorHAnsi" w:hAnsiTheme="majorHAnsi" w:cstheme="majorHAnsi"/>
        </w:rPr>
      </w:pPr>
      <w:r>
        <w:rPr>
          <w:rFonts w:asciiTheme="majorHAnsi" w:hAnsiTheme="majorHAnsi" w:cstheme="majorHAnsi"/>
        </w:rPr>
        <w:t>A ata de registro de preços será assinada por meio de assinatura digital e disponibilizada no Sistema de Registro de Preços.</w:t>
      </w:r>
    </w:p>
    <w:p w14:paraId="77519796">
      <w:pPr>
        <w:pStyle w:val="70"/>
        <w:numPr>
          <w:ilvl w:val="1"/>
          <w:numId w:val="20"/>
        </w:numPr>
        <w:ind w:left="0" w:firstLine="0"/>
        <w:rPr>
          <w:rFonts w:asciiTheme="majorHAnsi" w:hAnsiTheme="majorHAnsi" w:cstheme="majorHAnsi"/>
        </w:rPr>
      </w:pPr>
      <w:r>
        <w:rPr>
          <w:rFonts w:asciiTheme="majorHAnsi" w:hAnsiTheme="majorHAnsi" w:cstheme="majorHAnsi"/>
        </w:rPr>
        <w:t xml:space="preserve">Quando o convocado não assinar a ata de registro de preços no prazo e nas condições estabelecidos no edital ou no aviso de contratação, e observado o disposto no item </w:t>
      </w:r>
      <w:r>
        <w:rPr>
          <w:rFonts w:asciiTheme="majorHAnsi" w:hAnsiTheme="majorHAnsi" w:cstheme="majorHAnsi"/>
        </w:rPr>
        <w:fldChar w:fldCharType="begin"/>
      </w:r>
      <w:r>
        <w:rPr>
          <w:rFonts w:asciiTheme="majorHAnsi" w:hAnsiTheme="majorHAnsi" w:cstheme="majorHAnsi"/>
        </w:rPr>
        <w:instrText xml:space="preserve"> REF habilitacao_reserva \r \h  \* MERGEFORMAT </w:instrText>
      </w:r>
      <w:r>
        <w:rPr>
          <w:rFonts w:asciiTheme="majorHAnsi" w:hAnsiTheme="majorHAnsi" w:cstheme="majorHAnsi"/>
        </w:rPr>
        <w:fldChar w:fldCharType="separate"/>
      </w:r>
      <w:r>
        <w:rPr>
          <w:rFonts w:asciiTheme="majorHAnsi" w:hAnsiTheme="majorHAnsi" w:cstheme="majorHAnsi"/>
        </w:rPr>
        <w:t>4.16</w:t>
      </w:r>
      <w:r>
        <w:rPr>
          <w:rFonts w:asciiTheme="majorHAnsi" w:hAnsiTheme="majorHAnsi" w:cstheme="majorHAnsi"/>
        </w:rPr>
        <w:fldChar w:fldCharType="end"/>
      </w:r>
      <w:r>
        <w:rPr>
          <w:rFonts w:asciiTheme="majorHAnsi" w:hAnsiTheme="majorHAnsi" w:cstheme="majorHAnsi"/>
        </w:rPr>
        <w:t>, observando o item 4.7 e subitens, fica facultado à Administração convocar os licitantes remanescentes do cadastro de reserva, na ordem de classificação, para fazê-lo em igual prazo e nas condições propostas pelo primeiro classificado.</w:t>
      </w:r>
      <w:bookmarkStart w:id="133" w:name="recusa_dos_que_baixaram_preco"/>
      <w:bookmarkEnd w:id="133"/>
    </w:p>
    <w:p w14:paraId="10315AF1">
      <w:pPr>
        <w:pStyle w:val="70"/>
        <w:numPr>
          <w:ilvl w:val="1"/>
          <w:numId w:val="20"/>
        </w:numPr>
        <w:ind w:left="0" w:firstLine="0"/>
        <w:rPr>
          <w:rFonts w:asciiTheme="majorHAnsi" w:hAnsiTheme="majorHAnsi" w:cstheme="majorHAnsi"/>
        </w:rPr>
      </w:pPr>
      <w:r>
        <w:rPr>
          <w:rFonts w:asciiTheme="majorHAnsi" w:hAnsiTheme="majorHAnsi" w:cstheme="majorHAnsi"/>
        </w:rPr>
        <w:t>Na hipótese de nenhum dos licitantes que trata o item 4.4.2.1, aceitar a contratação nos termos do item anterior, a Administração, observados o valor es</w:t>
      </w:r>
      <w:r>
        <w:rPr>
          <w:rFonts w:eastAsia="Arial" w:asciiTheme="majorHAnsi" w:hAnsiTheme="majorHAnsi" w:cstheme="majorHAnsi"/>
        </w:rPr>
        <w:t>ti</w:t>
      </w:r>
      <w:r>
        <w:rPr>
          <w:rFonts w:asciiTheme="majorHAnsi" w:hAnsiTheme="majorHAnsi" w:cstheme="majorHAnsi"/>
        </w:rPr>
        <w:t>mado e sua eventual atualização nos termos do edital, poderá:</w:t>
      </w:r>
    </w:p>
    <w:p w14:paraId="507A965B">
      <w:pPr>
        <w:pStyle w:val="70"/>
        <w:numPr>
          <w:ilvl w:val="1"/>
          <w:numId w:val="20"/>
        </w:numPr>
        <w:ind w:left="0" w:firstLine="0"/>
        <w:rPr>
          <w:rFonts w:asciiTheme="majorHAnsi" w:hAnsiTheme="majorHAnsi" w:cstheme="majorHAnsi"/>
        </w:rPr>
      </w:pPr>
      <w:r>
        <w:rPr>
          <w:rFonts w:asciiTheme="majorHAnsi" w:hAnsiTheme="majorHAnsi" w:cstheme="majorHAnsi"/>
        </w:rPr>
        <w:t>Convocar para negociação os demais licitantes ou fornecedores remanescentes cujos preços foram registrados sem redução, observada a ordem de classificação, com vistas à obtenção de preço melhor, mesmo que acima do preço do adjudicatário; ou</w:t>
      </w:r>
    </w:p>
    <w:p w14:paraId="09E713DA">
      <w:pPr>
        <w:pStyle w:val="70"/>
        <w:numPr>
          <w:ilvl w:val="1"/>
          <w:numId w:val="20"/>
        </w:numPr>
        <w:ind w:left="0" w:firstLine="0"/>
        <w:rPr>
          <w:rFonts w:asciiTheme="majorHAnsi" w:hAnsiTheme="majorHAnsi" w:cstheme="majorHAnsi"/>
        </w:rPr>
      </w:pPr>
      <w:r>
        <w:rPr>
          <w:rFonts w:asciiTheme="majorHAnsi" w:hAnsiTheme="majorHAnsi" w:cstheme="majorHAnsi"/>
        </w:rPr>
        <w:t>Adjudicar e firmar o contrato nas condições ofertadas pelos licitantes ou fornecedores remanescentes, atendida a ordem classificatória, quando frustrada a negociação de melhor condição.</w:t>
      </w:r>
    </w:p>
    <w:p w14:paraId="00F1502A">
      <w:pPr>
        <w:pStyle w:val="70"/>
        <w:numPr>
          <w:ilvl w:val="1"/>
          <w:numId w:val="20"/>
        </w:numPr>
        <w:ind w:left="0" w:firstLine="0"/>
        <w:rPr>
          <w:rFonts w:asciiTheme="majorHAnsi" w:hAnsiTheme="majorHAnsi" w:cstheme="majorHAnsi"/>
        </w:rPr>
      </w:pPr>
      <w:r>
        <w:rPr>
          <w:rFonts w:asciiTheme="majorHAnsi" w:hAnsiTheme="majorHAnsi" w:cstheme="maj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9D170D">
      <w:pPr>
        <w:pStyle w:val="38"/>
        <w:numPr>
          <w:ilvl w:val="0"/>
          <w:numId w:val="20"/>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ALTERAÇÃO OU ATUALIZAÇÃO DOS PREÇOS REGISTRADOS</w:t>
      </w:r>
    </w:p>
    <w:p w14:paraId="598A259D">
      <w:pPr>
        <w:pStyle w:val="70"/>
        <w:numPr>
          <w:ilvl w:val="1"/>
          <w:numId w:val="20"/>
        </w:numPr>
        <w:ind w:left="0" w:firstLine="0"/>
        <w:rPr>
          <w:rFonts w:asciiTheme="majorHAnsi" w:hAnsiTheme="majorHAnsi" w:cstheme="majorHAnsi"/>
        </w:rPr>
      </w:pPr>
      <w:r>
        <w:rPr>
          <w:rFonts w:asciiTheme="majorHAnsi" w:hAnsiTheme="majorHAnsi" w:cstheme="majorHAnsi"/>
        </w:rPr>
        <w:t>Os preços registrados poderão ser alterados ou atualizados em decorrência de eventual redução dos preços pra</w:t>
      </w:r>
      <w:r>
        <w:rPr>
          <w:rFonts w:eastAsia="Calibri" w:asciiTheme="majorHAnsi" w:hAnsiTheme="majorHAnsi" w:cstheme="majorHAnsi"/>
        </w:rPr>
        <w:t>ti</w:t>
      </w:r>
      <w:r>
        <w:rPr>
          <w:rFonts w:asciiTheme="majorHAnsi" w:hAnsiTheme="majorHAnsi" w:cstheme="majorHAnsi"/>
        </w:rPr>
        <w:t>cados no mercado ou de fato que eleve o custo dos bens, das obras ou dos serviços registrados, nas seguintes situações:</w:t>
      </w:r>
    </w:p>
    <w:p w14:paraId="23D1DFD0">
      <w:pPr>
        <w:pStyle w:val="70"/>
        <w:numPr>
          <w:ilvl w:val="1"/>
          <w:numId w:val="20"/>
        </w:numPr>
        <w:ind w:left="0" w:firstLine="0"/>
        <w:rPr>
          <w:rFonts w:asciiTheme="majorHAnsi" w:hAnsiTheme="majorHAnsi" w:cstheme="majorHAnsi"/>
        </w:rPr>
      </w:pPr>
      <w:r>
        <w:rPr>
          <w:rFonts w:asciiTheme="majorHAnsi" w:hAnsiTheme="majorHAnsi" w:cstheme="majorHAnsi"/>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583F7FE">
      <w:pPr>
        <w:pStyle w:val="70"/>
        <w:numPr>
          <w:ilvl w:val="1"/>
          <w:numId w:val="20"/>
        </w:numPr>
        <w:ind w:left="0" w:firstLine="0"/>
        <w:rPr>
          <w:rFonts w:asciiTheme="majorHAnsi" w:hAnsiTheme="majorHAnsi" w:cstheme="majorHAnsi"/>
        </w:rPr>
      </w:pPr>
      <w:r>
        <w:rPr>
          <w:rFonts w:asciiTheme="majorHAnsi" w:hAnsiTheme="majorHAnsi" w:cstheme="majorHAnsi"/>
        </w:rPr>
        <w:t xml:space="preserve">Em caso de criação, alteração ou extinção de quaisquer tributos ou encargos legais ou a superveniência de disposições legais, com comprovada repercussão sobre os preços registrados; </w:t>
      </w:r>
    </w:p>
    <w:p w14:paraId="72CDA569">
      <w:pPr>
        <w:pStyle w:val="70"/>
        <w:numPr>
          <w:ilvl w:val="1"/>
          <w:numId w:val="20"/>
        </w:numPr>
        <w:ind w:left="0" w:firstLine="0"/>
        <w:rPr>
          <w:rFonts w:asciiTheme="majorHAnsi" w:hAnsiTheme="majorHAnsi" w:cstheme="majorHAnsi"/>
        </w:rPr>
      </w:pPr>
      <w:r>
        <w:rPr>
          <w:rFonts w:asciiTheme="majorHAnsi" w:hAnsiTheme="majorHAnsi" w:cstheme="majorHAnsi"/>
        </w:rPr>
        <w:t>Na hipótese de previsão no edital de cláusula de reajustamento ou repactuação sobre os preços registrados, nos termos da Lei nº 14.133, de 2021.</w:t>
      </w:r>
    </w:p>
    <w:p w14:paraId="564F9AB0">
      <w:pPr>
        <w:pStyle w:val="70"/>
        <w:numPr>
          <w:ilvl w:val="1"/>
          <w:numId w:val="20"/>
        </w:numPr>
        <w:ind w:left="0" w:firstLine="0"/>
        <w:rPr>
          <w:rFonts w:asciiTheme="majorHAnsi" w:hAnsiTheme="majorHAnsi" w:cstheme="majorHAnsi"/>
        </w:rPr>
      </w:pPr>
      <w:r>
        <w:rPr>
          <w:rFonts w:asciiTheme="majorHAnsi" w:hAnsiTheme="majorHAnsi" w:cstheme="majorHAnsi"/>
        </w:rPr>
        <w:t xml:space="preserve">No caso do reajustamento, deverá ser respeitada a contagem da anualidade e o índice previstos para a contratação;  </w:t>
      </w:r>
    </w:p>
    <w:p w14:paraId="46EE415B">
      <w:pPr>
        <w:pStyle w:val="70"/>
        <w:numPr>
          <w:ilvl w:val="1"/>
          <w:numId w:val="20"/>
        </w:numPr>
        <w:ind w:left="0" w:firstLine="0"/>
        <w:rPr>
          <w:rFonts w:asciiTheme="majorHAnsi" w:hAnsiTheme="majorHAnsi" w:cstheme="majorHAnsi"/>
        </w:rPr>
      </w:pPr>
      <w:r>
        <w:rPr>
          <w:rFonts w:asciiTheme="majorHAnsi" w:hAnsiTheme="majorHAnsi" w:cstheme="majorHAnsi"/>
        </w:rPr>
        <w:t>No caso da repactuação, poderá ser a pedido do interessado, conforme critérios definidos para a contratação.</w:t>
      </w:r>
    </w:p>
    <w:p w14:paraId="3D4E1DB8">
      <w:pPr>
        <w:pStyle w:val="163"/>
        <w:spacing w:line="360" w:lineRule="auto"/>
        <w:ind w:left="0"/>
        <w:rPr>
          <w:rFonts w:asciiTheme="majorHAnsi" w:hAnsiTheme="majorHAnsi" w:cstheme="majorHAnsi"/>
          <w:sz w:val="22"/>
          <w:szCs w:val="22"/>
        </w:rPr>
      </w:pPr>
    </w:p>
    <w:p w14:paraId="78D6F7A1">
      <w:pPr>
        <w:pStyle w:val="38"/>
        <w:numPr>
          <w:ilvl w:val="0"/>
          <w:numId w:val="20"/>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NEGOCIAÇÃO DE PREÇOS REGISTRADOS</w:t>
      </w:r>
    </w:p>
    <w:p w14:paraId="69E6C8E2">
      <w:pPr>
        <w:pStyle w:val="70"/>
        <w:numPr>
          <w:ilvl w:val="1"/>
          <w:numId w:val="20"/>
        </w:numPr>
        <w:ind w:left="0" w:firstLine="0"/>
        <w:rPr>
          <w:rFonts w:asciiTheme="majorHAnsi" w:hAnsiTheme="majorHAnsi" w:cstheme="majorHAnsi"/>
        </w:rPr>
      </w:pPr>
      <w:r>
        <w:rPr>
          <w:rFonts w:asciiTheme="majorHAnsi" w:hAnsiTheme="majorHAnsi" w:cstheme="majorHAnsi"/>
        </w:rPr>
        <w:t>Na hipótese de o preço registrado tornar-se superior ao preço pra</w:t>
      </w:r>
      <w:r>
        <w:rPr>
          <w:rFonts w:eastAsia="Calibri" w:asciiTheme="majorHAnsi" w:hAnsiTheme="majorHAnsi" w:cstheme="majorHAnsi"/>
        </w:rPr>
        <w:t>ti</w:t>
      </w:r>
      <w:r>
        <w:rPr>
          <w:rFonts w:asciiTheme="majorHAnsi" w:hAnsiTheme="majorHAnsi" w:cstheme="majorHAnsi"/>
        </w:rPr>
        <w:t>cado no mercado por mo</w:t>
      </w:r>
      <w:r>
        <w:rPr>
          <w:rFonts w:eastAsia="Calibri" w:asciiTheme="majorHAnsi" w:hAnsiTheme="majorHAnsi" w:cstheme="majorHAnsi"/>
        </w:rPr>
        <w:t>ti</w:t>
      </w:r>
      <w:r>
        <w:rPr>
          <w:rFonts w:asciiTheme="majorHAnsi" w:hAnsiTheme="majorHAnsi" w:cstheme="majorHAnsi"/>
        </w:rPr>
        <w:t>vo superveniente, o órgão ou en</w:t>
      </w:r>
      <w:r>
        <w:rPr>
          <w:rFonts w:eastAsia="Calibri" w:asciiTheme="majorHAnsi" w:hAnsiTheme="majorHAnsi" w:cstheme="majorHAnsi"/>
        </w:rPr>
        <w:t>ti</w:t>
      </w:r>
      <w:r>
        <w:rPr>
          <w:rFonts w:asciiTheme="majorHAnsi" w:hAnsiTheme="majorHAnsi" w:cstheme="majorHAnsi"/>
        </w:rPr>
        <w:t>dade gerenciadora convocará o fornecedor para negociar a redução do preço registrado.</w:t>
      </w:r>
    </w:p>
    <w:p w14:paraId="55B5676F">
      <w:pPr>
        <w:pStyle w:val="70"/>
        <w:numPr>
          <w:ilvl w:val="1"/>
          <w:numId w:val="20"/>
        </w:numPr>
        <w:ind w:left="0" w:firstLine="0"/>
        <w:rPr>
          <w:rFonts w:asciiTheme="majorHAnsi" w:hAnsiTheme="majorHAnsi" w:cstheme="majorHAnsi"/>
        </w:rPr>
      </w:pPr>
      <w:r>
        <w:rPr>
          <w:rFonts w:asciiTheme="majorHAnsi" w:hAnsiTheme="majorHAnsi" w:cstheme="majorHAnsi"/>
        </w:rPr>
        <w:t>Caso não aceite reduzir seu preço aos valores praticados pelo mercado, o fornecedor será liberado do compromisso assumido quanto ao item registrado, sem aplicação de penalidades administrativas.</w:t>
      </w:r>
    </w:p>
    <w:p w14:paraId="2B4DE54B">
      <w:pPr>
        <w:pStyle w:val="70"/>
        <w:numPr>
          <w:ilvl w:val="1"/>
          <w:numId w:val="20"/>
        </w:numPr>
        <w:ind w:left="0" w:firstLine="0"/>
        <w:rPr>
          <w:rFonts w:asciiTheme="majorHAnsi" w:hAnsiTheme="majorHAnsi" w:cstheme="majorHAnsi"/>
        </w:rPr>
      </w:pPr>
      <w:r>
        <w:rPr>
          <w:rFonts w:asciiTheme="majorHAnsi" w:hAnsiTheme="majorHAnsi" w:cstheme="majorHAnsi"/>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6622B29">
      <w:pPr>
        <w:pStyle w:val="70"/>
        <w:numPr>
          <w:ilvl w:val="1"/>
          <w:numId w:val="20"/>
        </w:numPr>
        <w:ind w:left="0" w:firstLine="0"/>
        <w:rPr>
          <w:rFonts w:asciiTheme="majorHAnsi" w:hAnsiTheme="majorHAnsi" w:cstheme="majorHAnsi"/>
        </w:rPr>
      </w:pPr>
      <w:r>
        <w:rPr>
          <w:rFonts w:asciiTheme="majorHAnsi" w:hAnsiTheme="majorHAnsi" w:cstheme="majorHAnsi"/>
        </w:rPr>
        <w:t>Se não obtiver êxito nas negociações, o órgão ou entidade gerenciadora procederá ao cancelamento da ata de registro de preços, adotando as medidas cabíveis para obtenção de contratação mais vantajosa.</w:t>
      </w:r>
      <w:bookmarkStart w:id="134" w:name="reducao_preco_mercado_negociacao_frustra"/>
      <w:bookmarkEnd w:id="134"/>
    </w:p>
    <w:p w14:paraId="5F1EB795">
      <w:pPr>
        <w:pStyle w:val="70"/>
        <w:numPr>
          <w:ilvl w:val="1"/>
          <w:numId w:val="20"/>
        </w:numPr>
        <w:ind w:left="0" w:firstLine="0"/>
        <w:rPr>
          <w:rFonts w:asciiTheme="majorHAnsi" w:hAnsiTheme="majorHAnsi" w:cstheme="majorHAnsi"/>
        </w:rPr>
      </w:pPr>
      <w:r>
        <w:rPr>
          <w:rFonts w:asciiTheme="majorHAnsi" w:hAnsiTheme="majorHAnsi" w:cstheme="majorHAnsi"/>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875BA5A">
      <w:pPr>
        <w:pStyle w:val="70"/>
        <w:numPr>
          <w:ilvl w:val="1"/>
          <w:numId w:val="20"/>
        </w:numPr>
        <w:ind w:left="0" w:firstLine="0"/>
        <w:rPr>
          <w:rFonts w:asciiTheme="majorHAnsi" w:hAnsiTheme="majorHAnsi" w:cstheme="majorHAnsi"/>
        </w:rPr>
      </w:pPr>
      <w:r>
        <w:rPr>
          <w:rFonts w:asciiTheme="majorHAnsi" w:hAnsiTheme="majorHAnsi" w:cstheme="maj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5" w:name="hipotese_preco_mercado_maior"/>
      <w:bookmarkEnd w:id="135"/>
    </w:p>
    <w:p w14:paraId="177AE5C4">
      <w:pPr>
        <w:pStyle w:val="70"/>
        <w:numPr>
          <w:ilvl w:val="1"/>
          <w:numId w:val="20"/>
        </w:numPr>
        <w:ind w:left="0" w:firstLine="0"/>
        <w:rPr>
          <w:rFonts w:asciiTheme="majorHAnsi" w:hAnsiTheme="majorHAnsi" w:cstheme="majorHAnsi"/>
        </w:rPr>
      </w:pPr>
      <w:r>
        <w:rPr>
          <w:rFonts w:asciiTheme="majorHAnsi" w:hAnsiTheme="majorHAnsi" w:cstheme="majorHAnsi"/>
        </w:rPr>
        <w:t>Neste caso, o fornecedor encaminhará, juntamente com o pedido de alteração, a documentação comprobatória ou a planilha de custos que demonstre a inviabilidade do preço registrado em relação às condições inicialmente pactuadas.</w:t>
      </w:r>
      <w:bookmarkStart w:id="136" w:name="prova_preco_mercado_maior"/>
      <w:bookmarkEnd w:id="136"/>
    </w:p>
    <w:p w14:paraId="60CD463A">
      <w:pPr>
        <w:pStyle w:val="70"/>
        <w:numPr>
          <w:ilvl w:val="1"/>
          <w:numId w:val="20"/>
        </w:numPr>
        <w:ind w:left="0" w:firstLine="0"/>
        <w:rPr>
          <w:rFonts w:asciiTheme="majorHAnsi" w:hAnsiTheme="majorHAnsi" w:cstheme="majorHAnsi"/>
        </w:rPr>
      </w:pPr>
      <w:r>
        <w:rPr>
          <w:rFonts w:asciiTheme="majorHAnsi" w:hAnsiTheme="majorHAnsi" w:cstheme="majorHAnsi"/>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Pr>
          <w:rFonts w:asciiTheme="majorHAnsi" w:hAnsiTheme="majorHAnsi" w:cstheme="majorHAnsi"/>
        </w:rPr>
        <w:fldChar w:fldCharType="begin"/>
      </w:r>
      <w:r>
        <w:rPr>
          <w:rFonts w:asciiTheme="majorHAnsi" w:hAnsiTheme="majorHAnsi" w:cstheme="majorHAnsi"/>
        </w:rPr>
        <w:instrText xml:space="preserve"> REF cancelamento_do_fornecedor \r \h  \* MERGEFORMAT </w:instrText>
      </w:r>
      <w:r>
        <w:rPr>
          <w:rFonts w:asciiTheme="majorHAnsi" w:hAnsiTheme="majorHAnsi" w:cstheme="majorHAnsi"/>
        </w:rPr>
        <w:fldChar w:fldCharType="separate"/>
      </w:r>
      <w:r>
        <w:rPr>
          <w:rFonts w:asciiTheme="majorHAnsi" w:hAnsiTheme="majorHAnsi" w:cstheme="majorHAnsi"/>
        </w:rPr>
        <w:t>8.1</w:t>
      </w:r>
      <w:r>
        <w:rPr>
          <w:rFonts w:asciiTheme="majorHAnsi" w:hAnsiTheme="majorHAnsi" w:cstheme="majorHAnsi"/>
        </w:rPr>
        <w:fldChar w:fldCharType="end"/>
      </w:r>
      <w:r>
        <w:rPr>
          <w:rFonts w:asciiTheme="majorHAnsi" w:hAnsiTheme="majorHAnsi" w:cstheme="majorHAnsi"/>
        </w:rPr>
        <w:t>, sem prejuízo das sanções previstas na Lei nº 14.133, de 2021, e na legislação aplicável.</w:t>
      </w:r>
      <w:bookmarkStart w:id="137" w:name="nao_comprovacao_majoracao_mercado"/>
      <w:bookmarkEnd w:id="137"/>
    </w:p>
    <w:p w14:paraId="3E0BF77C">
      <w:pPr>
        <w:pStyle w:val="70"/>
        <w:numPr>
          <w:ilvl w:val="1"/>
          <w:numId w:val="20"/>
        </w:numPr>
        <w:ind w:left="0" w:firstLine="0"/>
        <w:rPr>
          <w:rFonts w:asciiTheme="majorHAnsi" w:hAnsiTheme="majorHAnsi" w:cstheme="majorHAnsi"/>
        </w:rPr>
      </w:pPr>
      <w:r>
        <w:rPr>
          <w:rFonts w:asciiTheme="majorHAnsi" w:hAnsiTheme="majorHAnsi" w:cstheme="majorHAnsi"/>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6C2236C5">
      <w:pPr>
        <w:pStyle w:val="70"/>
        <w:numPr>
          <w:ilvl w:val="1"/>
          <w:numId w:val="20"/>
        </w:numPr>
        <w:ind w:left="0" w:firstLine="0"/>
        <w:rPr>
          <w:rFonts w:asciiTheme="majorHAnsi" w:hAnsiTheme="majorHAnsi" w:cstheme="majorHAnsi"/>
        </w:rPr>
      </w:pPr>
      <w:r>
        <w:rPr>
          <w:rFonts w:asciiTheme="majorHAnsi" w:hAnsiTheme="majorHAnsi" w:cstheme="majorHAnsi"/>
        </w:rPr>
        <w:t xml:space="preserve">Se não obtiver êxito nas negociações, o órgão ou entidade gerenciadora procederá ao cancelamento da ata de registro de preços, nos termos do item </w:t>
      </w:r>
      <w:r>
        <w:rPr>
          <w:rFonts w:asciiTheme="majorHAnsi" w:hAnsiTheme="majorHAnsi" w:cstheme="majorHAnsi"/>
        </w:rPr>
        <w:fldChar w:fldCharType="begin"/>
      </w:r>
      <w:r>
        <w:rPr>
          <w:rFonts w:asciiTheme="majorHAnsi" w:hAnsiTheme="majorHAnsi" w:cstheme="majorHAnsi"/>
        </w:rPr>
        <w:instrText xml:space="preserve"> REF cancelamento_da_ata \r \h  \* MERGEFORMAT </w:instrText>
      </w:r>
      <w:r>
        <w:rPr>
          <w:rFonts w:asciiTheme="majorHAnsi" w:hAnsiTheme="majorHAnsi" w:cstheme="majorHAnsi"/>
        </w:rPr>
        <w:fldChar w:fldCharType="separate"/>
      </w:r>
      <w:r>
        <w:rPr>
          <w:rFonts w:asciiTheme="majorHAnsi" w:hAnsiTheme="majorHAnsi" w:cstheme="majorHAnsi"/>
        </w:rPr>
        <w:t>8.9</w:t>
      </w:r>
      <w:r>
        <w:rPr>
          <w:rFonts w:asciiTheme="majorHAnsi" w:hAnsiTheme="majorHAnsi" w:cstheme="majorHAnsi"/>
        </w:rPr>
        <w:fldChar w:fldCharType="end"/>
      </w:r>
      <w:r>
        <w:rPr>
          <w:rFonts w:asciiTheme="majorHAnsi" w:hAnsiTheme="majorHAnsi" w:cstheme="majorHAnsi"/>
        </w:rPr>
        <w:t>, e adotará as medidas cabíveis para a obtenção da contratação mais vantajosa.</w:t>
      </w:r>
      <w:bookmarkStart w:id="138" w:name="majora_preco_mercado_negociacao_frustra"/>
      <w:bookmarkEnd w:id="138"/>
    </w:p>
    <w:p w14:paraId="779C24E4">
      <w:pPr>
        <w:pStyle w:val="70"/>
        <w:numPr>
          <w:ilvl w:val="1"/>
          <w:numId w:val="20"/>
        </w:numPr>
        <w:ind w:left="0" w:firstLine="0"/>
        <w:rPr>
          <w:rFonts w:asciiTheme="majorHAnsi" w:hAnsiTheme="majorHAnsi" w:cstheme="majorHAnsi"/>
        </w:rPr>
      </w:pPr>
      <w:r>
        <w:rPr>
          <w:rFonts w:asciiTheme="majorHAnsi" w:hAnsiTheme="majorHAnsi" w:cstheme="majorHAnsi"/>
        </w:rPr>
        <w:t xml:space="preserve">Na hipótese de comprovação da majoração do preço de mercado que inviabilize o preço registrado, conforme previsto no item </w:t>
      </w:r>
      <w:r>
        <w:rPr>
          <w:rFonts w:asciiTheme="majorHAnsi" w:hAnsiTheme="majorHAnsi" w:cstheme="majorHAnsi"/>
        </w:rPr>
        <w:fldChar w:fldCharType="begin"/>
      </w:r>
      <w:r>
        <w:rPr>
          <w:rFonts w:asciiTheme="majorHAnsi" w:hAnsiTheme="majorHAnsi" w:cstheme="majorHAnsi"/>
        </w:rPr>
        <w:instrText xml:space="preserve"> REF hipotese_preco_mercado_maior \r \h  \* MERGEFORMAT </w:instrText>
      </w:r>
      <w:r>
        <w:rPr>
          <w:rFonts w:asciiTheme="majorHAnsi" w:hAnsiTheme="majorHAnsi" w:cstheme="majorHAnsi"/>
        </w:rPr>
        <w:fldChar w:fldCharType="separate"/>
      </w:r>
      <w:r>
        <w:rPr>
          <w:rFonts w:asciiTheme="majorHAnsi" w:hAnsiTheme="majorHAnsi" w:cstheme="majorHAnsi"/>
        </w:rPr>
        <w:t>6.6</w:t>
      </w:r>
      <w:r>
        <w:rPr>
          <w:rFonts w:asciiTheme="majorHAnsi" w:hAnsiTheme="majorHAnsi" w:cstheme="majorHAnsi"/>
        </w:rPr>
        <w:fldChar w:fldCharType="end"/>
      </w:r>
      <w:r>
        <w:rPr>
          <w:rFonts w:asciiTheme="majorHAnsi" w:hAnsiTheme="majorHAnsi" w:cstheme="majorHAnsi"/>
        </w:rPr>
        <w:t xml:space="preserve"> e no item </w:t>
      </w:r>
      <w:r>
        <w:rPr>
          <w:rFonts w:asciiTheme="majorHAnsi" w:hAnsiTheme="majorHAnsi" w:cstheme="majorHAnsi"/>
        </w:rPr>
        <w:fldChar w:fldCharType="begin"/>
      </w:r>
      <w:r>
        <w:rPr>
          <w:rFonts w:asciiTheme="majorHAnsi" w:hAnsiTheme="majorHAnsi" w:cstheme="majorHAnsi"/>
        </w:rPr>
        <w:instrText xml:space="preserve"> REF prova_preco_mercado_maior \r \h  \* MERGEFORMAT </w:instrText>
      </w:r>
      <w:r>
        <w:rPr>
          <w:rFonts w:asciiTheme="majorHAnsi" w:hAnsiTheme="majorHAnsi" w:cstheme="majorHAnsi"/>
        </w:rPr>
        <w:fldChar w:fldCharType="separate"/>
      </w:r>
      <w:r>
        <w:rPr>
          <w:rFonts w:asciiTheme="majorHAnsi" w:hAnsiTheme="majorHAnsi" w:cstheme="majorHAnsi"/>
        </w:rPr>
        <w:t>6.7</w:t>
      </w:r>
      <w:r>
        <w:rPr>
          <w:rFonts w:asciiTheme="majorHAnsi" w:hAnsiTheme="majorHAnsi" w:cstheme="majorHAnsi"/>
        </w:rPr>
        <w:fldChar w:fldCharType="end"/>
      </w:r>
      <w:r>
        <w:rPr>
          <w:rFonts w:asciiTheme="majorHAnsi" w:hAnsiTheme="majorHAnsi" w:cstheme="majorHAnsi"/>
        </w:rPr>
        <w:t>, o órgão ou entidade gerenciadora atualizará o preço registrado, de acordo com a realidade dos valores praticados pelo mercado.</w:t>
      </w:r>
    </w:p>
    <w:p w14:paraId="3C402C73">
      <w:pPr>
        <w:pStyle w:val="70"/>
        <w:numPr>
          <w:ilvl w:val="1"/>
          <w:numId w:val="20"/>
        </w:numPr>
        <w:ind w:left="0" w:firstLine="0"/>
        <w:rPr>
          <w:rFonts w:asciiTheme="majorHAnsi" w:hAnsiTheme="majorHAnsi" w:cstheme="majorHAnsi"/>
        </w:rPr>
      </w:pPr>
      <w:r>
        <w:rPr>
          <w:rFonts w:asciiTheme="majorHAnsi" w:hAnsiTheme="majorHAnsi" w:cstheme="majorHAnsi"/>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4F607BB">
      <w:pPr>
        <w:pStyle w:val="38"/>
        <w:numPr>
          <w:ilvl w:val="0"/>
          <w:numId w:val="20"/>
        </w:numPr>
        <w:spacing w:before="120" w:after="120" w:line="360" w:lineRule="auto"/>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REMANEJAMENTO DAS QUANTIDADES REGISTRADAS NA ATA DE REGISTRO DE PREÇOS</w:t>
      </w:r>
    </w:p>
    <w:p w14:paraId="6D933D24">
      <w:pPr>
        <w:pStyle w:val="70"/>
        <w:numPr>
          <w:ilvl w:val="1"/>
          <w:numId w:val="20"/>
        </w:numPr>
        <w:ind w:left="0" w:firstLine="0"/>
        <w:rPr>
          <w:rFonts w:asciiTheme="majorHAnsi" w:hAnsiTheme="majorHAnsi" w:cstheme="majorHAnsi"/>
        </w:rPr>
      </w:pPr>
      <w:r>
        <w:rPr>
          <w:rFonts w:asciiTheme="majorHAnsi" w:hAnsiTheme="majorHAnsi" w:cstheme="majorHAnsi"/>
        </w:rPr>
        <w:t xml:space="preserve"> As quan</w:t>
      </w:r>
      <w:r>
        <w:rPr>
          <w:rFonts w:eastAsia="Arial" w:asciiTheme="majorHAnsi" w:hAnsiTheme="majorHAnsi" w:cstheme="majorHAnsi"/>
        </w:rPr>
        <w:t>ti</w:t>
      </w:r>
      <w:r>
        <w:rPr>
          <w:rFonts w:asciiTheme="majorHAnsi" w:hAnsiTheme="majorHAnsi" w:cstheme="majorHAnsi"/>
        </w:rPr>
        <w:t>dades previstas para os itens com preços registrados nas atas de registro de preços poderão ser remanejadas pelo órgão ou en</w:t>
      </w:r>
      <w:r>
        <w:rPr>
          <w:rFonts w:eastAsia="Arial" w:asciiTheme="majorHAnsi" w:hAnsiTheme="majorHAnsi" w:cstheme="majorHAnsi"/>
        </w:rPr>
        <w:t>ti</w:t>
      </w:r>
      <w:r>
        <w:rPr>
          <w:rFonts w:asciiTheme="majorHAnsi" w:hAnsiTheme="majorHAnsi" w:cstheme="majorHAnsi"/>
        </w:rPr>
        <w:t>dade gerenciadora entre os órgãos ou as entidades participantes e não participantes do registro de preços.</w:t>
      </w:r>
    </w:p>
    <w:p w14:paraId="449D6E5C">
      <w:pPr>
        <w:pStyle w:val="70"/>
        <w:numPr>
          <w:ilvl w:val="1"/>
          <w:numId w:val="20"/>
        </w:numPr>
        <w:ind w:left="0" w:firstLine="0"/>
        <w:rPr>
          <w:rFonts w:asciiTheme="majorHAnsi" w:hAnsiTheme="majorHAnsi" w:cstheme="majorHAnsi"/>
        </w:rPr>
      </w:pPr>
      <w:r>
        <w:rPr>
          <w:rFonts w:asciiTheme="majorHAnsi" w:hAnsiTheme="majorHAnsi" w:cstheme="majorHAnsi"/>
        </w:rPr>
        <w:t xml:space="preserve"> O remanejamento somente poderá ser feito:</w:t>
      </w:r>
    </w:p>
    <w:p w14:paraId="669FA8FE">
      <w:pPr>
        <w:pStyle w:val="70"/>
        <w:numPr>
          <w:ilvl w:val="1"/>
          <w:numId w:val="20"/>
        </w:numPr>
        <w:ind w:left="0" w:firstLine="0"/>
        <w:rPr>
          <w:rFonts w:asciiTheme="majorHAnsi" w:hAnsiTheme="majorHAnsi" w:cstheme="majorHAnsi"/>
        </w:rPr>
      </w:pPr>
      <w:r>
        <w:rPr>
          <w:rFonts w:asciiTheme="majorHAnsi" w:hAnsiTheme="majorHAnsi" w:cstheme="majorHAnsi"/>
        </w:rPr>
        <w:t>De órgão ou entidade participante para órgão ou entidade participante; ou</w:t>
      </w:r>
    </w:p>
    <w:p w14:paraId="162315DB">
      <w:pPr>
        <w:pStyle w:val="70"/>
        <w:numPr>
          <w:ilvl w:val="1"/>
          <w:numId w:val="20"/>
        </w:numPr>
        <w:ind w:left="0" w:firstLine="0"/>
        <w:rPr>
          <w:rFonts w:asciiTheme="majorHAnsi" w:hAnsiTheme="majorHAnsi" w:cstheme="majorHAnsi"/>
        </w:rPr>
      </w:pPr>
      <w:r>
        <w:rPr>
          <w:rFonts w:asciiTheme="majorHAnsi" w:hAnsiTheme="majorHAnsi" w:cstheme="majorHAnsi"/>
        </w:rPr>
        <w:t>De órgão ou entidade participante para órgão ou entidade não participante.</w:t>
      </w:r>
    </w:p>
    <w:p w14:paraId="5B0A3684">
      <w:pPr>
        <w:pStyle w:val="70"/>
        <w:numPr>
          <w:ilvl w:val="1"/>
          <w:numId w:val="20"/>
        </w:numPr>
        <w:ind w:left="0" w:firstLine="0"/>
        <w:rPr>
          <w:rFonts w:asciiTheme="majorHAnsi" w:hAnsiTheme="majorHAnsi" w:cstheme="majorHAnsi"/>
        </w:rPr>
      </w:pPr>
      <w:r>
        <w:rPr>
          <w:rFonts w:asciiTheme="majorHAnsi" w:hAnsiTheme="majorHAnsi" w:cstheme="majorHAnsi"/>
        </w:rPr>
        <w:t>O órgão ou entidade gerenciadora que tiver estimado as quantidades que pretende contratar será considerado participante para efeito do remanejamento.</w:t>
      </w:r>
      <w:bookmarkStart w:id="139" w:name="gerenciador_estimador_é_partic_em_remane"/>
      <w:bookmarkEnd w:id="139"/>
    </w:p>
    <w:p w14:paraId="31DA5C7E">
      <w:pPr>
        <w:pStyle w:val="70"/>
        <w:numPr>
          <w:ilvl w:val="1"/>
          <w:numId w:val="20"/>
        </w:numPr>
        <w:ind w:left="0" w:firstLine="0"/>
        <w:rPr>
          <w:rFonts w:asciiTheme="majorHAnsi" w:hAnsiTheme="majorHAnsi" w:cstheme="majorHAnsi"/>
        </w:rPr>
      </w:pPr>
      <w:r>
        <w:rPr>
          <w:rFonts w:asciiTheme="majorHAnsi" w:hAnsiTheme="majorHAnsi" w:cstheme="majorHAnsi"/>
        </w:rPr>
        <w:t>Na hipótese de remanejamento de órgão ou entidade participante para órgão ou entidade não participante, serão observados os limites previstos no art. 32 do Decreto nº 11.462, de 2023.</w:t>
      </w:r>
    </w:p>
    <w:p w14:paraId="211B0EE3">
      <w:pPr>
        <w:pStyle w:val="70"/>
        <w:numPr>
          <w:ilvl w:val="1"/>
          <w:numId w:val="20"/>
        </w:numPr>
        <w:ind w:left="0" w:firstLine="0"/>
        <w:rPr>
          <w:rFonts w:asciiTheme="majorHAnsi" w:hAnsiTheme="majorHAnsi" w:cstheme="majorHAnsi"/>
        </w:rPr>
      </w:pPr>
      <w:r>
        <w:rPr>
          <w:rFonts w:asciiTheme="majorHAnsi" w:hAnsiTheme="majorHAnsi" w:cstheme="majorHAnsi"/>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616EE63">
      <w:pPr>
        <w:pStyle w:val="70"/>
        <w:numPr>
          <w:ilvl w:val="1"/>
          <w:numId w:val="20"/>
        </w:numPr>
        <w:ind w:left="0" w:firstLine="0"/>
        <w:rPr>
          <w:rFonts w:asciiTheme="majorHAnsi" w:hAnsiTheme="majorHAnsi" w:cstheme="majorHAnsi"/>
        </w:rPr>
      </w:pPr>
      <w:r>
        <w:rPr>
          <w:rFonts w:asciiTheme="majorHAnsi" w:hAnsiTheme="majorHAnsi" w:cstheme="majorHAnsi"/>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8C41039">
      <w:pPr>
        <w:pStyle w:val="70"/>
        <w:numPr>
          <w:ilvl w:val="1"/>
          <w:numId w:val="20"/>
        </w:numPr>
        <w:ind w:left="0" w:firstLine="0"/>
        <w:rPr>
          <w:rFonts w:asciiTheme="majorHAnsi" w:hAnsiTheme="majorHAnsi" w:cstheme="majorHAnsi"/>
        </w:rPr>
      </w:pPr>
      <w:r>
        <w:rPr>
          <w:rFonts w:asciiTheme="majorHAnsi" w:hAnsiTheme="majorHAnsi" w:cstheme="majorHAnsi"/>
        </w:rPr>
        <w:t xml:space="preserve">Na hipótese da compra centralizada, não havendo indicação pelo órgão ou pela entidade gerenciadora, dos quantitativos dos participantes da compra centralizada, nos termos do item </w:t>
      </w:r>
      <w:r>
        <w:rPr>
          <w:rFonts w:asciiTheme="majorHAnsi" w:hAnsiTheme="majorHAnsi" w:cstheme="majorHAnsi"/>
        </w:rPr>
        <w:fldChar w:fldCharType="begin"/>
      </w:r>
      <w:r>
        <w:rPr>
          <w:rFonts w:asciiTheme="majorHAnsi" w:hAnsiTheme="majorHAnsi" w:cstheme="majorHAnsi"/>
        </w:rPr>
        <w:instrText xml:space="preserve"> REF gerenciador_estimador_é_partic_em_remane \r \h  \* MERGEFORMAT </w:instrText>
      </w:r>
      <w:r>
        <w:rPr>
          <w:rFonts w:asciiTheme="majorHAnsi" w:hAnsiTheme="majorHAnsi" w:cstheme="majorHAnsi"/>
        </w:rPr>
        <w:fldChar w:fldCharType="separate"/>
      </w:r>
      <w:r>
        <w:rPr>
          <w:rFonts w:asciiTheme="majorHAnsi" w:hAnsiTheme="majorHAnsi" w:cstheme="majorHAnsi"/>
        </w:rPr>
        <w:t>7.5</w:t>
      </w:r>
      <w:r>
        <w:rPr>
          <w:rFonts w:asciiTheme="majorHAnsi" w:hAnsiTheme="majorHAnsi" w:cstheme="majorHAnsi"/>
        </w:rPr>
        <w:fldChar w:fldCharType="end"/>
      </w:r>
      <w:r>
        <w:rPr>
          <w:rFonts w:asciiTheme="majorHAnsi" w:hAnsiTheme="majorHAnsi" w:cstheme="majorHAnsi"/>
        </w:rPr>
        <w:t>, a distribuição das quantidades para a execução descentralizada será por meio do remanejamento.</w:t>
      </w:r>
    </w:p>
    <w:p w14:paraId="74AF46C0">
      <w:pPr>
        <w:pStyle w:val="53"/>
        <w:numPr>
          <w:ilvl w:val="0"/>
          <w:numId w:val="20"/>
        </w:numPr>
        <w:ind w:left="0" w:firstLine="0"/>
        <w:rPr>
          <w:rFonts w:asciiTheme="majorHAnsi" w:hAnsiTheme="majorHAnsi" w:eastAsiaTheme="minorEastAsia" w:cstheme="majorHAnsi"/>
          <w:bCs w:val="0"/>
          <w:iCs w:val="0"/>
          <w:sz w:val="22"/>
          <w:szCs w:val="22"/>
        </w:rPr>
      </w:pPr>
      <w:r>
        <w:rPr>
          <w:rFonts w:asciiTheme="majorHAnsi" w:hAnsiTheme="majorHAnsi" w:eastAsiaTheme="minorEastAsia" w:cstheme="majorHAnsi"/>
          <w:bCs w:val="0"/>
          <w:iCs w:val="0"/>
          <w:sz w:val="22"/>
          <w:szCs w:val="22"/>
        </w:rPr>
        <w:t>CANCELAMENTO DO REGISTRO DO LICITANTE VENCEDOR E DOS PREÇOS REGISTRADOS</w:t>
      </w:r>
      <w:bookmarkStart w:id="140" w:name="cancelamento"/>
      <w:bookmarkEnd w:id="140"/>
    </w:p>
    <w:p w14:paraId="033A311C">
      <w:pPr>
        <w:pStyle w:val="70"/>
        <w:numPr>
          <w:ilvl w:val="1"/>
          <w:numId w:val="20"/>
        </w:numPr>
        <w:ind w:left="0" w:firstLine="0"/>
        <w:rPr>
          <w:rFonts w:asciiTheme="majorHAnsi" w:hAnsiTheme="majorHAnsi" w:cstheme="majorHAnsi"/>
        </w:rPr>
      </w:pPr>
      <w:r>
        <w:rPr>
          <w:rFonts w:asciiTheme="majorHAnsi" w:hAnsiTheme="majorHAnsi" w:cstheme="majorHAnsi"/>
        </w:rPr>
        <w:t>O registro do fornecedor será cancelado pelo gerenciador, quando o fornecedor:</w:t>
      </w:r>
      <w:bookmarkStart w:id="141" w:name="cancelamento_do_fornecedor"/>
      <w:bookmarkEnd w:id="141"/>
    </w:p>
    <w:p w14:paraId="6A7AAE4D">
      <w:pPr>
        <w:pStyle w:val="70"/>
        <w:numPr>
          <w:ilvl w:val="1"/>
          <w:numId w:val="20"/>
        </w:numPr>
        <w:ind w:left="0" w:firstLine="0"/>
        <w:rPr>
          <w:rFonts w:asciiTheme="majorHAnsi" w:hAnsiTheme="majorHAnsi" w:cstheme="majorHAnsi"/>
        </w:rPr>
      </w:pPr>
      <w:r>
        <w:rPr>
          <w:rFonts w:asciiTheme="majorHAnsi" w:hAnsiTheme="majorHAnsi" w:cstheme="majorHAnsi"/>
        </w:rPr>
        <w:t>Descumprir as condições da ata de registro de preços, sem motivo justificado;</w:t>
      </w:r>
    </w:p>
    <w:p w14:paraId="7F7DA37A">
      <w:pPr>
        <w:pStyle w:val="70"/>
        <w:numPr>
          <w:ilvl w:val="1"/>
          <w:numId w:val="20"/>
        </w:numPr>
        <w:ind w:left="0" w:firstLine="0"/>
        <w:rPr>
          <w:rFonts w:asciiTheme="majorHAnsi" w:hAnsiTheme="majorHAnsi" w:cstheme="majorHAnsi"/>
        </w:rPr>
      </w:pPr>
      <w:r>
        <w:rPr>
          <w:rFonts w:asciiTheme="majorHAnsi" w:hAnsiTheme="majorHAnsi" w:cstheme="majorHAnsi"/>
        </w:rPr>
        <w:t>Não retirar a nota de empenho, ou instrumento equivalente, no prazo estabelecido pela Administração sem justificativa razoável;</w:t>
      </w:r>
    </w:p>
    <w:p w14:paraId="11F5788F">
      <w:pPr>
        <w:pStyle w:val="70"/>
        <w:numPr>
          <w:ilvl w:val="1"/>
          <w:numId w:val="20"/>
        </w:numPr>
        <w:ind w:left="0" w:firstLine="0"/>
        <w:rPr>
          <w:rFonts w:asciiTheme="majorHAnsi" w:hAnsiTheme="majorHAnsi" w:cstheme="majorHAnsi"/>
        </w:rPr>
      </w:pPr>
      <w:r>
        <w:rPr>
          <w:rFonts w:asciiTheme="majorHAnsi" w:hAnsiTheme="majorHAnsi" w:cstheme="majorHAnsi"/>
        </w:rPr>
        <w:t>Não aceitar manter seu preço registrado, na hipótese prevista no artigo 27, § 2º, do Decreto nº 11.462, de 2023; ou</w:t>
      </w:r>
    </w:p>
    <w:p w14:paraId="111EB588">
      <w:pPr>
        <w:pStyle w:val="70"/>
        <w:numPr>
          <w:ilvl w:val="1"/>
          <w:numId w:val="20"/>
        </w:numPr>
        <w:ind w:left="0" w:firstLine="0"/>
        <w:rPr>
          <w:rFonts w:asciiTheme="majorHAnsi" w:hAnsiTheme="majorHAnsi" w:cstheme="majorHAnsi"/>
        </w:rPr>
      </w:pPr>
      <w:r>
        <w:rPr>
          <w:rFonts w:asciiTheme="majorHAnsi" w:hAnsiTheme="majorHAnsi" w:cstheme="majorHAnsi"/>
        </w:rPr>
        <w:t xml:space="preserve"> Sofrer sanção prevista nos incisos III ou IV do caput do art. 156 da Lei nº 14.133, de 2021.</w:t>
      </w:r>
    </w:p>
    <w:p w14:paraId="6226E2FE">
      <w:pPr>
        <w:pStyle w:val="70"/>
        <w:numPr>
          <w:ilvl w:val="1"/>
          <w:numId w:val="20"/>
        </w:numPr>
        <w:ind w:left="0" w:firstLine="0"/>
        <w:rPr>
          <w:rFonts w:asciiTheme="majorHAnsi" w:hAnsiTheme="majorHAnsi" w:cstheme="majorHAnsi"/>
        </w:rPr>
      </w:pPr>
      <w:r>
        <w:rPr>
          <w:rFonts w:asciiTheme="majorHAnsi" w:hAnsiTheme="majorHAnsi" w:cstheme="majorHAnsi"/>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8DF1A25">
      <w:pPr>
        <w:pStyle w:val="70"/>
        <w:numPr>
          <w:ilvl w:val="1"/>
          <w:numId w:val="20"/>
        </w:numPr>
        <w:ind w:left="0" w:firstLine="0"/>
        <w:rPr>
          <w:rFonts w:asciiTheme="majorHAnsi" w:hAnsiTheme="majorHAnsi" w:cstheme="majorHAnsi"/>
        </w:rPr>
      </w:pPr>
      <w:r>
        <w:rPr>
          <w:rFonts w:asciiTheme="majorHAnsi" w:hAnsiTheme="majorHAnsi" w:cstheme="majorHAnsi"/>
        </w:rPr>
        <w:t xml:space="preserve">O cancelamento de registros nas hipóteses previstas no item </w:t>
      </w:r>
      <w:r>
        <w:rPr>
          <w:rFonts w:asciiTheme="majorHAnsi" w:hAnsiTheme="majorHAnsi" w:cstheme="majorHAnsi"/>
        </w:rPr>
        <w:fldChar w:fldCharType="begin"/>
      </w:r>
      <w:r>
        <w:rPr>
          <w:rFonts w:asciiTheme="majorHAnsi" w:hAnsiTheme="majorHAnsi" w:cstheme="majorHAnsi"/>
        </w:rPr>
        <w:instrText xml:space="preserve"> REF cancelamento_do_fornecedor \r \h  \* MERGEFORMAT </w:instrText>
      </w:r>
      <w:r>
        <w:rPr>
          <w:rFonts w:asciiTheme="majorHAnsi" w:hAnsiTheme="majorHAnsi" w:cstheme="majorHAnsi"/>
        </w:rPr>
        <w:fldChar w:fldCharType="separate"/>
      </w:r>
      <w:r>
        <w:rPr>
          <w:rFonts w:asciiTheme="majorHAnsi" w:hAnsiTheme="majorHAnsi" w:cstheme="majorHAnsi"/>
        </w:rPr>
        <w:t>8.1</w:t>
      </w:r>
      <w:r>
        <w:rPr>
          <w:rFonts w:asciiTheme="majorHAnsi" w:hAnsiTheme="majorHAnsi" w:cstheme="majorHAnsi"/>
        </w:rPr>
        <w:fldChar w:fldCharType="end"/>
      </w:r>
      <w:r>
        <w:rPr>
          <w:rFonts w:asciiTheme="majorHAnsi" w:hAnsiTheme="majorHAnsi" w:cstheme="majorHAnsi"/>
        </w:rPr>
        <w:t xml:space="preserve"> será formalizado por despacho do órgão ou da entidade gerenciadora, garantidos os princípios do contraditório e da ampla defesa.</w:t>
      </w:r>
    </w:p>
    <w:p w14:paraId="71FAB82F">
      <w:pPr>
        <w:pStyle w:val="70"/>
        <w:numPr>
          <w:ilvl w:val="1"/>
          <w:numId w:val="20"/>
        </w:numPr>
        <w:ind w:left="0" w:firstLine="0"/>
        <w:rPr>
          <w:rFonts w:asciiTheme="majorHAnsi" w:hAnsiTheme="majorHAnsi" w:cstheme="majorHAnsi"/>
        </w:rPr>
      </w:pPr>
      <w:r>
        <w:rPr>
          <w:rFonts w:asciiTheme="majorHAnsi" w:hAnsiTheme="majorHAnsi" w:cstheme="majorHAnsi"/>
        </w:rPr>
        <w:t>Na hipótese de cancelamento do registro do fornecedor, o órgão ou a entidade gerenciadora poderá convocar os licitantes que compõem o cadastro de reserva, observada a ordem de classificação.</w:t>
      </w:r>
    </w:p>
    <w:p w14:paraId="3A78CC80">
      <w:pPr>
        <w:pStyle w:val="70"/>
        <w:numPr>
          <w:ilvl w:val="1"/>
          <w:numId w:val="20"/>
        </w:numPr>
        <w:ind w:left="0" w:firstLine="0"/>
        <w:rPr>
          <w:rFonts w:asciiTheme="majorHAnsi" w:hAnsiTheme="majorHAnsi" w:cstheme="majorHAnsi"/>
        </w:rPr>
      </w:pPr>
      <w:r>
        <w:rPr>
          <w:rFonts w:asciiTheme="majorHAnsi" w:hAnsiTheme="majorHAnsi" w:cstheme="majorHAnsi"/>
        </w:rPr>
        <w:t>O cancelamento dos preços registrados poderá ser realizado pelo gerenciador, em determinada ata de registro de preços, total ou parcialmente, nas seguintes hipóteses, desde que devidamente comprovadas e justificadas:</w:t>
      </w:r>
      <w:bookmarkStart w:id="142" w:name="cancelamento_da_ata"/>
      <w:bookmarkEnd w:id="142"/>
      <w:r>
        <w:rPr>
          <w:rFonts w:asciiTheme="majorHAnsi" w:hAnsiTheme="majorHAnsi" w:cstheme="majorHAnsi"/>
        </w:rPr>
        <w:t xml:space="preserve"> </w:t>
      </w:r>
    </w:p>
    <w:p w14:paraId="474A13DB">
      <w:pPr>
        <w:pStyle w:val="70"/>
        <w:numPr>
          <w:ilvl w:val="1"/>
          <w:numId w:val="20"/>
        </w:numPr>
        <w:ind w:left="0" w:firstLine="0"/>
        <w:rPr>
          <w:rFonts w:asciiTheme="majorHAnsi" w:hAnsiTheme="majorHAnsi" w:cstheme="majorHAnsi"/>
        </w:rPr>
      </w:pPr>
      <w:r>
        <w:rPr>
          <w:rFonts w:asciiTheme="majorHAnsi" w:hAnsiTheme="majorHAnsi" w:cstheme="majorHAnsi"/>
        </w:rPr>
        <w:t>Por razão de interesse público;</w:t>
      </w:r>
    </w:p>
    <w:p w14:paraId="7FE88BBA">
      <w:pPr>
        <w:pStyle w:val="70"/>
        <w:numPr>
          <w:ilvl w:val="1"/>
          <w:numId w:val="20"/>
        </w:numPr>
        <w:ind w:left="0" w:firstLine="0"/>
        <w:rPr>
          <w:rFonts w:asciiTheme="majorHAnsi" w:hAnsiTheme="majorHAnsi" w:cstheme="majorHAnsi"/>
        </w:rPr>
      </w:pPr>
      <w:r>
        <w:rPr>
          <w:rFonts w:asciiTheme="majorHAnsi" w:hAnsiTheme="majorHAnsi" w:cstheme="majorHAnsi"/>
        </w:rPr>
        <w:t>A pedido do fornecedor, decorrente de caso fortuito ou força maior; ou</w:t>
      </w:r>
    </w:p>
    <w:p w14:paraId="1745503D">
      <w:pPr>
        <w:pStyle w:val="70"/>
        <w:numPr>
          <w:ilvl w:val="1"/>
          <w:numId w:val="20"/>
        </w:numPr>
        <w:ind w:left="0" w:firstLine="0"/>
        <w:rPr>
          <w:rFonts w:asciiTheme="majorHAnsi" w:hAnsiTheme="majorHAnsi" w:cstheme="majorHAnsi"/>
        </w:rPr>
      </w:pPr>
      <w:r>
        <w:rPr>
          <w:rFonts w:asciiTheme="majorHAnsi" w:hAnsiTheme="majorHAnsi" w:cstheme="majorHAnsi"/>
        </w:rPr>
        <w:t xml:space="preserve">Se não houver êxito nas negociações, nas hipóteses em que o preço de mercado tornar-se superior ou inferior ao preço registrado, nos termos dos artigos 26, § 3º e 27, § 4º, ambos do Decreto nº 11.462, de 2023. </w:t>
      </w:r>
    </w:p>
    <w:p w14:paraId="5923FCC4">
      <w:pPr>
        <w:pStyle w:val="53"/>
        <w:numPr>
          <w:ilvl w:val="0"/>
          <w:numId w:val="20"/>
        </w:numPr>
        <w:ind w:left="0" w:firstLine="0"/>
        <w:rPr>
          <w:rFonts w:asciiTheme="majorHAnsi" w:hAnsiTheme="majorHAnsi" w:eastAsiaTheme="minorEastAsia" w:cstheme="majorHAnsi"/>
          <w:bCs w:val="0"/>
          <w:iCs w:val="0"/>
          <w:sz w:val="22"/>
          <w:szCs w:val="22"/>
        </w:rPr>
      </w:pPr>
      <w:r>
        <w:rPr>
          <w:rFonts w:asciiTheme="majorHAnsi" w:hAnsiTheme="majorHAnsi" w:eastAsiaTheme="minorEastAsia" w:cstheme="majorHAnsi"/>
          <w:bCs w:val="0"/>
          <w:iCs w:val="0"/>
          <w:sz w:val="22"/>
          <w:szCs w:val="22"/>
        </w:rPr>
        <w:t>DAS PENALIDADES</w:t>
      </w:r>
    </w:p>
    <w:p w14:paraId="54A4C56A">
      <w:pPr>
        <w:pStyle w:val="70"/>
        <w:numPr>
          <w:ilvl w:val="1"/>
          <w:numId w:val="20"/>
        </w:numPr>
        <w:ind w:left="0" w:firstLine="0"/>
        <w:rPr>
          <w:rFonts w:asciiTheme="majorHAnsi" w:hAnsiTheme="majorHAnsi" w:cstheme="majorHAnsi"/>
          <w:color w:val="FF0000"/>
        </w:rPr>
      </w:pPr>
      <w:r>
        <w:rPr>
          <w:rFonts w:asciiTheme="majorHAnsi" w:hAnsiTheme="majorHAnsi" w:cstheme="majorHAnsi"/>
        </w:rPr>
        <w:t xml:space="preserve">O descumprimento da Ata de Registro de Preços ensejará aplicação das penalidades estabelecidas no </w:t>
      </w:r>
      <w:r>
        <w:rPr>
          <w:rFonts w:asciiTheme="majorHAnsi" w:hAnsiTheme="majorHAnsi" w:cstheme="majorHAnsi"/>
          <w:color w:val="FF0000"/>
        </w:rPr>
        <w:t>edital.</w:t>
      </w:r>
    </w:p>
    <w:p w14:paraId="50366805">
      <w:pPr>
        <w:pStyle w:val="70"/>
        <w:numPr>
          <w:ilvl w:val="1"/>
          <w:numId w:val="20"/>
        </w:numPr>
        <w:ind w:left="0" w:firstLine="0"/>
        <w:rPr>
          <w:rFonts w:asciiTheme="majorHAnsi" w:hAnsiTheme="majorHAnsi" w:cstheme="majorHAnsi"/>
        </w:rPr>
      </w:pPr>
      <w:r>
        <w:rPr>
          <w:rFonts w:asciiTheme="majorHAnsi" w:hAnsiTheme="majorHAnsi" w:cstheme="majorHAnsi"/>
        </w:rPr>
        <w:t xml:space="preserve">As sanções também se aplicam aos integrantes do cadastro de reserva no registro de preços que, convocados, não honrarem o compromisso assumido injustificadamente após terem assinado a ata. </w:t>
      </w:r>
    </w:p>
    <w:p w14:paraId="524172F7">
      <w:pPr>
        <w:pStyle w:val="70"/>
        <w:numPr>
          <w:ilvl w:val="1"/>
          <w:numId w:val="20"/>
        </w:numPr>
        <w:ind w:left="0" w:firstLine="0"/>
        <w:rPr>
          <w:rFonts w:asciiTheme="majorHAnsi" w:hAnsiTheme="majorHAnsi" w:cstheme="majorHAnsi"/>
        </w:rPr>
      </w:pPr>
      <w:r>
        <w:rPr>
          <w:rFonts w:asciiTheme="majorHAnsi" w:hAnsiTheme="majorHAnsi" w:cstheme="majorHAnsi"/>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3E43DD4">
      <w:pPr>
        <w:pStyle w:val="70"/>
        <w:numPr>
          <w:ilvl w:val="1"/>
          <w:numId w:val="20"/>
        </w:numPr>
        <w:ind w:left="0" w:firstLine="0"/>
        <w:rPr>
          <w:rFonts w:asciiTheme="majorHAnsi" w:hAnsiTheme="majorHAnsi" w:cstheme="majorHAnsi"/>
        </w:rPr>
      </w:pPr>
      <w:r>
        <w:rPr>
          <w:rFonts w:asciiTheme="majorHAnsi" w:hAnsiTheme="majorHAnsi" w:cstheme="majorHAnsi"/>
        </w:rPr>
        <w:t>O órgão ou entidade participante deverá comunicar ao órgão gerenciador qualquer das ocorrências previstas no item 8.1, dada a necessidade de instauração de procedimento para cancelamento do registro do fornecedor.</w:t>
      </w:r>
    </w:p>
    <w:p w14:paraId="5624CE86">
      <w:pPr>
        <w:pStyle w:val="53"/>
        <w:numPr>
          <w:ilvl w:val="0"/>
          <w:numId w:val="20"/>
        </w:numPr>
        <w:ind w:left="0" w:firstLine="0"/>
        <w:rPr>
          <w:rFonts w:asciiTheme="majorHAnsi" w:hAnsiTheme="majorHAnsi" w:eastAsiaTheme="minorEastAsia" w:cstheme="majorHAnsi"/>
          <w:bCs w:val="0"/>
          <w:iCs w:val="0"/>
          <w:sz w:val="22"/>
          <w:szCs w:val="22"/>
        </w:rPr>
      </w:pPr>
      <w:r>
        <w:rPr>
          <w:rFonts w:asciiTheme="majorHAnsi" w:hAnsiTheme="majorHAnsi" w:eastAsiaTheme="minorEastAsia" w:cstheme="majorHAnsi"/>
          <w:bCs w:val="0"/>
          <w:iCs w:val="0"/>
          <w:sz w:val="22"/>
          <w:szCs w:val="22"/>
        </w:rPr>
        <w:t>CONDIÇÕES GERAIS</w:t>
      </w:r>
    </w:p>
    <w:p w14:paraId="5D13C2B8">
      <w:pPr>
        <w:pStyle w:val="70"/>
        <w:numPr>
          <w:ilvl w:val="1"/>
          <w:numId w:val="20"/>
        </w:numPr>
        <w:ind w:left="0" w:firstLine="0"/>
        <w:rPr>
          <w:rFonts w:asciiTheme="majorHAnsi" w:hAnsiTheme="majorHAnsi" w:cstheme="majorHAnsi"/>
        </w:rPr>
      </w:pPr>
      <w:r>
        <w:rPr>
          <w:rFonts w:asciiTheme="majorHAnsi" w:hAnsiTheme="majorHAnsi" w:cstheme="majorHAnsi"/>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rFonts w:asciiTheme="majorHAnsi" w:hAnsiTheme="majorHAnsi" w:cstheme="majorHAnsi"/>
          <w:color w:val="FF0000"/>
        </w:rPr>
        <w:t>edital.</w:t>
      </w:r>
    </w:p>
    <w:p w14:paraId="5A21F717">
      <w:pPr>
        <w:pStyle w:val="70"/>
        <w:numPr>
          <w:ilvl w:val="1"/>
          <w:numId w:val="20"/>
        </w:numPr>
        <w:ind w:left="0" w:firstLine="0"/>
        <w:rPr>
          <w:rFonts w:asciiTheme="majorHAnsi" w:hAnsiTheme="majorHAnsi" w:cstheme="majorHAnsi"/>
        </w:rPr>
      </w:pPr>
      <w:r>
        <w:rPr>
          <w:rFonts w:asciiTheme="majorHAnsi" w:hAnsiTheme="majorHAnsi" w:cstheme="majorHAnsi"/>
        </w:rPr>
        <w:t>No caso de adjudicação por preço global de grupo de itens, só será admitida a contratação de parte de itens do grupo se houver prévia pesquisa de mercado e demonstração de sua vantagem para o órgão ou a entidade.</w:t>
      </w:r>
    </w:p>
    <w:p w14:paraId="64111CEC">
      <w:pPr>
        <w:widowControl w:val="0"/>
        <w:autoSpaceDE w:val="0"/>
        <w:autoSpaceDN w:val="0"/>
        <w:adjustRightInd w:val="0"/>
        <w:spacing w:before="120" w:after="120" w:line="360" w:lineRule="auto"/>
        <w:jc w:val="both"/>
        <w:rPr>
          <w:rFonts w:asciiTheme="majorHAnsi" w:hAnsiTheme="majorHAnsi" w:cstheme="majorHAnsi"/>
          <w:iCs/>
          <w:sz w:val="22"/>
          <w:szCs w:val="22"/>
        </w:rPr>
      </w:pPr>
      <w:r>
        <w:rPr>
          <w:rFonts w:asciiTheme="majorHAnsi" w:hAnsiTheme="majorHAnsi" w:cstheme="majorHAnsi"/>
          <w:sz w:val="22"/>
          <w:szCs w:val="22"/>
        </w:rPr>
        <w:t xml:space="preserve">Para firmeza e validade do pactuado, a presente Ata foi lavrada em </w:t>
      </w:r>
      <w:r>
        <w:rPr>
          <w:rFonts w:asciiTheme="majorHAnsi" w:hAnsiTheme="majorHAnsi" w:cstheme="majorHAnsi"/>
          <w:color w:val="FF0000"/>
          <w:sz w:val="22"/>
          <w:szCs w:val="22"/>
        </w:rPr>
        <w:t xml:space="preserve">02 (duas) </w:t>
      </w:r>
      <w:r>
        <w:rPr>
          <w:rFonts w:asciiTheme="majorHAnsi" w:hAnsiTheme="majorHAnsi" w:cstheme="majorHAnsi"/>
          <w:sz w:val="22"/>
          <w:szCs w:val="22"/>
        </w:rPr>
        <w:t>vias de igual teor, que, depois de lida e achada em ordem, vai assinada pelas partes</w:t>
      </w:r>
      <w:r>
        <w:rPr>
          <w:rFonts w:asciiTheme="majorHAnsi" w:hAnsiTheme="majorHAnsi" w:cstheme="majorHAnsi"/>
          <w:iCs/>
          <w:sz w:val="22"/>
          <w:szCs w:val="22"/>
        </w:rPr>
        <w:t>.</w:t>
      </w:r>
    </w:p>
    <w:p w14:paraId="7F8F7554">
      <w:pPr>
        <w:widowControl w:val="0"/>
        <w:spacing w:before="120" w:after="120" w:line="360" w:lineRule="auto"/>
        <w:contextualSpacing/>
        <w:jc w:val="both"/>
        <w:rPr>
          <w:rFonts w:asciiTheme="majorHAnsi" w:hAnsiTheme="majorHAnsi" w:cstheme="majorHAnsi"/>
          <w:sz w:val="22"/>
          <w:szCs w:val="22"/>
        </w:rPr>
      </w:pPr>
      <w:r>
        <w:rPr>
          <w:rFonts w:asciiTheme="majorHAnsi" w:hAnsiTheme="majorHAnsi" w:cstheme="majorHAnsi"/>
          <w:sz w:val="22"/>
          <w:szCs w:val="22"/>
        </w:rPr>
        <w:t xml:space="preserve">Salvador-Ba, </w:t>
      </w:r>
      <w:r>
        <w:rPr>
          <w:rFonts w:asciiTheme="majorHAnsi" w:hAnsiTheme="majorHAnsi" w:cstheme="majorHAnsi"/>
          <w:b/>
          <w:bCs/>
          <w:sz w:val="22"/>
          <w:szCs w:val="22"/>
        </w:rPr>
        <w:t>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w:t>
      </w:r>
    </w:p>
    <w:p w14:paraId="3D95116D">
      <w:pPr>
        <w:widowControl w:val="0"/>
        <w:spacing w:before="120" w:after="120" w:line="360" w:lineRule="auto"/>
        <w:contextualSpacing/>
        <w:jc w:val="both"/>
        <w:rPr>
          <w:rFonts w:asciiTheme="majorHAnsi" w:hAnsiTheme="majorHAnsi" w:cstheme="majorHAnsi"/>
          <w:sz w:val="22"/>
          <w:szCs w:val="22"/>
        </w:rPr>
      </w:pPr>
    </w:p>
    <w:p w14:paraId="1ACA4A75">
      <w:pPr>
        <w:jc w:val="both"/>
        <w:rPr>
          <w:rFonts w:asciiTheme="majorHAnsi" w:hAnsiTheme="majorHAnsi" w:cstheme="majorHAnsi"/>
          <w:bCs/>
          <w:sz w:val="22"/>
          <w:szCs w:val="22"/>
        </w:rPr>
      </w:pPr>
      <w:r>
        <w:rPr>
          <w:rFonts w:asciiTheme="majorHAnsi" w:hAnsiTheme="majorHAnsi" w:cstheme="majorHAnsi"/>
          <w:bCs/>
          <w:sz w:val="22"/>
          <w:szCs w:val="22"/>
        </w:rPr>
        <w:t>____________________________________________________</w:t>
      </w:r>
    </w:p>
    <w:p w14:paraId="5D972565">
      <w:pPr>
        <w:jc w:val="both"/>
        <w:rPr>
          <w:rFonts w:asciiTheme="majorHAnsi" w:hAnsiTheme="majorHAnsi" w:cstheme="majorHAnsi"/>
          <w:bCs/>
          <w:sz w:val="22"/>
          <w:szCs w:val="22"/>
        </w:rPr>
      </w:pPr>
      <w:r>
        <w:rPr>
          <w:rFonts w:asciiTheme="majorHAnsi" w:hAnsiTheme="majorHAnsi" w:cstheme="majorHAnsi"/>
          <w:bCs/>
          <w:sz w:val="22"/>
          <w:szCs w:val="22"/>
        </w:rPr>
        <w:t>DEBORAH LANDULFO MEDRADO DE VINHAES TORRES</w:t>
      </w:r>
    </w:p>
    <w:p w14:paraId="0A828B0E">
      <w:pPr>
        <w:jc w:val="both"/>
        <w:rPr>
          <w:rFonts w:asciiTheme="majorHAnsi" w:hAnsiTheme="majorHAnsi" w:cstheme="majorHAnsi"/>
          <w:bCs/>
          <w:sz w:val="22"/>
          <w:szCs w:val="22"/>
        </w:rPr>
      </w:pPr>
      <w:r>
        <w:rPr>
          <w:rFonts w:asciiTheme="majorHAnsi" w:hAnsiTheme="majorHAnsi" w:cstheme="majorHAnsi"/>
          <w:bCs/>
          <w:sz w:val="22"/>
          <w:szCs w:val="22"/>
        </w:rPr>
        <w:t>Ordenador(a) de Despesa Substituto(a)</w:t>
      </w:r>
    </w:p>
    <w:p w14:paraId="4D1D5920">
      <w:pPr>
        <w:jc w:val="both"/>
        <w:rPr>
          <w:rFonts w:asciiTheme="majorHAnsi" w:hAnsiTheme="majorHAnsi" w:cstheme="majorHAnsi"/>
          <w:bCs/>
          <w:sz w:val="22"/>
          <w:szCs w:val="22"/>
        </w:rPr>
      </w:pPr>
    </w:p>
    <w:p w14:paraId="79F0ED93">
      <w:pPr>
        <w:jc w:val="both"/>
        <w:rPr>
          <w:rFonts w:asciiTheme="majorHAnsi" w:hAnsiTheme="majorHAnsi" w:cstheme="majorHAnsi"/>
          <w:sz w:val="22"/>
          <w:szCs w:val="22"/>
        </w:rPr>
      </w:pPr>
      <w:r>
        <w:rPr>
          <w:rFonts w:asciiTheme="majorHAnsi" w:hAnsiTheme="majorHAnsi" w:cstheme="majorHAnsi"/>
          <w:sz w:val="22"/>
          <w:szCs w:val="22"/>
        </w:rPr>
        <w:t>_________________________________</w:t>
      </w:r>
    </w:p>
    <w:p w14:paraId="2AD70F26">
      <w:pPr>
        <w:jc w:val="both"/>
        <w:rPr>
          <w:rFonts w:asciiTheme="majorHAnsi" w:hAnsiTheme="majorHAnsi" w:cstheme="majorHAnsi"/>
          <w:b/>
          <w:color w:val="000000"/>
          <w:sz w:val="22"/>
          <w:szCs w:val="22"/>
          <w:u w:val="single"/>
        </w:rPr>
      </w:pPr>
      <w:r>
        <w:rPr>
          <w:rFonts w:asciiTheme="majorHAnsi" w:hAnsiTheme="majorHAnsi" w:cstheme="majorHAnsi"/>
          <w:sz w:val="22"/>
          <w:szCs w:val="22"/>
        </w:rPr>
        <w:t>Representante da Empresa</w:t>
      </w:r>
    </w:p>
    <w:p w14:paraId="176CEA44">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4863F4CA">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t>ANEXO A</w:t>
      </w:r>
    </w:p>
    <w:p w14:paraId="3DB2CB2A">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t>Cadastro Reserva</w:t>
      </w:r>
    </w:p>
    <w:p w14:paraId="0F28E5AC">
      <w:pPr>
        <w:widowControl w:val="0"/>
        <w:autoSpaceDE w:val="0"/>
        <w:autoSpaceDN w:val="0"/>
        <w:adjustRightInd w:val="0"/>
        <w:spacing w:line="360" w:lineRule="auto"/>
        <w:ind w:right="-30"/>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aceitaram cotar os itens com preços iguais ao adjudicatário:</w:t>
      </w:r>
    </w:p>
    <w:tbl>
      <w:tblPr>
        <w:tblStyle w:val="10"/>
        <w:tblW w:w="9390" w:type="dxa"/>
        <w:tblInd w:w="10" w:type="dxa"/>
        <w:tblLayout w:type="fixed"/>
        <w:tblCellMar>
          <w:top w:w="0" w:type="dxa"/>
          <w:left w:w="10" w:type="dxa"/>
          <w:bottom w:w="0" w:type="dxa"/>
          <w:right w:w="10" w:type="dxa"/>
        </w:tblCellMar>
      </w:tblPr>
      <w:tblGrid>
        <w:gridCol w:w="838"/>
        <w:gridCol w:w="1276"/>
        <w:gridCol w:w="992"/>
        <w:gridCol w:w="1134"/>
        <w:gridCol w:w="850"/>
        <w:gridCol w:w="993"/>
        <w:gridCol w:w="992"/>
        <w:gridCol w:w="850"/>
        <w:gridCol w:w="1465"/>
      </w:tblGrid>
      <w:tr w14:paraId="65D661EE">
        <w:tblPrEx>
          <w:tblCellMar>
            <w:top w:w="0" w:type="dxa"/>
            <w:left w:w="10" w:type="dxa"/>
            <w:bottom w:w="0" w:type="dxa"/>
            <w:right w:w="10" w:type="dxa"/>
          </w:tblCellMar>
        </w:tblPrEx>
        <w:trPr>
          <w:trHeight w:val="511" w:hRule="atLeast"/>
        </w:trPr>
        <w:tc>
          <w:tcPr>
            <w:tcW w:w="838" w:type="dxa"/>
            <w:tcBorders>
              <w:top w:val="single" w:color="000000" w:sz="2" w:space="0"/>
              <w:left w:val="single" w:color="000000" w:sz="2" w:space="0"/>
              <w:bottom w:val="single" w:color="000000" w:sz="2" w:space="0"/>
              <w:right w:val="single" w:color="000000" w:sz="2" w:space="0"/>
            </w:tcBorders>
            <w:vAlign w:val="center"/>
          </w:tcPr>
          <w:p w14:paraId="2EFFC20A">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24C3C935">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060ACC5A">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color="000000" w:sz="2" w:space="0"/>
              <w:left w:val="single" w:color="000000" w:sz="2" w:space="0"/>
              <w:bottom w:val="single" w:color="000000" w:sz="2" w:space="0"/>
              <w:right w:val="single" w:color="000000" w:sz="2" w:space="0"/>
            </w:tcBorders>
          </w:tcPr>
          <w:p w14:paraId="674E40DB">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401AF92F">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14:paraId="044260A7">
        <w:tblPrEx>
          <w:tblCellMar>
            <w:top w:w="0" w:type="dxa"/>
            <w:left w:w="10" w:type="dxa"/>
            <w:bottom w:w="0" w:type="dxa"/>
            <w:right w:w="10" w:type="dxa"/>
          </w:tblCellMar>
        </w:tblPrEx>
        <w:trPr>
          <w:trHeight w:val="674" w:hRule="atLeast"/>
        </w:trPr>
        <w:tc>
          <w:tcPr>
            <w:tcW w:w="838" w:type="dxa"/>
            <w:tcBorders>
              <w:top w:val="nil"/>
              <w:left w:val="single" w:color="000000" w:sz="2" w:space="0"/>
              <w:bottom w:val="single" w:color="000000" w:sz="2" w:space="0"/>
              <w:right w:val="nil"/>
            </w:tcBorders>
            <w:vAlign w:val="center"/>
          </w:tcPr>
          <w:p w14:paraId="6C77C9D7">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color="000000" w:sz="2" w:space="0"/>
              <w:bottom w:val="single" w:color="000000" w:sz="2" w:space="0"/>
              <w:right w:val="nil"/>
            </w:tcBorders>
          </w:tcPr>
          <w:p w14:paraId="4A8729E7">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92" w:type="dxa"/>
            <w:tcBorders>
              <w:top w:val="nil"/>
              <w:left w:val="single" w:color="000000" w:sz="2" w:space="0"/>
              <w:bottom w:val="single" w:color="000000" w:sz="2" w:space="0"/>
              <w:right w:val="nil"/>
            </w:tcBorders>
          </w:tcPr>
          <w:p w14:paraId="3E5F52DE">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Marca</w:t>
            </w:r>
          </w:p>
          <w:p w14:paraId="69FAE138">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exigida no edital)</w:t>
            </w:r>
          </w:p>
        </w:tc>
        <w:tc>
          <w:tcPr>
            <w:tcW w:w="1134" w:type="dxa"/>
            <w:tcBorders>
              <w:top w:val="nil"/>
              <w:left w:val="single" w:color="000000" w:sz="2" w:space="0"/>
              <w:bottom w:val="single" w:color="000000" w:sz="2" w:space="0"/>
              <w:right w:val="nil"/>
            </w:tcBorders>
          </w:tcPr>
          <w:p w14:paraId="589F01A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Modelo</w:t>
            </w:r>
          </w:p>
          <w:p w14:paraId="670E409F">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exigido no edital)</w:t>
            </w:r>
          </w:p>
        </w:tc>
        <w:tc>
          <w:tcPr>
            <w:tcW w:w="850" w:type="dxa"/>
            <w:tcBorders>
              <w:top w:val="nil"/>
              <w:left w:val="single" w:color="000000" w:sz="2" w:space="0"/>
              <w:bottom w:val="single" w:color="000000" w:sz="2" w:space="0"/>
              <w:right w:val="nil"/>
            </w:tcBorders>
          </w:tcPr>
          <w:p w14:paraId="28D20A60">
            <w:pPr>
              <w:widowControl w:val="0"/>
              <w:autoSpaceDE w:val="0"/>
              <w:autoSpaceDN w:val="0"/>
              <w:adjustRightInd w:val="0"/>
              <w:spacing w:line="360" w:lineRule="auto"/>
              <w:ind w:left="-9"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color="000000" w:sz="2" w:space="0"/>
              <w:bottom w:val="single" w:color="000000" w:sz="2" w:space="0"/>
              <w:right w:val="nil"/>
            </w:tcBorders>
          </w:tcPr>
          <w:p w14:paraId="1CE4CCF5">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color="000000" w:sz="2" w:space="0"/>
              <w:bottom w:val="single" w:color="000000" w:sz="2" w:space="0"/>
              <w:right w:val="single" w:color="000000" w:sz="2" w:space="0"/>
            </w:tcBorders>
          </w:tcPr>
          <w:p w14:paraId="1097A2CE">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color="000000" w:sz="2" w:space="0"/>
              <w:bottom w:val="single" w:color="000000" w:sz="2" w:space="0"/>
              <w:right w:val="nil"/>
            </w:tcBorders>
          </w:tcPr>
          <w:p w14:paraId="244D7D79">
            <w:pPr>
              <w:widowControl w:val="0"/>
              <w:autoSpaceDE w:val="0"/>
              <w:autoSpaceDN w:val="0"/>
              <w:adjustRightInd w:val="0"/>
              <w:spacing w:line="360" w:lineRule="auto"/>
              <w:ind w:left="-12"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color="000000" w:sz="2" w:space="0"/>
              <w:bottom w:val="single" w:color="000000" w:sz="2" w:space="0"/>
              <w:right w:val="single" w:color="000000" w:sz="2" w:space="0"/>
            </w:tcBorders>
          </w:tcPr>
          <w:p w14:paraId="4BD34D1E">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iCs/>
                <w:sz w:val="22"/>
                <w:szCs w:val="22"/>
              </w:rPr>
              <w:t>Prazo garantia ou validade</w:t>
            </w:r>
          </w:p>
        </w:tc>
      </w:tr>
      <w:tr w14:paraId="7BD10C0B">
        <w:tblPrEx>
          <w:tblCellMar>
            <w:top w:w="0" w:type="dxa"/>
            <w:left w:w="10" w:type="dxa"/>
            <w:bottom w:w="0" w:type="dxa"/>
            <w:right w:w="10" w:type="dxa"/>
          </w:tblCellMar>
        </w:tblPrEx>
        <w:trPr>
          <w:trHeight w:val="174" w:hRule="atLeast"/>
        </w:trPr>
        <w:tc>
          <w:tcPr>
            <w:tcW w:w="838" w:type="dxa"/>
            <w:tcBorders>
              <w:top w:val="nil"/>
              <w:left w:val="single" w:color="000000" w:sz="2" w:space="0"/>
              <w:bottom w:val="single" w:color="000000" w:sz="2" w:space="0"/>
              <w:right w:val="nil"/>
            </w:tcBorders>
          </w:tcPr>
          <w:p w14:paraId="0182979A">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color="000000" w:sz="2" w:space="0"/>
              <w:bottom w:val="single" w:color="000000" w:sz="2" w:space="0"/>
              <w:right w:val="nil"/>
            </w:tcBorders>
          </w:tcPr>
          <w:p w14:paraId="09FE938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color="000000" w:sz="2" w:space="0"/>
              <w:bottom w:val="single" w:color="000000" w:sz="2" w:space="0"/>
              <w:right w:val="nil"/>
            </w:tcBorders>
          </w:tcPr>
          <w:p w14:paraId="066DD4A6">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34" w:type="dxa"/>
            <w:tcBorders>
              <w:top w:val="nil"/>
              <w:left w:val="single" w:color="000000" w:sz="2" w:space="0"/>
              <w:bottom w:val="single" w:color="000000" w:sz="2" w:space="0"/>
              <w:right w:val="nil"/>
            </w:tcBorders>
          </w:tcPr>
          <w:p w14:paraId="3E838AEE">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color="000000" w:sz="2" w:space="0"/>
              <w:bottom w:val="single" w:color="000000" w:sz="2" w:space="0"/>
              <w:right w:val="nil"/>
            </w:tcBorders>
          </w:tcPr>
          <w:p w14:paraId="5775AB82">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color="000000" w:sz="2" w:space="0"/>
              <w:bottom w:val="single" w:color="000000" w:sz="2" w:space="0"/>
              <w:right w:val="nil"/>
            </w:tcBorders>
          </w:tcPr>
          <w:p w14:paraId="584170B1">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color="000000" w:sz="2" w:space="0"/>
              <w:bottom w:val="single" w:color="000000" w:sz="2" w:space="0"/>
              <w:right w:val="single" w:color="000000" w:sz="2" w:space="0"/>
            </w:tcBorders>
          </w:tcPr>
          <w:p w14:paraId="618D27AA">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color="000000" w:sz="2" w:space="0"/>
              <w:bottom w:val="single" w:color="000000" w:sz="2" w:space="0"/>
              <w:right w:val="nil"/>
            </w:tcBorders>
          </w:tcPr>
          <w:p w14:paraId="7F379E2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color="000000" w:sz="2" w:space="0"/>
              <w:bottom w:val="single" w:color="000000" w:sz="2" w:space="0"/>
              <w:right w:val="single" w:color="000000" w:sz="2" w:space="0"/>
            </w:tcBorders>
          </w:tcPr>
          <w:p w14:paraId="13BAAED0">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1DC801D4">
      <w:pPr>
        <w:widowControl w:val="0"/>
        <w:autoSpaceDE w:val="0"/>
        <w:autoSpaceDN w:val="0"/>
        <w:adjustRightInd w:val="0"/>
        <w:spacing w:line="360" w:lineRule="auto"/>
        <w:ind w:left="284" w:right="-30"/>
        <w:jc w:val="center"/>
        <w:rPr>
          <w:rFonts w:asciiTheme="majorHAnsi" w:hAnsiTheme="majorHAnsi" w:cstheme="majorHAnsi"/>
          <w:color w:val="000000"/>
          <w:sz w:val="22"/>
          <w:szCs w:val="22"/>
        </w:rPr>
      </w:pPr>
    </w:p>
    <w:p w14:paraId="1CFAD100">
      <w:pPr>
        <w:widowControl w:val="0"/>
        <w:autoSpaceDE w:val="0"/>
        <w:autoSpaceDN w:val="0"/>
        <w:adjustRightInd w:val="0"/>
        <w:spacing w:line="360" w:lineRule="auto"/>
        <w:ind w:right="-143"/>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mantiveram sua proposta original:</w:t>
      </w:r>
    </w:p>
    <w:tbl>
      <w:tblPr>
        <w:tblStyle w:val="10"/>
        <w:tblW w:w="9390" w:type="dxa"/>
        <w:tblInd w:w="10" w:type="dxa"/>
        <w:tblLayout w:type="fixed"/>
        <w:tblCellMar>
          <w:top w:w="0" w:type="dxa"/>
          <w:left w:w="10" w:type="dxa"/>
          <w:bottom w:w="0" w:type="dxa"/>
          <w:right w:w="10" w:type="dxa"/>
        </w:tblCellMar>
      </w:tblPr>
      <w:tblGrid>
        <w:gridCol w:w="838"/>
        <w:gridCol w:w="1276"/>
        <w:gridCol w:w="967"/>
        <w:gridCol w:w="1159"/>
        <w:gridCol w:w="850"/>
        <w:gridCol w:w="993"/>
        <w:gridCol w:w="992"/>
        <w:gridCol w:w="850"/>
        <w:gridCol w:w="1465"/>
      </w:tblGrid>
      <w:tr w14:paraId="47641827">
        <w:tblPrEx>
          <w:tblCellMar>
            <w:top w:w="0" w:type="dxa"/>
            <w:left w:w="10" w:type="dxa"/>
            <w:bottom w:w="0" w:type="dxa"/>
            <w:right w:w="10" w:type="dxa"/>
          </w:tblCellMar>
        </w:tblPrEx>
        <w:trPr>
          <w:trHeight w:val="511" w:hRule="atLeast"/>
        </w:trPr>
        <w:tc>
          <w:tcPr>
            <w:tcW w:w="838" w:type="dxa"/>
            <w:tcBorders>
              <w:top w:val="single" w:color="000000" w:sz="2" w:space="0"/>
              <w:left w:val="single" w:color="000000" w:sz="2" w:space="0"/>
              <w:bottom w:val="single" w:color="000000" w:sz="2" w:space="0"/>
              <w:right w:val="single" w:color="000000" w:sz="2" w:space="0"/>
            </w:tcBorders>
            <w:vAlign w:val="center"/>
          </w:tcPr>
          <w:p w14:paraId="5D309C34">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2CE5615D">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76D50AE4">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color="000000" w:sz="2" w:space="0"/>
              <w:left w:val="single" w:color="000000" w:sz="2" w:space="0"/>
              <w:bottom w:val="single" w:color="000000" w:sz="2" w:space="0"/>
              <w:right w:val="single" w:color="000000" w:sz="2" w:space="0"/>
            </w:tcBorders>
          </w:tcPr>
          <w:p w14:paraId="660FD26C">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08087458">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14:paraId="2D78B161">
        <w:tblPrEx>
          <w:tblCellMar>
            <w:top w:w="0" w:type="dxa"/>
            <w:left w:w="10" w:type="dxa"/>
            <w:bottom w:w="0" w:type="dxa"/>
            <w:right w:w="10" w:type="dxa"/>
          </w:tblCellMar>
        </w:tblPrEx>
        <w:trPr>
          <w:trHeight w:val="674" w:hRule="atLeast"/>
        </w:trPr>
        <w:tc>
          <w:tcPr>
            <w:tcW w:w="838" w:type="dxa"/>
            <w:tcBorders>
              <w:top w:val="nil"/>
              <w:left w:val="single" w:color="000000" w:sz="2" w:space="0"/>
              <w:bottom w:val="single" w:color="000000" w:sz="2" w:space="0"/>
              <w:right w:val="nil"/>
            </w:tcBorders>
            <w:vAlign w:val="center"/>
          </w:tcPr>
          <w:p w14:paraId="65FF753F">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color="000000" w:sz="2" w:space="0"/>
              <w:bottom w:val="single" w:color="000000" w:sz="2" w:space="0"/>
              <w:right w:val="nil"/>
            </w:tcBorders>
          </w:tcPr>
          <w:p w14:paraId="1441CD01">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67" w:type="dxa"/>
            <w:tcBorders>
              <w:top w:val="nil"/>
              <w:left w:val="single" w:color="000000" w:sz="2" w:space="0"/>
              <w:bottom w:val="single" w:color="000000" w:sz="2" w:space="0"/>
              <w:right w:val="nil"/>
            </w:tcBorders>
          </w:tcPr>
          <w:p w14:paraId="3B624E0B">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Marca</w:t>
            </w:r>
          </w:p>
          <w:p w14:paraId="4558DC0E">
            <w:pPr>
              <w:widowControl w:val="0"/>
              <w:autoSpaceDE w:val="0"/>
              <w:autoSpaceDN w:val="0"/>
              <w:adjustRightInd w:val="0"/>
              <w:spacing w:line="360" w:lineRule="auto"/>
              <w:ind w:left="-10" w:right="-30"/>
              <w:jc w:val="center"/>
              <w:rPr>
                <w:rFonts w:asciiTheme="majorHAnsi" w:hAnsiTheme="majorHAnsi" w:cstheme="majorHAnsi"/>
                <w:sz w:val="22"/>
                <w:szCs w:val="22"/>
              </w:rPr>
            </w:pPr>
            <w:r>
              <w:rPr>
                <w:rFonts w:asciiTheme="majorHAnsi" w:hAnsiTheme="majorHAnsi" w:cstheme="majorHAnsi"/>
                <w:color w:val="FF0000"/>
                <w:sz w:val="22"/>
                <w:szCs w:val="22"/>
              </w:rPr>
              <w:t>(se exigida no edital)</w:t>
            </w:r>
          </w:p>
        </w:tc>
        <w:tc>
          <w:tcPr>
            <w:tcW w:w="1159" w:type="dxa"/>
            <w:tcBorders>
              <w:top w:val="nil"/>
              <w:left w:val="single" w:color="000000" w:sz="2" w:space="0"/>
              <w:bottom w:val="single" w:color="000000" w:sz="2" w:space="0"/>
              <w:right w:val="nil"/>
            </w:tcBorders>
          </w:tcPr>
          <w:p w14:paraId="7CFED9AD">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Modelo</w:t>
            </w:r>
          </w:p>
          <w:p w14:paraId="57F1C4D2">
            <w:pPr>
              <w:widowControl w:val="0"/>
              <w:autoSpaceDE w:val="0"/>
              <w:autoSpaceDN w:val="0"/>
              <w:adjustRightInd w:val="0"/>
              <w:spacing w:line="360" w:lineRule="auto"/>
              <w:ind w:left="14" w:right="-30"/>
              <w:jc w:val="center"/>
              <w:rPr>
                <w:rFonts w:asciiTheme="majorHAnsi" w:hAnsiTheme="majorHAnsi" w:cstheme="majorHAnsi"/>
                <w:sz w:val="22"/>
                <w:szCs w:val="22"/>
              </w:rPr>
            </w:pPr>
            <w:r>
              <w:rPr>
                <w:rFonts w:asciiTheme="majorHAnsi" w:hAnsiTheme="majorHAnsi" w:cstheme="majorHAnsi"/>
                <w:color w:val="FF0000"/>
                <w:sz w:val="22"/>
                <w:szCs w:val="22"/>
              </w:rPr>
              <w:t>(se exigido no edital)</w:t>
            </w:r>
          </w:p>
        </w:tc>
        <w:tc>
          <w:tcPr>
            <w:tcW w:w="850" w:type="dxa"/>
            <w:tcBorders>
              <w:top w:val="nil"/>
              <w:left w:val="single" w:color="000000" w:sz="2" w:space="0"/>
              <w:bottom w:val="single" w:color="000000" w:sz="2" w:space="0"/>
              <w:right w:val="nil"/>
            </w:tcBorders>
          </w:tcPr>
          <w:p w14:paraId="7118999B">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color="000000" w:sz="2" w:space="0"/>
              <w:bottom w:val="single" w:color="000000" w:sz="2" w:space="0"/>
              <w:right w:val="nil"/>
            </w:tcBorders>
          </w:tcPr>
          <w:p w14:paraId="57C9D009">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color="000000" w:sz="2" w:space="0"/>
              <w:bottom w:val="single" w:color="000000" w:sz="2" w:space="0"/>
              <w:right w:val="single" w:color="000000" w:sz="2" w:space="0"/>
            </w:tcBorders>
          </w:tcPr>
          <w:p w14:paraId="743EC581">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color="000000" w:sz="2" w:space="0"/>
              <w:bottom w:val="single" w:color="000000" w:sz="2" w:space="0"/>
              <w:right w:val="nil"/>
            </w:tcBorders>
          </w:tcPr>
          <w:p w14:paraId="272BD6B5">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color="000000" w:sz="2" w:space="0"/>
              <w:bottom w:val="single" w:color="000000" w:sz="2" w:space="0"/>
              <w:right w:val="single" w:color="000000" w:sz="2" w:space="0"/>
            </w:tcBorders>
          </w:tcPr>
          <w:p w14:paraId="57D8A682">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14:paraId="3E4EB7FC">
        <w:tblPrEx>
          <w:tblCellMar>
            <w:top w:w="0" w:type="dxa"/>
            <w:left w:w="10" w:type="dxa"/>
            <w:bottom w:w="0" w:type="dxa"/>
            <w:right w:w="10" w:type="dxa"/>
          </w:tblCellMar>
        </w:tblPrEx>
        <w:trPr>
          <w:trHeight w:val="174" w:hRule="atLeast"/>
        </w:trPr>
        <w:tc>
          <w:tcPr>
            <w:tcW w:w="838" w:type="dxa"/>
            <w:tcBorders>
              <w:top w:val="nil"/>
              <w:left w:val="single" w:color="000000" w:sz="2" w:space="0"/>
              <w:bottom w:val="single" w:color="000000" w:sz="2" w:space="0"/>
              <w:right w:val="nil"/>
            </w:tcBorders>
          </w:tcPr>
          <w:p w14:paraId="0A399C26">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color="000000" w:sz="2" w:space="0"/>
              <w:bottom w:val="single" w:color="000000" w:sz="2" w:space="0"/>
              <w:right w:val="nil"/>
            </w:tcBorders>
          </w:tcPr>
          <w:p w14:paraId="5F282356">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67" w:type="dxa"/>
            <w:tcBorders>
              <w:top w:val="nil"/>
              <w:left w:val="single" w:color="000000" w:sz="2" w:space="0"/>
              <w:bottom w:val="single" w:color="000000" w:sz="2" w:space="0"/>
              <w:right w:val="nil"/>
            </w:tcBorders>
          </w:tcPr>
          <w:p w14:paraId="21E089AA">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59" w:type="dxa"/>
            <w:tcBorders>
              <w:top w:val="nil"/>
              <w:left w:val="single" w:color="000000" w:sz="2" w:space="0"/>
              <w:bottom w:val="single" w:color="000000" w:sz="2" w:space="0"/>
              <w:right w:val="nil"/>
            </w:tcBorders>
          </w:tcPr>
          <w:p w14:paraId="3E0DF60E">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color="000000" w:sz="2" w:space="0"/>
              <w:bottom w:val="single" w:color="000000" w:sz="2" w:space="0"/>
              <w:right w:val="nil"/>
            </w:tcBorders>
          </w:tcPr>
          <w:p w14:paraId="38A552E0">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color="000000" w:sz="2" w:space="0"/>
              <w:bottom w:val="single" w:color="000000" w:sz="2" w:space="0"/>
              <w:right w:val="nil"/>
            </w:tcBorders>
          </w:tcPr>
          <w:p w14:paraId="39692268">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color="000000" w:sz="2" w:space="0"/>
              <w:bottom w:val="single" w:color="000000" w:sz="2" w:space="0"/>
              <w:right w:val="single" w:color="000000" w:sz="2" w:space="0"/>
            </w:tcBorders>
          </w:tcPr>
          <w:p w14:paraId="1159D11E">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color="000000" w:sz="2" w:space="0"/>
              <w:bottom w:val="single" w:color="000000" w:sz="2" w:space="0"/>
              <w:right w:val="nil"/>
            </w:tcBorders>
          </w:tcPr>
          <w:p w14:paraId="3DB81D80">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color="000000" w:sz="2" w:space="0"/>
              <w:bottom w:val="single" w:color="000000" w:sz="2" w:space="0"/>
              <w:right w:val="single" w:color="000000" w:sz="2" w:space="0"/>
            </w:tcBorders>
          </w:tcPr>
          <w:p w14:paraId="5B509AC7">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6CF50367">
      <w:pPr>
        <w:spacing w:line="360" w:lineRule="auto"/>
        <w:ind w:left="284"/>
        <w:jc w:val="center"/>
        <w:rPr>
          <w:rFonts w:asciiTheme="majorHAnsi" w:hAnsiTheme="majorHAnsi" w:cstheme="majorHAnsi"/>
          <w:b/>
          <w:sz w:val="22"/>
          <w:szCs w:val="22"/>
          <w:u w:val="single"/>
        </w:rPr>
      </w:pPr>
    </w:p>
    <w:p w14:paraId="0E9083DA">
      <w:pPr>
        <w:spacing w:line="360" w:lineRule="auto"/>
        <w:ind w:left="284"/>
        <w:jc w:val="center"/>
        <w:rPr>
          <w:rFonts w:asciiTheme="majorHAnsi" w:hAnsiTheme="majorHAnsi" w:cstheme="majorHAnsi"/>
          <w:b/>
          <w:sz w:val="22"/>
          <w:szCs w:val="22"/>
          <w:u w:val="single"/>
        </w:rPr>
      </w:pPr>
    </w:p>
    <w:p w14:paraId="591EF85E">
      <w:pPr>
        <w:spacing w:line="360" w:lineRule="auto"/>
        <w:ind w:left="284"/>
        <w:jc w:val="center"/>
        <w:rPr>
          <w:rFonts w:asciiTheme="majorHAnsi" w:hAnsiTheme="majorHAnsi" w:cstheme="majorHAnsi"/>
          <w:b/>
          <w:sz w:val="22"/>
          <w:szCs w:val="22"/>
          <w:u w:val="single"/>
        </w:rPr>
      </w:pPr>
    </w:p>
    <w:p w14:paraId="142B1481">
      <w:pPr>
        <w:spacing w:line="360" w:lineRule="auto"/>
        <w:jc w:val="center"/>
        <w:rPr>
          <w:rFonts w:asciiTheme="majorHAnsi" w:hAnsiTheme="majorHAnsi" w:cstheme="majorHAnsi"/>
          <w:b/>
          <w:sz w:val="22"/>
          <w:szCs w:val="22"/>
          <w:u w:val="single"/>
        </w:rPr>
      </w:pPr>
    </w:p>
    <w:p w14:paraId="53BE50FC">
      <w:pPr>
        <w:spacing w:line="360" w:lineRule="auto"/>
        <w:jc w:val="center"/>
        <w:rPr>
          <w:rFonts w:asciiTheme="majorHAnsi" w:hAnsiTheme="majorHAnsi" w:cstheme="majorHAnsi"/>
          <w:b/>
          <w:sz w:val="22"/>
          <w:szCs w:val="22"/>
          <w:u w:val="single"/>
        </w:rPr>
      </w:pPr>
    </w:p>
    <w:p w14:paraId="4735AF42">
      <w:pPr>
        <w:spacing w:line="360" w:lineRule="auto"/>
        <w:jc w:val="center"/>
        <w:rPr>
          <w:rFonts w:asciiTheme="majorHAnsi" w:hAnsiTheme="majorHAnsi" w:cstheme="majorHAnsi"/>
          <w:b/>
          <w:sz w:val="22"/>
          <w:szCs w:val="22"/>
          <w:u w:val="single"/>
        </w:rPr>
      </w:pPr>
    </w:p>
    <w:p w14:paraId="71915D67">
      <w:pPr>
        <w:spacing w:line="360" w:lineRule="auto"/>
        <w:jc w:val="center"/>
        <w:rPr>
          <w:rFonts w:asciiTheme="majorHAnsi" w:hAnsiTheme="majorHAnsi" w:cstheme="majorHAnsi"/>
          <w:b/>
          <w:sz w:val="22"/>
          <w:szCs w:val="22"/>
          <w:u w:val="single"/>
        </w:rPr>
      </w:pPr>
    </w:p>
    <w:p w14:paraId="70B91DDE">
      <w:pPr>
        <w:spacing w:line="360" w:lineRule="auto"/>
        <w:jc w:val="center"/>
        <w:rPr>
          <w:rFonts w:asciiTheme="majorHAnsi" w:hAnsiTheme="majorHAnsi" w:cstheme="majorHAnsi"/>
          <w:b/>
          <w:sz w:val="22"/>
          <w:szCs w:val="22"/>
          <w:u w:val="single"/>
        </w:rPr>
      </w:pPr>
    </w:p>
    <w:p w14:paraId="08BBCBC2">
      <w:pPr>
        <w:spacing w:line="360" w:lineRule="auto"/>
        <w:jc w:val="center"/>
        <w:rPr>
          <w:rFonts w:asciiTheme="majorHAnsi" w:hAnsiTheme="majorHAnsi" w:cstheme="majorHAnsi"/>
          <w:b/>
          <w:sz w:val="22"/>
          <w:szCs w:val="22"/>
          <w:u w:val="single"/>
        </w:rPr>
      </w:pPr>
    </w:p>
    <w:p w14:paraId="27847991">
      <w:pPr>
        <w:spacing w:line="360" w:lineRule="auto"/>
        <w:jc w:val="center"/>
        <w:rPr>
          <w:rFonts w:asciiTheme="majorHAnsi" w:hAnsiTheme="majorHAnsi" w:cstheme="majorHAnsi"/>
          <w:sz w:val="22"/>
          <w:szCs w:val="22"/>
        </w:rPr>
      </w:pPr>
      <w:r>
        <w:rPr>
          <w:rFonts w:asciiTheme="majorHAnsi" w:hAnsiTheme="majorHAnsi" w:cstheme="majorHAnsi"/>
          <w:b/>
          <w:sz w:val="22"/>
          <w:szCs w:val="22"/>
          <w:u w:val="single"/>
        </w:rPr>
        <w:t>ANEXO V</w:t>
      </w:r>
    </w:p>
    <w:p w14:paraId="203869F9">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 xml:space="preserve">MODELO DE CADASTRO PARA ASSINATURA DE </w:t>
      </w:r>
    </w:p>
    <w:p w14:paraId="2F463513">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ATA DE REGISTRO DE PREÇOS E RECEBIMENTO DE EMPENHO</w:t>
      </w:r>
    </w:p>
    <w:p w14:paraId="336ED58C">
      <w:pPr>
        <w:spacing w:line="360" w:lineRule="auto"/>
        <w:ind w:left="284"/>
        <w:rPr>
          <w:rFonts w:asciiTheme="majorHAnsi" w:hAnsiTheme="majorHAnsi" w:cstheme="majorHAnsi"/>
          <w:sz w:val="22"/>
          <w:szCs w:val="22"/>
        </w:rPr>
      </w:pPr>
    </w:p>
    <w:p w14:paraId="3E0325D0">
      <w:pPr>
        <w:spacing w:line="360" w:lineRule="auto"/>
        <w:ind w:left="284"/>
        <w:rPr>
          <w:rFonts w:asciiTheme="majorHAnsi" w:hAnsiTheme="majorHAnsi" w:cstheme="majorHAnsi"/>
          <w:sz w:val="22"/>
          <w:szCs w:val="22"/>
        </w:rPr>
      </w:pPr>
      <w:r>
        <w:rPr>
          <w:rFonts w:asciiTheme="majorHAnsi" w:hAnsiTheme="majorHAnsi" w:cstheme="majorHAnsi"/>
          <w:sz w:val="22"/>
          <w:szCs w:val="22"/>
        </w:rPr>
        <w:t>(Timbre da empresa)</w:t>
      </w:r>
    </w:p>
    <w:p w14:paraId="19CE811E">
      <w:pPr>
        <w:spacing w:line="360" w:lineRule="auto"/>
        <w:ind w:left="284"/>
        <w:rPr>
          <w:rFonts w:asciiTheme="majorHAnsi" w:hAnsiTheme="majorHAnsi" w:cstheme="majorHAnsi"/>
          <w:sz w:val="22"/>
          <w:szCs w:val="22"/>
        </w:rPr>
      </w:pPr>
      <w:r>
        <w:rPr>
          <w:rFonts w:asciiTheme="majorHAnsi" w:hAnsiTheme="majorHAnsi" w:cstheme="majorHAnsi"/>
          <w:sz w:val="22"/>
          <w:szCs w:val="22"/>
        </w:rPr>
        <w:t>(Número e ano da licitação)</w:t>
      </w:r>
    </w:p>
    <w:p w14:paraId="223C2C99">
      <w:pPr>
        <w:spacing w:line="360" w:lineRule="auto"/>
        <w:ind w:left="284"/>
        <w:rPr>
          <w:rFonts w:asciiTheme="majorHAnsi" w:hAnsiTheme="majorHAnsi" w:cstheme="majorHAnsi"/>
          <w:sz w:val="22"/>
          <w:szCs w:val="22"/>
        </w:rPr>
      </w:pPr>
    </w:p>
    <w:p w14:paraId="7987B51B">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NOME: ____________________________________________________________________</w:t>
      </w:r>
    </w:p>
    <w:p w14:paraId="663BD09B">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CARGO: ___________________________________________________________________</w:t>
      </w:r>
    </w:p>
    <w:p w14:paraId="1FBEB7A2">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TELEFONECOMERCIAL: ___________________CELULAR: _______________________</w:t>
      </w:r>
    </w:p>
    <w:p w14:paraId="729775D9">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E-MAIL: ___________________________________________________________________</w:t>
      </w:r>
    </w:p>
    <w:p w14:paraId="37910848">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Nº IDENTIDADE: _______, ORGÃO EMISSOR: __________Nº CPF: ________________</w:t>
      </w:r>
    </w:p>
    <w:p w14:paraId="51F79523">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ENDEREÇO RESIDENCIAL: __________________________CEP:_____</w:t>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t>_______________</w:t>
      </w:r>
    </w:p>
    <w:p w14:paraId="22213788">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NACIONALIDADE: ________________________ESTADO CIVIL: ___________________</w:t>
      </w:r>
    </w:p>
    <w:p w14:paraId="6F5C31BF">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Município, _______ DE ___________________ DE ___________.</w:t>
      </w:r>
    </w:p>
    <w:p w14:paraId="3EED6852">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_________________________________________________</w:t>
      </w:r>
    </w:p>
    <w:p w14:paraId="34C7D60D">
      <w:pPr>
        <w:tabs>
          <w:tab w:val="left" w:pos="6681"/>
        </w:tabs>
        <w:spacing w:before="120" w:after="120"/>
        <w:ind w:left="284"/>
        <w:rPr>
          <w:rFonts w:asciiTheme="majorHAnsi" w:hAnsiTheme="majorHAnsi" w:cstheme="majorHAnsi"/>
          <w:b/>
          <w:sz w:val="22"/>
          <w:szCs w:val="22"/>
        </w:rPr>
      </w:pPr>
      <w:r>
        <w:rPr>
          <w:rFonts w:asciiTheme="majorHAnsi" w:hAnsiTheme="majorHAnsi" w:cstheme="majorHAnsi"/>
          <w:b/>
          <w:sz w:val="22"/>
          <w:szCs w:val="22"/>
        </w:rPr>
        <w:t>(ASSINATURA DO RESPONSÁVEL DA EMPRESA E CARIMBO)</w:t>
      </w:r>
      <w:r>
        <w:rPr>
          <w:rFonts w:asciiTheme="majorHAnsi" w:hAnsiTheme="majorHAnsi" w:cstheme="majorHAnsi"/>
          <w:b/>
          <w:sz w:val="22"/>
          <w:szCs w:val="22"/>
        </w:rPr>
        <w:tab/>
      </w:r>
    </w:p>
    <w:p w14:paraId="716B7667">
      <w:pPr>
        <w:tabs>
          <w:tab w:val="left" w:pos="6681"/>
        </w:tabs>
        <w:ind w:left="284"/>
        <w:rPr>
          <w:rFonts w:asciiTheme="majorHAnsi" w:hAnsiTheme="majorHAnsi" w:cstheme="majorHAnsi"/>
          <w:sz w:val="22"/>
          <w:szCs w:val="22"/>
        </w:rPr>
      </w:pPr>
    </w:p>
    <w:p w14:paraId="42AA4AC6">
      <w:pPr>
        <w:tabs>
          <w:tab w:val="left" w:pos="6681"/>
        </w:tabs>
        <w:spacing w:before="120" w:after="120" w:line="360" w:lineRule="auto"/>
        <w:ind w:left="284"/>
        <w:rPr>
          <w:rFonts w:asciiTheme="majorHAnsi" w:hAnsiTheme="majorHAnsi" w:cstheme="majorHAnsi"/>
          <w:sz w:val="22"/>
          <w:szCs w:val="22"/>
        </w:rPr>
      </w:pPr>
      <w:r>
        <w:rPr>
          <w:rFonts w:asciiTheme="majorHAnsi" w:hAnsiTheme="majorHAnsi" w:cstheme="majorHAnsi"/>
          <w:sz w:val="22"/>
          <w:szCs w:val="22"/>
        </w:rPr>
        <w:t xml:space="preserve">OBS: </w:t>
      </w:r>
    </w:p>
    <w:p w14:paraId="1A03636D">
      <w:pPr>
        <w:numPr>
          <w:ilvl w:val="0"/>
          <w:numId w:val="23"/>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Preencher com dados do responsável para assinatura do contrato, caso a empresa seja vencedora na licitação. </w:t>
      </w:r>
    </w:p>
    <w:p w14:paraId="0F0A09BE">
      <w:pPr>
        <w:numPr>
          <w:ilvl w:val="0"/>
          <w:numId w:val="23"/>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Anexar cópia autenticada do contrato social.</w:t>
      </w:r>
    </w:p>
    <w:p w14:paraId="0F2479E5">
      <w:pPr>
        <w:numPr>
          <w:ilvl w:val="0"/>
          <w:numId w:val="23"/>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Caso não tenha vínculo empregatício com a empresa anexar procuração.</w:t>
      </w:r>
    </w:p>
    <w:p w14:paraId="0564FEB1">
      <w:pPr>
        <w:numPr>
          <w:ilvl w:val="0"/>
          <w:numId w:val="23"/>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Este cadastro deverá ser apresentado dentro do envelope (proposta de preços). </w:t>
      </w:r>
    </w:p>
    <w:p w14:paraId="0E8B7E22">
      <w:pPr>
        <w:numPr>
          <w:ilvl w:val="0"/>
          <w:numId w:val="23"/>
        </w:numPr>
        <w:tabs>
          <w:tab w:val="left" w:pos="709"/>
        </w:tabs>
        <w:spacing w:before="120" w:after="120" w:line="360" w:lineRule="auto"/>
        <w:ind w:left="284" w:right="474" w:firstLine="0"/>
        <w:jc w:val="both"/>
        <w:rPr>
          <w:rFonts w:asciiTheme="majorHAnsi" w:hAnsiTheme="majorHAnsi" w:cstheme="majorHAnsi"/>
          <w:b/>
          <w:bCs/>
          <w:color w:val="5B5B5F"/>
          <w:sz w:val="22"/>
          <w:szCs w:val="22"/>
        </w:rPr>
      </w:pPr>
      <w:r>
        <w:rPr>
          <w:rFonts w:asciiTheme="majorHAnsi" w:hAnsiTheme="majorHAnsi" w:cstheme="majorHAnsi"/>
          <w:b/>
          <w:sz w:val="22"/>
          <w:szCs w:val="22"/>
        </w:rPr>
        <w:t>O ENDEREÇO INFORMADO PARA ASSINATURA DA ATA DE REGISTRO DE PREÇOS SERÁ O EMAIL INSTITUCIONAL DO REPRESENTANTE LEGAL E SERVIRÁ PARA ENVIO DA NOTA DE EMPENHO.</w:t>
      </w:r>
    </w:p>
    <w:sectPr>
      <w:headerReference r:id="rId4" w:type="first"/>
      <w:headerReference r:id="rId3" w:type="default"/>
      <w:footerReference r:id="rId5" w:type="default"/>
      <w:pgSz w:w="11906" w:h="16838"/>
      <w:pgMar w:top="2977" w:right="1134" w:bottom="1418" w:left="1134" w:header="709" w:footer="709"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ＭＳ 明朝">
    <w:altName w:val="SimSun"/>
    <w:panose1 w:val="00000000000000000000"/>
    <w:charset w:val="86"/>
    <w:family w:val="auto"/>
    <w:pitch w:val="default"/>
    <w:sig w:usb0="00000000" w:usb1="00000000" w:usb2="00000000" w:usb3="00000000" w:csb0="00000000" w:csb1="00000000"/>
  </w:font>
  <w:font w:name="Ecofont_Spranq_eco_Sans">
    <w:altName w:val="Times New Roman"/>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auto"/>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 w:name="Lucida Sans">
    <w:panose1 w:val="020B0602030504020204"/>
    <w:charset w:val="00"/>
    <w:family w:val="swiss"/>
    <w:pitch w:val="default"/>
    <w:sig w:usb0="00000003" w:usb1="00000000" w:usb2="00000000" w:usb3="00000000" w:csb0="20000001" w:csb1="00000000"/>
  </w:font>
  <w:font w:name="Georgia">
    <w:panose1 w:val="02040502050405020303"/>
    <w:charset w:val="00"/>
    <w:family w:val="roman"/>
    <w:pitch w:val="default"/>
    <w:sig w:usb0="00000287" w:usb1="00000000" w:usb2="00000000" w:usb3="00000000" w:csb0="2000009F" w:csb1="00000000"/>
  </w:font>
  <w:font w:name="WenQuanYi Micro Hei">
    <w:altName w:val="Liberation Mono"/>
    <w:panose1 w:val="00000000000000000000"/>
    <w:charset w:val="00"/>
    <w:family w:val="roman"/>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Lohit Hindi">
    <w:altName w:val="Cambria"/>
    <w:panose1 w:val="00000000000000000000"/>
    <w:charset w:val="00"/>
    <w:family w:val="roman"/>
    <w:pitch w:val="default"/>
    <w:sig w:usb0="00000000" w:usb1="00000000" w:usb2="00000000" w:usb3="00000000" w:csb0="00000000" w:csb1="00000000"/>
  </w:font>
  <w:font w:name="Liberation Serif">
    <w:panose1 w:val="02020603050405020304"/>
    <w:charset w:val="00"/>
    <w:family w:val="roman"/>
    <w:pitch w:val="default"/>
    <w:sig w:usb0="E0000AFF" w:usb1="500078FF" w:usb2="00000021" w:usb3="00000000" w:csb0="600001BF" w:csb1="DFF70000"/>
  </w:font>
  <w:font w:name="NSimSun">
    <w:panose1 w:val="02010609030101010101"/>
    <w:charset w:val="86"/>
    <w:family w:val="modern"/>
    <w:pitch w:val="default"/>
    <w:sig w:usb0="00000203" w:usb1="288F0000" w:usb2="00000006" w:usb3="00000000" w:csb0="00040001" w:csb1="00000000"/>
  </w:font>
  <w:font w:name="Rawline-Regular">
    <w:altName w:val="Cambria"/>
    <w:panose1 w:val="00000000000000000000"/>
    <w:charset w:val="00"/>
    <w:family w:val="roman"/>
    <w:pitch w:val="default"/>
    <w:sig w:usb0="00000000" w:usb1="00000000" w:usb2="00000000" w:usb3="00000000" w:csb0="00000000" w:csb1="00000000"/>
  </w:font>
  <w:font w:name="Noto Sans Symbols">
    <w:altName w:val="Times New Roman"/>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Zurich BT">
    <w:altName w:val="Liberation Mono"/>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Palatino Linotype">
    <w:panose1 w:val="02040502050505030304"/>
    <w:charset w:val="00"/>
    <w:family w:val="roman"/>
    <w:pitch w:val="default"/>
    <w:sig w:usb0="E0000287" w:usb1="40000013" w:usb2="00000000" w:usb3="00000000" w:csb0="2000019F" w:csb1="00000000"/>
  </w:font>
  <w:font w:name="ＭＳ 明朝">
    <w:altName w:val="Liberation Mono"/>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111550"/>
      <w:docPartObj>
        <w:docPartGallery w:val="autotext"/>
      </w:docPartObj>
    </w:sdtPr>
    <w:sdtEndPr>
      <w:rPr>
        <w:rFonts w:ascii="Arial" w:hAnsi="Arial" w:cs="Arial"/>
        <w:sz w:val="14"/>
        <w:szCs w:val="14"/>
      </w:rPr>
    </w:sdtEndPr>
    <w:sdtContent>
      <w:p w14:paraId="58CC95F1">
        <w:pPr>
          <w:pStyle w:val="30"/>
          <w:rPr>
            <w:color w:val="558ED5" w:themeColor="text2" w:themeTint="99"/>
            <w:spacing w:val="60"/>
            <w:sz w:val="16"/>
            <w:szCs w:val="16"/>
            <w14:textFill>
              <w14:solidFill>
                <w14:schemeClr w14:val="tx2">
                  <w14:lumMod w14:val="60000"/>
                  <w14:lumOff w14:val="40000"/>
                </w14:schemeClr>
              </w14:solidFill>
            </w14:textFill>
          </w:rPr>
        </w:pPr>
      </w:p>
      <w:p w14:paraId="3BA1189D">
        <w:pPr>
          <w:pStyle w:val="30"/>
          <w:rPr>
            <w:rFonts w:ascii="Arial" w:hAnsi="Arial" w:cs="Arial"/>
            <w:color w:val="808080" w:themeColor="text1" w:themeTint="80"/>
            <w:sz w:val="18"/>
            <w:szCs w:val="18"/>
            <w14:textFill>
              <w14:solidFill>
                <w14:schemeClr w14:val="tx1">
                  <w14:lumMod w14:val="50000"/>
                  <w14:lumOff w14:val="50000"/>
                </w14:schemeClr>
              </w14:solidFill>
            </w14:textFill>
          </w:rPr>
        </w:pPr>
        <w:r>
          <w:rPr>
            <w:color w:val="808080" w:themeColor="text1" w:themeTint="80"/>
            <w:spacing w:val="60"/>
            <w:sz w:val="22"/>
            <w:szCs w:val="22"/>
            <w14:textFill>
              <w14:solidFill>
                <w14:schemeClr w14:val="tx1">
                  <w14:lumMod w14:val="50000"/>
                  <w14:lumOff w14:val="50000"/>
                </w14:schemeClr>
              </w14:solidFill>
            </w14:textFill>
          </w:rPr>
          <w:tab/>
        </w:r>
        <w:r>
          <w:rPr>
            <w:color w:val="808080" w:themeColor="text1" w:themeTint="80"/>
            <w:spacing w:val="60"/>
            <w:sz w:val="22"/>
            <w:szCs w:val="22"/>
            <w14:textFill>
              <w14:solidFill>
                <w14:schemeClr w14:val="tx1">
                  <w14:lumMod w14:val="50000"/>
                  <w14:lumOff w14:val="50000"/>
                </w14:schemeClr>
              </w14:solidFill>
            </w14:textFill>
          </w:rPr>
          <w:tab/>
        </w:r>
        <w:r>
          <w:rPr>
            <w:rFonts w:ascii="Arial" w:hAnsi="Arial" w:cs="Arial"/>
            <w:color w:val="595959" w:themeColor="text1" w:themeTint="A6"/>
            <w:spacing w:val="60"/>
            <w:sz w:val="18"/>
            <w:szCs w:val="18"/>
            <w14:textFill>
              <w14:solidFill>
                <w14:schemeClr w14:val="tx1">
                  <w14:lumMod w14:val="65000"/>
                  <w14:lumOff w14:val="35000"/>
                </w14:schemeClr>
              </w14:solidFill>
            </w14:textFill>
          </w:rPr>
          <w:t>Página</w:t>
        </w:r>
        <w:r>
          <w:rPr>
            <w:rFonts w:ascii="Arial" w:hAnsi="Arial" w:cs="Arial"/>
            <w:color w:val="595959" w:themeColor="text1" w:themeTint="A6"/>
            <w:sz w:val="18"/>
            <w:szCs w:val="18"/>
            <w14:textFill>
              <w14:solidFill>
                <w14:schemeClr w14:val="tx1">
                  <w14:lumMod w14:val="65000"/>
                  <w14:lumOff w14:val="35000"/>
                </w14:schemeClr>
              </w14:solidFill>
            </w14:textFill>
          </w:rPr>
          <w:t xml:space="preserve"> </w: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begin"/>
        </w:r>
        <w:r>
          <w:rPr>
            <w:rFonts w:ascii="Arial" w:hAnsi="Arial" w:cs="Arial"/>
            <w:color w:val="595959" w:themeColor="text1" w:themeTint="A6"/>
            <w:sz w:val="18"/>
            <w:szCs w:val="18"/>
            <w14:textFill>
              <w14:solidFill>
                <w14:schemeClr w14:val="tx1">
                  <w14:lumMod w14:val="65000"/>
                  <w14:lumOff w14:val="35000"/>
                </w14:schemeClr>
              </w14:solidFill>
            </w14:textFill>
          </w:rPr>
          <w:instrText xml:space="preserve">PAGE   \* MERGEFORMAT</w:instrTex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separate"/>
        </w:r>
        <w:r>
          <w:rPr>
            <w:rFonts w:ascii="Arial" w:hAnsi="Arial" w:cs="Arial"/>
            <w:color w:val="595959" w:themeColor="text1" w:themeTint="A6"/>
            <w:sz w:val="18"/>
            <w:szCs w:val="18"/>
            <w14:textFill>
              <w14:solidFill>
                <w14:schemeClr w14:val="tx1">
                  <w14:lumMod w14:val="65000"/>
                  <w14:lumOff w14:val="35000"/>
                </w14:schemeClr>
              </w14:solidFill>
            </w14:textFill>
          </w:rPr>
          <w:t>90</w: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end"/>
        </w:r>
        <w:r>
          <w:rPr>
            <w:rFonts w:ascii="Arial" w:hAnsi="Arial" w:cs="Arial"/>
            <w:color w:val="595959" w:themeColor="text1" w:themeTint="A6"/>
            <w:sz w:val="18"/>
            <w:szCs w:val="18"/>
            <w14:textFill>
              <w14:solidFill>
                <w14:schemeClr w14:val="tx1">
                  <w14:lumMod w14:val="65000"/>
                  <w14:lumOff w14:val="35000"/>
                </w14:schemeClr>
              </w14:solidFill>
            </w14:textFill>
          </w:rPr>
          <w:t xml:space="preserve"> | </w: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begin"/>
        </w:r>
        <w:r>
          <w:rPr>
            <w:rFonts w:ascii="Arial" w:hAnsi="Arial" w:cs="Arial"/>
            <w:color w:val="595959" w:themeColor="text1" w:themeTint="A6"/>
            <w:sz w:val="18"/>
            <w:szCs w:val="18"/>
            <w14:textFill>
              <w14:solidFill>
                <w14:schemeClr w14:val="tx1">
                  <w14:lumMod w14:val="65000"/>
                  <w14:lumOff w14:val="35000"/>
                </w14:schemeClr>
              </w14:solidFill>
            </w14:textFill>
          </w:rPr>
          <w:instrText xml:space="preserve">NUMPAGES  \* Arabic  \* MERGEFORMAT</w:instrTex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separate"/>
        </w:r>
        <w:r>
          <w:rPr>
            <w:rFonts w:ascii="Arial" w:hAnsi="Arial" w:cs="Arial"/>
            <w:color w:val="595959" w:themeColor="text1" w:themeTint="A6"/>
            <w:sz w:val="18"/>
            <w:szCs w:val="18"/>
            <w14:textFill>
              <w14:solidFill>
                <w14:schemeClr w14:val="tx1">
                  <w14:lumMod w14:val="65000"/>
                  <w14:lumOff w14:val="35000"/>
                </w14:schemeClr>
              </w14:solidFill>
            </w14:textFill>
          </w:rPr>
          <w:t>91</w:t>
        </w:r>
        <w:r>
          <w:rPr>
            <w:rFonts w:ascii="Arial" w:hAnsi="Arial" w:cs="Arial"/>
            <w:color w:val="595959" w:themeColor="text1" w:themeTint="A6"/>
            <w:sz w:val="18"/>
            <w:szCs w:val="18"/>
            <w14:textFill>
              <w14:solidFill>
                <w14:schemeClr w14:val="tx1">
                  <w14:lumMod w14:val="65000"/>
                  <w14:lumOff w14:val="35000"/>
                </w14:schemeClr>
              </w14:solidFill>
            </w14:textFill>
          </w:rPr>
          <w:fldChar w:fldCharType="end"/>
        </w:r>
      </w:p>
      <w:p w14:paraId="2E3A259D">
        <w:pPr>
          <w:pStyle w:val="30"/>
          <w:rPr>
            <w:rFonts w:ascii="Arial" w:hAnsi="Arial" w:cs="Arial"/>
            <w:sz w:val="14"/>
            <w:szCs w:val="14"/>
          </w:rPr>
        </w:pPr>
        <w:bookmarkStart w:id="143" w:name="_Hlk135299703"/>
        <w:r>
          <w:rPr>
            <w:rFonts w:ascii="Arial" w:hAnsi="Arial" w:cs="Arial"/>
            <w:sz w:val="14"/>
            <w:szCs w:val="14"/>
          </w:rPr>
          <w:t>Câmara Nacional de Modelos de Licitações e Contratos da Consultoria-Geral da União</w:t>
        </w:r>
      </w:p>
      <w:p w14:paraId="07C1C511">
        <w:pPr>
          <w:pStyle w:val="30"/>
          <w:rPr>
            <w:rFonts w:ascii="Arial" w:hAnsi="Arial" w:cs="Arial"/>
            <w:sz w:val="14"/>
            <w:szCs w:val="14"/>
          </w:rPr>
        </w:pPr>
        <w:r>
          <w:rPr>
            <w:rFonts w:ascii="Arial" w:hAnsi="Arial" w:cs="Arial"/>
            <w:sz w:val="14"/>
            <w:szCs w:val="14"/>
          </w:rPr>
          <w:t xml:space="preserve">Modelo de Edital </w:t>
        </w:r>
        <w:bookmarkStart w:id="144" w:name="_Hlk135299681"/>
        <w:r>
          <w:rPr>
            <w:rFonts w:ascii="Arial" w:hAnsi="Arial" w:cs="Arial"/>
            <w:sz w:val="14"/>
            <w:szCs w:val="14"/>
          </w:rPr>
          <w:t>- Lei nº 14.133, de 2021.</w:t>
        </w:r>
        <w:bookmarkEnd w:id="144"/>
      </w:p>
      <w:p w14:paraId="2FB1C62A">
        <w:pPr>
          <w:pStyle w:val="30"/>
          <w:rPr>
            <w:rFonts w:ascii="Arial" w:hAnsi="Arial" w:cs="Arial"/>
            <w:sz w:val="14"/>
            <w:szCs w:val="14"/>
          </w:rPr>
        </w:pPr>
        <w:r>
          <w:rPr>
            <w:rFonts w:ascii="Arial" w:hAnsi="Arial" w:cs="Arial"/>
            <w:sz w:val="14"/>
            <w:szCs w:val="14"/>
          </w:rPr>
          <w:t>Aprovado pela Secretaria de Gestão e Inovação.</w:t>
        </w:r>
      </w:p>
      <w:p w14:paraId="520BFA72">
        <w:pPr>
          <w:pStyle w:val="30"/>
          <w:rPr>
            <w:rFonts w:ascii="Arial" w:hAnsi="Arial" w:cs="Arial"/>
            <w:sz w:val="14"/>
            <w:szCs w:val="14"/>
          </w:rPr>
        </w:pPr>
        <w:r>
          <w:rPr>
            <w:rFonts w:ascii="Arial" w:hAnsi="Arial" w:cs="Arial"/>
            <w:sz w:val="14"/>
            <w:szCs w:val="14"/>
          </w:rPr>
          <w:t>Identidade visual pela Secretaria de Gestão e Inovação</w:t>
        </w:r>
      </w:p>
      <w:p w14:paraId="3093C24E">
        <w:pPr>
          <w:pStyle w:val="30"/>
          <w:rPr>
            <w:rFonts w:ascii="Arial" w:hAnsi="Arial" w:cs="Arial"/>
            <w:sz w:val="14"/>
            <w:szCs w:val="14"/>
          </w:rPr>
        </w:pPr>
        <w:bookmarkStart w:id="145" w:name="_Hlk135299665"/>
        <w:r>
          <w:rPr>
            <w:rFonts w:ascii="Arial" w:hAnsi="Arial" w:cs="Arial"/>
            <w:sz w:val="14"/>
            <w:szCs w:val="14"/>
          </w:rPr>
          <w:t xml:space="preserve">Atualização: </w:t>
        </w:r>
        <w:bookmarkEnd w:id="145"/>
        <w:r>
          <w:rPr>
            <w:rFonts w:ascii="Arial" w:hAnsi="Arial" w:cs="Arial"/>
            <w:sz w:val="14"/>
            <w:szCs w:val="14"/>
          </w:rPr>
          <w:t>NOV/2025</w:t>
        </w:r>
      </w:p>
      <w:p w14:paraId="2F91EA7A">
        <w:pPr>
          <w:pStyle w:val="30"/>
          <w:rPr>
            <w:rFonts w:ascii="Arial" w:hAnsi="Arial" w:cs="Arial"/>
            <w:sz w:val="14"/>
            <w:szCs w:val="14"/>
          </w:rPr>
        </w:pPr>
      </w:p>
    </w:sdtContent>
  </w:sdt>
  <w:bookmarkEnd w:id="143"/>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7"/>
      <w:tblW w:w="85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61"/>
      <w:gridCol w:w="4764"/>
      <w:gridCol w:w="2008"/>
    </w:tblGrid>
    <w:tr w14:paraId="43877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3" w:hRule="atLeast"/>
        <w:jc w:val="center"/>
      </w:trPr>
      <w:tc>
        <w:tcPr>
          <w:tcW w:w="1761" w:type="dxa"/>
        </w:tcPr>
        <w:p w14:paraId="440B55F2">
          <w:pPr>
            <w:ind w:left="27" w:hanging="27"/>
            <w:jc w:val="center"/>
            <w:rPr>
              <w:rFonts w:ascii="Arial" w:hAnsi="Arial" w:cs="Arial"/>
            </w:rPr>
          </w:pPr>
          <w:r>
            <w:drawing>
              <wp:inline distT="0" distB="0" distL="0" distR="0">
                <wp:extent cx="673735" cy="93345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01ECEBE0">
          <w:pPr>
            <w:jc w:val="center"/>
            <w:rPr>
              <w:rFonts w:ascii="Arial" w:hAnsi="Arial" w:cs="Arial"/>
              <w:sz w:val="18"/>
              <w:szCs w:val="18"/>
            </w:rPr>
          </w:pPr>
        </w:p>
        <w:p w14:paraId="7921A45F">
          <w:pPr>
            <w:jc w:val="center"/>
            <w:rPr>
              <w:rFonts w:ascii="Arial" w:hAnsi="Arial" w:cs="Arial"/>
              <w:sz w:val="18"/>
              <w:szCs w:val="18"/>
            </w:rPr>
          </w:pPr>
          <w:r>
            <w:rPr>
              <w:rFonts w:ascii="Arial" w:hAnsi="Arial" w:cs="Arial"/>
              <w:sz w:val="18"/>
              <w:szCs w:val="18"/>
            </w:rPr>
            <w:t>Ministério da Educação</w:t>
          </w:r>
        </w:p>
        <w:p w14:paraId="1AABD2F8">
          <w:pPr>
            <w:jc w:val="center"/>
            <w:rPr>
              <w:rFonts w:ascii="Arial" w:hAnsi="Arial" w:cs="Arial"/>
              <w:sz w:val="18"/>
              <w:szCs w:val="18"/>
            </w:rPr>
          </w:pPr>
          <w:r>
            <w:rPr>
              <w:rFonts w:ascii="Arial" w:hAnsi="Arial" w:cs="Arial"/>
              <w:sz w:val="18"/>
              <w:szCs w:val="18"/>
            </w:rPr>
            <w:t>Universidade Federal da Bahia</w:t>
          </w:r>
        </w:p>
        <w:p w14:paraId="4CC92146">
          <w:pPr>
            <w:jc w:val="center"/>
            <w:rPr>
              <w:rFonts w:ascii="Arial" w:hAnsi="Arial" w:cs="Arial"/>
              <w:b/>
              <w:sz w:val="18"/>
              <w:szCs w:val="18"/>
            </w:rPr>
          </w:pPr>
          <w:r>
            <w:rPr>
              <w:rFonts w:ascii="Arial" w:hAnsi="Arial" w:cs="Arial"/>
              <w:b/>
              <w:sz w:val="18"/>
              <w:szCs w:val="18"/>
            </w:rPr>
            <w:t>Superintendência de Saúde</w:t>
          </w:r>
        </w:p>
        <w:p w14:paraId="5B0E6893">
          <w:pPr>
            <w:jc w:val="center"/>
            <w:rPr>
              <w:rFonts w:ascii="Arial" w:hAnsi="Arial" w:cs="Arial"/>
              <w:b/>
              <w:sz w:val="18"/>
              <w:szCs w:val="18"/>
            </w:rPr>
          </w:pPr>
          <w:r>
            <w:rPr>
              <w:rFonts w:ascii="Arial" w:hAnsi="Arial" w:cs="Arial"/>
              <w:b/>
              <w:sz w:val="18"/>
              <w:szCs w:val="18"/>
            </w:rPr>
            <w:t>Sistema Universitário de Saúde - SIUNIS</w:t>
          </w:r>
        </w:p>
        <w:p w14:paraId="52CEA9B1">
          <w:pPr>
            <w:jc w:val="center"/>
            <w:rPr>
              <w:rFonts w:ascii="Arial" w:hAnsi="Arial" w:cs="Arial"/>
              <w:b/>
              <w:sz w:val="18"/>
              <w:szCs w:val="18"/>
            </w:rPr>
          </w:pPr>
          <w:r>
            <w:rPr>
              <w:rFonts w:ascii="Arial" w:hAnsi="Arial" w:cs="Arial"/>
              <w:b/>
              <w:sz w:val="18"/>
              <w:szCs w:val="18"/>
            </w:rPr>
            <w:t>Complexo Hospitalar e de Saúde – UFBA</w:t>
          </w:r>
        </w:p>
        <w:p w14:paraId="5D50C06B">
          <w:pPr>
            <w:jc w:val="center"/>
            <w:rPr>
              <w:rFonts w:ascii="Arial" w:hAnsi="Arial" w:cs="Arial"/>
              <w:sz w:val="18"/>
              <w:szCs w:val="18"/>
            </w:rPr>
          </w:pPr>
        </w:p>
      </w:tc>
      <w:tc>
        <w:tcPr>
          <w:tcW w:w="2008" w:type="dxa"/>
        </w:tcPr>
        <w:p w14:paraId="7DF2AFE5">
          <w:pPr>
            <w:jc w:val="center"/>
            <w:rPr>
              <w:rFonts w:ascii="Arial" w:hAnsi="Arial" w:cs="Arial"/>
              <w:sz w:val="18"/>
              <w:szCs w:val="18"/>
            </w:rPr>
          </w:pPr>
        </w:p>
        <w:p w14:paraId="6252DB07">
          <w:pPr>
            <w:jc w:val="center"/>
            <w:rPr>
              <w:rFonts w:ascii="Arial" w:hAnsi="Arial" w:cs="Arial"/>
              <w:sz w:val="18"/>
              <w:szCs w:val="18"/>
            </w:rPr>
          </w:pPr>
        </w:p>
        <w:p w14:paraId="1FA978AE">
          <w:pPr>
            <w:jc w:val="center"/>
            <w:rPr>
              <w:rFonts w:ascii="Arial" w:hAnsi="Arial" w:cs="Arial"/>
              <w:sz w:val="18"/>
              <w:szCs w:val="18"/>
            </w:rPr>
          </w:pPr>
          <w:r>
            <w:rPr>
              <w:rFonts w:ascii="Arial" w:hAnsi="Arial" w:cs="Arial"/>
              <w:sz w:val="18"/>
              <w:szCs w:val="18"/>
            </w:rPr>
            <w:drawing>
              <wp:inline distT="0" distB="0" distL="0" distR="0">
                <wp:extent cx="1133475" cy="451485"/>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3FC34402">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A2CB6">
    <w:pPr>
      <w:pStyle w:val="28"/>
    </w:pPr>
    <w:r>
      <w:drawing>
        <wp:anchor distT="0" distB="0" distL="114300" distR="114300" simplePos="0" relativeHeight="251659264" behindDoc="1" locked="0" layoutInCell="1" allowOverlap="1">
          <wp:simplePos x="0" y="0"/>
          <wp:positionH relativeFrom="page">
            <wp:align>left</wp:align>
          </wp:positionH>
          <wp:positionV relativeFrom="page">
            <wp:posOffset>8890</wp:posOffset>
          </wp:positionV>
          <wp:extent cx="7560310" cy="10692765"/>
          <wp:effectExtent l="0" t="0" r="3175" b="0"/>
          <wp:wrapNone/>
          <wp:docPr id="17" name="Imagem 17"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1">
    <w:nsid w:val="07296612"/>
    <w:multiLevelType w:val="multilevel"/>
    <w:tmpl w:val="07296612"/>
    <w:lvl w:ilvl="0" w:tentative="0">
      <w:start w:val="1"/>
      <w:numFmt w:val="decimal"/>
      <w:lvlText w:val="%1."/>
      <w:lvlJc w:val="left"/>
      <w:pPr>
        <w:ind w:left="1639" w:hanging="221"/>
      </w:pPr>
      <w:rPr>
        <w:rFonts w:hint="default" w:ascii="Calibri" w:hAnsi="Calibri" w:eastAsia="Calibri" w:cs="Calibri"/>
        <w:b/>
        <w:bCs/>
        <w:i w:val="0"/>
        <w:iCs w:val="0"/>
        <w:spacing w:val="0"/>
        <w:w w:val="100"/>
        <w:sz w:val="22"/>
        <w:szCs w:val="22"/>
        <w:lang w:val="pt-PT" w:eastAsia="en-US" w:bidi="ar-SA"/>
      </w:rPr>
    </w:lvl>
    <w:lvl w:ilvl="1" w:tentative="0">
      <w:start w:val="0"/>
      <w:numFmt w:val="bullet"/>
      <w:lvlText w:val="•"/>
      <w:lvlJc w:val="left"/>
      <w:pPr>
        <w:ind w:left="2623" w:hanging="221"/>
      </w:pPr>
      <w:rPr>
        <w:rFonts w:hint="default"/>
        <w:lang w:val="pt-PT" w:eastAsia="en-US" w:bidi="ar-SA"/>
      </w:rPr>
    </w:lvl>
    <w:lvl w:ilvl="2" w:tentative="0">
      <w:start w:val="0"/>
      <w:numFmt w:val="bullet"/>
      <w:pStyle w:val="161"/>
      <w:lvlText w:val="•"/>
      <w:lvlJc w:val="left"/>
      <w:pPr>
        <w:ind w:left="3607" w:hanging="221"/>
      </w:pPr>
      <w:rPr>
        <w:rFonts w:hint="default"/>
        <w:lang w:val="pt-PT" w:eastAsia="en-US" w:bidi="ar-SA"/>
      </w:rPr>
    </w:lvl>
    <w:lvl w:ilvl="3" w:tentative="0">
      <w:start w:val="0"/>
      <w:numFmt w:val="bullet"/>
      <w:lvlText w:val="•"/>
      <w:lvlJc w:val="left"/>
      <w:pPr>
        <w:ind w:left="4590" w:hanging="221"/>
      </w:pPr>
      <w:rPr>
        <w:rFonts w:hint="default"/>
        <w:lang w:val="pt-PT" w:eastAsia="en-US" w:bidi="ar-SA"/>
      </w:rPr>
    </w:lvl>
    <w:lvl w:ilvl="4" w:tentative="0">
      <w:start w:val="0"/>
      <w:numFmt w:val="bullet"/>
      <w:lvlText w:val="•"/>
      <w:lvlJc w:val="left"/>
      <w:pPr>
        <w:ind w:left="5574" w:hanging="221"/>
      </w:pPr>
      <w:rPr>
        <w:rFonts w:hint="default"/>
        <w:lang w:val="pt-PT" w:eastAsia="en-US" w:bidi="ar-SA"/>
      </w:rPr>
    </w:lvl>
    <w:lvl w:ilvl="5" w:tentative="0">
      <w:start w:val="0"/>
      <w:numFmt w:val="bullet"/>
      <w:lvlText w:val="•"/>
      <w:lvlJc w:val="left"/>
      <w:pPr>
        <w:ind w:left="6558" w:hanging="221"/>
      </w:pPr>
      <w:rPr>
        <w:rFonts w:hint="default"/>
        <w:lang w:val="pt-PT" w:eastAsia="en-US" w:bidi="ar-SA"/>
      </w:rPr>
    </w:lvl>
    <w:lvl w:ilvl="6" w:tentative="0">
      <w:start w:val="0"/>
      <w:numFmt w:val="bullet"/>
      <w:lvlText w:val="•"/>
      <w:lvlJc w:val="left"/>
      <w:pPr>
        <w:ind w:left="7541" w:hanging="221"/>
      </w:pPr>
      <w:rPr>
        <w:rFonts w:hint="default"/>
        <w:lang w:val="pt-PT" w:eastAsia="en-US" w:bidi="ar-SA"/>
      </w:rPr>
    </w:lvl>
    <w:lvl w:ilvl="7" w:tentative="0">
      <w:start w:val="0"/>
      <w:numFmt w:val="bullet"/>
      <w:lvlText w:val="•"/>
      <w:lvlJc w:val="left"/>
      <w:pPr>
        <w:ind w:left="8525" w:hanging="221"/>
      </w:pPr>
      <w:rPr>
        <w:rFonts w:hint="default"/>
        <w:lang w:val="pt-PT" w:eastAsia="en-US" w:bidi="ar-SA"/>
      </w:rPr>
    </w:lvl>
    <w:lvl w:ilvl="8" w:tentative="0">
      <w:start w:val="0"/>
      <w:numFmt w:val="bullet"/>
      <w:lvlText w:val="•"/>
      <w:lvlJc w:val="left"/>
      <w:pPr>
        <w:ind w:left="9508" w:hanging="221"/>
      </w:pPr>
      <w:rPr>
        <w:rFonts w:hint="default"/>
        <w:lang w:val="pt-PT" w:eastAsia="en-US" w:bidi="ar-SA"/>
      </w:rPr>
    </w:lvl>
  </w:abstractNum>
  <w:abstractNum w:abstractNumId="2">
    <w:nsid w:val="080F4AB9"/>
    <w:multiLevelType w:val="multilevel"/>
    <w:tmpl w:val="080F4AB9"/>
    <w:lvl w:ilvl="0" w:tentative="0">
      <w:start w:val="1"/>
      <w:numFmt w:val="decimal"/>
      <w:lvlText w:val="%1."/>
      <w:lvlJc w:val="left"/>
      <w:pPr>
        <w:ind w:left="1495" w:hanging="360"/>
      </w:pPr>
      <w:rPr>
        <w:rFonts w:hint="default"/>
        <w:b/>
      </w:rPr>
    </w:lvl>
    <w:lvl w:ilvl="1" w:tentative="0">
      <w:start w:val="1"/>
      <w:numFmt w:val="decimal"/>
      <w:pStyle w:val="156"/>
      <w:lvlText w:val="%1.%2."/>
      <w:lvlJc w:val="left"/>
      <w:pPr>
        <w:ind w:left="1709" w:hanging="432"/>
      </w:pPr>
      <w:rPr>
        <w:rFonts w:hint="default"/>
        <w:b/>
        <w:i w:val="0"/>
        <w:strike w:val="0"/>
        <w:color w:val="auto"/>
        <w:sz w:val="22"/>
        <w:szCs w:val="22"/>
        <w:u w:val="none"/>
      </w:rPr>
    </w:lvl>
    <w:lvl w:ilvl="2" w:tentative="0">
      <w:start w:val="1"/>
      <w:numFmt w:val="decimal"/>
      <w:lvlText w:val="%1.%2.%3"/>
      <w:lvlJc w:val="left"/>
      <w:pPr>
        <w:ind w:left="3624" w:hanging="504"/>
      </w:pPr>
      <w:rPr>
        <w:rFonts w:hint="default" w:asciiTheme="majorHAnsi" w:hAnsiTheme="majorHAnsi" w:cstheme="majorHAnsi"/>
        <w:b/>
        <w:i w:val="0"/>
        <w:strike w:val="0"/>
        <w:color w:val="000000" w:themeColor="text1"/>
        <w:sz w:val="22"/>
        <w:szCs w:val="22"/>
        <w14:textFill>
          <w14:solidFill>
            <w14:schemeClr w14:val="tx1"/>
          </w14:solidFill>
        </w14:textFill>
      </w:rPr>
    </w:lvl>
    <w:lvl w:ilvl="3" w:tentative="0">
      <w:start w:val="1"/>
      <w:numFmt w:val="decimal"/>
      <w:lvlText w:val="%1.%2.%3.%4."/>
      <w:lvlJc w:val="left"/>
      <w:pPr>
        <w:ind w:left="3626" w:hanging="648"/>
      </w:pPr>
      <w:rPr>
        <w:b/>
      </w:rPr>
    </w:lvl>
    <w:lvl w:ilvl="4" w:tentative="0">
      <w:start w:val="1"/>
      <w:numFmt w:val="decimal"/>
      <w:lvlText w:val="%1.%2.%3.%4.%5."/>
      <w:lvlJc w:val="left"/>
      <w:pPr>
        <w:ind w:left="3367" w:hanging="792"/>
      </w:pPr>
      <w:rPr>
        <w:rFonts w:hint="default"/>
      </w:rPr>
    </w:lvl>
    <w:lvl w:ilvl="5" w:tentative="0">
      <w:start w:val="1"/>
      <w:numFmt w:val="decimal"/>
      <w:lvlText w:val="%1.%2.%3.%4.%5.%6."/>
      <w:lvlJc w:val="left"/>
      <w:pPr>
        <w:ind w:left="3871" w:hanging="936"/>
      </w:pPr>
      <w:rPr>
        <w:rFonts w:hint="default"/>
      </w:rPr>
    </w:lvl>
    <w:lvl w:ilvl="6" w:tentative="0">
      <w:start w:val="1"/>
      <w:numFmt w:val="decimal"/>
      <w:lvlText w:val="%1.%2.%3.%4.%5.%6.%7."/>
      <w:lvlJc w:val="left"/>
      <w:pPr>
        <w:ind w:left="4375" w:hanging="1080"/>
      </w:pPr>
      <w:rPr>
        <w:rFonts w:hint="default"/>
      </w:rPr>
    </w:lvl>
    <w:lvl w:ilvl="7" w:tentative="0">
      <w:start w:val="1"/>
      <w:numFmt w:val="decimal"/>
      <w:lvlText w:val="%1.%2.%3.%4.%5.%6.%7.%8."/>
      <w:lvlJc w:val="left"/>
      <w:pPr>
        <w:ind w:left="4879" w:hanging="1224"/>
      </w:pPr>
      <w:rPr>
        <w:rFonts w:hint="default"/>
      </w:rPr>
    </w:lvl>
    <w:lvl w:ilvl="8" w:tentative="0">
      <w:start w:val="1"/>
      <w:numFmt w:val="decimal"/>
      <w:lvlText w:val="%1.%2.%3.%4.%5.%6.%7.%8.%9."/>
      <w:lvlJc w:val="left"/>
      <w:pPr>
        <w:ind w:left="5455" w:hanging="1440"/>
      </w:pPr>
      <w:rPr>
        <w:rFonts w:hint="default"/>
      </w:rPr>
    </w:lvl>
  </w:abstractNum>
  <w:abstractNum w:abstractNumId="3">
    <w:nsid w:val="0A9653D1"/>
    <w:multiLevelType w:val="multilevel"/>
    <w:tmpl w:val="0A9653D1"/>
    <w:lvl w:ilvl="0" w:tentative="0">
      <w:start w:val="1"/>
      <w:numFmt w:val="decimal"/>
      <w:lvlText w:val="%1."/>
      <w:lvlJc w:val="left"/>
      <w:pPr>
        <w:ind w:left="360" w:hanging="360"/>
      </w:pPr>
      <w:rPr>
        <w:rFonts w:hint="default"/>
      </w:rPr>
    </w:lvl>
    <w:lvl w:ilvl="1" w:tentative="0">
      <w:start w:val="1"/>
      <w:numFmt w:val="decimal"/>
      <w:pStyle w:val="70"/>
      <w:lvlText w:val="%1.%2."/>
      <w:lvlJc w:val="left"/>
      <w:pPr>
        <w:ind w:left="786" w:hanging="360"/>
      </w:pPr>
      <w:rPr>
        <w:rFonts w:hint="default" w:asciiTheme="majorHAnsi" w:hAnsiTheme="majorHAnsi" w:cstheme="majorHAnsi"/>
        <w:b/>
        <w:i w:val="0"/>
        <w:color w:val="auto"/>
        <w:sz w:val="22"/>
      </w:rPr>
    </w:lvl>
    <w:lvl w:ilvl="2" w:tentative="0">
      <w:start w:val="1"/>
      <w:numFmt w:val="decimal"/>
      <w:lvlText w:val="%1.%2.%3."/>
      <w:lvlJc w:val="left"/>
      <w:pPr>
        <w:ind w:left="1572" w:hanging="720"/>
      </w:pPr>
      <w:rPr>
        <w:rFonts w:hint="default" w:ascii="Times New Roman" w:hAnsi="Times New Roman" w:cs="Times New Roman"/>
        <w:b/>
        <w:i w:val="0"/>
        <w:color w:val="auto"/>
        <w:sz w:val="22"/>
        <w:szCs w:val="22"/>
      </w:rPr>
    </w:lvl>
    <w:lvl w:ilvl="3" w:tentative="0">
      <w:start w:val="1"/>
      <w:numFmt w:val="decimal"/>
      <w:lvlText w:val="%1.%2.%3.%4."/>
      <w:lvlJc w:val="left"/>
      <w:pPr>
        <w:ind w:left="1998" w:hanging="720"/>
      </w:pPr>
      <w:rPr>
        <w:rFonts w:hint="default"/>
        <w:b/>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abstractNum w:abstractNumId="4">
    <w:nsid w:val="1D5C100D"/>
    <w:multiLevelType w:val="multilevel"/>
    <w:tmpl w:val="1D5C100D"/>
    <w:lvl w:ilvl="0" w:tentative="0">
      <w:start w:val="1"/>
      <w:numFmt w:val="decimal"/>
      <w:pStyle w:val="53"/>
      <w:lvlText w:val="%1."/>
      <w:lvlJc w:val="left"/>
      <w:pPr>
        <w:ind w:left="360" w:hanging="360"/>
      </w:pPr>
      <w:rPr>
        <w:b/>
        <w:color w:val="auto"/>
      </w:rPr>
    </w:lvl>
    <w:lvl w:ilvl="1" w:tentative="0">
      <w:start w:val="1"/>
      <w:numFmt w:val="decimal"/>
      <w:lvlText w:val="%1.%2."/>
      <w:lvlJc w:val="left"/>
      <w:pPr>
        <w:ind w:left="4117" w:hanging="432"/>
      </w:pPr>
      <w:rPr>
        <w:rFonts w:hint="default" w:asciiTheme="majorHAnsi" w:hAnsiTheme="majorHAnsi" w:cstheme="majorHAnsi"/>
        <w:b/>
        <w:i w:val="0"/>
        <w:strike w:val="0"/>
        <w:color w:val="auto"/>
        <w:sz w:val="22"/>
        <w:szCs w:val="22"/>
        <w:u w:val="none"/>
      </w:rPr>
    </w:lvl>
    <w:lvl w:ilvl="2" w:tentative="0">
      <w:start w:val="1"/>
      <w:numFmt w:val="decimal"/>
      <w:lvlText w:val="%1.%2."/>
      <w:lvlJc w:val="left"/>
      <w:pPr>
        <w:ind w:left="1638" w:hanging="504"/>
      </w:pPr>
      <w:rPr>
        <w:b/>
        <w:i w:val="0"/>
        <w:strike w:val="0"/>
        <w:color w:val="auto"/>
        <w:sz w:val="22"/>
        <w:szCs w:val="22"/>
      </w:rPr>
    </w:lvl>
    <w:lvl w:ilvl="3" w:tentative="0">
      <w:start w:val="1"/>
      <w:numFmt w:val="decimal"/>
      <w:pStyle w:val="73"/>
      <w:lvlText w:val="%1.%2.%3.%4."/>
      <w:lvlJc w:val="left"/>
      <w:pPr>
        <w:ind w:left="2491" w:hanging="648"/>
      </w:pPr>
      <w:rPr>
        <w:rFonts w:hint="default" w:ascii="Times New Roman" w:hAnsi="Times New Roman" w:cs="Times New Roman"/>
        <w:b/>
        <w:sz w:val="22"/>
        <w:szCs w:val="22"/>
      </w:rPr>
    </w:lvl>
    <w:lvl w:ilvl="4" w:tentative="0">
      <w:start w:val="1"/>
      <w:numFmt w:val="decimal"/>
      <w:pStyle w:val="74"/>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E2B21CF"/>
    <w:multiLevelType w:val="multilevel"/>
    <w:tmpl w:val="1E2B21CF"/>
    <w:lvl w:ilvl="0" w:tentative="0">
      <w:start w:val="4"/>
      <w:numFmt w:val="decimal"/>
      <w:lvlText w:val="%1."/>
      <w:lvlJc w:val="left"/>
      <w:pPr>
        <w:ind w:left="360" w:hanging="360"/>
      </w:pPr>
      <w:rPr>
        <w:rFonts w:hint="default"/>
      </w:rPr>
    </w:lvl>
    <w:lvl w:ilvl="1" w:tentative="0">
      <w:start w:val="37"/>
      <w:numFmt w:val="decimal"/>
      <w:lvlText w:val="%1.%2."/>
      <w:lvlJc w:val="left"/>
      <w:pPr>
        <w:ind w:left="792" w:hanging="432"/>
      </w:pPr>
      <w:rPr>
        <w:rFonts w:hint="default"/>
        <w:color w:val="auto"/>
      </w:rPr>
    </w:lvl>
    <w:lvl w:ilvl="2" w:tentative="0">
      <w:start w:val="1"/>
      <w:numFmt w:val="decimal"/>
      <w:lvlText w:val="%1.%2.%3."/>
      <w:lvlJc w:val="left"/>
      <w:pPr>
        <w:ind w:left="50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6">
    <w:nsid w:val="2CAA224F"/>
    <w:multiLevelType w:val="multilevel"/>
    <w:tmpl w:val="2CAA224F"/>
    <w:lvl w:ilvl="0" w:tentative="0">
      <w:start w:val="7"/>
      <w:numFmt w:val="decimal"/>
      <w:lvlText w:val="%1."/>
      <w:lvlJc w:val="left"/>
      <w:pPr>
        <w:ind w:left="360" w:hanging="360"/>
      </w:pPr>
      <w:rPr>
        <w:rFonts w:hint="default"/>
      </w:rPr>
    </w:lvl>
    <w:lvl w:ilvl="1" w:tentative="0">
      <w:start w:val="1"/>
      <w:numFmt w:val="decimal"/>
      <w:lvlText w:val="%1.%2."/>
      <w:lvlJc w:val="left"/>
      <w:pPr>
        <w:ind w:left="792" w:hanging="432"/>
      </w:pPr>
      <w:rPr>
        <w:rFonts w:hint="default"/>
        <w:color w:val="auto"/>
      </w:rPr>
    </w:lvl>
    <w:lvl w:ilvl="2" w:tentative="0">
      <w:start w:val="1"/>
      <w:numFmt w:val="decimal"/>
      <w:lvlText w:val="%1.%2.%3."/>
      <w:lvlJc w:val="left"/>
      <w:pPr>
        <w:ind w:left="50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7">
    <w:nsid w:val="2DED0DC5"/>
    <w:multiLevelType w:val="multilevel"/>
    <w:tmpl w:val="2DED0DC5"/>
    <w:lvl w:ilvl="0" w:tentative="0">
      <w:start w:val="1"/>
      <w:numFmt w:val="bullet"/>
      <w:lvlText w:val=""/>
      <w:lvlJc w:val="left"/>
      <w:pPr>
        <w:ind w:left="720" w:hanging="360"/>
      </w:pPr>
      <w:rPr>
        <w:rFonts w:hint="default" w:ascii="Wingdings" w:hAnsi="Wingdings" w:cs="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8">
    <w:nsid w:val="32231C26"/>
    <w:multiLevelType w:val="multilevel"/>
    <w:tmpl w:val="32231C26"/>
    <w:lvl w:ilvl="0" w:tentative="0">
      <w:start w:val="6"/>
      <w:numFmt w:val="decimal"/>
      <w:lvlText w:val="%1."/>
      <w:lvlJc w:val="left"/>
      <w:pPr>
        <w:ind w:left="360" w:hanging="360"/>
      </w:pPr>
      <w:rPr>
        <w:rFonts w:hint="default"/>
      </w:rPr>
    </w:lvl>
    <w:lvl w:ilvl="1" w:tentative="0">
      <w:start w:val="1"/>
      <w:numFmt w:val="decimal"/>
      <w:lvlText w:val="%1.%2."/>
      <w:lvlJc w:val="left"/>
      <w:pPr>
        <w:ind w:left="792" w:hanging="432"/>
      </w:pPr>
      <w:rPr>
        <w:rFonts w:hint="default"/>
        <w:color w:val="auto"/>
      </w:rPr>
    </w:lvl>
    <w:lvl w:ilvl="2" w:tentative="0">
      <w:start w:val="1"/>
      <w:numFmt w:val="decimal"/>
      <w:lvlText w:val="%1.%2.%3."/>
      <w:lvlJc w:val="left"/>
      <w:pPr>
        <w:ind w:left="50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9">
    <w:nsid w:val="39C45234"/>
    <w:multiLevelType w:val="multilevel"/>
    <w:tmpl w:val="39C45234"/>
    <w:lvl w:ilvl="0" w:tentative="0">
      <w:start w:val="3"/>
      <w:numFmt w:val="decimal"/>
      <w:lvlText w:val="%1."/>
      <w:lvlJc w:val="left"/>
      <w:pPr>
        <w:ind w:left="360" w:hanging="360"/>
      </w:pPr>
      <w:rPr>
        <w:b/>
      </w:rPr>
    </w:lvl>
    <w:lvl w:ilvl="1" w:tentative="0">
      <w:start w:val="1"/>
      <w:numFmt w:val="decimal"/>
      <w:lvlText w:val="%1.%2."/>
      <w:lvlJc w:val="left"/>
      <w:pPr>
        <w:ind w:left="1287" w:hanging="360"/>
      </w:pPr>
      <w:rPr>
        <w:rFonts w:hint="default" w:ascii="Times New Roman" w:hAnsi="Times New Roman" w:cs="Times New Roman"/>
        <w:b/>
        <w:i w:val="0"/>
        <w:color w:val="00000A"/>
        <w:sz w:val="22"/>
      </w:rPr>
    </w:lvl>
    <w:lvl w:ilvl="2" w:tentative="0">
      <w:start w:val="1"/>
      <w:numFmt w:val="decimal"/>
      <w:lvlText w:val="%1.%2.%3."/>
      <w:lvlJc w:val="left"/>
      <w:pPr>
        <w:ind w:left="2574" w:hanging="720"/>
      </w:pPr>
      <w:rPr>
        <w:rFonts w:hint="default" w:asciiTheme="minorHAnsi" w:hAnsiTheme="minorHAnsi" w:cstheme="minorHAnsi"/>
        <w:b/>
        <w:color w:val="auto"/>
        <w:sz w:val="22"/>
      </w:rPr>
    </w:lvl>
    <w:lvl w:ilvl="3" w:tentative="0">
      <w:start w:val="1"/>
      <w:numFmt w:val="decimal"/>
      <w:lvlText w:val="%1.%2.%3.%4."/>
      <w:lvlJc w:val="left"/>
      <w:pPr>
        <w:ind w:left="3501" w:hanging="720"/>
      </w:pPr>
      <w:rPr>
        <w:b/>
      </w:rPr>
    </w:lvl>
    <w:lvl w:ilvl="4" w:tentative="0">
      <w:start w:val="1"/>
      <w:numFmt w:val="decimal"/>
      <w:lvlText w:val="%1.%2.%3.%4.%5."/>
      <w:lvlJc w:val="left"/>
      <w:pPr>
        <w:ind w:left="4788" w:hanging="1080"/>
      </w:pPr>
    </w:lvl>
    <w:lvl w:ilvl="5" w:tentative="0">
      <w:start w:val="1"/>
      <w:numFmt w:val="decimal"/>
      <w:lvlText w:val="%1.%2.%3.%4.%5.%6."/>
      <w:lvlJc w:val="left"/>
      <w:pPr>
        <w:ind w:left="5715" w:hanging="1080"/>
      </w:pPr>
    </w:lvl>
    <w:lvl w:ilvl="6" w:tentative="0">
      <w:start w:val="1"/>
      <w:numFmt w:val="decimal"/>
      <w:lvlText w:val="%1.%2.%3.%4.%5.%6.%7."/>
      <w:lvlJc w:val="left"/>
      <w:pPr>
        <w:ind w:left="6642" w:hanging="1080"/>
      </w:pPr>
    </w:lvl>
    <w:lvl w:ilvl="7" w:tentative="0">
      <w:start w:val="1"/>
      <w:numFmt w:val="decimal"/>
      <w:lvlText w:val="%1.%2.%3.%4.%5.%6.%7.%8."/>
      <w:lvlJc w:val="left"/>
      <w:pPr>
        <w:ind w:left="7929" w:hanging="1440"/>
      </w:pPr>
    </w:lvl>
    <w:lvl w:ilvl="8" w:tentative="0">
      <w:start w:val="1"/>
      <w:numFmt w:val="decimal"/>
      <w:lvlText w:val="%1.%2.%3.%4.%5.%6.%7.%8.%9."/>
      <w:lvlJc w:val="left"/>
      <w:pPr>
        <w:ind w:left="8856" w:hanging="1440"/>
      </w:pPr>
    </w:lvl>
  </w:abstractNum>
  <w:abstractNum w:abstractNumId="10">
    <w:nsid w:val="3D250118"/>
    <w:multiLevelType w:val="multilevel"/>
    <w:tmpl w:val="3D250118"/>
    <w:lvl w:ilvl="0" w:tentative="0">
      <w:start w:val="1"/>
      <w:numFmt w:val="decimal"/>
      <w:lvlText w:val="%1."/>
      <w:lvlJc w:val="left"/>
      <w:pPr>
        <w:ind w:left="720" w:hanging="360"/>
      </w:pPr>
      <w:rPr>
        <w:rFonts w:hint="default"/>
      </w:rPr>
    </w:lvl>
    <w:lvl w:ilvl="1" w:tentative="0">
      <w:start w:val="2"/>
      <w:numFmt w:val="decimal"/>
      <w:lvlText w:val="%1.%2."/>
      <w:lvlJc w:val="left"/>
      <w:pPr>
        <w:ind w:left="1152" w:hanging="432"/>
      </w:pPr>
      <w:rPr>
        <w:rFonts w:hint="default"/>
        <w:color w:val="auto"/>
      </w:rPr>
    </w:lvl>
    <w:lvl w:ilvl="2" w:tentative="0">
      <w:start w:val="1"/>
      <w:numFmt w:val="decimal"/>
      <w:lvlText w:val="%1.%2.%3."/>
      <w:lvlJc w:val="left"/>
      <w:pPr>
        <w:ind w:left="1584" w:hanging="504"/>
      </w:pPr>
      <w:rPr>
        <w:rFonts w:hint="default"/>
      </w:rPr>
    </w:lvl>
    <w:lvl w:ilvl="3" w:tentative="0">
      <w:start w:val="1"/>
      <w:numFmt w:val="decimal"/>
      <w:lvlText w:val="%1.%2.%3.%4."/>
      <w:lvlJc w:val="left"/>
      <w:pPr>
        <w:ind w:left="2088" w:hanging="648"/>
      </w:pPr>
      <w:rPr>
        <w:rFonts w:hint="default"/>
      </w:rPr>
    </w:lvl>
    <w:lvl w:ilvl="4" w:tentative="0">
      <w:start w:val="1"/>
      <w:numFmt w:val="decimal"/>
      <w:lvlText w:val="%1.%2.%3.%4.%5."/>
      <w:lvlJc w:val="left"/>
      <w:pPr>
        <w:ind w:left="2592" w:hanging="792"/>
      </w:pPr>
      <w:rPr>
        <w:rFonts w:hint="default"/>
      </w:rPr>
    </w:lvl>
    <w:lvl w:ilvl="5" w:tentative="0">
      <w:start w:val="1"/>
      <w:numFmt w:val="decimal"/>
      <w:lvlText w:val="%1.%2.%3.%4.%5.%6."/>
      <w:lvlJc w:val="left"/>
      <w:pPr>
        <w:ind w:left="3096" w:hanging="936"/>
      </w:pPr>
      <w:rPr>
        <w:rFonts w:hint="default"/>
      </w:rPr>
    </w:lvl>
    <w:lvl w:ilvl="6" w:tentative="0">
      <w:start w:val="1"/>
      <w:numFmt w:val="decimal"/>
      <w:lvlText w:val="%1.%2.%3.%4.%5.%6.%7."/>
      <w:lvlJc w:val="left"/>
      <w:pPr>
        <w:ind w:left="3600" w:hanging="1080"/>
      </w:pPr>
      <w:rPr>
        <w:rFonts w:hint="default"/>
      </w:rPr>
    </w:lvl>
    <w:lvl w:ilvl="7" w:tentative="0">
      <w:start w:val="1"/>
      <w:numFmt w:val="decimal"/>
      <w:lvlText w:val="%1.%2.%3.%4.%5.%6.%7.%8."/>
      <w:lvlJc w:val="left"/>
      <w:pPr>
        <w:ind w:left="4104" w:hanging="1224"/>
      </w:pPr>
      <w:rPr>
        <w:rFonts w:hint="default"/>
      </w:rPr>
    </w:lvl>
    <w:lvl w:ilvl="8" w:tentative="0">
      <w:start w:val="1"/>
      <w:numFmt w:val="decimal"/>
      <w:lvlText w:val="%1.%2.%3.%4.%5.%6.%7.%8.%9."/>
      <w:lvlJc w:val="left"/>
      <w:pPr>
        <w:ind w:left="4680" w:hanging="1440"/>
      </w:pPr>
      <w:rPr>
        <w:rFonts w:hint="default"/>
      </w:rPr>
    </w:lvl>
  </w:abstractNum>
  <w:abstractNum w:abstractNumId="11">
    <w:nsid w:val="3F9E4345"/>
    <w:multiLevelType w:val="multilevel"/>
    <w:tmpl w:val="3F9E4345"/>
    <w:lvl w:ilvl="0" w:tentative="0">
      <w:start w:val="5"/>
      <w:numFmt w:val="decimal"/>
      <w:lvlText w:val="%1."/>
      <w:lvlJc w:val="left"/>
      <w:pPr>
        <w:ind w:left="360" w:hanging="360"/>
      </w:pPr>
      <w:rPr>
        <w:rFonts w:hint="default"/>
      </w:rPr>
    </w:lvl>
    <w:lvl w:ilvl="1" w:tentative="0">
      <w:start w:val="1"/>
      <w:numFmt w:val="decimal"/>
      <w:lvlText w:val="%1.%2."/>
      <w:lvlJc w:val="left"/>
      <w:pPr>
        <w:ind w:left="792" w:hanging="432"/>
      </w:pPr>
      <w:rPr>
        <w:rFonts w:hint="default"/>
        <w:color w:val="auto"/>
      </w:rPr>
    </w:lvl>
    <w:lvl w:ilvl="2" w:tentative="0">
      <w:start w:val="1"/>
      <w:numFmt w:val="decimal"/>
      <w:lvlText w:val="%1.%2.%3."/>
      <w:lvlJc w:val="left"/>
      <w:pPr>
        <w:ind w:left="50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12">
    <w:nsid w:val="40596472"/>
    <w:multiLevelType w:val="multilevel"/>
    <w:tmpl w:val="40596472"/>
    <w:lvl w:ilvl="0" w:tentative="0">
      <w:start w:val="1"/>
      <w:numFmt w:val="lowerLetter"/>
      <w:pStyle w:val="224"/>
      <w:lvlText w:val="%1)"/>
      <w:lvlJc w:val="left"/>
      <w:pPr>
        <w:ind w:left="927" w:hanging="360"/>
      </w:p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3">
    <w:nsid w:val="42F154FF"/>
    <w:multiLevelType w:val="multilevel"/>
    <w:tmpl w:val="42F154F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pStyle w:val="164"/>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4553013"/>
    <w:multiLevelType w:val="multilevel"/>
    <w:tmpl w:val="44553013"/>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rFonts w:hint="default"/>
      </w:rPr>
    </w:lvl>
    <w:lvl w:ilvl="2" w:tentative="0">
      <w:start w:val="1"/>
      <w:numFmt w:val="decimal"/>
      <w:lvlText w:val="%1.%2.%3."/>
      <w:lvlJc w:val="left"/>
      <w:pPr>
        <w:ind w:left="122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15">
    <w:nsid w:val="60030B26"/>
    <w:multiLevelType w:val="multilevel"/>
    <w:tmpl w:val="60030B26"/>
    <w:lvl w:ilvl="0" w:tentative="0">
      <w:start w:val="2"/>
      <w:numFmt w:val="decimal"/>
      <w:lvlText w:val="%1."/>
      <w:lvlJc w:val="left"/>
      <w:pPr>
        <w:ind w:left="720" w:hanging="360"/>
      </w:pPr>
      <w:rPr>
        <w:rFonts w:hint="default"/>
      </w:rPr>
    </w:lvl>
    <w:lvl w:ilvl="1" w:tentative="0">
      <w:start w:val="1"/>
      <w:numFmt w:val="decimal"/>
      <w:lvlText w:val="%1.%2."/>
      <w:lvlJc w:val="left"/>
      <w:pPr>
        <w:ind w:left="1152" w:hanging="432"/>
      </w:pPr>
      <w:rPr>
        <w:rFonts w:hint="default"/>
        <w:color w:val="auto"/>
      </w:rPr>
    </w:lvl>
    <w:lvl w:ilvl="2" w:tentative="0">
      <w:start w:val="1"/>
      <w:numFmt w:val="decimal"/>
      <w:lvlText w:val="%1.%2.%3."/>
      <w:lvlJc w:val="left"/>
      <w:pPr>
        <w:ind w:left="1584" w:hanging="504"/>
      </w:pPr>
      <w:rPr>
        <w:rFonts w:hint="default"/>
      </w:rPr>
    </w:lvl>
    <w:lvl w:ilvl="3" w:tentative="0">
      <w:start w:val="1"/>
      <w:numFmt w:val="decimal"/>
      <w:lvlText w:val="%1.%2.%3.%4."/>
      <w:lvlJc w:val="left"/>
      <w:pPr>
        <w:ind w:left="2088" w:hanging="648"/>
      </w:pPr>
      <w:rPr>
        <w:rFonts w:hint="default"/>
      </w:rPr>
    </w:lvl>
    <w:lvl w:ilvl="4" w:tentative="0">
      <w:start w:val="1"/>
      <w:numFmt w:val="decimal"/>
      <w:lvlText w:val="%1.%2.%3.%4.%5."/>
      <w:lvlJc w:val="left"/>
      <w:pPr>
        <w:ind w:left="2592" w:hanging="792"/>
      </w:pPr>
      <w:rPr>
        <w:rFonts w:hint="default"/>
      </w:rPr>
    </w:lvl>
    <w:lvl w:ilvl="5" w:tentative="0">
      <w:start w:val="1"/>
      <w:numFmt w:val="decimal"/>
      <w:lvlText w:val="%1.%2.%3.%4.%5.%6."/>
      <w:lvlJc w:val="left"/>
      <w:pPr>
        <w:ind w:left="3096" w:hanging="936"/>
      </w:pPr>
      <w:rPr>
        <w:rFonts w:hint="default"/>
      </w:rPr>
    </w:lvl>
    <w:lvl w:ilvl="6" w:tentative="0">
      <w:start w:val="1"/>
      <w:numFmt w:val="decimal"/>
      <w:lvlText w:val="%1.%2.%3.%4.%5.%6.%7."/>
      <w:lvlJc w:val="left"/>
      <w:pPr>
        <w:ind w:left="3600" w:hanging="1080"/>
      </w:pPr>
      <w:rPr>
        <w:rFonts w:hint="default"/>
      </w:rPr>
    </w:lvl>
    <w:lvl w:ilvl="7" w:tentative="0">
      <w:start w:val="1"/>
      <w:numFmt w:val="decimal"/>
      <w:lvlText w:val="%1.%2.%3.%4.%5.%6.%7.%8."/>
      <w:lvlJc w:val="left"/>
      <w:pPr>
        <w:ind w:left="4104" w:hanging="1224"/>
      </w:pPr>
      <w:rPr>
        <w:rFonts w:hint="default"/>
      </w:rPr>
    </w:lvl>
    <w:lvl w:ilvl="8" w:tentative="0">
      <w:start w:val="1"/>
      <w:numFmt w:val="decimal"/>
      <w:lvlText w:val="%1.%2.%3.%4.%5.%6.%7.%8.%9."/>
      <w:lvlJc w:val="left"/>
      <w:pPr>
        <w:ind w:left="4680" w:hanging="1440"/>
      </w:pPr>
      <w:rPr>
        <w:rFonts w:hint="default"/>
      </w:rPr>
    </w:lvl>
  </w:abstractNum>
  <w:abstractNum w:abstractNumId="16">
    <w:nsid w:val="640C7C04"/>
    <w:multiLevelType w:val="multilevel"/>
    <w:tmpl w:val="640C7C04"/>
    <w:lvl w:ilvl="0" w:tentative="0">
      <w:start w:val="8"/>
      <w:numFmt w:val="decimal"/>
      <w:lvlText w:val="%1."/>
      <w:lvlJc w:val="left"/>
      <w:pPr>
        <w:ind w:left="360" w:hanging="360"/>
      </w:pPr>
      <w:rPr>
        <w:rFonts w:hint="default"/>
      </w:rPr>
    </w:lvl>
    <w:lvl w:ilvl="1" w:tentative="0">
      <w:start w:val="1"/>
      <w:numFmt w:val="decimal"/>
      <w:lvlText w:val="%1.%2."/>
      <w:lvlJc w:val="left"/>
      <w:pPr>
        <w:ind w:left="792" w:hanging="432"/>
      </w:pPr>
      <w:rPr>
        <w:rFonts w:hint="default"/>
        <w:color w:val="auto"/>
      </w:rPr>
    </w:lvl>
    <w:lvl w:ilvl="2" w:tentative="0">
      <w:start w:val="1"/>
      <w:numFmt w:val="decimal"/>
      <w:lvlText w:val="%1.%2.%3."/>
      <w:lvlJc w:val="left"/>
      <w:pPr>
        <w:ind w:left="50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17">
    <w:nsid w:val="66F178DF"/>
    <w:multiLevelType w:val="multilevel"/>
    <w:tmpl w:val="66F178DF"/>
    <w:lvl w:ilvl="0" w:tentative="0">
      <w:start w:val="1"/>
      <w:numFmt w:val="decimal"/>
      <w:suff w:val="space"/>
      <w:lvlText w:val="%1."/>
      <w:lvlJc w:val="left"/>
      <w:pPr>
        <w:ind w:left="0" w:firstLine="0"/>
      </w:pPr>
      <w:rPr>
        <w:rFonts w:ascii="Palatino Linotype" w:hAnsi="Palatino Linotype"/>
        <w:b/>
        <w:i w:val="0"/>
        <w:sz w:val="22"/>
      </w:rPr>
    </w:lvl>
    <w:lvl w:ilvl="1" w:tentative="0">
      <w:start w:val="1"/>
      <w:numFmt w:val="decimal"/>
      <w:suff w:val="space"/>
      <w:lvlText w:val="%1.%2."/>
      <w:lvlJc w:val="left"/>
      <w:pPr>
        <w:ind w:left="284" w:firstLine="0"/>
      </w:pPr>
      <w:rPr>
        <w:rFonts w:hint="default" w:ascii="Times New Roman" w:hAnsi="Times New Roman" w:cs="Times New Roman"/>
        <w:b/>
        <w:i w:val="0"/>
        <w:color w:val="00000A"/>
        <w:sz w:val="22"/>
      </w:rPr>
    </w:lvl>
    <w:lvl w:ilvl="2" w:tentative="0">
      <w:start w:val="1"/>
      <w:numFmt w:val="decimal"/>
      <w:suff w:val="space"/>
      <w:lvlText w:val="%1.%2.%3."/>
      <w:lvlJc w:val="left"/>
      <w:pPr>
        <w:ind w:left="567" w:firstLine="0"/>
      </w:pPr>
      <w:rPr>
        <w:b w:val="0"/>
        <w:i w:val="0"/>
      </w:rPr>
    </w:lvl>
    <w:lvl w:ilvl="3" w:tentative="0">
      <w:start w:val="1"/>
      <w:numFmt w:val="decimal"/>
      <w:suff w:val="space"/>
      <w:lvlText w:val="%1.%2.%3.%4."/>
      <w:lvlJc w:val="left"/>
      <w:pPr>
        <w:ind w:left="851" w:firstLine="0"/>
      </w:pPr>
      <w:rPr>
        <w:b/>
        <w:i w:val="0"/>
      </w:rPr>
    </w:lvl>
    <w:lvl w:ilvl="4" w:tentative="0">
      <w:start w:val="1"/>
      <w:numFmt w:val="decimal"/>
      <w:suff w:val="space"/>
      <w:lvlText w:val="%1.%2.%3.%4.%5."/>
      <w:lvlJc w:val="left"/>
      <w:pPr>
        <w:ind w:left="1134" w:firstLine="0"/>
      </w:pPr>
      <w:rPr>
        <w:b/>
        <w:i w:val="0"/>
      </w:rPr>
    </w:lvl>
    <w:lvl w:ilvl="5" w:tentative="0">
      <w:start w:val="1"/>
      <w:numFmt w:val="decimal"/>
      <w:lvlText w:val="%1.%2.%3.%4.%5.%6."/>
      <w:lvlJc w:val="left"/>
      <w:pPr>
        <w:tabs>
          <w:tab w:val="left" w:pos="2880"/>
        </w:tabs>
        <w:ind w:left="2736" w:hanging="936"/>
      </w:pPr>
    </w:lvl>
    <w:lvl w:ilvl="6" w:tentative="0">
      <w:start w:val="1"/>
      <w:numFmt w:val="decimal"/>
      <w:lvlText w:val="%1.%2.%3.%4.%5.%6.%7."/>
      <w:lvlJc w:val="left"/>
      <w:pPr>
        <w:tabs>
          <w:tab w:val="left" w:pos="3600"/>
        </w:tabs>
        <w:ind w:left="3240" w:hanging="1080"/>
      </w:pPr>
    </w:lvl>
    <w:lvl w:ilvl="7" w:tentative="0">
      <w:start w:val="1"/>
      <w:numFmt w:val="decimal"/>
      <w:lvlText w:val="%1.%2.%3.%4.%5.%6.%7.%8."/>
      <w:lvlJc w:val="left"/>
      <w:pPr>
        <w:tabs>
          <w:tab w:val="left" w:pos="3960"/>
        </w:tabs>
        <w:ind w:left="3744" w:hanging="1224"/>
      </w:pPr>
    </w:lvl>
    <w:lvl w:ilvl="8" w:tentative="0">
      <w:start w:val="1"/>
      <w:numFmt w:val="decimal"/>
      <w:lvlText w:val="%1.%2.%3.%4.%5.%6.%7.%8.%9."/>
      <w:lvlJc w:val="left"/>
      <w:pPr>
        <w:tabs>
          <w:tab w:val="left" w:pos="4680"/>
        </w:tabs>
        <w:ind w:left="4320" w:hanging="1440"/>
      </w:pPr>
    </w:lvl>
  </w:abstractNum>
  <w:abstractNum w:abstractNumId="18">
    <w:nsid w:val="66F211E2"/>
    <w:multiLevelType w:val="multilevel"/>
    <w:tmpl w:val="66F211E2"/>
    <w:lvl w:ilvl="0" w:tentative="0">
      <w:start w:val="1"/>
      <w:numFmt w:val="decimal"/>
      <w:lvlText w:val="%1."/>
      <w:lvlJc w:val="left"/>
      <w:pPr>
        <w:ind w:left="360" w:hanging="360"/>
      </w:pPr>
    </w:lvl>
    <w:lvl w:ilvl="1" w:tentative="0">
      <w:start w:val="1"/>
      <w:numFmt w:val="decimal"/>
      <w:lvlText w:val="%1.%2."/>
      <w:lvlJc w:val="left"/>
      <w:pPr>
        <w:ind w:left="5252" w:hanging="432"/>
      </w:pPr>
      <w:rPr>
        <w:color w:val="auto"/>
      </w:rPr>
    </w:lvl>
    <w:lvl w:ilvl="2" w:tentative="0">
      <w:start w:val="1"/>
      <w:numFmt w:val="decimal"/>
      <w:lvlText w:val="%1.%2.%3."/>
      <w:lvlJc w:val="left"/>
      <w:pPr>
        <w:ind w:left="646"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9">
    <w:nsid w:val="69CC15A4"/>
    <w:multiLevelType w:val="multilevel"/>
    <w:tmpl w:val="69CC15A4"/>
    <w:lvl w:ilvl="0" w:tentative="0">
      <w:start w:val="5"/>
      <w:numFmt w:val="decimal"/>
      <w:lvlText w:val="%1."/>
      <w:lvlJc w:val="left"/>
      <w:pPr>
        <w:ind w:left="540" w:hanging="540"/>
      </w:pPr>
      <w:rPr>
        <w:rFonts w:hint="default"/>
      </w:rPr>
    </w:lvl>
    <w:lvl w:ilvl="1" w:tentative="0">
      <w:start w:val="7"/>
      <w:numFmt w:val="decimal"/>
      <w:lvlText w:val="%1.%2."/>
      <w:lvlJc w:val="left"/>
      <w:pPr>
        <w:ind w:left="540" w:hanging="540"/>
      </w:pPr>
      <w:rPr>
        <w:rFonts w:hint="default"/>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0"/>
  </w:num>
  <w:num w:numId="2">
    <w:abstractNumId w:val="4"/>
  </w:num>
  <w:num w:numId="3">
    <w:abstractNumId w:val="3"/>
  </w:num>
  <w:num w:numId="4">
    <w:abstractNumId w:val="4"/>
    <w:lvlOverride w:ilvl="0">
      <w:lvl w:ilvl="0" w:tentative="1">
        <w:start w:val="1"/>
        <w:numFmt w:val="decimal"/>
        <w:lvlText w:val="%1."/>
        <w:lvlJc w:val="left"/>
        <w:pPr>
          <w:ind w:left="360" w:hanging="360"/>
        </w:pPr>
        <w:rPr>
          <w:rFonts w:hint="default"/>
          <w:b/>
        </w:rPr>
      </w:lvl>
    </w:lvlOverride>
    <w:lvlOverride w:ilvl="1">
      <w:lvl w:ilvl="1" w:tentative="1">
        <w:start w:val="0"/>
        <w:numFmt w:val="decimal"/>
        <w:lvlText w:val="%1.%2."/>
        <w:lvlJc w:val="left"/>
        <w:pPr>
          <w:ind w:left="999" w:hanging="432"/>
        </w:pPr>
        <w:rPr>
          <w:rFonts w:hint="default" w:ascii="Times New Roman" w:hAnsi="Times New Roman" w:cs="Times New Roman"/>
          <w:b/>
          <w:i w:val="0"/>
          <w:strike w:val="0"/>
          <w:color w:val="auto"/>
          <w:sz w:val="22"/>
          <w:szCs w:val="22"/>
          <w:u w:val="none"/>
        </w:rPr>
      </w:lvl>
    </w:lvlOverride>
    <w:lvlOverride w:ilvl="2">
      <w:lvl w:ilvl="2" w:tentative="1">
        <w:start w:val="1"/>
        <w:numFmt w:val="decimal"/>
        <w:pStyle w:val="72"/>
        <w:lvlText w:val="%1.%2.%3"/>
        <w:lvlJc w:val="left"/>
        <w:pPr>
          <w:ind w:left="1638" w:hanging="504"/>
        </w:pPr>
        <w:rPr>
          <w:rFonts w:hint="default" w:asciiTheme="majorHAnsi" w:hAnsiTheme="majorHAnsi" w:cstheme="majorHAnsi"/>
          <w:b/>
          <w:i w:val="0"/>
          <w:strike w:val="0"/>
          <w:color w:val="auto"/>
          <w:sz w:val="22"/>
          <w:szCs w:val="22"/>
        </w:rPr>
      </w:lvl>
    </w:lvlOverride>
    <w:lvlOverride w:ilvl="3">
      <w:lvl w:ilvl="3" w:tentative="1">
        <w:start w:val="1"/>
        <w:numFmt w:val="decimal"/>
        <w:lvlText w:val="%1.%2.%3.%4."/>
        <w:lvlJc w:val="left"/>
        <w:pPr>
          <w:ind w:left="2491" w:hanging="648"/>
        </w:pPr>
        <w:rPr>
          <w:rFonts w:hint="default"/>
        </w:rPr>
      </w:lvl>
    </w:lvlOverride>
    <w:lvlOverride w:ilvl="4">
      <w:lvl w:ilvl="4" w:tentative="1">
        <w:start w:val="1"/>
        <w:numFmt w:val="decimal"/>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5">
    <w:abstractNumId w:val="2"/>
  </w:num>
  <w:num w:numId="6">
    <w:abstractNumId w:val="1"/>
  </w:num>
  <w:num w:numId="7">
    <w:abstractNumId w:val="13"/>
  </w:num>
  <w:num w:numId="8">
    <w:abstractNumId w:val="12"/>
  </w:num>
  <w:num w:numId="9">
    <w:abstractNumId w:val="19"/>
  </w:num>
  <w:num w:numId="10">
    <w:abstractNumId w:val="18"/>
  </w:num>
  <w:num w:numId="11">
    <w:abstractNumId w:val="10"/>
  </w:num>
  <w:num w:numId="12">
    <w:abstractNumId w:val="15"/>
  </w:num>
  <w:num w:numId="13">
    <w:abstractNumId w:val="14"/>
  </w:num>
  <w:num w:numId="14">
    <w:abstractNumId w:val="5"/>
  </w:num>
  <w:num w:numId="15">
    <w:abstractNumId w:val="11"/>
  </w:num>
  <w:num w:numId="16">
    <w:abstractNumId w:val="8"/>
  </w:num>
  <w:num w:numId="17">
    <w:abstractNumId w:val="6"/>
  </w:num>
  <w:num w:numId="18">
    <w:abstractNumId w:val="16"/>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9"/>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A90"/>
    <w:rsid w:val="00053E65"/>
    <w:rsid w:val="00055034"/>
    <w:rsid w:val="00055889"/>
    <w:rsid w:val="00055C19"/>
    <w:rsid w:val="00055F99"/>
    <w:rsid w:val="00056433"/>
    <w:rsid w:val="000564D1"/>
    <w:rsid w:val="00056C1C"/>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62F0"/>
    <w:rsid w:val="000B63EB"/>
    <w:rsid w:val="000B663C"/>
    <w:rsid w:val="000B7A11"/>
    <w:rsid w:val="000B7B55"/>
    <w:rsid w:val="000C0332"/>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228"/>
    <w:rsid w:val="000F2B66"/>
    <w:rsid w:val="000F2BC9"/>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87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A3E"/>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8D6"/>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0F6C"/>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03C"/>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CC4"/>
    <w:rsid w:val="00232E32"/>
    <w:rsid w:val="002333D7"/>
    <w:rsid w:val="00233B8F"/>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007"/>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7F"/>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1DF"/>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71B"/>
    <w:rsid w:val="003238C3"/>
    <w:rsid w:val="00323ADB"/>
    <w:rsid w:val="00323E6D"/>
    <w:rsid w:val="00324781"/>
    <w:rsid w:val="00324BCD"/>
    <w:rsid w:val="00324D64"/>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5FE2"/>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65E"/>
    <w:rsid w:val="003639AA"/>
    <w:rsid w:val="00363E13"/>
    <w:rsid w:val="00364141"/>
    <w:rsid w:val="003648BA"/>
    <w:rsid w:val="00364911"/>
    <w:rsid w:val="00364F4B"/>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CFB"/>
    <w:rsid w:val="00374D92"/>
    <w:rsid w:val="003751AD"/>
    <w:rsid w:val="0037566F"/>
    <w:rsid w:val="00375A0A"/>
    <w:rsid w:val="00375CB3"/>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5E9"/>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180"/>
    <w:rsid w:val="003C2524"/>
    <w:rsid w:val="003C2A40"/>
    <w:rsid w:val="003C32AE"/>
    <w:rsid w:val="003C3C3F"/>
    <w:rsid w:val="003C467B"/>
    <w:rsid w:val="003C493E"/>
    <w:rsid w:val="003C4C35"/>
    <w:rsid w:val="003C4EB7"/>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08E8"/>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CD3"/>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1A21"/>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AA4"/>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7EBC"/>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531"/>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842"/>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DB"/>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232"/>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7C9"/>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84F"/>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5B63"/>
    <w:rsid w:val="005D6447"/>
    <w:rsid w:val="005D6671"/>
    <w:rsid w:val="005D71B0"/>
    <w:rsid w:val="005D775A"/>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32A"/>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95C"/>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3408"/>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D7C0E"/>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44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04A"/>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1012"/>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B1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00CB"/>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01C7"/>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CE5"/>
    <w:rsid w:val="007A7E91"/>
    <w:rsid w:val="007B02C3"/>
    <w:rsid w:val="007B04E7"/>
    <w:rsid w:val="007B07CA"/>
    <w:rsid w:val="007B0A4D"/>
    <w:rsid w:val="007B0C6A"/>
    <w:rsid w:val="007B19CE"/>
    <w:rsid w:val="007B1E12"/>
    <w:rsid w:val="007B1E53"/>
    <w:rsid w:val="007B3291"/>
    <w:rsid w:val="007B3771"/>
    <w:rsid w:val="007B39D1"/>
    <w:rsid w:val="007B5385"/>
    <w:rsid w:val="007B547C"/>
    <w:rsid w:val="007B63C3"/>
    <w:rsid w:val="007B63FB"/>
    <w:rsid w:val="007B668E"/>
    <w:rsid w:val="007B67BF"/>
    <w:rsid w:val="007B70C3"/>
    <w:rsid w:val="007B7A0C"/>
    <w:rsid w:val="007B7C23"/>
    <w:rsid w:val="007B7C98"/>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55"/>
    <w:rsid w:val="007F3AC5"/>
    <w:rsid w:val="007F43D4"/>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3FF"/>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6A2"/>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11"/>
    <w:rsid w:val="00887B8D"/>
    <w:rsid w:val="00887E41"/>
    <w:rsid w:val="0089054E"/>
    <w:rsid w:val="008907FD"/>
    <w:rsid w:val="00890F02"/>
    <w:rsid w:val="008920B9"/>
    <w:rsid w:val="00892142"/>
    <w:rsid w:val="00892887"/>
    <w:rsid w:val="00892D75"/>
    <w:rsid w:val="00893BB7"/>
    <w:rsid w:val="008941DB"/>
    <w:rsid w:val="008944F8"/>
    <w:rsid w:val="00894546"/>
    <w:rsid w:val="008954D8"/>
    <w:rsid w:val="00895940"/>
    <w:rsid w:val="00895A8A"/>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3F"/>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BAE"/>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39DF"/>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2E92"/>
    <w:rsid w:val="0091310B"/>
    <w:rsid w:val="00913531"/>
    <w:rsid w:val="0091384B"/>
    <w:rsid w:val="009139BE"/>
    <w:rsid w:val="00913A5C"/>
    <w:rsid w:val="00913F33"/>
    <w:rsid w:val="00914204"/>
    <w:rsid w:val="009142C4"/>
    <w:rsid w:val="00914306"/>
    <w:rsid w:val="00914392"/>
    <w:rsid w:val="009143B2"/>
    <w:rsid w:val="00915068"/>
    <w:rsid w:val="00915C7E"/>
    <w:rsid w:val="00916678"/>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383"/>
    <w:rsid w:val="0095081E"/>
    <w:rsid w:val="0095083A"/>
    <w:rsid w:val="00950D81"/>
    <w:rsid w:val="00950FF6"/>
    <w:rsid w:val="0095121B"/>
    <w:rsid w:val="00951BD9"/>
    <w:rsid w:val="009528A2"/>
    <w:rsid w:val="00952A05"/>
    <w:rsid w:val="00953831"/>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B7F"/>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27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21"/>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A63"/>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0FD3"/>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78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BE9"/>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4A7"/>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37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35C"/>
    <w:rsid w:val="00BE349E"/>
    <w:rsid w:val="00BE35DA"/>
    <w:rsid w:val="00BE44F2"/>
    <w:rsid w:val="00BE65E3"/>
    <w:rsid w:val="00BE76D4"/>
    <w:rsid w:val="00BF0A46"/>
    <w:rsid w:val="00BF0E8E"/>
    <w:rsid w:val="00BF17C6"/>
    <w:rsid w:val="00BF19F4"/>
    <w:rsid w:val="00BF1A7F"/>
    <w:rsid w:val="00BF2085"/>
    <w:rsid w:val="00BF23F2"/>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6DD6"/>
    <w:rsid w:val="00C270A4"/>
    <w:rsid w:val="00C27214"/>
    <w:rsid w:val="00C273F2"/>
    <w:rsid w:val="00C27BB6"/>
    <w:rsid w:val="00C300C5"/>
    <w:rsid w:val="00C30796"/>
    <w:rsid w:val="00C30F2D"/>
    <w:rsid w:val="00C312AB"/>
    <w:rsid w:val="00C322F1"/>
    <w:rsid w:val="00C3243F"/>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2A86"/>
    <w:rsid w:val="00C431D6"/>
    <w:rsid w:val="00C434C7"/>
    <w:rsid w:val="00C439B8"/>
    <w:rsid w:val="00C443EC"/>
    <w:rsid w:val="00C445C2"/>
    <w:rsid w:val="00C446B0"/>
    <w:rsid w:val="00C44BC2"/>
    <w:rsid w:val="00C45B88"/>
    <w:rsid w:val="00C45E4B"/>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4DE3"/>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4DF6"/>
    <w:rsid w:val="00C858C2"/>
    <w:rsid w:val="00C85BF0"/>
    <w:rsid w:val="00C85FED"/>
    <w:rsid w:val="00C8638B"/>
    <w:rsid w:val="00C86467"/>
    <w:rsid w:val="00C87199"/>
    <w:rsid w:val="00C873BA"/>
    <w:rsid w:val="00C87581"/>
    <w:rsid w:val="00C90118"/>
    <w:rsid w:val="00C90404"/>
    <w:rsid w:val="00C90A32"/>
    <w:rsid w:val="00C912FD"/>
    <w:rsid w:val="00C91A3F"/>
    <w:rsid w:val="00C92316"/>
    <w:rsid w:val="00C92547"/>
    <w:rsid w:val="00C926FD"/>
    <w:rsid w:val="00C92DBC"/>
    <w:rsid w:val="00C940D6"/>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918"/>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1FF"/>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60E"/>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78B"/>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6F9"/>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609"/>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6F9"/>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6F33"/>
    <w:rsid w:val="00EC7050"/>
    <w:rsid w:val="00EC7169"/>
    <w:rsid w:val="00EC7B1E"/>
    <w:rsid w:val="00EC7BC3"/>
    <w:rsid w:val="00EC7C76"/>
    <w:rsid w:val="00EC7F14"/>
    <w:rsid w:val="00EC7FC4"/>
    <w:rsid w:val="00ED0190"/>
    <w:rsid w:val="00ED0494"/>
    <w:rsid w:val="00ED0883"/>
    <w:rsid w:val="00ED0901"/>
    <w:rsid w:val="00ED0AD7"/>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E27"/>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5525"/>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0F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524362"/>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1F6684A"/>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320F54"/>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doNotAutoCompressPictures/>
  <w:themeFontLang w:val="pt-BR" w:eastAsia="ja-JP"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semiHidden="0" w:name="heading 3"/>
    <w:lsdException w:qFormat="1" w:uiPriority="9" w:semiHidden="0" w:name="heading 4"/>
    <w:lsdException w:unhideWhenUsed="0" w:uiPriority="0" w:semiHidden="0" w:name="heading 5"/>
    <w:lsdException w:qFormat="1" w:uiPriority="0" w:semiHidden="0" w:name="heading 6"/>
    <w:lsdException w:qFormat="1" w:uiPriority="0" w:name="heading 7"/>
    <w:lsdException w:qFormat="1" w:uiPriority="0" w:name="heading 8"/>
    <w:lsdException w:qFormat="1" w:uiPriority="9"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39" w:semiHidden="0" w:name="toc 2"/>
    <w:lsdException w:qFormat="1" w:uiPriority="39" w:semiHidden="0" w:name="toc 3"/>
    <w:lsdException w:uiPriority="39" w:semiHidden="0" w:name="toc 4"/>
    <w:lsdException w:uiPriority="39" w:semiHidden="0" w:name="toc 5"/>
    <w:lsdException w:uiPriority="39" w:semiHidden="0" w:name="toc 6"/>
    <w:lsdException w:qFormat="1" w:uiPriority="39" w:semiHidden="0" w:name="toc 7"/>
    <w:lsdException w:uiPriority="39" w:semiHidden="0" w:name="toc 8"/>
    <w:lsdException w:uiPriority="39" w:semiHidden="0" w:name="toc 9"/>
    <w:lsdException w:uiPriority="0" w:name="Normal Indent"/>
    <w:lsdException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semiHidden="0"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0" w:semiHidden="0" w:name="No Spacing"/>
    <w:lsdException w:qFormat="1" w:unhideWhenUsed="0" w:uiPriority="1" w:semiHidden="0" w:name="List Paragraph"/>
    <w:lsdException w:qFormat="1" w:unhideWhenUsed="0" w:uiPriority="0" w:semiHidden="0" w:name="Quote"/>
  </w:latentStyles>
  <w:style w:type="paragraph" w:default="1" w:styleId="1">
    <w:name w:val="Normal"/>
    <w:qFormat/>
    <w:uiPriority w:val="0"/>
    <w:rPr>
      <w:rFonts w:ascii="Ecofont_Spranq_eco_Sans" w:hAnsi="Ecofont_Spranq_eco_Sans" w:cs="Tahoma" w:eastAsiaTheme="minorEastAsia"/>
      <w:sz w:val="24"/>
      <w:szCs w:val="24"/>
      <w:lang w:val="pt-BR" w:eastAsia="pt-BR" w:bidi="ar-SA"/>
    </w:rPr>
  </w:style>
  <w:style w:type="paragraph" w:styleId="2">
    <w:name w:val="heading 1"/>
    <w:basedOn w:val="1"/>
    <w:next w:val="1"/>
    <w:link w:val="57"/>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0"/>
    <w:qFormat/>
    <w:uiPriority w:val="1"/>
    <w:pPr>
      <w:keepNext/>
      <w:tabs>
        <w:tab w:val="left" w:pos="1701"/>
      </w:tabs>
      <w:ind w:right="-1"/>
      <w:jc w:val="center"/>
      <w:outlineLvl w:val="1"/>
    </w:pPr>
    <w:rPr>
      <w:rFonts w:ascii="Times New Roman" w:hAnsi="Times New Roman" w:cs="Times New Roman"/>
      <w:b/>
      <w:color w:val="000000"/>
      <w:szCs w:val="20"/>
    </w:rPr>
  </w:style>
  <w:style w:type="paragraph" w:styleId="4">
    <w:name w:val="heading 3"/>
    <w:basedOn w:val="1"/>
    <w:next w:val="1"/>
    <w:link w:val="102"/>
    <w:unhideWhenUsed/>
    <w:qFormat/>
    <w:uiPriority w:val="9"/>
    <w:pPr>
      <w:keepNext/>
      <w:keepLines/>
      <w:spacing w:before="40" w:line="259" w:lineRule="auto"/>
      <w:outlineLvl w:val="2"/>
    </w:pPr>
    <w:rPr>
      <w:rFonts w:asciiTheme="majorHAnsi" w:hAnsiTheme="majorHAnsi" w:eastAsiaTheme="majorEastAsia" w:cstheme="majorBidi"/>
      <w:color w:val="254061" w:themeColor="accent1" w:themeShade="80"/>
      <w:lang w:eastAsia="en-US"/>
    </w:rPr>
  </w:style>
  <w:style w:type="paragraph" w:styleId="5">
    <w:name w:val="heading 4"/>
    <w:basedOn w:val="1"/>
    <w:next w:val="1"/>
    <w:link w:val="52"/>
    <w:unhideWhenUsed/>
    <w:qFormat/>
    <w:uiPriority w:val="9"/>
    <w:pPr>
      <w:keepNext/>
      <w:keepLines/>
      <w:spacing w:before="4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249"/>
    <w:uiPriority w:val="0"/>
    <w:pPr>
      <w:keepNext/>
      <w:keepLines/>
      <w:spacing w:before="220" w:after="40" w:line="259" w:lineRule="auto"/>
      <w:outlineLvl w:val="4"/>
    </w:pPr>
    <w:rPr>
      <w:rFonts w:ascii="Calibri" w:hAnsi="Calibri" w:eastAsia="Calibri" w:cs="Calibri"/>
      <w:b/>
      <w:bCs/>
      <w:sz w:val="22"/>
      <w:szCs w:val="22"/>
    </w:rPr>
  </w:style>
  <w:style w:type="paragraph" w:styleId="7">
    <w:name w:val="heading 6"/>
    <w:basedOn w:val="1"/>
    <w:next w:val="1"/>
    <w:link w:val="103"/>
    <w:unhideWhenUsed/>
    <w:qFormat/>
    <w:uiPriority w:val="0"/>
    <w:pPr>
      <w:keepNext/>
      <w:keepLines/>
      <w:spacing w:before="40" w:line="259" w:lineRule="auto"/>
      <w:outlineLvl w:val="5"/>
    </w:pPr>
    <w:rPr>
      <w:rFonts w:asciiTheme="majorHAnsi" w:hAnsiTheme="majorHAnsi" w:eastAsiaTheme="majorEastAsia" w:cstheme="majorBidi"/>
      <w:color w:val="254061" w:themeColor="accent1" w:themeShade="80"/>
      <w:sz w:val="22"/>
      <w:szCs w:val="22"/>
      <w:lang w:eastAsia="en-US"/>
    </w:rPr>
  </w:style>
  <w:style w:type="paragraph" w:styleId="8">
    <w:name w:val="heading 9"/>
    <w:basedOn w:val="1"/>
    <w:next w:val="1"/>
    <w:link w:val="169"/>
    <w:unhideWhenUsed/>
    <w:qFormat/>
    <w:uiPriority w:val="9"/>
    <w:pPr>
      <w:keepNext/>
      <w:keepLines/>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9">
    <w:name w:val="Default Paragraph Font"/>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character" w:styleId="11">
    <w:name w:val="Strong"/>
    <w:basedOn w:val="9"/>
    <w:qFormat/>
    <w:uiPriority w:val="22"/>
    <w:rPr>
      <w:b/>
      <w:bCs/>
    </w:rPr>
  </w:style>
  <w:style w:type="character" w:styleId="12">
    <w:name w:val="annotation reference"/>
    <w:basedOn w:val="9"/>
    <w:unhideWhenUsed/>
    <w:qFormat/>
    <w:uiPriority w:val="99"/>
    <w:rPr>
      <w:sz w:val="16"/>
      <w:szCs w:val="16"/>
    </w:rPr>
  </w:style>
  <w:style w:type="character" w:styleId="13">
    <w:name w:val="FollowedHyperlink"/>
    <w:basedOn w:val="9"/>
    <w:semiHidden/>
    <w:unhideWhenUsed/>
    <w:qFormat/>
    <w:uiPriority w:val="0"/>
    <w:rPr>
      <w:color w:val="800080" w:themeColor="followedHyperlink"/>
      <w:u w:val="single"/>
      <w14:textFill>
        <w14:solidFill>
          <w14:schemeClr w14:val="folHlink"/>
        </w14:solidFill>
      </w14:textFill>
    </w:rPr>
  </w:style>
  <w:style w:type="character" w:styleId="14">
    <w:name w:val="Emphasis"/>
    <w:basedOn w:val="9"/>
    <w:qFormat/>
    <w:uiPriority w:val="0"/>
    <w:rPr>
      <w:i/>
      <w:iCs/>
    </w:rPr>
  </w:style>
  <w:style w:type="character" w:styleId="15">
    <w:name w:val="Hyperlink"/>
    <w:qFormat/>
    <w:uiPriority w:val="99"/>
    <w:rPr>
      <w:color w:val="000080"/>
      <w:u w:val="single"/>
    </w:rPr>
  </w:style>
  <w:style w:type="paragraph" w:styleId="16">
    <w:name w:val="toc 2"/>
    <w:basedOn w:val="1"/>
    <w:next w:val="1"/>
    <w:autoRedefine/>
    <w:unhideWhenUsed/>
    <w:uiPriority w:val="39"/>
    <w:pPr>
      <w:spacing w:after="100" w:line="278" w:lineRule="auto"/>
      <w:ind w:left="240"/>
    </w:pPr>
    <w:rPr>
      <w:rFonts w:asciiTheme="minorHAnsi" w:hAnsiTheme="minorHAnsi" w:cstheme="minorBidi"/>
      <w:kern w:val="2"/>
      <w14:ligatures w14:val="standardContextual"/>
    </w:rPr>
  </w:style>
  <w:style w:type="paragraph" w:styleId="17">
    <w:name w:val="List"/>
    <w:basedOn w:val="18"/>
    <w:qFormat/>
    <w:uiPriority w:val="0"/>
    <w:pPr>
      <w:suppressAutoHyphens/>
      <w:spacing w:before="0" w:beforeAutospacing="0" w:after="0" w:afterAutospacing="0" w:line="360" w:lineRule="auto"/>
      <w:jc w:val="both"/>
    </w:pPr>
    <w:rPr>
      <w:rFonts w:ascii="Arial" w:hAnsi="Arial" w:cs="Lucida Sans"/>
      <w:szCs w:val="20"/>
      <w:lang w:val="zh-CN" w:eastAsia="zh-CN"/>
    </w:rPr>
  </w:style>
  <w:style w:type="paragraph" w:styleId="18">
    <w:name w:val="Body Text"/>
    <w:basedOn w:val="1"/>
    <w:link w:val="66"/>
    <w:unhideWhenUsed/>
    <w:qFormat/>
    <w:uiPriority w:val="0"/>
    <w:pPr>
      <w:spacing w:before="100" w:beforeAutospacing="1" w:after="100" w:afterAutospacing="1"/>
    </w:pPr>
    <w:rPr>
      <w:rFonts w:ascii="Times New Roman" w:hAnsi="Times New Roman" w:eastAsia="Times New Roman" w:cs="Times New Roman"/>
    </w:rPr>
  </w:style>
  <w:style w:type="paragraph" w:styleId="19">
    <w:name w:val="toc 9"/>
    <w:basedOn w:val="1"/>
    <w:next w:val="1"/>
    <w:autoRedefine/>
    <w:unhideWhenUsed/>
    <w:uiPriority w:val="39"/>
    <w:pPr>
      <w:spacing w:after="100" w:line="278" w:lineRule="auto"/>
      <w:ind w:left="1920"/>
    </w:pPr>
    <w:rPr>
      <w:rFonts w:asciiTheme="minorHAnsi" w:hAnsiTheme="minorHAnsi" w:cstheme="minorBidi"/>
      <w:kern w:val="2"/>
      <w14:ligatures w14:val="standardContextual"/>
    </w:rPr>
  </w:style>
  <w:style w:type="paragraph" w:styleId="20">
    <w:name w:val="toc 6"/>
    <w:basedOn w:val="1"/>
    <w:next w:val="1"/>
    <w:autoRedefine/>
    <w:unhideWhenUsed/>
    <w:uiPriority w:val="39"/>
    <w:pPr>
      <w:spacing w:after="100" w:line="278" w:lineRule="auto"/>
      <w:ind w:left="1200"/>
    </w:pPr>
    <w:rPr>
      <w:rFonts w:asciiTheme="minorHAnsi" w:hAnsiTheme="minorHAnsi" w:cstheme="minorBidi"/>
      <w:kern w:val="2"/>
      <w14:ligatures w14:val="standardContextual"/>
    </w:rPr>
  </w:style>
  <w:style w:type="paragraph" w:styleId="21">
    <w:name w:val="annotation text"/>
    <w:basedOn w:val="1"/>
    <w:link w:val="50"/>
    <w:unhideWhenUsed/>
    <w:qFormat/>
    <w:uiPriority w:val="99"/>
    <w:rPr>
      <w:sz w:val="20"/>
      <w:szCs w:val="20"/>
    </w:rPr>
  </w:style>
  <w:style w:type="paragraph" w:styleId="22">
    <w:name w:val="toc 5"/>
    <w:basedOn w:val="1"/>
    <w:next w:val="1"/>
    <w:autoRedefine/>
    <w:unhideWhenUsed/>
    <w:uiPriority w:val="39"/>
    <w:pPr>
      <w:spacing w:after="100" w:line="278" w:lineRule="auto"/>
      <w:ind w:left="960"/>
    </w:pPr>
    <w:rPr>
      <w:rFonts w:asciiTheme="minorHAnsi" w:hAnsiTheme="minorHAnsi" w:cstheme="minorBidi"/>
      <w:kern w:val="2"/>
      <w14:ligatures w14:val="standardContextual"/>
    </w:rPr>
  </w:style>
  <w:style w:type="paragraph" w:styleId="23">
    <w:name w:val="Title"/>
    <w:basedOn w:val="1"/>
    <w:next w:val="1"/>
    <w:link w:val="55"/>
    <w:qFormat/>
    <w:uiPriority w:val="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paragraph" w:styleId="24">
    <w:name w:val="List Bullet 5"/>
    <w:basedOn w:val="1"/>
    <w:qFormat/>
    <w:uiPriority w:val="0"/>
    <w:pPr>
      <w:numPr>
        <w:ilvl w:val="0"/>
        <w:numId w:val="1"/>
      </w:numPr>
      <w:tabs>
        <w:tab w:val="clear" w:pos="1492"/>
      </w:tabs>
      <w:ind w:left="555" w:hanging="555"/>
      <w:contextualSpacing/>
    </w:pPr>
  </w:style>
  <w:style w:type="paragraph" w:styleId="25">
    <w:name w:val="Normal (Web)"/>
    <w:basedOn w:val="1"/>
    <w:qFormat/>
    <w:uiPriority w:val="99"/>
    <w:pPr>
      <w:spacing w:before="100" w:beforeAutospacing="1" w:after="100" w:afterAutospacing="1"/>
    </w:pPr>
    <w:rPr>
      <w:rFonts w:ascii="Times New Roman" w:hAnsi="Times New Roman" w:cs="Times New Roman"/>
    </w:rPr>
  </w:style>
  <w:style w:type="paragraph" w:styleId="26">
    <w:name w:val="toc 4"/>
    <w:basedOn w:val="1"/>
    <w:next w:val="1"/>
    <w:autoRedefine/>
    <w:unhideWhenUsed/>
    <w:uiPriority w:val="39"/>
    <w:pPr>
      <w:spacing w:after="100" w:line="278" w:lineRule="auto"/>
      <w:ind w:left="720"/>
    </w:pPr>
    <w:rPr>
      <w:rFonts w:asciiTheme="minorHAnsi" w:hAnsiTheme="minorHAnsi" w:cstheme="minorBidi"/>
      <w:kern w:val="2"/>
      <w14:ligatures w14:val="standardContextual"/>
    </w:rPr>
  </w:style>
  <w:style w:type="paragraph" w:styleId="27">
    <w:name w:val="toc 8"/>
    <w:basedOn w:val="1"/>
    <w:next w:val="1"/>
    <w:autoRedefine/>
    <w:unhideWhenUsed/>
    <w:uiPriority w:val="39"/>
    <w:pPr>
      <w:spacing w:after="100" w:line="278" w:lineRule="auto"/>
      <w:ind w:left="1680"/>
    </w:pPr>
    <w:rPr>
      <w:rFonts w:asciiTheme="minorHAnsi" w:hAnsiTheme="minorHAnsi" w:cstheme="minorBidi"/>
      <w:kern w:val="2"/>
      <w14:ligatures w14:val="standardContextual"/>
    </w:rPr>
  </w:style>
  <w:style w:type="paragraph" w:styleId="28">
    <w:name w:val="header"/>
    <w:basedOn w:val="1"/>
    <w:link w:val="48"/>
    <w:qFormat/>
    <w:uiPriority w:val="0"/>
    <w:pPr>
      <w:tabs>
        <w:tab w:val="center" w:pos="4252"/>
        <w:tab w:val="right" w:pos="8504"/>
      </w:tabs>
    </w:pPr>
  </w:style>
  <w:style w:type="paragraph" w:styleId="29">
    <w:name w:val="annotation subject"/>
    <w:basedOn w:val="21"/>
    <w:next w:val="21"/>
    <w:link w:val="51"/>
    <w:semiHidden/>
    <w:unhideWhenUsed/>
    <w:qFormat/>
    <w:uiPriority w:val="99"/>
    <w:rPr>
      <w:b/>
      <w:bCs/>
    </w:rPr>
  </w:style>
  <w:style w:type="paragraph" w:styleId="30">
    <w:name w:val="footer"/>
    <w:basedOn w:val="1"/>
    <w:link w:val="49"/>
    <w:qFormat/>
    <w:uiPriority w:val="99"/>
    <w:pPr>
      <w:tabs>
        <w:tab w:val="center" w:pos="4252"/>
        <w:tab w:val="right" w:pos="8504"/>
      </w:tabs>
    </w:pPr>
  </w:style>
  <w:style w:type="paragraph" w:styleId="31">
    <w:name w:val="caption"/>
    <w:basedOn w:val="1"/>
    <w:qFormat/>
    <w:uiPriority w:val="0"/>
    <w:pPr>
      <w:suppressLineNumbers/>
      <w:suppressAutoHyphens/>
      <w:spacing w:before="120" w:after="120"/>
    </w:pPr>
    <w:rPr>
      <w:rFonts w:ascii="Times New Roman" w:hAnsi="Times New Roman" w:eastAsia="Times New Roman" w:cs="Lucida Sans"/>
      <w:i/>
      <w:iCs/>
      <w:lang w:eastAsia="zh-CN"/>
    </w:rPr>
  </w:style>
  <w:style w:type="paragraph" w:styleId="32">
    <w:name w:val="toc 7"/>
    <w:basedOn w:val="1"/>
    <w:next w:val="1"/>
    <w:autoRedefine/>
    <w:unhideWhenUsed/>
    <w:qFormat/>
    <w:uiPriority w:val="39"/>
    <w:pPr>
      <w:spacing w:after="100" w:line="278" w:lineRule="auto"/>
      <w:ind w:left="1440"/>
    </w:pPr>
    <w:rPr>
      <w:rFonts w:asciiTheme="minorHAnsi" w:hAnsiTheme="minorHAnsi" w:cstheme="minorBidi"/>
      <w:kern w:val="2"/>
      <w14:ligatures w14:val="standardContextual"/>
    </w:rPr>
  </w:style>
  <w:style w:type="paragraph" w:styleId="33">
    <w:name w:val="toc 3"/>
    <w:basedOn w:val="1"/>
    <w:next w:val="1"/>
    <w:autoRedefine/>
    <w:unhideWhenUsed/>
    <w:qFormat/>
    <w:uiPriority w:val="39"/>
    <w:pPr>
      <w:spacing w:after="100"/>
      <w:ind w:left="480"/>
    </w:pPr>
  </w:style>
  <w:style w:type="paragraph" w:styleId="34">
    <w:name w:val="Balloon Text"/>
    <w:basedOn w:val="1"/>
    <w:link w:val="39"/>
    <w:qFormat/>
    <w:uiPriority w:val="99"/>
    <w:rPr>
      <w:rFonts w:ascii="Tahoma" w:hAnsi="Tahoma"/>
      <w:sz w:val="16"/>
      <w:szCs w:val="16"/>
    </w:rPr>
  </w:style>
  <w:style w:type="paragraph" w:styleId="35">
    <w:name w:val="Subtitle"/>
    <w:basedOn w:val="1"/>
    <w:next w:val="1"/>
    <w:link w:val="251"/>
    <w:qFormat/>
    <w:uiPriority w:val="0"/>
    <w:pPr>
      <w:keepNext/>
      <w:keepLines/>
      <w:spacing w:before="360" w:after="80" w:line="259" w:lineRule="auto"/>
    </w:pPr>
    <w:rPr>
      <w:rFonts w:ascii="Georgia" w:hAnsi="Georgia" w:eastAsia="Georgia" w:cs="Georgia"/>
      <w:i/>
      <w:iCs/>
      <w:color w:val="666666"/>
      <w:sz w:val="48"/>
      <w:szCs w:val="48"/>
    </w:rPr>
  </w:style>
  <w:style w:type="paragraph" w:styleId="36">
    <w:name w:val="toc 1"/>
    <w:basedOn w:val="1"/>
    <w:next w:val="1"/>
    <w:autoRedefine/>
    <w:unhideWhenUsed/>
    <w:qFormat/>
    <w:uiPriority w:val="39"/>
    <w:pPr>
      <w:tabs>
        <w:tab w:val="left" w:pos="426"/>
        <w:tab w:val="right" w:leader="dot" w:pos="9628"/>
      </w:tabs>
      <w:spacing w:after="100"/>
    </w:pPr>
    <w:rPr>
      <w:rFonts w:ascii="Arial" w:hAnsi="Arial" w:eastAsia="Times New Roman"/>
      <w:sz w:val="20"/>
    </w:rPr>
  </w:style>
  <w:style w:type="table" w:styleId="37">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8">
    <w:name w:val="List Paragraph"/>
    <w:basedOn w:val="1"/>
    <w:link w:val="101"/>
    <w:qFormat/>
    <w:uiPriority w:val="1"/>
    <w:pPr>
      <w:ind w:left="720"/>
      <w:contextualSpacing/>
    </w:pPr>
  </w:style>
  <w:style w:type="character" w:customStyle="1" w:styleId="39">
    <w:name w:val="Texto de balão Char"/>
    <w:link w:val="34"/>
    <w:qFormat/>
    <w:uiPriority w:val="99"/>
    <w:rPr>
      <w:rFonts w:ascii="Tahoma" w:hAnsi="Tahoma" w:cs="Tahoma"/>
      <w:sz w:val="16"/>
      <w:szCs w:val="16"/>
    </w:rPr>
  </w:style>
  <w:style w:type="character" w:customStyle="1" w:styleId="40">
    <w:name w:val="Título 2 Char"/>
    <w:link w:val="3"/>
    <w:qFormat/>
    <w:uiPriority w:val="1"/>
    <w:rPr>
      <w:b/>
      <w:color w:val="000000"/>
      <w:sz w:val="24"/>
    </w:rPr>
  </w:style>
  <w:style w:type="paragraph" w:customStyle="1" w:styleId="41">
    <w:name w:val="Nível 2"/>
    <w:basedOn w:val="1"/>
    <w:next w:val="1"/>
    <w:qFormat/>
    <w:uiPriority w:val="0"/>
    <w:pPr>
      <w:spacing w:after="120"/>
      <w:jc w:val="both"/>
    </w:pPr>
    <w:rPr>
      <w:rFonts w:ascii="Arial" w:hAnsi="Arial" w:cs="Times New Roman"/>
      <w:b/>
      <w:szCs w:val="20"/>
    </w:rPr>
  </w:style>
  <w:style w:type="character" w:customStyle="1" w:styleId="42">
    <w:name w:val="normal__char1"/>
    <w:qFormat/>
    <w:uiPriority w:val="0"/>
    <w:rPr>
      <w:rFonts w:hint="default" w:ascii="Arial" w:hAnsi="Arial" w:cs="Arial"/>
      <w:sz w:val="24"/>
      <w:szCs w:val="24"/>
      <w:u w:val="none"/>
    </w:rPr>
  </w:style>
  <w:style w:type="character" w:customStyle="1" w:styleId="43">
    <w:name w:val="apple-style-span"/>
    <w:basedOn w:val="9"/>
    <w:qFormat/>
    <w:uiPriority w:val="0"/>
  </w:style>
  <w:style w:type="paragraph" w:styleId="44">
    <w:name w:val="Quote"/>
    <w:basedOn w:val="1"/>
    <w:next w:val="1"/>
    <w:link w:val="45"/>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 w:val="20"/>
      <w:lang w:eastAsia="en-US"/>
    </w:rPr>
  </w:style>
  <w:style w:type="character" w:customStyle="1" w:styleId="45">
    <w:name w:val="Citação Char"/>
    <w:link w:val="44"/>
    <w:qFormat/>
    <w:uiPriority w:val="0"/>
    <w:rPr>
      <w:rFonts w:ascii="Arial" w:hAnsi="Arial" w:eastAsia="Calibri" w:cs="Tahoma"/>
      <w:i/>
      <w:iCs/>
      <w:color w:val="000000"/>
      <w:szCs w:val="24"/>
      <w:shd w:val="clear" w:color="auto" w:fill="FFFFCC"/>
    </w:rPr>
  </w:style>
  <w:style w:type="paragraph" w:customStyle="1" w:styleId="46">
    <w:name w:val="Nota explicativa"/>
    <w:basedOn w:val="44"/>
    <w:link w:val="47"/>
    <w:qFormat/>
    <w:uiPriority w:val="0"/>
    <w:rPr>
      <w:szCs w:val="20"/>
    </w:rPr>
  </w:style>
  <w:style w:type="character" w:customStyle="1" w:styleId="47">
    <w:name w:val="Nota explicativa Char"/>
    <w:basedOn w:val="45"/>
    <w:link w:val="46"/>
    <w:qFormat/>
    <w:uiPriority w:val="0"/>
    <w:rPr>
      <w:rFonts w:ascii="Arial" w:hAnsi="Arial" w:eastAsia="Calibri" w:cs="Tahoma"/>
      <w:color w:val="000000"/>
      <w:szCs w:val="24"/>
      <w:shd w:val="clear" w:color="auto" w:fill="FFFFCC"/>
    </w:rPr>
  </w:style>
  <w:style w:type="character" w:customStyle="1" w:styleId="48">
    <w:name w:val="Cabeçalho Char"/>
    <w:link w:val="28"/>
    <w:qFormat/>
    <w:uiPriority w:val="0"/>
    <w:rPr>
      <w:rFonts w:ascii="Ecofont_Spranq_eco_Sans" w:hAnsi="Ecofont_Spranq_eco_Sans" w:cs="Tahoma"/>
      <w:sz w:val="24"/>
      <w:szCs w:val="24"/>
    </w:rPr>
  </w:style>
  <w:style w:type="character" w:customStyle="1" w:styleId="49">
    <w:name w:val="Rodapé Char"/>
    <w:link w:val="30"/>
    <w:qFormat/>
    <w:uiPriority w:val="99"/>
    <w:rPr>
      <w:rFonts w:ascii="Ecofont_Spranq_eco_Sans" w:hAnsi="Ecofont_Spranq_eco_Sans" w:cs="Tahoma"/>
      <w:sz w:val="24"/>
      <w:szCs w:val="24"/>
    </w:rPr>
  </w:style>
  <w:style w:type="character" w:customStyle="1" w:styleId="50">
    <w:name w:val="Texto de comentário Char"/>
    <w:basedOn w:val="9"/>
    <w:link w:val="21"/>
    <w:qFormat/>
    <w:uiPriority w:val="99"/>
    <w:rPr>
      <w:rFonts w:ascii="Ecofont_Spranq_eco_Sans" w:hAnsi="Ecofont_Spranq_eco_Sans" w:cs="Tahoma"/>
      <w:lang w:eastAsia="pt-BR"/>
    </w:rPr>
  </w:style>
  <w:style w:type="character" w:customStyle="1" w:styleId="51">
    <w:name w:val="Assunto do comentário Char"/>
    <w:basedOn w:val="50"/>
    <w:link w:val="29"/>
    <w:semiHidden/>
    <w:qFormat/>
    <w:uiPriority w:val="99"/>
    <w:rPr>
      <w:rFonts w:ascii="Ecofont_Spranq_eco_Sans" w:hAnsi="Ecofont_Spranq_eco_Sans" w:cs="Tahoma"/>
      <w:b/>
      <w:bCs/>
      <w:lang w:eastAsia="pt-BR"/>
    </w:rPr>
  </w:style>
  <w:style w:type="character" w:customStyle="1" w:styleId="52">
    <w:name w:val="Título 4 Char"/>
    <w:basedOn w:val="9"/>
    <w:link w:val="5"/>
    <w:qFormat/>
    <w:uiPriority w:val="9"/>
    <w:rPr>
      <w:rFonts w:asciiTheme="majorHAnsi" w:hAnsiTheme="majorHAnsi" w:eastAsiaTheme="majorEastAsia" w:cstheme="majorBidi"/>
      <w:i/>
      <w:iCs/>
      <w:color w:val="376092" w:themeColor="accent1" w:themeShade="BF"/>
      <w:sz w:val="24"/>
      <w:szCs w:val="24"/>
      <w:lang w:eastAsia="pt-BR"/>
    </w:rPr>
  </w:style>
  <w:style w:type="paragraph" w:customStyle="1" w:styleId="53">
    <w:name w:val="Nivel 01"/>
    <w:basedOn w:val="2"/>
    <w:next w:val="1"/>
    <w:link w:val="56"/>
    <w:qFormat/>
    <w:uiPriority w:val="0"/>
    <w:pPr>
      <w:numPr>
        <w:ilvl w:val="0"/>
        <w:numId w:val="2"/>
      </w:numPr>
      <w:tabs>
        <w:tab w:val="left" w:pos="567"/>
      </w:tabs>
      <w:spacing w:before="288" w:beforeLines="120" w:after="288" w:afterLines="120" w:line="312" w:lineRule="auto"/>
      <w:jc w:val="both"/>
    </w:pPr>
    <w:rPr>
      <w:rFonts w:ascii="Arial" w:hAnsi="Arial" w:eastAsia="Arial" w:cs="Arial"/>
      <w:iCs/>
      <w:color w:val="auto"/>
      <w:sz w:val="20"/>
      <w:szCs w:val="20"/>
    </w:rPr>
  </w:style>
  <w:style w:type="paragraph" w:customStyle="1" w:styleId="54">
    <w:name w:val="Nivel_01_Titulo"/>
    <w:basedOn w:val="53"/>
    <w:link w:val="58"/>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55">
    <w:name w:val="Título Char"/>
    <w:basedOn w:val="9"/>
    <w:link w:val="23"/>
    <w:qFormat/>
    <w:uiPriority w:val="0"/>
    <w:rPr>
      <w:rFonts w:asciiTheme="majorHAnsi" w:hAnsiTheme="majorHAnsi" w:eastAsiaTheme="majorEastAsia" w:cstheme="majorBidi"/>
      <w:color w:val="17375E" w:themeColor="text2" w:themeShade="BF"/>
      <w:spacing w:val="5"/>
      <w:kern w:val="28"/>
      <w:sz w:val="52"/>
      <w:szCs w:val="52"/>
      <w:lang w:eastAsia="pt-BR"/>
    </w:rPr>
  </w:style>
  <w:style w:type="character" w:customStyle="1" w:styleId="56">
    <w:name w:val="Nivel 01 Char"/>
    <w:basedOn w:val="55"/>
    <w:link w:val="53"/>
    <w:qFormat/>
    <w:uiPriority w:val="0"/>
    <w:rPr>
      <w:rFonts w:ascii="Arial" w:hAnsi="Arial" w:eastAsia="Arial" w:cs="Arial"/>
      <w:b/>
      <w:bCs/>
      <w:iCs/>
      <w:color w:val="17375E" w:themeColor="text2" w:themeShade="BF"/>
      <w:spacing w:val="5"/>
      <w:kern w:val="28"/>
      <w:sz w:val="52"/>
      <w:szCs w:val="52"/>
      <w:lang w:eastAsia="pt-BR"/>
    </w:rPr>
  </w:style>
  <w:style w:type="character" w:customStyle="1" w:styleId="57">
    <w:name w:val="Título 1 Char"/>
    <w:basedOn w:val="9"/>
    <w:link w:val="2"/>
    <w:qFormat/>
    <w:uiPriority w:val="9"/>
    <w:rPr>
      <w:rFonts w:asciiTheme="majorHAnsi" w:hAnsiTheme="majorHAnsi" w:eastAsiaTheme="majorEastAsia" w:cstheme="majorBidi"/>
      <w:b/>
      <w:bCs/>
      <w:color w:val="376092" w:themeColor="accent1" w:themeShade="BF"/>
      <w:sz w:val="28"/>
      <w:szCs w:val="28"/>
      <w:lang w:eastAsia="pt-BR"/>
    </w:rPr>
  </w:style>
  <w:style w:type="character" w:customStyle="1" w:styleId="58">
    <w:name w:val="Nivel_01_Titulo Char"/>
    <w:basedOn w:val="56"/>
    <w:link w:val="54"/>
    <w:qFormat/>
    <w:uiPriority w:val="0"/>
    <w:rPr>
      <w:rFonts w:ascii="Arial" w:hAnsi="Arial" w:eastAsia="Arial" w:cstheme="majorBidi"/>
      <w:color w:val="000000" w:themeColor="text1"/>
      <w:spacing w:val="5"/>
      <w:kern w:val="28"/>
      <w:sz w:val="52"/>
      <w:szCs w:val="52"/>
      <w:lang w:eastAsia="pt-BR"/>
      <w14:textFill>
        <w14:solidFill>
          <w14:schemeClr w14:val="tx1"/>
        </w14:solidFill>
      </w14:textFill>
    </w:rPr>
  </w:style>
  <w:style w:type="paragraph" w:customStyle="1" w:styleId="59">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60">
    <w:name w:val="Quote Char"/>
    <w:basedOn w:val="9"/>
    <w:link w:val="61"/>
    <w:qFormat/>
    <w:uiPriority w:val="0"/>
    <w:rPr>
      <w:rFonts w:ascii="Ecofont_Spranq_eco_Sans" w:hAnsi="Ecofont_Spranq_eco_Sans" w:eastAsia="Calibri" w:cs="Tahoma"/>
      <w:i/>
      <w:iCs/>
      <w:color w:val="000000"/>
      <w:shd w:val="clear" w:color="auto" w:fill="FFFFCC"/>
    </w:rPr>
  </w:style>
  <w:style w:type="paragraph" w:customStyle="1" w:styleId="61">
    <w:name w:val="Citação1"/>
    <w:basedOn w:val="1"/>
    <w:next w:val="1"/>
    <w:link w:val="60"/>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eastAsia="Calibri"/>
      <w:i/>
      <w:iCs/>
      <w:color w:val="000000"/>
      <w:sz w:val="20"/>
      <w:szCs w:val="20"/>
      <w:lang w:eastAsia="en-US"/>
    </w:rPr>
  </w:style>
  <w:style w:type="paragraph" w:customStyle="1" w:styleId="62">
    <w:name w:val="paragraph"/>
    <w:basedOn w:val="1"/>
    <w:qFormat/>
    <w:uiPriority w:val="0"/>
    <w:pPr>
      <w:spacing w:before="100" w:beforeAutospacing="1" w:after="100" w:afterAutospacing="1"/>
    </w:pPr>
    <w:rPr>
      <w:rFonts w:ascii="Times New Roman" w:hAnsi="Times New Roman" w:eastAsia="Times New Roman" w:cs="Times New Roman"/>
    </w:rPr>
  </w:style>
  <w:style w:type="character" w:customStyle="1" w:styleId="63">
    <w:name w:val="normaltextrun"/>
    <w:basedOn w:val="9"/>
    <w:qFormat/>
    <w:uiPriority w:val="0"/>
  </w:style>
  <w:style w:type="character" w:customStyle="1" w:styleId="64">
    <w:name w:val="eop"/>
    <w:basedOn w:val="9"/>
    <w:qFormat/>
    <w:uiPriority w:val="0"/>
  </w:style>
  <w:style w:type="character" w:customStyle="1" w:styleId="65">
    <w:name w:val="spellingerror"/>
    <w:basedOn w:val="9"/>
    <w:qFormat/>
    <w:uiPriority w:val="0"/>
  </w:style>
  <w:style w:type="character" w:customStyle="1" w:styleId="66">
    <w:name w:val="Corpo de texto Char"/>
    <w:basedOn w:val="9"/>
    <w:link w:val="18"/>
    <w:qFormat/>
    <w:uiPriority w:val="0"/>
    <w:rPr>
      <w:rFonts w:eastAsia="Times New Roman"/>
      <w:sz w:val="24"/>
      <w:szCs w:val="24"/>
      <w:lang w:eastAsia="pt-BR"/>
    </w:rPr>
  </w:style>
  <w:style w:type="paragraph" w:customStyle="1" w:styleId="67">
    <w:name w:val="Nivel1"/>
    <w:basedOn w:val="2"/>
    <w:link w:val="68"/>
    <w:qFormat/>
    <w:uiPriority w:val="0"/>
    <w:pPr>
      <w:spacing w:line="276" w:lineRule="auto"/>
      <w:ind w:left="357" w:hanging="357"/>
      <w:jc w:val="both"/>
    </w:pPr>
    <w:rPr>
      <w:rFonts w:ascii="Arial" w:hAnsi="Arial" w:cs="Arial"/>
      <w:bCs w:val="0"/>
      <w:color w:val="000000"/>
    </w:rPr>
  </w:style>
  <w:style w:type="character" w:customStyle="1" w:styleId="68">
    <w:name w:val="Nivel1 Char"/>
    <w:basedOn w:val="57"/>
    <w:link w:val="67"/>
    <w:qFormat/>
    <w:uiPriority w:val="0"/>
    <w:rPr>
      <w:rFonts w:ascii="Arial" w:hAnsi="Arial" w:cs="Arial" w:eastAsiaTheme="majorEastAsia"/>
      <w:bCs w:val="0"/>
      <w:color w:val="000000"/>
      <w:sz w:val="28"/>
      <w:szCs w:val="28"/>
      <w:lang w:eastAsia="pt-BR"/>
    </w:rPr>
  </w:style>
  <w:style w:type="paragraph" w:customStyle="1" w:styleId="69">
    <w:name w:val="Parágrafo da Lista1"/>
    <w:basedOn w:val="1"/>
    <w:qFormat/>
    <w:uiPriority w:val="0"/>
    <w:pPr>
      <w:ind w:left="720"/>
    </w:pPr>
    <w:rPr>
      <w:rFonts w:eastAsia="Times New Roman" w:cs="Ecofont_Spranq_eco_Sans"/>
    </w:rPr>
  </w:style>
  <w:style w:type="paragraph" w:customStyle="1" w:styleId="70">
    <w:name w:val="Nivel 2"/>
    <w:basedOn w:val="1"/>
    <w:link w:val="95"/>
    <w:autoRedefine/>
    <w:qFormat/>
    <w:uiPriority w:val="0"/>
    <w:pPr>
      <w:widowControl w:val="0"/>
      <w:numPr>
        <w:ilvl w:val="1"/>
        <w:numId w:val="3"/>
      </w:numPr>
      <w:suppressAutoHyphens/>
      <w:spacing w:before="120" w:after="120" w:line="360" w:lineRule="auto"/>
      <w:jc w:val="both"/>
    </w:pPr>
    <w:rPr>
      <w:rFonts w:ascii="Times New Roman" w:hAnsi="Times New Roman" w:cs="Times New Roman"/>
      <w:color w:val="000000"/>
      <w:sz w:val="22"/>
      <w:szCs w:val="22"/>
    </w:rPr>
  </w:style>
  <w:style w:type="paragraph" w:customStyle="1" w:styleId="71">
    <w:name w:val="Nivel 1"/>
    <w:basedOn w:val="70"/>
    <w:next w:val="70"/>
    <w:qFormat/>
    <w:uiPriority w:val="0"/>
    <w:pPr>
      <w:numPr>
        <w:ilvl w:val="0"/>
        <w:numId w:val="0"/>
      </w:numPr>
      <w:ind w:left="360" w:hanging="360"/>
    </w:pPr>
    <w:rPr>
      <w:b/>
    </w:rPr>
  </w:style>
  <w:style w:type="paragraph" w:customStyle="1" w:styleId="72">
    <w:name w:val="Nivel 3"/>
    <w:basedOn w:val="1"/>
    <w:link w:val="121"/>
    <w:autoRedefine/>
    <w:qFormat/>
    <w:uiPriority w:val="0"/>
    <w:pPr>
      <w:numPr>
        <w:ilvl w:val="2"/>
        <w:numId w:val="4"/>
      </w:numPr>
      <w:spacing w:before="120" w:after="120" w:line="360" w:lineRule="auto"/>
      <w:ind w:left="0" w:firstLine="0"/>
      <w:jc w:val="both"/>
    </w:pPr>
    <w:rPr>
      <w:rFonts w:ascii="Arial" w:hAnsi="Arial" w:cs="Arial"/>
      <w:color w:val="000000"/>
      <w:sz w:val="20"/>
      <w:szCs w:val="20"/>
    </w:rPr>
  </w:style>
  <w:style w:type="paragraph" w:customStyle="1" w:styleId="73">
    <w:name w:val="Nivel 4"/>
    <w:basedOn w:val="72"/>
    <w:link w:val="75"/>
    <w:qFormat/>
    <w:uiPriority w:val="0"/>
    <w:pPr>
      <w:numPr>
        <w:ilvl w:val="3"/>
        <w:numId w:val="2"/>
      </w:numPr>
      <w:ind w:left="567" w:firstLine="0"/>
    </w:pPr>
    <w:rPr>
      <w:color w:val="auto"/>
    </w:rPr>
  </w:style>
  <w:style w:type="paragraph" w:customStyle="1" w:styleId="74">
    <w:name w:val="Nivel 5"/>
    <w:basedOn w:val="73"/>
    <w:qFormat/>
    <w:uiPriority w:val="0"/>
    <w:pPr>
      <w:numPr>
        <w:ilvl w:val="4"/>
      </w:numPr>
      <w:tabs>
        <w:tab w:val="left" w:pos="1492"/>
      </w:tabs>
      <w:ind w:left="851" w:hanging="360"/>
    </w:pPr>
  </w:style>
  <w:style w:type="character" w:customStyle="1" w:styleId="75">
    <w:name w:val="Nivel 4 Char"/>
    <w:basedOn w:val="9"/>
    <w:link w:val="73"/>
    <w:qFormat/>
    <w:uiPriority w:val="0"/>
    <w:rPr>
      <w:rFonts w:ascii="Arial" w:hAnsi="Arial" w:cs="Arial"/>
      <w:lang w:eastAsia="pt-BR"/>
    </w:rPr>
  </w:style>
  <w:style w:type="paragraph" w:customStyle="1" w:styleId="76">
    <w:name w:val="textbody"/>
    <w:basedOn w:val="1"/>
    <w:qFormat/>
    <w:uiPriority w:val="0"/>
    <w:pPr>
      <w:spacing w:before="100" w:beforeAutospacing="1" w:after="100" w:afterAutospacing="1"/>
    </w:pPr>
    <w:rPr>
      <w:rFonts w:ascii="Times New Roman" w:hAnsi="Times New Roman" w:eastAsia="Times New Roman" w:cs="Times New Roman"/>
    </w:rPr>
  </w:style>
  <w:style w:type="paragraph" w:customStyle="1" w:styleId="77">
    <w:name w:val="em_0020ementa"/>
    <w:basedOn w:val="1"/>
    <w:qFormat/>
    <w:uiPriority w:val="0"/>
    <w:pPr>
      <w:ind w:left="4160"/>
      <w:jc w:val="both"/>
    </w:pPr>
    <w:rPr>
      <w:rFonts w:ascii="Times New Roman" w:hAnsi="Times New Roman" w:eastAsia="Times New Roman" w:cs="Times New Roman"/>
      <w:sz w:val="28"/>
      <w:szCs w:val="28"/>
    </w:rPr>
  </w:style>
  <w:style w:type="character" w:customStyle="1" w:styleId="78">
    <w:name w:val="cp_0020corpodespacho__char1"/>
    <w:qFormat/>
    <w:uiPriority w:val="0"/>
    <w:rPr>
      <w:rFonts w:hint="default" w:ascii="Times New Roman" w:hAnsi="Times New Roman" w:cs="Times New Roman"/>
      <w:sz w:val="26"/>
      <w:szCs w:val="26"/>
      <w:u w:val="none"/>
    </w:rPr>
  </w:style>
  <w:style w:type="character" w:customStyle="1" w:styleId="79">
    <w:name w:val="em_0020ementa__char1"/>
    <w:qFormat/>
    <w:uiPriority w:val="0"/>
    <w:rPr>
      <w:rFonts w:hint="default" w:ascii="Times New Roman" w:hAnsi="Times New Roman" w:cs="Times New Roman"/>
      <w:sz w:val="28"/>
      <w:szCs w:val="28"/>
      <w:u w:val="none"/>
    </w:rPr>
  </w:style>
  <w:style w:type="paragraph" w:customStyle="1" w:styleId="80">
    <w:name w:val="Revisão1"/>
    <w:hidden/>
    <w:semiHidden/>
    <w:qFormat/>
    <w:uiPriority w:val="99"/>
    <w:rPr>
      <w:rFonts w:ascii="Ecofont_Spranq_eco_Sans" w:hAnsi="Ecofont_Spranq_eco_Sans" w:eastAsia="Times New Roman" w:cs="Tahoma"/>
      <w:sz w:val="24"/>
      <w:szCs w:val="24"/>
      <w:lang w:val="pt-BR" w:eastAsia="pt-BR" w:bidi="ar-SA"/>
    </w:rPr>
  </w:style>
  <w:style w:type="character" w:customStyle="1" w:styleId="81">
    <w:name w:val="Manoel"/>
    <w:qFormat/>
    <w:uiPriority w:val="0"/>
    <w:rPr>
      <w:rFonts w:ascii="Arial" w:hAnsi="Arial" w:cs="Arial"/>
      <w:color w:val="7030A0"/>
      <w:sz w:val="20"/>
    </w:rPr>
  </w:style>
  <w:style w:type="character" w:customStyle="1" w:styleId="82">
    <w:name w:val="ListLabel 12"/>
    <w:qFormat/>
    <w:uiPriority w:val="0"/>
    <w:rPr>
      <w:b/>
    </w:rPr>
  </w:style>
  <w:style w:type="paragraph" w:customStyle="1" w:styleId="83">
    <w:name w:val="texto1"/>
    <w:basedOn w:val="1"/>
    <w:qFormat/>
    <w:uiPriority w:val="0"/>
    <w:pPr>
      <w:spacing w:before="100" w:beforeAutospacing="1" w:after="100" w:afterAutospacing="1"/>
    </w:pPr>
    <w:rPr>
      <w:rFonts w:ascii="Times New Roman" w:hAnsi="Times New Roman" w:eastAsia="Times New Roman" w:cs="Times New Roman"/>
    </w:rPr>
  </w:style>
  <w:style w:type="paragraph" w:customStyle="1" w:styleId="84">
    <w:name w:val="Grade Colorida - Ênfase 11"/>
    <w:basedOn w:val="1"/>
    <w:next w:val="1"/>
    <w:link w:val="85"/>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imes New Roman"/>
      <w:i/>
      <w:iCs/>
      <w:color w:val="000000"/>
      <w:sz w:val="20"/>
      <w:lang w:eastAsia="en-US"/>
    </w:rPr>
  </w:style>
  <w:style w:type="character" w:customStyle="1" w:styleId="85">
    <w:name w:val="Grade Colorida - Ênfase 1 Char"/>
    <w:link w:val="84"/>
    <w:qFormat/>
    <w:uiPriority w:val="29"/>
    <w:rPr>
      <w:rFonts w:ascii="Arial" w:hAnsi="Arial" w:eastAsia="Calibri"/>
      <w:i/>
      <w:iCs/>
      <w:color w:val="000000"/>
      <w:szCs w:val="24"/>
      <w:shd w:val="clear" w:color="auto" w:fill="FFFFCC"/>
    </w:rPr>
  </w:style>
  <w:style w:type="paragraph" w:customStyle="1" w:styleId="86">
    <w:name w:val="x_western"/>
    <w:basedOn w:val="1"/>
    <w:qFormat/>
    <w:uiPriority w:val="0"/>
    <w:pPr>
      <w:spacing w:before="100" w:beforeAutospacing="1" w:after="100" w:afterAutospacing="1"/>
    </w:pPr>
    <w:rPr>
      <w:rFonts w:ascii="Times New Roman" w:hAnsi="Times New Roman" w:eastAsia="Times New Roman" w:cs="Times New Roman"/>
    </w:rPr>
  </w:style>
  <w:style w:type="paragraph" w:customStyle="1" w:styleId="87">
    <w:name w:val="TCU - Ac - item 9 - §§_0"/>
    <w:basedOn w:val="1"/>
    <w:qFormat/>
    <w:uiPriority w:val="0"/>
    <w:pPr>
      <w:ind w:firstLine="1134"/>
      <w:jc w:val="both"/>
    </w:pPr>
    <w:rPr>
      <w:rFonts w:ascii="Times New Roman" w:hAnsi="Times New Roman" w:eastAsia="Times New Roman" w:cs="Times New Roman"/>
      <w:szCs w:val="22"/>
      <w:lang w:eastAsia="en-US"/>
    </w:rPr>
  </w:style>
  <w:style w:type="paragraph" w:customStyle="1" w:styleId="88">
    <w:name w:val="Normal_1"/>
    <w:qFormat/>
    <w:uiPriority w:val="0"/>
    <w:rPr>
      <w:rFonts w:ascii="Times New Roman" w:hAnsi="Times New Roman" w:eastAsia="Times New Roman" w:cs="Times New Roman"/>
      <w:sz w:val="24"/>
      <w:szCs w:val="22"/>
      <w:lang w:val="pt-BR" w:eastAsia="en-US" w:bidi="ar-SA"/>
    </w:rPr>
  </w:style>
  <w:style w:type="paragraph" w:customStyle="1" w:styleId="89">
    <w:name w:val="tcu_-__ac_-_item_9_-_1ª_linha"/>
    <w:basedOn w:val="1"/>
    <w:qFormat/>
    <w:uiPriority w:val="0"/>
    <w:pPr>
      <w:spacing w:before="100" w:beforeAutospacing="1" w:after="100" w:afterAutospacing="1"/>
    </w:pPr>
    <w:rPr>
      <w:rFonts w:ascii="Times New Roman" w:hAnsi="Times New Roman" w:eastAsia="Times New Roman" w:cs="Times New Roman"/>
    </w:rPr>
  </w:style>
  <w:style w:type="paragraph" w:customStyle="1" w:styleId="90">
    <w:name w:val="texto_justificado_recuo_primeira_linha"/>
    <w:basedOn w:val="1"/>
    <w:qFormat/>
    <w:uiPriority w:val="0"/>
    <w:pPr>
      <w:spacing w:before="100" w:beforeAutospacing="1" w:after="100" w:afterAutospacing="1"/>
    </w:pPr>
    <w:rPr>
      <w:rFonts w:ascii="Times New Roman" w:hAnsi="Times New Roman" w:eastAsia="Times New Roman" w:cs="Times New Roman"/>
    </w:rPr>
  </w:style>
  <w:style w:type="character" w:customStyle="1" w:styleId="91">
    <w:name w:val="highlight"/>
    <w:basedOn w:val="9"/>
    <w:qFormat/>
    <w:uiPriority w:val="0"/>
  </w:style>
  <w:style w:type="paragraph" w:customStyle="1" w:styleId="92">
    <w:name w:val="texto_justificado"/>
    <w:basedOn w:val="1"/>
    <w:qFormat/>
    <w:uiPriority w:val="0"/>
    <w:pPr>
      <w:spacing w:before="100" w:beforeAutospacing="1" w:after="100" w:afterAutospacing="1"/>
    </w:pPr>
    <w:rPr>
      <w:rFonts w:ascii="Times New Roman" w:hAnsi="Times New Roman" w:eastAsia="Times New Roman" w:cs="Times New Roman"/>
    </w:rPr>
  </w:style>
  <w:style w:type="character" w:customStyle="1" w:styleId="93">
    <w:name w:val="Menção Pendente1"/>
    <w:basedOn w:val="9"/>
    <w:semiHidden/>
    <w:unhideWhenUsed/>
    <w:qFormat/>
    <w:uiPriority w:val="99"/>
    <w:rPr>
      <w:color w:val="605E5C"/>
      <w:shd w:val="clear" w:color="auto" w:fill="E1DFDD"/>
    </w:rPr>
  </w:style>
  <w:style w:type="character" w:customStyle="1" w:styleId="94">
    <w:name w:val="Menção Pendente2"/>
    <w:basedOn w:val="9"/>
    <w:semiHidden/>
    <w:unhideWhenUsed/>
    <w:qFormat/>
    <w:uiPriority w:val="99"/>
    <w:rPr>
      <w:color w:val="605E5C"/>
      <w:shd w:val="clear" w:color="auto" w:fill="E1DFDD"/>
    </w:rPr>
  </w:style>
  <w:style w:type="character" w:customStyle="1" w:styleId="95">
    <w:name w:val="Nivel 2 Char"/>
    <w:basedOn w:val="9"/>
    <w:link w:val="70"/>
    <w:qFormat/>
    <w:locked/>
    <w:uiPriority w:val="0"/>
    <w:rPr>
      <w:color w:val="000000"/>
      <w:sz w:val="22"/>
      <w:szCs w:val="22"/>
      <w:lang w:eastAsia="pt-BR"/>
    </w:rPr>
  </w:style>
  <w:style w:type="paragraph" w:customStyle="1" w:styleId="96">
    <w:name w:val="Nível 2 Opcional"/>
    <w:basedOn w:val="70"/>
    <w:link w:val="98"/>
    <w:qFormat/>
    <w:uiPriority w:val="0"/>
    <w:pPr>
      <w:numPr>
        <w:ilvl w:val="0"/>
        <w:numId w:val="0"/>
      </w:numPr>
      <w:ind w:left="432" w:hanging="432"/>
    </w:pPr>
    <w:rPr>
      <w:rFonts w:eastAsia="Times New Roman"/>
      <w:i/>
      <w:color w:val="FF0000"/>
    </w:rPr>
  </w:style>
  <w:style w:type="paragraph" w:customStyle="1" w:styleId="97">
    <w:name w:val="Nível 3 Opcional"/>
    <w:basedOn w:val="72"/>
    <w:link w:val="99"/>
    <w:qFormat/>
    <w:uiPriority w:val="0"/>
    <w:pPr>
      <w:numPr>
        <w:ilvl w:val="0"/>
        <w:numId w:val="0"/>
      </w:numPr>
      <w:ind w:left="1072" w:hanging="504"/>
    </w:pPr>
    <w:rPr>
      <w:rFonts w:eastAsia="Times New Roman"/>
      <w:i/>
      <w:iCs/>
      <w:color w:val="FF0000"/>
    </w:rPr>
  </w:style>
  <w:style w:type="character" w:customStyle="1" w:styleId="98">
    <w:name w:val="Nível 2 Opcional Char"/>
    <w:basedOn w:val="9"/>
    <w:link w:val="96"/>
    <w:qFormat/>
    <w:uiPriority w:val="0"/>
    <w:rPr>
      <w:rFonts w:ascii="Arial" w:hAnsi="Arial" w:eastAsia="Times New Roman" w:cs="Arial"/>
      <w:i/>
      <w:color w:val="FF0000"/>
      <w:lang w:eastAsia="pt-BR"/>
    </w:rPr>
  </w:style>
  <w:style w:type="character" w:customStyle="1" w:styleId="99">
    <w:name w:val="Nível 3 Opcional Char"/>
    <w:basedOn w:val="9"/>
    <w:link w:val="97"/>
    <w:qFormat/>
    <w:uiPriority w:val="0"/>
    <w:rPr>
      <w:rFonts w:ascii="Arial" w:hAnsi="Arial" w:eastAsia="Times New Roman" w:cs="Arial"/>
      <w:i/>
      <w:iCs/>
      <w:color w:val="FF0000"/>
      <w:lang w:eastAsia="pt-BR"/>
    </w:rPr>
  </w:style>
  <w:style w:type="character" w:styleId="100">
    <w:name w:val="Placeholder Text"/>
    <w:basedOn w:val="9"/>
    <w:semiHidden/>
    <w:qFormat/>
    <w:uiPriority w:val="67"/>
    <w:rPr>
      <w:color w:val="808080"/>
    </w:rPr>
  </w:style>
  <w:style w:type="character" w:customStyle="1" w:styleId="101">
    <w:name w:val="Parágrafo da Lista Char"/>
    <w:basedOn w:val="9"/>
    <w:link w:val="38"/>
    <w:qFormat/>
    <w:uiPriority w:val="34"/>
    <w:rPr>
      <w:rFonts w:ascii="Ecofont_Spranq_eco_Sans" w:hAnsi="Ecofont_Spranq_eco_Sans" w:cs="Tahoma"/>
      <w:sz w:val="24"/>
      <w:szCs w:val="24"/>
      <w:lang w:eastAsia="pt-BR"/>
    </w:rPr>
  </w:style>
  <w:style w:type="character" w:customStyle="1" w:styleId="102">
    <w:name w:val="Título 3 Char"/>
    <w:basedOn w:val="9"/>
    <w:link w:val="4"/>
    <w:qFormat/>
    <w:uiPriority w:val="9"/>
    <w:rPr>
      <w:rFonts w:asciiTheme="majorHAnsi" w:hAnsiTheme="majorHAnsi" w:eastAsiaTheme="majorEastAsia" w:cstheme="majorBidi"/>
      <w:color w:val="254061" w:themeColor="accent1" w:themeShade="80"/>
      <w:sz w:val="24"/>
      <w:szCs w:val="24"/>
    </w:rPr>
  </w:style>
  <w:style w:type="character" w:customStyle="1" w:styleId="103">
    <w:name w:val="Título 6 Char"/>
    <w:basedOn w:val="9"/>
    <w:link w:val="7"/>
    <w:semiHidden/>
    <w:qFormat/>
    <w:uiPriority w:val="9"/>
    <w:rPr>
      <w:rFonts w:asciiTheme="majorHAnsi" w:hAnsiTheme="majorHAnsi" w:eastAsiaTheme="majorEastAsia" w:cstheme="majorBidi"/>
      <w:color w:val="254061" w:themeColor="accent1" w:themeShade="80"/>
      <w:sz w:val="22"/>
      <w:szCs w:val="22"/>
    </w:rPr>
  </w:style>
  <w:style w:type="paragraph" w:customStyle="1" w:styleId="104">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eastAsia="Calibri"/>
      <w:i/>
      <w:iCs/>
      <w:color w:val="000000"/>
      <w:sz w:val="20"/>
      <w:lang w:eastAsia="zh-CN"/>
    </w:rPr>
  </w:style>
  <w:style w:type="paragraph" w:customStyle="1" w:styleId="105">
    <w:name w:val="corpo"/>
    <w:basedOn w:val="1"/>
    <w:qFormat/>
    <w:uiPriority w:val="0"/>
    <w:pPr>
      <w:spacing w:before="100" w:beforeAutospacing="1" w:after="100" w:afterAutospacing="1"/>
    </w:pPr>
    <w:rPr>
      <w:rFonts w:ascii="Times New Roman" w:hAnsi="Times New Roman" w:eastAsia="Times New Roman" w:cs="Times New Roman"/>
    </w:rPr>
  </w:style>
  <w:style w:type="paragraph" w:customStyle="1" w:styleId="106">
    <w:name w:val="item_nivel2"/>
    <w:basedOn w:val="1"/>
    <w:qFormat/>
    <w:uiPriority w:val="0"/>
    <w:pPr>
      <w:spacing w:before="100" w:beforeAutospacing="1" w:after="100" w:afterAutospacing="1"/>
    </w:pPr>
    <w:rPr>
      <w:rFonts w:ascii="Times New Roman" w:hAnsi="Times New Roman" w:eastAsia="Times New Roman" w:cs="Times New Roman"/>
    </w:rPr>
  </w:style>
  <w:style w:type="paragraph" w:customStyle="1" w:styleId="107">
    <w:name w:val="item_nivel1"/>
    <w:basedOn w:val="1"/>
    <w:qFormat/>
    <w:uiPriority w:val="0"/>
    <w:pPr>
      <w:spacing w:before="100" w:beforeAutospacing="1" w:after="100" w:afterAutospacing="1"/>
    </w:pPr>
    <w:rPr>
      <w:rFonts w:ascii="Times New Roman" w:hAnsi="Times New Roman" w:eastAsia="Times New Roman" w:cs="Times New Roman"/>
    </w:rPr>
  </w:style>
  <w:style w:type="paragraph" w:customStyle="1" w:styleId="108">
    <w:name w:val="item_alinea_letra"/>
    <w:basedOn w:val="1"/>
    <w:qFormat/>
    <w:uiPriority w:val="0"/>
    <w:pPr>
      <w:spacing w:before="100" w:beforeAutospacing="1" w:after="100" w:afterAutospacing="1"/>
    </w:pPr>
    <w:rPr>
      <w:rFonts w:ascii="Times New Roman" w:hAnsi="Times New Roman" w:eastAsia="Times New Roman" w:cs="Times New Roman"/>
    </w:rPr>
  </w:style>
  <w:style w:type="character" w:customStyle="1" w:styleId="109">
    <w:name w:val="markedcontent"/>
    <w:basedOn w:val="9"/>
    <w:qFormat/>
    <w:uiPriority w:val="0"/>
  </w:style>
  <w:style w:type="paragraph" w:customStyle="1" w:styleId="110">
    <w:name w:val="Standard"/>
    <w:qFormat/>
    <w:uiPriority w:val="0"/>
    <w:pPr>
      <w:suppressAutoHyphens/>
      <w:autoSpaceDN w:val="0"/>
    </w:pPr>
    <w:rPr>
      <w:rFonts w:ascii="Liberation Serif" w:hAnsi="Liberation Serif" w:eastAsia="NSimSun" w:cs="Lucida Sans"/>
      <w:kern w:val="3"/>
      <w:sz w:val="24"/>
      <w:szCs w:val="24"/>
      <w:lang w:val="pt-BR" w:eastAsia="zh-CN" w:bidi="hi-IN"/>
    </w:rPr>
  </w:style>
  <w:style w:type="paragraph" w:customStyle="1" w:styleId="111">
    <w:name w:val="Text body"/>
    <w:basedOn w:val="110"/>
    <w:qFormat/>
    <w:uiPriority w:val="0"/>
    <w:pPr>
      <w:spacing w:after="140" w:line="276" w:lineRule="auto"/>
    </w:pPr>
  </w:style>
  <w:style w:type="character" w:customStyle="1" w:styleId="112">
    <w:name w:val="Menção Pendente3"/>
    <w:basedOn w:val="9"/>
    <w:semiHidden/>
    <w:unhideWhenUsed/>
    <w:qFormat/>
    <w:uiPriority w:val="99"/>
    <w:rPr>
      <w:color w:val="605E5C"/>
      <w:shd w:val="clear" w:color="auto" w:fill="E1DFDD"/>
    </w:rPr>
  </w:style>
  <w:style w:type="character" w:customStyle="1" w:styleId="113">
    <w:name w:val="Menção Pendente4"/>
    <w:basedOn w:val="9"/>
    <w:semiHidden/>
    <w:unhideWhenUsed/>
    <w:qFormat/>
    <w:uiPriority w:val="99"/>
    <w:rPr>
      <w:color w:val="605E5C"/>
      <w:shd w:val="clear" w:color="auto" w:fill="E1DFDD"/>
    </w:rPr>
  </w:style>
  <w:style w:type="paragraph" w:customStyle="1" w:styleId="114">
    <w:name w:val="ou"/>
    <w:basedOn w:val="38"/>
    <w:link w:val="115"/>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15">
    <w:name w:val="ou Char"/>
    <w:basedOn w:val="101"/>
    <w:link w:val="114"/>
    <w:qFormat/>
    <w:uiPriority w:val="0"/>
    <w:rPr>
      <w:rFonts w:ascii="Arial" w:hAnsi="Arial" w:cs="Arial" w:eastAsiaTheme="minorHAnsi"/>
      <w:b/>
      <w:bCs/>
      <w:i/>
      <w:iCs/>
      <w:color w:val="FF0000"/>
      <w:sz w:val="24"/>
      <w:szCs w:val="24"/>
      <w:u w:val="single"/>
      <w:lang w:eastAsia="pt-BR"/>
    </w:rPr>
  </w:style>
  <w:style w:type="paragraph" w:customStyle="1" w:styleId="116">
    <w:name w:val="dou-paragraph"/>
    <w:basedOn w:val="1"/>
    <w:qFormat/>
    <w:uiPriority w:val="0"/>
    <w:pPr>
      <w:spacing w:before="100" w:beforeAutospacing="1" w:after="100" w:afterAutospacing="1"/>
    </w:pPr>
    <w:rPr>
      <w:rFonts w:ascii="Times New Roman" w:hAnsi="Times New Roman" w:eastAsia="Times New Roman" w:cs="Times New Roman"/>
    </w:rPr>
  </w:style>
  <w:style w:type="paragraph" w:customStyle="1" w:styleId="117">
    <w:name w:val="Nível 2 -Red"/>
    <w:basedOn w:val="70"/>
    <w:link w:val="119"/>
    <w:qFormat/>
    <w:uiPriority w:val="0"/>
    <w:rPr>
      <w:i/>
      <w:iCs/>
      <w:color w:val="FF0000"/>
    </w:rPr>
  </w:style>
  <w:style w:type="paragraph" w:customStyle="1" w:styleId="118">
    <w:name w:val="Nível 3-R"/>
    <w:basedOn w:val="72"/>
    <w:link w:val="122"/>
    <w:qFormat/>
    <w:uiPriority w:val="0"/>
    <w:rPr>
      <w:i/>
      <w:iCs/>
      <w:color w:val="FF0000"/>
    </w:rPr>
  </w:style>
  <w:style w:type="character" w:customStyle="1" w:styleId="119">
    <w:name w:val="Nível 2 -Red Char"/>
    <w:basedOn w:val="95"/>
    <w:link w:val="117"/>
    <w:qFormat/>
    <w:uiPriority w:val="0"/>
    <w:rPr>
      <w:i/>
      <w:iCs/>
      <w:color w:val="FF0000"/>
      <w:sz w:val="22"/>
      <w:szCs w:val="22"/>
      <w:lang w:eastAsia="pt-BR"/>
    </w:rPr>
  </w:style>
  <w:style w:type="paragraph" w:customStyle="1" w:styleId="120">
    <w:name w:val="Nível 4-R"/>
    <w:basedOn w:val="73"/>
    <w:link w:val="124"/>
    <w:qFormat/>
    <w:uiPriority w:val="0"/>
    <w:rPr>
      <w:i/>
      <w:iCs/>
      <w:color w:val="FF0000"/>
    </w:rPr>
  </w:style>
  <w:style w:type="character" w:customStyle="1" w:styleId="121">
    <w:name w:val="Nivel 3 Char"/>
    <w:basedOn w:val="9"/>
    <w:link w:val="72"/>
    <w:qFormat/>
    <w:uiPriority w:val="0"/>
    <w:rPr>
      <w:rFonts w:ascii="Arial" w:hAnsi="Arial" w:cs="Arial"/>
      <w:color w:val="000000"/>
      <w:lang w:eastAsia="pt-BR"/>
    </w:rPr>
  </w:style>
  <w:style w:type="character" w:customStyle="1" w:styleId="122">
    <w:name w:val="Nível 3-R Char"/>
    <w:basedOn w:val="121"/>
    <w:link w:val="118"/>
    <w:qFormat/>
    <w:uiPriority w:val="0"/>
    <w:rPr>
      <w:rFonts w:ascii="Arial" w:hAnsi="Arial" w:cs="Arial"/>
      <w:i/>
      <w:iCs/>
      <w:color w:val="FF0000"/>
      <w:lang w:eastAsia="pt-BR"/>
    </w:rPr>
  </w:style>
  <w:style w:type="paragraph" w:customStyle="1" w:styleId="123">
    <w:name w:val="Nível 1-Sem Num"/>
    <w:basedOn w:val="53"/>
    <w:link w:val="126"/>
    <w:qFormat/>
    <w:uiPriority w:val="0"/>
    <w:pPr>
      <w:numPr>
        <w:numId w:val="0"/>
      </w:numPr>
      <w:outlineLvl w:val="1"/>
    </w:pPr>
    <w:rPr>
      <w:color w:val="FF0000"/>
    </w:rPr>
  </w:style>
  <w:style w:type="character" w:customStyle="1" w:styleId="124">
    <w:name w:val="Nível 4-R Char"/>
    <w:basedOn w:val="75"/>
    <w:link w:val="120"/>
    <w:qFormat/>
    <w:uiPriority w:val="0"/>
    <w:rPr>
      <w:rFonts w:ascii="Arial" w:hAnsi="Arial" w:cs="Arial"/>
      <w:i/>
      <w:iCs/>
      <w:color w:val="FF0000"/>
      <w:lang w:eastAsia="pt-BR"/>
    </w:rPr>
  </w:style>
  <w:style w:type="character" w:customStyle="1" w:styleId="125">
    <w:name w:val="Link da Internet"/>
    <w:basedOn w:val="9"/>
    <w:unhideWhenUsed/>
    <w:qFormat/>
    <w:uiPriority w:val="99"/>
    <w:rPr>
      <w:color w:val="0000FF" w:themeColor="hyperlink"/>
      <w:u w:val="single"/>
      <w14:textFill>
        <w14:solidFill>
          <w14:schemeClr w14:val="hlink"/>
        </w14:solidFill>
      </w14:textFill>
    </w:rPr>
  </w:style>
  <w:style w:type="character" w:customStyle="1" w:styleId="126">
    <w:name w:val="Nível 1-Sem Num Char"/>
    <w:basedOn w:val="56"/>
    <w:link w:val="123"/>
    <w:qFormat/>
    <w:uiPriority w:val="0"/>
    <w:rPr>
      <w:rFonts w:ascii="Arial" w:hAnsi="Arial" w:cs="Arial" w:eastAsiaTheme="majorEastAsia"/>
      <w:color w:val="FF0000"/>
      <w:spacing w:val="5"/>
      <w:kern w:val="28"/>
      <w:sz w:val="52"/>
      <w:szCs w:val="52"/>
      <w:lang w:eastAsia="pt-BR"/>
    </w:rPr>
  </w:style>
  <w:style w:type="paragraph" w:customStyle="1" w:styleId="127">
    <w:name w:val="citação 2"/>
    <w:basedOn w:val="44"/>
    <w:link w:val="131"/>
    <w:qFormat/>
    <w:uiPriority w:val="0"/>
    <w:pPr>
      <w:overflowPunct w:val="0"/>
    </w:pPr>
    <w:rPr>
      <w:szCs w:val="20"/>
    </w:rPr>
  </w:style>
  <w:style w:type="paragraph" w:customStyle="1" w:styleId="128">
    <w:name w:val="Preâmbulo"/>
    <w:basedOn w:val="1"/>
    <w:link w:val="129"/>
    <w:qFormat/>
    <w:uiPriority w:val="0"/>
    <w:pPr>
      <w:spacing w:before="480" w:after="120" w:line="360" w:lineRule="auto"/>
      <w:ind w:left="4253" w:right="-17"/>
      <w:jc w:val="both"/>
    </w:pPr>
    <w:rPr>
      <w:rFonts w:ascii="Arial" w:hAnsi="Arial" w:eastAsia="Arial" w:cs="Arial"/>
      <w:bCs/>
      <w:sz w:val="20"/>
      <w:szCs w:val="20"/>
    </w:rPr>
  </w:style>
  <w:style w:type="character" w:customStyle="1" w:styleId="129">
    <w:name w:val="Preâmbulo Char"/>
    <w:basedOn w:val="9"/>
    <w:link w:val="128"/>
    <w:qFormat/>
    <w:uiPriority w:val="0"/>
    <w:rPr>
      <w:rFonts w:ascii="Arial" w:hAnsi="Arial" w:eastAsia="Arial" w:cs="Arial"/>
      <w:bCs/>
      <w:lang w:eastAsia="pt-BR"/>
    </w:rPr>
  </w:style>
  <w:style w:type="character" w:customStyle="1" w:styleId="130">
    <w:name w:val="Menção Pendente5"/>
    <w:basedOn w:val="9"/>
    <w:semiHidden/>
    <w:unhideWhenUsed/>
    <w:qFormat/>
    <w:uiPriority w:val="99"/>
    <w:rPr>
      <w:color w:val="605E5C"/>
      <w:shd w:val="clear" w:color="auto" w:fill="E1DFDD"/>
    </w:rPr>
  </w:style>
  <w:style w:type="character" w:customStyle="1" w:styleId="131">
    <w:name w:val="citação 2 Char"/>
    <w:basedOn w:val="45"/>
    <w:link w:val="127"/>
    <w:qFormat/>
    <w:uiPriority w:val="0"/>
    <w:rPr>
      <w:rFonts w:ascii="Arial" w:hAnsi="Arial" w:eastAsia="Calibri" w:cs="Tahoma"/>
      <w:color w:val="000000"/>
      <w:szCs w:val="24"/>
      <w:shd w:val="clear" w:color="auto" w:fill="FFFFCC"/>
    </w:rPr>
  </w:style>
  <w:style w:type="paragraph" w:customStyle="1" w:styleId="132">
    <w:name w:val="Cabeçalho do Sumário1"/>
    <w:basedOn w:val="2"/>
    <w:next w:val="1"/>
    <w:unhideWhenUsed/>
    <w:qFormat/>
    <w:uiPriority w:val="39"/>
    <w:pPr>
      <w:spacing w:before="240" w:line="259" w:lineRule="auto"/>
      <w:outlineLvl w:val="9"/>
    </w:pPr>
    <w:rPr>
      <w:b w:val="0"/>
      <w:bCs w:val="0"/>
      <w:sz w:val="32"/>
      <w:szCs w:val="32"/>
    </w:rPr>
  </w:style>
  <w:style w:type="character" w:customStyle="1" w:styleId="133">
    <w:name w:val="Menção Pendente6"/>
    <w:basedOn w:val="9"/>
    <w:semiHidden/>
    <w:unhideWhenUsed/>
    <w:qFormat/>
    <w:uiPriority w:val="99"/>
    <w:rPr>
      <w:color w:val="605E5C"/>
      <w:shd w:val="clear" w:color="auto" w:fill="E1DFDD"/>
    </w:rPr>
  </w:style>
  <w:style w:type="character" w:customStyle="1" w:styleId="134">
    <w:name w:val="Mention non résolue1"/>
    <w:basedOn w:val="9"/>
    <w:semiHidden/>
    <w:unhideWhenUsed/>
    <w:qFormat/>
    <w:uiPriority w:val="99"/>
    <w:rPr>
      <w:color w:val="605E5C"/>
      <w:shd w:val="clear" w:color="auto" w:fill="E1DFDD"/>
    </w:rPr>
  </w:style>
  <w:style w:type="paragraph" w:customStyle="1" w:styleId="135">
    <w:name w:val="x_msonormal"/>
    <w:basedOn w:val="1"/>
    <w:qFormat/>
    <w:uiPriority w:val="1"/>
    <w:pPr>
      <w:spacing w:beforeAutospacing="1" w:afterAutospacing="1"/>
    </w:pPr>
    <w:rPr>
      <w:rFonts w:ascii="Times New Roman" w:hAnsi="Times New Roman" w:eastAsia="Times New Roman" w:cs="Times New Roman"/>
    </w:rPr>
  </w:style>
  <w:style w:type="character" w:customStyle="1" w:styleId="136">
    <w:name w:val="Menção Pendente7"/>
    <w:basedOn w:val="9"/>
    <w:semiHidden/>
    <w:unhideWhenUsed/>
    <w:qFormat/>
    <w:uiPriority w:val="99"/>
    <w:rPr>
      <w:color w:val="605E5C"/>
      <w:shd w:val="clear" w:color="auto" w:fill="E1DFDD"/>
    </w:rPr>
  </w:style>
  <w:style w:type="paragraph" w:customStyle="1" w:styleId="137">
    <w:name w:val="Nível 2-Opcional"/>
    <w:basedOn w:val="1"/>
    <w:link w:val="138"/>
    <w:qFormat/>
    <w:uiPriority w:val="0"/>
    <w:pPr>
      <w:spacing w:before="120" w:after="120" w:line="276" w:lineRule="auto"/>
      <w:jc w:val="both"/>
    </w:pPr>
    <w:rPr>
      <w:rFonts w:ascii="Arial" w:hAnsi="Arial" w:eastAsia="Arial" w:cs="Arial"/>
      <w:i/>
      <w:iCs/>
      <w:color w:val="FF0000"/>
      <w:sz w:val="20"/>
      <w:szCs w:val="20"/>
    </w:rPr>
  </w:style>
  <w:style w:type="character" w:customStyle="1" w:styleId="138">
    <w:name w:val="Nível 2-Opcional Char"/>
    <w:basedOn w:val="9"/>
    <w:link w:val="137"/>
    <w:qFormat/>
    <w:uiPriority w:val="0"/>
    <w:rPr>
      <w:rFonts w:ascii="Arial" w:hAnsi="Arial" w:eastAsia="Arial" w:cs="Arial"/>
      <w:i/>
      <w:iCs/>
      <w:color w:val="FF0000"/>
      <w:lang w:eastAsia="pt-BR"/>
    </w:rPr>
  </w:style>
  <w:style w:type="character" w:customStyle="1" w:styleId="139">
    <w:name w:val="modalidade"/>
    <w:basedOn w:val="9"/>
    <w:qFormat/>
    <w:uiPriority w:val="0"/>
  </w:style>
  <w:style w:type="paragraph" w:customStyle="1" w:styleId="140">
    <w:name w:val="Normal1"/>
    <w:basedOn w:val="1"/>
    <w:qFormat/>
    <w:uiPriority w:val="0"/>
    <w:pPr>
      <w:spacing w:before="100" w:beforeAutospacing="1" w:after="100" w:afterAutospacing="1"/>
    </w:pPr>
    <w:rPr>
      <w:rFonts w:ascii="Times New Roman" w:hAnsi="Times New Roman" w:eastAsia="Times New Roman" w:cs="Times New Roman"/>
    </w:rPr>
  </w:style>
  <w:style w:type="paragraph" w:customStyle="1" w:styleId="141">
    <w:name w:val="sub1"/>
    <w:basedOn w:val="1"/>
    <w:qFormat/>
    <w:uiPriority w:val="0"/>
    <w:pPr>
      <w:spacing w:before="100" w:beforeAutospacing="1" w:after="100" w:afterAutospacing="1"/>
    </w:pPr>
    <w:rPr>
      <w:rFonts w:ascii="Times New Roman" w:hAnsi="Times New Roman" w:eastAsia="Times New Roman" w:cs="Times New Roman"/>
    </w:rPr>
  </w:style>
  <w:style w:type="character" w:customStyle="1" w:styleId="142">
    <w:name w:val="apple-converted-space"/>
    <w:basedOn w:val="9"/>
    <w:qFormat/>
    <w:uiPriority w:val="0"/>
    <w:rPr>
      <w:rFonts w:cs="Times New Roman"/>
    </w:rPr>
  </w:style>
  <w:style w:type="character" w:customStyle="1" w:styleId="143">
    <w:name w:val="field-content"/>
    <w:basedOn w:val="9"/>
    <w:qFormat/>
    <w:uiPriority w:val="0"/>
    <w:rPr>
      <w:rFonts w:cs="Times New Roman"/>
    </w:rPr>
  </w:style>
  <w:style w:type="character" w:customStyle="1" w:styleId="144">
    <w:name w:val="findhit"/>
    <w:basedOn w:val="9"/>
    <w:qFormat/>
    <w:uiPriority w:val="0"/>
  </w:style>
  <w:style w:type="paragraph" w:customStyle="1" w:styleId="145">
    <w:name w:val="Nível 1-Sem Num Preto"/>
    <w:basedOn w:val="123"/>
    <w:link w:val="146"/>
    <w:qFormat/>
    <w:uiPriority w:val="0"/>
    <w:pPr>
      <w:spacing w:before="0" w:beforeLines="0" w:after="0" w:afterLines="0" w:line="360" w:lineRule="auto"/>
      <w:ind w:right="140"/>
    </w:pPr>
    <w:rPr>
      <w:rFonts w:eastAsiaTheme="majorEastAsia" w:cstheme="minorHAnsi"/>
      <w:iCs w:val="0"/>
      <w:spacing w:val="5"/>
      <w:kern w:val="28"/>
      <w:sz w:val="52"/>
      <w:szCs w:val="52"/>
      <w:lang w:eastAsia="zh-CN" w:bidi="hi-IN"/>
    </w:rPr>
  </w:style>
  <w:style w:type="character" w:customStyle="1" w:styleId="146">
    <w:name w:val="Nível 1-Sem Num Preto Char"/>
    <w:basedOn w:val="126"/>
    <w:link w:val="145"/>
    <w:qFormat/>
    <w:uiPriority w:val="0"/>
    <w:rPr>
      <w:rFonts w:ascii="Arial" w:hAnsi="Arial" w:eastAsiaTheme="majorEastAsia" w:cstheme="minorHAnsi"/>
      <w:iCs w:val="0"/>
      <w:color w:val="FF0000"/>
      <w:spacing w:val="5"/>
      <w:kern w:val="28"/>
      <w:sz w:val="52"/>
      <w:szCs w:val="52"/>
      <w:lang w:eastAsia="zh-CN" w:bidi="hi-IN"/>
    </w:rPr>
  </w:style>
  <w:style w:type="paragraph" w:customStyle="1" w:styleId="147">
    <w:name w:val="Default"/>
    <w:qFormat/>
    <w:uiPriority w:val="0"/>
    <w:pPr>
      <w:autoSpaceDE w:val="0"/>
      <w:autoSpaceDN w:val="0"/>
      <w:adjustRightInd w:val="0"/>
    </w:pPr>
    <w:rPr>
      <w:rFonts w:ascii="Times New Roman" w:hAnsi="Times New Roman" w:eastAsia="Calibri" w:cs="Times New Roman"/>
      <w:color w:val="000000"/>
      <w:sz w:val="24"/>
      <w:szCs w:val="24"/>
      <w:lang w:val="pt-BR" w:eastAsia="pt-BR" w:bidi="ar-SA"/>
    </w:rPr>
  </w:style>
  <w:style w:type="paragraph" w:customStyle="1" w:styleId="148">
    <w:name w:val="04partenormativa"/>
    <w:basedOn w:val="1"/>
    <w:qFormat/>
    <w:uiPriority w:val="0"/>
    <w:pPr>
      <w:spacing w:beforeAutospacing="1" w:afterAutospacing="1"/>
    </w:pPr>
    <w:rPr>
      <w:rFonts w:ascii="Times New Roman" w:hAnsi="Times New Roman" w:eastAsia="Times New Roman" w:cs="Times New Roman"/>
    </w:rPr>
  </w:style>
  <w:style w:type="paragraph" w:customStyle="1" w:styleId="149">
    <w:name w:val="nivel2"/>
    <w:basedOn w:val="1"/>
    <w:qFormat/>
    <w:uiPriority w:val="0"/>
    <w:pPr>
      <w:spacing w:before="100" w:beforeAutospacing="1" w:after="100" w:afterAutospacing="1"/>
    </w:pPr>
    <w:rPr>
      <w:rFonts w:ascii="Times New Roman" w:hAnsi="Times New Roman" w:eastAsia="Times New Roman" w:cs="Times New Roman"/>
    </w:rPr>
  </w:style>
  <w:style w:type="character" w:customStyle="1" w:styleId="150">
    <w:name w:val="object"/>
    <w:basedOn w:val="9"/>
    <w:qFormat/>
    <w:uiPriority w:val="0"/>
  </w:style>
  <w:style w:type="character" w:customStyle="1" w:styleId="151">
    <w:name w:val="linkdainternet"/>
    <w:basedOn w:val="9"/>
    <w:qFormat/>
    <w:uiPriority w:val="0"/>
  </w:style>
  <w:style w:type="character" w:customStyle="1" w:styleId="152">
    <w:name w:val="object-hover"/>
    <w:basedOn w:val="9"/>
    <w:qFormat/>
    <w:uiPriority w:val="0"/>
  </w:style>
  <w:style w:type="table" w:customStyle="1" w:styleId="153">
    <w:name w:val="Table Normal"/>
    <w:unhideWhenUsed/>
    <w:qFormat/>
    <w:uiPriority w:val="2"/>
    <w:pPr>
      <w:widowControl w:val="0"/>
      <w:autoSpaceDE w:val="0"/>
      <w:autoSpaceDN w:val="0"/>
    </w:pPr>
    <w:rPr>
      <w:rFonts w:asciiTheme="minorHAnsi" w:hAnsiTheme="minorHAnsi" w:eastAsiaTheme="minorHAnsi" w:cstheme="minorBidi"/>
      <w:sz w:val="22"/>
      <w:szCs w:val="22"/>
      <w:lang w:val="en-US"/>
    </w:rPr>
    <w:tblPr>
      <w:tblCellMar>
        <w:top w:w="0" w:type="dxa"/>
        <w:left w:w="0" w:type="dxa"/>
        <w:bottom w:w="0" w:type="dxa"/>
        <w:right w:w="0" w:type="dxa"/>
      </w:tblCellMar>
    </w:tblPr>
  </w:style>
  <w:style w:type="paragraph" w:customStyle="1" w:styleId="154">
    <w:name w:val="Table Paragraph"/>
    <w:basedOn w:val="1"/>
    <w:link w:val="220"/>
    <w:qFormat/>
    <w:uiPriority w:val="1"/>
    <w:pPr>
      <w:widowControl w:val="0"/>
      <w:autoSpaceDE w:val="0"/>
      <w:autoSpaceDN w:val="0"/>
    </w:pPr>
    <w:rPr>
      <w:rFonts w:ascii="Calibri" w:hAnsi="Calibri" w:eastAsia="Calibri" w:cs="Calibri"/>
      <w:sz w:val="22"/>
      <w:szCs w:val="22"/>
      <w:lang w:val="pt-PT" w:eastAsia="en-US"/>
    </w:rPr>
  </w:style>
  <w:style w:type="paragraph" w:customStyle="1" w:styleId="155">
    <w:name w:val="Nivel 2-Opcional"/>
    <w:basedOn w:val="1"/>
    <w:autoRedefine/>
    <w:qFormat/>
    <w:uiPriority w:val="0"/>
    <w:pPr>
      <w:shd w:val="clear" w:color="auto" w:fill="76923C" w:themeFill="accent3" w:themeFillShade="BF"/>
      <w:spacing w:before="120" w:after="120" w:line="276" w:lineRule="auto"/>
      <w:jc w:val="both"/>
    </w:pPr>
    <w:rPr>
      <w:rFonts w:ascii="Arial" w:hAnsi="Arial" w:eastAsia="Arial" w:cs="Arial"/>
      <w:i/>
      <w:color w:val="FF0000"/>
      <w:sz w:val="20"/>
      <w:szCs w:val="20"/>
    </w:rPr>
  </w:style>
  <w:style w:type="paragraph" w:customStyle="1" w:styleId="156">
    <w:name w:val="Nível 02"/>
    <w:basedOn w:val="155"/>
    <w:link w:val="157"/>
    <w:autoRedefine/>
    <w:qFormat/>
    <w:uiPriority w:val="0"/>
    <w:pPr>
      <w:numPr>
        <w:ilvl w:val="1"/>
        <w:numId w:val="5"/>
      </w:numPr>
      <w:shd w:val="clear" w:color="auto" w:fill="auto"/>
      <w:spacing w:line="360" w:lineRule="auto"/>
      <w:ind w:left="0" w:firstLine="1277"/>
    </w:pPr>
    <w:rPr>
      <w:i w:val="0"/>
      <w:iCs/>
      <w:color w:val="auto"/>
    </w:rPr>
  </w:style>
  <w:style w:type="character" w:customStyle="1" w:styleId="157">
    <w:name w:val="Nível 02 Char"/>
    <w:basedOn w:val="9"/>
    <w:link w:val="156"/>
    <w:qFormat/>
    <w:uiPriority w:val="0"/>
    <w:rPr>
      <w:rFonts w:ascii="Arial" w:hAnsi="Arial" w:eastAsia="Arial" w:cs="Arial"/>
      <w:iCs/>
      <w:lang w:eastAsia="pt-BR"/>
    </w:rPr>
  </w:style>
  <w:style w:type="character" w:customStyle="1" w:styleId="158">
    <w:name w:val="WW8Num1z0"/>
    <w:qFormat/>
    <w:uiPriority w:val="0"/>
    <w:rPr>
      <w:rFonts w:hint="default"/>
    </w:rPr>
  </w:style>
  <w:style w:type="paragraph" w:customStyle="1" w:styleId="159">
    <w:name w:val="Nível 1-Sem Numeração"/>
    <w:basedOn w:val="123"/>
    <w:link w:val="160"/>
    <w:autoRedefine/>
    <w:qFormat/>
    <w:uiPriority w:val="0"/>
    <w:pPr>
      <w:keepNext w:val="0"/>
      <w:keepLines w:val="0"/>
      <w:tabs>
        <w:tab w:val="clear" w:pos="567"/>
      </w:tabs>
      <w:spacing w:before="120" w:beforeLines="0" w:after="120" w:afterLines="0" w:line="360" w:lineRule="auto"/>
      <w:ind w:right="-1"/>
    </w:pPr>
    <w:rPr>
      <w:rFonts w:ascii="Times New Roman" w:hAnsi="Times New Roman" w:cs="Times New Roman"/>
      <w:bCs w:val="0"/>
      <w:iCs w:val="0"/>
      <w:color w:val="auto"/>
      <w:spacing w:val="5"/>
      <w:kern w:val="28"/>
      <w:sz w:val="22"/>
      <w:szCs w:val="22"/>
      <w:u w:val="single"/>
    </w:rPr>
  </w:style>
  <w:style w:type="character" w:customStyle="1" w:styleId="160">
    <w:name w:val="Nível 1-Sem Numeração Char"/>
    <w:basedOn w:val="126"/>
    <w:link w:val="159"/>
    <w:qFormat/>
    <w:uiPriority w:val="0"/>
    <w:rPr>
      <w:rFonts w:ascii="Arial" w:hAnsi="Arial" w:eastAsia="Arial" w:cs="Arial"/>
      <w:bCs w:val="0"/>
      <w:iCs w:val="0"/>
      <w:color w:val="FF0000"/>
      <w:spacing w:val="5"/>
      <w:kern w:val="28"/>
      <w:sz w:val="22"/>
      <w:szCs w:val="22"/>
      <w:u w:val="single"/>
      <w:lang w:eastAsia="pt-BR"/>
    </w:rPr>
  </w:style>
  <w:style w:type="paragraph" w:customStyle="1" w:styleId="161">
    <w:name w:val="Nível 3-Opcional"/>
    <w:basedOn w:val="72"/>
    <w:link w:val="162"/>
    <w:qFormat/>
    <w:uiPriority w:val="0"/>
    <w:pPr>
      <w:numPr>
        <w:numId w:val="6"/>
      </w:numPr>
      <w:ind w:left="284" w:firstLine="0"/>
    </w:pPr>
    <w:rPr>
      <w:rFonts w:cs="Tahoma"/>
      <w:i/>
      <w:color w:val="FF0000"/>
      <w:szCs w:val="24"/>
    </w:rPr>
  </w:style>
  <w:style w:type="character" w:customStyle="1" w:styleId="162">
    <w:name w:val="Nível 3-Opcional Char"/>
    <w:basedOn w:val="121"/>
    <w:link w:val="161"/>
    <w:qFormat/>
    <w:uiPriority w:val="0"/>
    <w:rPr>
      <w:rFonts w:ascii="Arial" w:hAnsi="Arial" w:cs="Tahoma"/>
      <w:i/>
      <w:color w:val="FF0000"/>
      <w:szCs w:val="24"/>
      <w:lang w:eastAsia="pt-BR"/>
    </w:rPr>
  </w:style>
  <w:style w:type="paragraph" w:customStyle="1" w:styleId="163">
    <w:name w:val="Nível 4"/>
    <w:basedOn w:val="1"/>
    <w:link w:val="166"/>
    <w:qFormat/>
    <w:uiPriority w:val="0"/>
    <w:pPr>
      <w:spacing w:before="120" w:after="120" w:line="276" w:lineRule="auto"/>
      <w:ind w:left="567"/>
      <w:jc w:val="both"/>
    </w:pPr>
    <w:rPr>
      <w:rFonts w:ascii="Arial" w:hAnsi="Arial" w:eastAsia="Times New Roman" w:cs="Arial"/>
      <w:color w:val="FF0000"/>
      <w:szCs w:val="20"/>
    </w:rPr>
  </w:style>
  <w:style w:type="paragraph" w:customStyle="1" w:styleId="164">
    <w:name w:val="Nível 3"/>
    <w:basedOn w:val="118"/>
    <w:link w:val="165"/>
    <w:qFormat/>
    <w:uiPriority w:val="0"/>
    <w:pPr>
      <w:numPr>
        <w:numId w:val="7"/>
      </w:numPr>
    </w:pPr>
    <w:rPr>
      <w:rFonts w:eastAsia="Times New Roman"/>
      <w:i w:val="0"/>
      <w:iCs w:val="0"/>
      <w:sz w:val="24"/>
    </w:rPr>
  </w:style>
  <w:style w:type="character" w:customStyle="1" w:styleId="165">
    <w:name w:val="Nível 3 Char"/>
    <w:basedOn w:val="122"/>
    <w:link w:val="164"/>
    <w:qFormat/>
    <w:uiPriority w:val="0"/>
    <w:rPr>
      <w:rFonts w:ascii="Arial" w:hAnsi="Arial" w:eastAsia="Times New Roman" w:cs="Arial"/>
      <w:i w:val="0"/>
      <w:iCs w:val="0"/>
      <w:color w:val="FF0000"/>
      <w:sz w:val="24"/>
      <w:lang w:eastAsia="pt-BR"/>
    </w:rPr>
  </w:style>
  <w:style w:type="character" w:customStyle="1" w:styleId="166">
    <w:name w:val="Nível 4 Char"/>
    <w:basedOn w:val="165"/>
    <w:link w:val="163"/>
    <w:qFormat/>
    <w:uiPriority w:val="0"/>
    <w:rPr>
      <w:rFonts w:ascii="Arial" w:hAnsi="Arial" w:eastAsia="Times New Roman" w:cs="Arial"/>
      <w:color w:val="FF0000"/>
      <w:sz w:val="24"/>
      <w:lang w:eastAsia="pt-BR"/>
    </w:rPr>
  </w:style>
  <w:style w:type="paragraph" w:customStyle="1" w:styleId="167">
    <w:name w:val="Normal2"/>
    <w:qFormat/>
    <w:uiPriority w:val="0"/>
    <w:pPr>
      <w:spacing w:after="160" w:line="259" w:lineRule="auto"/>
    </w:pPr>
    <w:rPr>
      <w:rFonts w:ascii="Calibri" w:hAnsi="Calibri" w:eastAsia="Calibri" w:cs="Calibri"/>
      <w:sz w:val="22"/>
      <w:szCs w:val="22"/>
      <w:lang w:val="pt-BR" w:eastAsia="pt-BR" w:bidi="ar-SA"/>
    </w:rPr>
  </w:style>
  <w:style w:type="paragraph" w:customStyle="1" w:styleId="168">
    <w:name w:val="Normal3"/>
    <w:qFormat/>
    <w:uiPriority w:val="0"/>
    <w:pPr>
      <w:spacing w:after="160" w:line="259" w:lineRule="auto"/>
    </w:pPr>
    <w:rPr>
      <w:rFonts w:ascii="Calibri" w:hAnsi="Calibri" w:eastAsia="Calibri" w:cs="Calibri"/>
      <w:sz w:val="22"/>
      <w:szCs w:val="22"/>
      <w:lang w:val="pt-BR" w:eastAsia="pt-BR" w:bidi="ar-SA"/>
    </w:rPr>
  </w:style>
  <w:style w:type="character" w:customStyle="1" w:styleId="169">
    <w:name w:val="Título 9 Char"/>
    <w:basedOn w:val="9"/>
    <w:link w:val="8"/>
    <w:qFormat/>
    <w:uiPriority w:val="9"/>
    <w:rPr>
      <w:rFonts w:asciiTheme="majorHAnsi" w:hAnsiTheme="majorHAnsi" w:eastAsiaTheme="majorEastAsia" w:cstheme="majorBidi"/>
      <w:i/>
      <w:iCs/>
      <w:color w:val="262626" w:themeColor="text1" w:themeTint="D9"/>
      <w:sz w:val="21"/>
      <w:szCs w:val="21"/>
      <w:lang w:eastAsia="pt-BR"/>
      <w14:textFill>
        <w14:solidFill>
          <w14:schemeClr w14:val="tx1">
            <w14:lumMod w14:val="85000"/>
            <w14:lumOff w14:val="15000"/>
          </w14:schemeClr>
        </w14:solidFill>
      </w14:textFill>
    </w:rPr>
  </w:style>
  <w:style w:type="paragraph" w:customStyle="1" w:styleId="170">
    <w:name w:val="texto_normal"/>
    <w:basedOn w:val="1"/>
    <w:qFormat/>
    <w:uiPriority w:val="0"/>
    <w:pPr>
      <w:spacing w:before="100" w:beforeAutospacing="1" w:after="100" w:afterAutospacing="1"/>
    </w:pPr>
    <w:rPr>
      <w:rFonts w:ascii="Times New Roman" w:hAnsi="Times New Roman" w:eastAsia="Times New Roman" w:cs="Times New Roman"/>
    </w:rPr>
  </w:style>
  <w:style w:type="character" w:customStyle="1" w:styleId="171">
    <w:name w:val="fontstyle01"/>
    <w:qFormat/>
    <w:uiPriority w:val="0"/>
    <w:rPr>
      <w:rFonts w:hint="default" w:ascii="Rawline-Regular" w:hAnsi="Rawline-Regular"/>
      <w:color w:val="555555"/>
      <w:sz w:val="22"/>
      <w:szCs w:val="22"/>
    </w:rPr>
  </w:style>
  <w:style w:type="character" w:customStyle="1" w:styleId="172">
    <w:name w:val="ng-star-inserted"/>
    <w:qFormat/>
    <w:uiPriority w:val="0"/>
  </w:style>
  <w:style w:type="paragraph" w:customStyle="1" w:styleId="173">
    <w:name w:val="pb-0"/>
    <w:basedOn w:val="1"/>
    <w:qFormat/>
    <w:uiPriority w:val="0"/>
    <w:pPr>
      <w:spacing w:before="100" w:beforeAutospacing="1" w:after="100" w:afterAutospacing="1"/>
    </w:pPr>
    <w:rPr>
      <w:rFonts w:ascii="Times New Roman" w:hAnsi="Times New Roman" w:eastAsia="Times New Roman" w:cs="Times New Roman"/>
    </w:rPr>
  </w:style>
  <w:style w:type="character" w:customStyle="1" w:styleId="174">
    <w:name w:val="dinheiro"/>
    <w:qFormat/>
    <w:uiPriority w:val="0"/>
  </w:style>
  <w:style w:type="character" w:customStyle="1" w:styleId="175">
    <w:name w:val="sr-only"/>
    <w:qFormat/>
    <w:uiPriority w:val="0"/>
  </w:style>
  <w:style w:type="character" w:customStyle="1" w:styleId="176">
    <w:name w:val="WW8Num10z0"/>
    <w:qFormat/>
    <w:uiPriority w:val="0"/>
    <w:rPr>
      <w:rFonts w:hint="default"/>
      <w:color w:val="000000"/>
    </w:rPr>
  </w:style>
  <w:style w:type="character" w:customStyle="1" w:styleId="177">
    <w:name w:val="WW8Num2z0"/>
    <w:qFormat/>
    <w:uiPriority w:val="0"/>
    <w:rPr>
      <w:rFonts w:hint="default"/>
    </w:rPr>
  </w:style>
  <w:style w:type="character" w:customStyle="1" w:styleId="178">
    <w:name w:val="WW8Num2z1"/>
    <w:qFormat/>
    <w:uiPriority w:val="0"/>
    <w:rPr>
      <w:rFonts w:hint="default"/>
    </w:rPr>
  </w:style>
  <w:style w:type="character" w:customStyle="1" w:styleId="179">
    <w:name w:val="WW8Num3z0"/>
    <w:qFormat/>
    <w:uiPriority w:val="0"/>
    <w:rPr>
      <w:rFonts w:ascii="Noto Sans Symbols" w:hAnsi="Noto Sans Symbols" w:eastAsia="Noto Sans Symbols" w:cs="Noto Sans Symbols"/>
      <w:position w:val="0"/>
      <w:sz w:val="24"/>
      <w:vertAlign w:val="baseline"/>
    </w:rPr>
  </w:style>
  <w:style w:type="character" w:customStyle="1" w:styleId="180">
    <w:name w:val="WW8Num3z1"/>
    <w:qFormat/>
    <w:uiPriority w:val="0"/>
    <w:rPr>
      <w:rFonts w:ascii="Courier New" w:hAnsi="Courier New" w:eastAsia="Courier New" w:cs="Courier New"/>
      <w:position w:val="0"/>
      <w:sz w:val="24"/>
      <w:vertAlign w:val="baseline"/>
    </w:rPr>
  </w:style>
  <w:style w:type="character" w:customStyle="1" w:styleId="181">
    <w:name w:val="WW8Num4z0"/>
    <w:qFormat/>
    <w:uiPriority w:val="0"/>
    <w:rPr>
      <w:rFonts w:hint="default"/>
      <w:b/>
    </w:rPr>
  </w:style>
  <w:style w:type="character" w:customStyle="1" w:styleId="182">
    <w:name w:val="WW8Num4z5"/>
    <w:qFormat/>
    <w:uiPriority w:val="0"/>
    <w:rPr>
      <w:rFonts w:hint="default"/>
    </w:rPr>
  </w:style>
  <w:style w:type="character" w:customStyle="1" w:styleId="183">
    <w:name w:val="WW8Num5z0"/>
    <w:qFormat/>
    <w:uiPriority w:val="0"/>
    <w:rPr>
      <w:rFonts w:hint="default"/>
    </w:rPr>
  </w:style>
  <w:style w:type="character" w:customStyle="1" w:styleId="184">
    <w:name w:val="WW8Num6z0"/>
    <w:qFormat/>
    <w:uiPriority w:val="0"/>
    <w:rPr>
      <w:rFonts w:hint="default"/>
    </w:rPr>
  </w:style>
  <w:style w:type="character" w:customStyle="1" w:styleId="185">
    <w:name w:val="WW8Num7z0"/>
    <w:qFormat/>
    <w:uiPriority w:val="0"/>
    <w:rPr>
      <w:rFonts w:hint="default"/>
    </w:rPr>
  </w:style>
  <w:style w:type="character" w:customStyle="1" w:styleId="186">
    <w:name w:val="WW8Num8z0"/>
    <w:qFormat/>
    <w:uiPriority w:val="0"/>
  </w:style>
  <w:style w:type="character" w:customStyle="1" w:styleId="187">
    <w:name w:val="WW8Num9z0"/>
    <w:qFormat/>
    <w:uiPriority w:val="0"/>
    <w:rPr>
      <w:rFonts w:hint="default"/>
    </w:rPr>
  </w:style>
  <w:style w:type="character" w:customStyle="1" w:styleId="188">
    <w:name w:val="WW8Num11z0"/>
    <w:qFormat/>
    <w:uiPriority w:val="0"/>
    <w:rPr>
      <w:rFonts w:hint="default"/>
      <w:b/>
    </w:rPr>
  </w:style>
  <w:style w:type="character" w:customStyle="1" w:styleId="189">
    <w:name w:val="WW8Num11z1"/>
    <w:qFormat/>
    <w:uiPriority w:val="0"/>
    <w:rPr>
      <w:rFonts w:hint="default" w:ascii="Courier New" w:hAnsi="Courier New" w:cs="Courier New"/>
    </w:rPr>
  </w:style>
  <w:style w:type="character" w:customStyle="1" w:styleId="190">
    <w:name w:val="WW8Num11z2"/>
    <w:qFormat/>
    <w:uiPriority w:val="0"/>
    <w:rPr>
      <w:rFonts w:hint="default" w:ascii="Wingdings" w:hAnsi="Wingdings" w:cs="Wingdings"/>
    </w:rPr>
  </w:style>
  <w:style w:type="character" w:customStyle="1" w:styleId="191">
    <w:name w:val="WW8Num11z3"/>
    <w:qFormat/>
    <w:uiPriority w:val="0"/>
    <w:rPr>
      <w:rFonts w:hint="default" w:ascii="Symbol" w:hAnsi="Symbol" w:cs="Symbol"/>
    </w:rPr>
  </w:style>
  <w:style w:type="character" w:customStyle="1" w:styleId="192">
    <w:name w:val="WW8Num13z0"/>
    <w:qFormat/>
    <w:uiPriority w:val="0"/>
    <w:rPr>
      <w:rFonts w:hint="default"/>
    </w:rPr>
  </w:style>
  <w:style w:type="character" w:customStyle="1" w:styleId="193">
    <w:name w:val="WW8Num13z2"/>
    <w:qFormat/>
    <w:uiPriority w:val="0"/>
    <w:rPr>
      <w:rFonts w:hint="default"/>
      <w:b/>
    </w:rPr>
  </w:style>
  <w:style w:type="character" w:customStyle="1" w:styleId="194">
    <w:name w:val="WW8Num14z0"/>
    <w:qFormat/>
    <w:uiPriority w:val="0"/>
    <w:rPr>
      <w:rFonts w:hint="default" w:ascii="Calibri" w:hAnsi="Calibri" w:cs="Calibri"/>
    </w:rPr>
  </w:style>
  <w:style w:type="character" w:customStyle="1" w:styleId="195">
    <w:name w:val="WW8Num14z2"/>
    <w:qFormat/>
    <w:uiPriority w:val="0"/>
    <w:rPr>
      <w:rFonts w:hint="default" w:ascii="Times New Roman" w:hAnsi="Times New Roman" w:cs="Times New Roman"/>
    </w:rPr>
  </w:style>
  <w:style w:type="character" w:customStyle="1" w:styleId="196">
    <w:name w:val="WW8Num15z0"/>
    <w:qFormat/>
    <w:uiPriority w:val="0"/>
    <w:rPr>
      <w:rFonts w:hint="default"/>
    </w:rPr>
  </w:style>
  <w:style w:type="character" w:customStyle="1" w:styleId="197">
    <w:name w:val="WW8Num16z0"/>
    <w:qFormat/>
    <w:uiPriority w:val="0"/>
    <w:rPr>
      <w:rFonts w:hint="default"/>
    </w:rPr>
  </w:style>
  <w:style w:type="character" w:customStyle="1" w:styleId="198">
    <w:name w:val="WW8Num17z0"/>
    <w:qFormat/>
    <w:uiPriority w:val="0"/>
    <w:rPr>
      <w:rFonts w:hint="default"/>
      <w:b/>
    </w:rPr>
  </w:style>
  <w:style w:type="character" w:customStyle="1" w:styleId="199">
    <w:name w:val="WW8Num18z0"/>
    <w:qFormat/>
    <w:uiPriority w:val="0"/>
    <w:rPr>
      <w:rFonts w:hint="default" w:ascii="Symbol" w:hAnsi="Symbol" w:cs="Symbol"/>
    </w:rPr>
  </w:style>
  <w:style w:type="character" w:customStyle="1" w:styleId="200">
    <w:name w:val="WW8Num18z1"/>
    <w:qFormat/>
    <w:uiPriority w:val="0"/>
    <w:rPr>
      <w:rFonts w:hint="default" w:ascii="Courier New" w:hAnsi="Courier New" w:cs="Courier New"/>
    </w:rPr>
  </w:style>
  <w:style w:type="character" w:customStyle="1" w:styleId="201">
    <w:name w:val="WW8Num18z2"/>
    <w:qFormat/>
    <w:uiPriority w:val="0"/>
    <w:rPr>
      <w:rFonts w:hint="default" w:ascii="Wingdings" w:hAnsi="Wingdings" w:cs="Wingdings"/>
    </w:rPr>
  </w:style>
  <w:style w:type="character" w:customStyle="1" w:styleId="202">
    <w:name w:val="WW8Num19z0"/>
    <w:qFormat/>
    <w:uiPriority w:val="0"/>
    <w:rPr>
      <w:rFonts w:hint="default"/>
      <w:b/>
    </w:rPr>
  </w:style>
  <w:style w:type="character" w:customStyle="1" w:styleId="203">
    <w:name w:val="WW8Num20z0"/>
    <w:qFormat/>
    <w:uiPriority w:val="0"/>
    <w:rPr>
      <w:rFonts w:hint="default"/>
    </w:rPr>
  </w:style>
  <w:style w:type="character" w:customStyle="1" w:styleId="204">
    <w:name w:val="WW8Num21z0"/>
    <w:qFormat/>
    <w:uiPriority w:val="0"/>
    <w:rPr>
      <w:rFonts w:hint="default"/>
    </w:rPr>
  </w:style>
  <w:style w:type="character" w:customStyle="1" w:styleId="205">
    <w:name w:val="WW8Num21z2"/>
    <w:qFormat/>
    <w:uiPriority w:val="0"/>
    <w:rPr>
      <w:rFonts w:hint="default"/>
      <w:b/>
    </w:rPr>
  </w:style>
  <w:style w:type="character" w:customStyle="1" w:styleId="206">
    <w:name w:val="WW8Num22z0"/>
    <w:qFormat/>
    <w:uiPriority w:val="0"/>
    <w:rPr>
      <w:b/>
      <w:color w:val="000000"/>
    </w:rPr>
  </w:style>
  <w:style w:type="character" w:customStyle="1" w:styleId="207">
    <w:name w:val="WW8Num22z1"/>
    <w:qFormat/>
    <w:uiPriority w:val="0"/>
    <w:rPr>
      <w:rFonts w:hint="default"/>
      <w:b/>
      <w:color w:val="000000"/>
    </w:rPr>
  </w:style>
  <w:style w:type="character" w:customStyle="1" w:styleId="208">
    <w:name w:val="WW8Num22z2"/>
    <w:qFormat/>
    <w:uiPriority w:val="0"/>
    <w:rPr>
      <w:rFonts w:hint="default"/>
    </w:rPr>
  </w:style>
  <w:style w:type="character" w:customStyle="1" w:styleId="209">
    <w:name w:val="WW8Num23z0"/>
    <w:qFormat/>
    <w:uiPriority w:val="0"/>
    <w:rPr>
      <w:rFonts w:hint="default"/>
    </w:rPr>
  </w:style>
  <w:style w:type="character" w:customStyle="1" w:styleId="210">
    <w:name w:val="Fonte parág. padrão1"/>
    <w:qFormat/>
    <w:uiPriority w:val="0"/>
  </w:style>
  <w:style w:type="paragraph" w:customStyle="1" w:styleId="211">
    <w:name w:val="Título1"/>
    <w:basedOn w:val="1"/>
    <w:next w:val="18"/>
    <w:qFormat/>
    <w:uiPriority w:val="0"/>
    <w:pPr>
      <w:suppressAutoHyphens/>
      <w:jc w:val="center"/>
    </w:pPr>
    <w:rPr>
      <w:rFonts w:ascii="Times New Roman" w:hAnsi="Times New Roman" w:eastAsia="Times New Roman" w:cs="Times New Roman"/>
      <w:b/>
      <w:bCs/>
      <w:lang w:val="zh-CN" w:eastAsia="zh-CN"/>
    </w:rPr>
  </w:style>
  <w:style w:type="paragraph" w:customStyle="1" w:styleId="212">
    <w:name w:val="Índice"/>
    <w:basedOn w:val="1"/>
    <w:qFormat/>
    <w:uiPriority w:val="0"/>
    <w:pPr>
      <w:suppressLineNumbers/>
      <w:suppressAutoHyphens/>
    </w:pPr>
    <w:rPr>
      <w:rFonts w:ascii="Times New Roman" w:hAnsi="Times New Roman" w:eastAsia="Times New Roman" w:cs="Lucida Sans"/>
      <w:sz w:val="20"/>
      <w:szCs w:val="20"/>
      <w:lang w:eastAsia="zh-CN"/>
    </w:rPr>
  </w:style>
  <w:style w:type="paragraph" w:customStyle="1" w:styleId="213">
    <w:name w:val="Cabeçalho e rodapé"/>
    <w:basedOn w:val="1"/>
    <w:qFormat/>
    <w:uiPriority w:val="0"/>
    <w:pPr>
      <w:suppressLineNumbers/>
      <w:tabs>
        <w:tab w:val="center" w:pos="4819"/>
        <w:tab w:val="right" w:pos="9638"/>
      </w:tabs>
      <w:suppressAutoHyphens/>
    </w:pPr>
    <w:rPr>
      <w:rFonts w:ascii="Times New Roman" w:hAnsi="Times New Roman" w:eastAsia="Times New Roman" w:cs="Times New Roman"/>
      <w:sz w:val="20"/>
      <w:szCs w:val="20"/>
      <w:lang w:eastAsia="zh-CN"/>
    </w:rPr>
  </w:style>
  <w:style w:type="paragraph" w:styleId="214">
    <w:name w:val="No Spacing"/>
    <w:qFormat/>
    <w:uiPriority w:val="0"/>
    <w:pPr>
      <w:suppressAutoHyphens/>
    </w:pPr>
    <w:rPr>
      <w:rFonts w:ascii="Times New Roman" w:hAnsi="Times New Roman" w:eastAsia="Times New Roman" w:cs="Times New Roman"/>
      <w:sz w:val="24"/>
      <w:szCs w:val="24"/>
      <w:lang w:val="pt-BR" w:eastAsia="zh-CN" w:bidi="ar-SA"/>
    </w:rPr>
  </w:style>
  <w:style w:type="paragraph" w:customStyle="1" w:styleId="215">
    <w:name w:val="Conteúdo da tabela"/>
    <w:basedOn w:val="1"/>
    <w:qFormat/>
    <w:uiPriority w:val="0"/>
    <w:pPr>
      <w:widowControl w:val="0"/>
      <w:suppressLineNumbers/>
      <w:suppressAutoHyphens/>
    </w:pPr>
    <w:rPr>
      <w:rFonts w:ascii="Times New Roman" w:hAnsi="Times New Roman" w:eastAsia="Times New Roman" w:cs="Times New Roman"/>
      <w:sz w:val="20"/>
      <w:szCs w:val="20"/>
      <w:lang w:eastAsia="zh-CN"/>
    </w:rPr>
  </w:style>
  <w:style w:type="paragraph" w:customStyle="1" w:styleId="216">
    <w:name w:val="Título da tabela"/>
    <w:basedOn w:val="215"/>
    <w:qFormat/>
    <w:uiPriority w:val="0"/>
    <w:pPr>
      <w:jc w:val="center"/>
    </w:pPr>
    <w:rPr>
      <w:b/>
      <w:bCs/>
    </w:rPr>
  </w:style>
  <w:style w:type="table" w:customStyle="1" w:styleId="217">
    <w:name w:val="Table Normal1"/>
    <w:semiHidden/>
    <w:unhideWhenUsed/>
    <w:qFormat/>
    <w:uiPriority w:val="2"/>
    <w:pPr>
      <w:widowControl w:val="0"/>
      <w:autoSpaceDE w:val="0"/>
      <w:autoSpaceDN w:val="0"/>
    </w:pPr>
    <w:rPr>
      <w:rFonts w:ascii="Calibri" w:hAnsi="Calibri" w:eastAsia="Calibri"/>
      <w:sz w:val="22"/>
      <w:szCs w:val="22"/>
      <w:lang w:val="en-US"/>
    </w:rPr>
    <w:tblPr>
      <w:tblCellMar>
        <w:top w:w="0" w:type="dxa"/>
        <w:left w:w="0" w:type="dxa"/>
        <w:bottom w:w="0" w:type="dxa"/>
        <w:right w:w="0" w:type="dxa"/>
      </w:tblCellMar>
    </w:tblPr>
  </w:style>
  <w:style w:type="paragraph" w:customStyle="1" w:styleId="218">
    <w:name w:val="LEVEL 2"/>
    <w:basedOn w:val="3"/>
    <w:link w:val="219"/>
    <w:qFormat/>
    <w:uiPriority w:val="0"/>
    <w:pPr>
      <w:keepNext w:val="0"/>
      <w:tabs>
        <w:tab w:val="clear" w:pos="1701"/>
      </w:tabs>
      <w:spacing w:after="120" w:line="360" w:lineRule="auto"/>
      <w:ind w:left="9799" w:right="0" w:hanging="432"/>
      <w:jc w:val="both"/>
    </w:pPr>
    <w:rPr>
      <w:rFonts w:eastAsia="Times New Roman"/>
      <w:b w:val="0"/>
      <w:bCs/>
      <w:iCs/>
      <w:color w:val="auto"/>
      <w:sz w:val="22"/>
      <w:szCs w:val="28"/>
      <w:lang w:val="zh-CN" w:eastAsia="zh-CN"/>
    </w:rPr>
  </w:style>
  <w:style w:type="character" w:customStyle="1" w:styleId="219">
    <w:name w:val="LEVEL 2 Char"/>
    <w:link w:val="218"/>
    <w:qFormat/>
    <w:uiPriority w:val="0"/>
    <w:rPr>
      <w:rFonts w:eastAsia="Times New Roman"/>
      <w:bCs/>
      <w:iCs/>
      <w:sz w:val="22"/>
      <w:szCs w:val="28"/>
      <w:lang w:val="zh-CN" w:eastAsia="zh-CN"/>
    </w:rPr>
  </w:style>
  <w:style w:type="character" w:customStyle="1" w:styleId="220">
    <w:name w:val="Table Paragraph Char"/>
    <w:link w:val="154"/>
    <w:qFormat/>
    <w:uiPriority w:val="1"/>
    <w:rPr>
      <w:rFonts w:ascii="Calibri" w:hAnsi="Calibri" w:eastAsia="Calibri" w:cs="Calibri"/>
      <w:sz w:val="22"/>
      <w:szCs w:val="22"/>
      <w:lang w:val="pt-PT"/>
    </w:rPr>
  </w:style>
  <w:style w:type="paragraph" w:customStyle="1" w:styleId="221">
    <w:name w:val="TÍTULO"/>
    <w:basedOn w:val="23"/>
    <w:next w:val="1"/>
    <w:qFormat/>
    <w:uiPriority w:val="0"/>
    <w:pPr>
      <w:pBdr>
        <w:bottom w:val="none" w:color="auto" w:sz="0" w:space="0"/>
      </w:pBdr>
      <w:suppressAutoHyphens/>
      <w:spacing w:after="240" w:line="360" w:lineRule="auto"/>
      <w:jc w:val="center"/>
    </w:pPr>
    <w:rPr>
      <w:rFonts w:ascii="Times New Roman" w:hAnsi="Times New Roman" w:eastAsia="Times New Roman" w:cs="Times New Roman"/>
      <w:b/>
      <w:color w:val="auto"/>
      <w:spacing w:val="0"/>
      <w:kern w:val="0"/>
      <w:sz w:val="22"/>
      <w:szCs w:val="22"/>
      <w:lang w:val="zh-CN" w:eastAsia="zh-CN"/>
    </w:rPr>
  </w:style>
  <w:style w:type="paragraph" w:customStyle="1" w:styleId="222">
    <w:name w:val="LEVEL 1"/>
    <w:basedOn w:val="2"/>
    <w:link w:val="223"/>
    <w:qFormat/>
    <w:uiPriority w:val="0"/>
    <w:pPr>
      <w:keepLines w:val="0"/>
      <w:shd w:val="clear" w:color="auto" w:fill="D0CECE"/>
      <w:spacing w:before="240" w:after="120" w:line="360" w:lineRule="auto"/>
      <w:ind w:left="9019" w:hanging="360"/>
    </w:pPr>
    <w:rPr>
      <w:rFonts w:ascii="Times New Roman" w:hAnsi="Times New Roman" w:eastAsia="Times New Roman" w:cs="Times New Roman"/>
      <w:color w:val="000000"/>
      <w:kern w:val="32"/>
      <w:sz w:val="22"/>
      <w:szCs w:val="32"/>
      <w:lang w:val="zh-CN" w:eastAsia="zh-CN"/>
    </w:rPr>
  </w:style>
  <w:style w:type="character" w:customStyle="1" w:styleId="223">
    <w:name w:val="LEVEL 1 Char"/>
    <w:link w:val="222"/>
    <w:qFormat/>
    <w:uiPriority w:val="0"/>
    <w:rPr>
      <w:rFonts w:eastAsia="Times New Roman"/>
      <w:b/>
      <w:bCs/>
      <w:color w:val="000000"/>
      <w:kern w:val="32"/>
      <w:sz w:val="22"/>
      <w:szCs w:val="32"/>
      <w:shd w:val="clear" w:color="auto" w:fill="D0CECE"/>
      <w:lang w:val="zh-CN" w:eastAsia="zh-CN"/>
    </w:rPr>
  </w:style>
  <w:style w:type="paragraph" w:customStyle="1" w:styleId="224">
    <w:name w:val="ABC"/>
    <w:basedOn w:val="1"/>
    <w:link w:val="225"/>
    <w:qFormat/>
    <w:uiPriority w:val="0"/>
    <w:pPr>
      <w:numPr>
        <w:ilvl w:val="0"/>
        <w:numId w:val="8"/>
      </w:numPr>
      <w:spacing w:after="120" w:line="360" w:lineRule="auto"/>
      <w:contextualSpacing/>
    </w:pPr>
    <w:rPr>
      <w:rFonts w:ascii="Times New Roman" w:hAnsi="Times New Roman" w:eastAsia="Times New Roman" w:cs="Times New Roman"/>
      <w:sz w:val="22"/>
      <w:szCs w:val="22"/>
    </w:rPr>
  </w:style>
  <w:style w:type="character" w:customStyle="1" w:styleId="225">
    <w:name w:val="ABC Char"/>
    <w:link w:val="224"/>
    <w:qFormat/>
    <w:uiPriority w:val="0"/>
    <w:rPr>
      <w:rFonts w:eastAsia="Times New Roman"/>
      <w:sz w:val="22"/>
      <w:szCs w:val="22"/>
      <w:lang w:eastAsia="pt-BR"/>
    </w:rPr>
  </w:style>
  <w:style w:type="paragraph" w:customStyle="1" w:styleId="226">
    <w:name w:val="CITAÇÃO"/>
    <w:basedOn w:val="147"/>
    <w:link w:val="227"/>
    <w:qFormat/>
    <w:uiPriority w:val="0"/>
    <w:pPr>
      <w:spacing w:after="120"/>
      <w:ind w:left="2268"/>
      <w:contextualSpacing/>
      <w:jc w:val="both"/>
    </w:pPr>
    <w:rPr>
      <w:sz w:val="20"/>
    </w:rPr>
  </w:style>
  <w:style w:type="character" w:customStyle="1" w:styleId="227">
    <w:name w:val="CITAÇÃO Char"/>
    <w:link w:val="226"/>
    <w:qFormat/>
    <w:uiPriority w:val="0"/>
    <w:rPr>
      <w:rFonts w:eastAsia="Calibri"/>
      <w:color w:val="000000"/>
      <w:szCs w:val="24"/>
      <w:lang w:eastAsia="pt-BR"/>
    </w:rPr>
  </w:style>
  <w:style w:type="character" w:customStyle="1" w:styleId="228">
    <w:name w:val="WW8Num5z1"/>
    <w:qFormat/>
    <w:uiPriority w:val="0"/>
    <w:rPr>
      <w:rFonts w:hint="default"/>
      <w:b/>
      <w:color w:val="000000"/>
    </w:rPr>
  </w:style>
  <w:style w:type="character" w:customStyle="1" w:styleId="229">
    <w:name w:val="WW8Num5z2"/>
    <w:qFormat/>
    <w:uiPriority w:val="0"/>
    <w:rPr>
      <w:rFonts w:hint="default"/>
    </w:rPr>
  </w:style>
  <w:style w:type="character" w:customStyle="1" w:styleId="230">
    <w:name w:val="WW8Num7z1"/>
    <w:qFormat/>
    <w:uiPriority w:val="0"/>
    <w:rPr>
      <w:color w:val="000000"/>
    </w:rPr>
  </w:style>
  <w:style w:type="character" w:customStyle="1" w:styleId="231">
    <w:name w:val="Fonte parág. padrão4"/>
    <w:qFormat/>
    <w:uiPriority w:val="0"/>
  </w:style>
  <w:style w:type="character" w:customStyle="1" w:styleId="232">
    <w:name w:val="Fonte parág. padrão3"/>
    <w:qFormat/>
    <w:uiPriority w:val="0"/>
  </w:style>
  <w:style w:type="character" w:customStyle="1" w:styleId="233">
    <w:name w:val="Fonte parág. padrão2"/>
    <w:qFormat/>
    <w:uiPriority w:val="0"/>
  </w:style>
  <w:style w:type="character" w:customStyle="1" w:styleId="234">
    <w:name w:val="WW8Num1z1"/>
    <w:qFormat/>
    <w:uiPriority w:val="0"/>
    <w:rPr>
      <w:rFonts w:ascii="Courier New" w:hAnsi="Courier New" w:eastAsia="Courier New" w:cs="Courier New"/>
      <w:position w:val="0"/>
      <w:sz w:val="24"/>
      <w:vertAlign w:val="baseline"/>
    </w:rPr>
  </w:style>
  <w:style w:type="character" w:customStyle="1" w:styleId="235">
    <w:name w:val="WW8Num2z5"/>
    <w:qFormat/>
    <w:uiPriority w:val="0"/>
    <w:rPr>
      <w:rFonts w:hint="default"/>
    </w:rPr>
  </w:style>
  <w:style w:type="character" w:customStyle="1" w:styleId="236">
    <w:name w:val="WW8Num8z1"/>
    <w:qFormat/>
    <w:uiPriority w:val="0"/>
    <w:rPr>
      <w:b/>
    </w:rPr>
  </w:style>
  <w:style w:type="character" w:customStyle="1" w:styleId="237">
    <w:name w:val="WW8Num9z1"/>
    <w:qFormat/>
    <w:uiPriority w:val="0"/>
    <w:rPr>
      <w:rFonts w:hint="default" w:ascii="Courier New" w:hAnsi="Courier New" w:cs="Courier New"/>
    </w:rPr>
  </w:style>
  <w:style w:type="character" w:customStyle="1" w:styleId="238">
    <w:name w:val="WW8Num9z2"/>
    <w:qFormat/>
    <w:uiPriority w:val="0"/>
    <w:rPr>
      <w:rFonts w:hint="default" w:ascii="Wingdings" w:hAnsi="Wingdings" w:cs="Wingdings"/>
    </w:rPr>
  </w:style>
  <w:style w:type="character" w:customStyle="1" w:styleId="239">
    <w:name w:val="WW8Num9z3"/>
    <w:qFormat/>
    <w:uiPriority w:val="0"/>
    <w:rPr>
      <w:rFonts w:hint="default" w:ascii="Symbol" w:hAnsi="Symbol" w:cs="Symbol"/>
    </w:rPr>
  </w:style>
  <w:style w:type="character" w:customStyle="1" w:styleId="240">
    <w:name w:val="WW8Num10z1"/>
    <w:qFormat/>
    <w:uiPriority w:val="0"/>
    <w:rPr>
      <w:rFonts w:hint="default"/>
    </w:rPr>
  </w:style>
  <w:style w:type="character" w:customStyle="1" w:styleId="241">
    <w:name w:val="WW8Num12z0"/>
    <w:qFormat/>
    <w:uiPriority w:val="0"/>
    <w:rPr>
      <w:rFonts w:hint="default"/>
      <w:b/>
    </w:rPr>
  </w:style>
  <w:style w:type="character" w:customStyle="1" w:styleId="242">
    <w:name w:val="WW8Num15z1"/>
    <w:qFormat/>
    <w:uiPriority w:val="0"/>
    <w:rPr>
      <w:rFonts w:hint="default"/>
      <w:b/>
      <w:color w:val="000000"/>
    </w:rPr>
  </w:style>
  <w:style w:type="character" w:customStyle="1" w:styleId="243">
    <w:name w:val="WW8Num15z2"/>
    <w:qFormat/>
    <w:uiPriority w:val="0"/>
    <w:rPr>
      <w:rFonts w:hint="default"/>
    </w:rPr>
  </w:style>
  <w:style w:type="paragraph" w:customStyle="1" w:styleId="244">
    <w:name w:val="Título4"/>
    <w:basedOn w:val="1"/>
    <w:next w:val="18"/>
    <w:qFormat/>
    <w:uiPriority w:val="0"/>
    <w:pPr>
      <w:keepNext/>
      <w:suppressAutoHyphens/>
      <w:spacing w:before="240" w:after="120"/>
    </w:pPr>
    <w:rPr>
      <w:rFonts w:ascii="Liberation Sans" w:hAnsi="Liberation Sans" w:eastAsia="Microsoft YaHei" w:cs="Lucida Sans"/>
      <w:sz w:val="28"/>
      <w:szCs w:val="28"/>
      <w:lang w:eastAsia="zh-CN"/>
    </w:rPr>
  </w:style>
  <w:style w:type="paragraph" w:customStyle="1" w:styleId="245">
    <w:name w:val="Título3"/>
    <w:basedOn w:val="1"/>
    <w:next w:val="18"/>
    <w:qFormat/>
    <w:uiPriority w:val="0"/>
    <w:pPr>
      <w:keepNext/>
      <w:suppressAutoHyphens/>
      <w:spacing w:before="240" w:after="120"/>
    </w:pPr>
    <w:rPr>
      <w:rFonts w:ascii="Liberation Sans" w:hAnsi="Liberation Sans" w:eastAsia="Microsoft YaHei" w:cs="Lucida Sans"/>
      <w:sz w:val="28"/>
      <w:szCs w:val="28"/>
      <w:lang w:eastAsia="zh-CN"/>
    </w:rPr>
  </w:style>
  <w:style w:type="paragraph" w:customStyle="1" w:styleId="246">
    <w:name w:val="Título2"/>
    <w:basedOn w:val="1"/>
    <w:next w:val="18"/>
    <w:qFormat/>
    <w:uiPriority w:val="0"/>
    <w:pPr>
      <w:keepNext/>
      <w:suppressAutoHyphens/>
      <w:spacing w:before="240" w:after="120"/>
    </w:pPr>
    <w:rPr>
      <w:rFonts w:ascii="Liberation Sans" w:hAnsi="Liberation Sans" w:eastAsia="Microsoft YaHei" w:cs="Lucida Sans"/>
      <w:sz w:val="28"/>
      <w:szCs w:val="28"/>
      <w:lang w:eastAsia="zh-CN"/>
    </w:rPr>
  </w:style>
  <w:style w:type="paragraph" w:customStyle="1" w:styleId="247">
    <w:name w:val="Cabeçalho e Rodapé1"/>
    <w:basedOn w:val="1"/>
    <w:qFormat/>
    <w:uiPriority w:val="0"/>
    <w:pPr>
      <w:suppressLineNumbers/>
      <w:tabs>
        <w:tab w:val="center" w:pos="4819"/>
        <w:tab w:val="right" w:pos="9638"/>
      </w:tabs>
      <w:suppressAutoHyphens/>
    </w:pPr>
    <w:rPr>
      <w:rFonts w:ascii="Times New Roman" w:hAnsi="Times New Roman" w:eastAsia="Times New Roman" w:cs="Times New Roman"/>
      <w:sz w:val="20"/>
      <w:szCs w:val="20"/>
      <w:lang w:eastAsia="zh-CN"/>
    </w:rPr>
  </w:style>
  <w:style w:type="paragraph" w:customStyle="1" w:styleId="248">
    <w:name w:val="Título de tabela"/>
    <w:basedOn w:val="215"/>
    <w:qFormat/>
    <w:uiPriority w:val="0"/>
    <w:pPr>
      <w:jc w:val="center"/>
    </w:pPr>
    <w:rPr>
      <w:b/>
      <w:bCs/>
    </w:rPr>
  </w:style>
  <w:style w:type="character" w:customStyle="1" w:styleId="249">
    <w:name w:val="Título 5 Char"/>
    <w:basedOn w:val="9"/>
    <w:link w:val="6"/>
    <w:qFormat/>
    <w:uiPriority w:val="0"/>
    <w:rPr>
      <w:rFonts w:ascii="Calibri" w:hAnsi="Calibri" w:eastAsia="Calibri" w:cs="Calibri"/>
      <w:b/>
      <w:bCs/>
      <w:sz w:val="22"/>
      <w:szCs w:val="22"/>
      <w:lang w:eastAsia="pt-BR"/>
    </w:rPr>
  </w:style>
  <w:style w:type="table" w:customStyle="1" w:styleId="250">
    <w:name w:val="TableNormal"/>
    <w:qFormat/>
    <w:uiPriority w:val="0"/>
    <w:pPr>
      <w:spacing w:after="160" w:line="259" w:lineRule="auto"/>
    </w:pPr>
    <w:rPr>
      <w:rFonts w:ascii="Calibri" w:hAnsi="Calibri" w:eastAsia="Calibri" w:cs="Calibri"/>
      <w:sz w:val="22"/>
      <w:szCs w:val="22"/>
    </w:rPr>
    <w:tblPr>
      <w:tblCellMar>
        <w:top w:w="100" w:type="dxa"/>
        <w:left w:w="100" w:type="dxa"/>
        <w:bottom w:w="100" w:type="dxa"/>
        <w:right w:w="100" w:type="dxa"/>
      </w:tblCellMar>
    </w:tblPr>
  </w:style>
  <w:style w:type="character" w:customStyle="1" w:styleId="251">
    <w:name w:val="Subtítulo Char"/>
    <w:basedOn w:val="9"/>
    <w:link w:val="35"/>
    <w:qFormat/>
    <w:uiPriority w:val="0"/>
    <w:rPr>
      <w:rFonts w:ascii="Georgia" w:hAnsi="Georgia" w:eastAsia="Georgia" w:cs="Georgia"/>
      <w:i/>
      <w:iCs/>
      <w:color w:val="666666"/>
      <w:sz w:val="48"/>
      <w:szCs w:val="48"/>
      <w:lang w:eastAsia="pt-BR"/>
    </w:rPr>
  </w:style>
  <w:style w:type="character" w:customStyle="1" w:styleId="252">
    <w:name w:val="blocks_popover_button"/>
    <w:basedOn w:val="9"/>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94</Pages>
  <Words>30564</Words>
  <Characters>165050</Characters>
  <Lines>1375</Lines>
  <Paragraphs>390</Paragraphs>
  <TotalTime>4</TotalTime>
  <ScaleCrop>false</ScaleCrop>
  <LinksUpToDate>false</LinksUpToDate>
  <CharactersWithSpaces>195224</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2026-06-08T14:16:00Z</dcterms:created>
  <dc:creator>barbara.lopo</dc:creator>
  <cp:lastModifiedBy>barbara.lopo</cp:lastModifiedBy>
  <dcterms:modified xsi:type="dcterms:W3CDTF">2026-07-28T11:57:11Z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eyJoZGlkIjoiOTI4ZTgwYjJkOWIwZGQ1ZDg5MmRkMDQ0Y2JkYjhlYzEifQ==</vt:lpwstr>
  </property>
  <property fmtid="{D5CDD505-2E9C-101B-9397-08002B2CF9AE}" pid="3" name="KSOProductBuildVer">
    <vt:lpwstr>1046-12.1.0.27458</vt:lpwstr>
  </property>
  <property fmtid="{D5CDD505-2E9C-101B-9397-08002B2CF9AE}" pid="4" name="ICV">
    <vt:lpwstr>90C354D1EC9E426B96413A415547446D_13</vt:lpwstr>
  </property>
</Properties>
</file>