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spacing w:before="0" w:after="0"/>
        <w:ind w:hanging="0" w:left="0" w:right="0"/>
        <w:jc w:val="center"/>
        <w:rPr>
          <w:sz w:val="20"/>
          <w:szCs w:val="20"/>
          <w:lang w:val="pt-BR"/>
        </w:rPr>
      </w:pPr>
      <w:r>
        <w:rPr/>
        <w:drawing>
          <wp:anchor behindDoc="1" distT="0" distB="0" distL="114300" distR="114300" simplePos="0" locked="0" layoutInCell="0" allowOverlap="1" relativeHeight="2">
            <wp:simplePos x="0" y="0"/>
            <wp:positionH relativeFrom="column">
              <wp:posOffset>2712720</wp:posOffset>
            </wp:positionH>
            <wp:positionV relativeFrom="paragraph">
              <wp:posOffset>-135255</wp:posOffset>
            </wp:positionV>
            <wp:extent cx="574675" cy="616585"/>
            <wp:effectExtent l="0" t="0" r="0" b="0"/>
            <wp:wrapSquare wrapText="bothSides"/>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574675" cy="616585"/>
                    </a:xfrm>
                    <a:prstGeom prst="rect">
                      <a:avLst/>
                    </a:prstGeom>
                    <a:noFill/>
                  </pic:spPr>
                </pic:pic>
              </a:graphicData>
            </a:graphic>
          </wp:anchor>
        </w:drawing>
      </w:r>
    </w:p>
    <w:p>
      <w:pPr>
        <w:pStyle w:val="Title"/>
        <w:spacing w:before="0" w:after="0"/>
        <w:ind w:hanging="0" w:left="0" w:right="0"/>
        <w:jc w:val="center"/>
        <w:rPr>
          <w:sz w:val="20"/>
          <w:szCs w:val="20"/>
          <w:lang w:val="pt-BR"/>
        </w:rPr>
      </w:pPr>
      <w:r>
        <w:rPr/>
      </w:r>
    </w:p>
    <w:p>
      <w:pPr>
        <w:pStyle w:val="Title"/>
        <w:spacing w:before="0" w:after="0"/>
        <w:ind w:hanging="0" w:left="0" w:right="0"/>
        <w:jc w:val="center"/>
        <w:rPr>
          <w:sz w:val="20"/>
          <w:szCs w:val="20"/>
          <w:lang w:val="pt-BR"/>
        </w:rPr>
      </w:pPr>
      <w:r>
        <w:rPr/>
      </w:r>
    </w:p>
    <w:p>
      <w:pPr>
        <w:pStyle w:val="Title"/>
        <w:spacing w:before="0" w:after="0"/>
        <w:ind w:hanging="0" w:left="0" w:right="0"/>
        <w:jc w:val="center"/>
        <w:rPr>
          <w:sz w:val="20"/>
          <w:szCs w:val="20"/>
          <w:lang w:val="pt-BR"/>
        </w:rPr>
      </w:pPr>
      <w:r>
        <w:rPr/>
      </w:r>
    </w:p>
    <w:p>
      <w:pPr>
        <w:pStyle w:val="Title"/>
        <w:spacing w:before="0" w:after="0"/>
        <w:ind w:hanging="0" w:left="0" w:right="0"/>
        <w:jc w:val="center"/>
        <w:rPr>
          <w:sz w:val="20"/>
          <w:szCs w:val="20"/>
          <w:lang w:val="pt-BR"/>
        </w:rPr>
      </w:pPr>
      <w:r>
        <w:rPr/>
      </w:r>
    </w:p>
    <w:p>
      <w:pPr>
        <w:pStyle w:val="Title"/>
        <w:spacing w:before="0" w:after="0"/>
        <w:ind w:hanging="0" w:left="0" w:right="0"/>
        <w:jc w:val="center"/>
        <w:rPr>
          <w:sz w:val="20"/>
          <w:szCs w:val="20"/>
          <w:lang w:val="pt-BR"/>
        </w:rPr>
      </w:pPr>
      <w:r>
        <w:rPr>
          <w:sz w:val="20"/>
          <w:szCs w:val="20"/>
          <w:lang w:val="pt-BR"/>
        </w:rPr>
        <w:t>TERMO DE REFERENCIA</w:t>
      </w:r>
    </w:p>
    <w:p>
      <w:pPr>
        <w:pStyle w:val="Title"/>
        <w:spacing w:before="0" w:after="0"/>
        <w:ind w:hanging="0" w:left="0" w:right="0"/>
        <w:jc w:val="center"/>
        <w:rPr>
          <w:sz w:val="20"/>
          <w:szCs w:val="20"/>
          <w:lang w:val="pt-BR"/>
        </w:rPr>
      </w:pPr>
      <w:r>
        <w:rPr>
          <w:sz w:val="20"/>
          <w:szCs w:val="20"/>
          <w:lang w:val="pt-BR"/>
        </w:rPr>
      </w:r>
    </w:p>
    <w:p>
      <w:pPr>
        <w:pStyle w:val="Title"/>
        <w:spacing w:before="0" w:after="0"/>
        <w:ind w:hanging="0" w:left="0" w:right="0"/>
        <w:jc w:val="center"/>
        <w:rPr>
          <w:sz w:val="20"/>
          <w:szCs w:val="20"/>
          <w:lang w:val="pt-BR"/>
        </w:rPr>
      </w:pPr>
      <w:r>
        <w:rPr>
          <w:sz w:val="20"/>
          <w:szCs w:val="20"/>
          <w:lang w:val="pt-BR"/>
        </w:rPr>
      </w:r>
    </w:p>
    <w:p>
      <w:pPr>
        <w:pStyle w:val="BodyText"/>
        <w:ind w:left="0"/>
        <w:jc w:val="left"/>
        <w:rPr>
          <w:rFonts w:ascii="Arial" w:hAnsi="Arial" w:cs="Arial"/>
          <w:b/>
          <w:sz w:val="20"/>
          <w:szCs w:val="20"/>
          <w:lang w:val="pt-BR"/>
        </w:rPr>
      </w:pPr>
      <w:r>
        <w:rPr>
          <w:rFonts w:cs="Arial" w:ascii="Arial" w:hAnsi="Arial"/>
          <w:b/>
          <w:sz w:val="20"/>
          <w:szCs w:val="20"/>
          <w:lang w:val="pt-BR"/>
        </w:rPr>
      </w:r>
    </w:p>
    <w:p>
      <w:pPr>
        <w:pStyle w:val="Heading1"/>
        <w:tabs>
          <w:tab w:val="clear" w:pos="720"/>
          <w:tab w:val="left" w:pos="712" w:leader="none"/>
        </w:tabs>
        <w:ind w:hanging="0" w:left="0"/>
        <w:jc w:val="both"/>
        <w:rPr>
          <w:sz w:val="20"/>
          <w:szCs w:val="20"/>
          <w:lang w:val="pt-BR"/>
        </w:rPr>
      </w:pPr>
      <w:r>
        <w:rPr>
          <w:sz w:val="20"/>
          <w:szCs w:val="20"/>
          <w:lang w:val="pt-BR"/>
        </w:rPr>
        <w:t>1. DAS CONDIÇÕES GERAIS DA CONTRATAÇÃO:</w:t>
      </w:r>
    </w:p>
    <w:p>
      <w:pPr>
        <w:pStyle w:val="Heading1"/>
        <w:tabs>
          <w:tab w:val="clear" w:pos="720"/>
          <w:tab w:val="left" w:pos="712" w:leader="none"/>
        </w:tabs>
        <w:ind w:hanging="0" w:left="0"/>
        <w:jc w:val="both"/>
        <w:rPr>
          <w:b w:val="false"/>
          <w:bCs w:val="false"/>
          <w:sz w:val="20"/>
          <w:szCs w:val="20"/>
          <w:lang w:val="pt-BR"/>
        </w:rPr>
      </w:pPr>
      <w:r>
        <w:rPr>
          <w:b w:val="false"/>
          <w:bCs w:val="false"/>
          <w:sz w:val="20"/>
          <w:szCs w:val="20"/>
          <w:lang w:val="pt-BR"/>
        </w:rPr>
      </w:r>
    </w:p>
    <w:p>
      <w:pPr>
        <w:pStyle w:val="ListParagraph"/>
        <w:tabs>
          <w:tab w:val="clear" w:pos="720"/>
          <w:tab w:val="left" w:pos="979" w:leader="none"/>
        </w:tabs>
        <w:ind w:left="0"/>
        <w:rPr>
          <w:rFonts w:ascii="Arial" w:hAnsi="Arial" w:cs="Arial"/>
          <w:sz w:val="20"/>
          <w:szCs w:val="20"/>
          <w:lang w:val="pt-BR"/>
        </w:rPr>
      </w:pPr>
      <w:r>
        <w:rPr>
          <w:rFonts w:cs="Arial" w:ascii="Arial" w:hAnsi="Arial"/>
          <w:sz w:val="20"/>
          <w:szCs w:val="20"/>
        </w:rPr>
        <w:t>Contratação de pessoa jurídica para fornecimento de fardamento para servidores da área técnica e administrativa do SAAE Taperoá/Ba</w:t>
      </w:r>
      <w:r>
        <w:rPr>
          <w:rFonts w:cs="Arial" w:ascii="Arial" w:hAnsi="Arial"/>
          <w:sz w:val="20"/>
          <w:szCs w:val="20"/>
          <w:lang w:val="pt-BR"/>
        </w:rPr>
        <w:t>, conforme condições, especificações, quantitativos e exigências presentes neste Termo.</w:t>
      </w:r>
    </w:p>
    <w:p>
      <w:pPr>
        <w:pStyle w:val="BodyText"/>
        <w:ind w:left="0"/>
        <w:jc w:val="left"/>
        <w:rPr>
          <w:rFonts w:ascii="Arial" w:hAnsi="Arial" w:cs="Arial"/>
          <w:sz w:val="20"/>
          <w:szCs w:val="20"/>
          <w:lang w:val="pt-BR"/>
        </w:rPr>
      </w:pPr>
      <w:r>
        <w:rPr>
          <w:rFonts w:cs="Arial" w:ascii="Arial" w:hAnsi="Arial"/>
          <w:sz w:val="20"/>
          <w:szCs w:val="20"/>
          <w:lang w:val="pt-BR"/>
        </w:rPr>
      </w:r>
    </w:p>
    <w:p>
      <w:pPr>
        <w:pStyle w:val="ListParagraph"/>
        <w:tabs>
          <w:tab w:val="clear" w:pos="720"/>
          <w:tab w:val="left" w:pos="892" w:leader="none"/>
        </w:tabs>
        <w:ind w:left="0"/>
        <w:rPr>
          <w:rFonts w:ascii="Arial" w:hAnsi="Arial" w:cs="Arial"/>
          <w:sz w:val="20"/>
          <w:szCs w:val="20"/>
          <w:lang w:val="pt-BR"/>
        </w:rPr>
      </w:pPr>
      <w:r>
        <w:rPr>
          <w:rFonts w:cs="Arial" w:ascii="Arial" w:hAnsi="Arial"/>
          <w:sz w:val="20"/>
          <w:szCs w:val="20"/>
          <w:lang w:val="pt-BR"/>
        </w:rPr>
        <w:t>Os bens referenciados pelo presente Termo de Referência não se enquadram como bens de luxo, bem como possuem natureza comum, pois seus padrões de desempenho e qualidade podem ser objetivamente definidos por meio de especificações usuais de mercado, conforme art. 6º, XIII da Lei nº 14.133/2021.</w:t>
      </w:r>
    </w:p>
    <w:p>
      <w:pPr>
        <w:pStyle w:val="ListParagraph"/>
        <w:tabs>
          <w:tab w:val="clear" w:pos="720"/>
          <w:tab w:val="left" w:pos="892"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87" w:leader="none"/>
        </w:tabs>
        <w:ind w:left="0"/>
        <w:rPr>
          <w:rFonts w:ascii="Arial" w:hAnsi="Arial" w:cs="Arial"/>
          <w:sz w:val="20"/>
          <w:szCs w:val="20"/>
          <w:lang w:val="pt-BR"/>
        </w:rPr>
      </w:pPr>
      <w:r>
        <w:rPr>
          <w:rFonts w:cs="Arial" w:ascii="Arial" w:hAnsi="Arial"/>
          <w:sz w:val="20"/>
          <w:szCs w:val="20"/>
          <w:lang w:val="pt-BR"/>
        </w:rPr>
        <w:t>O critério de julgamento será o menor preço global.</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712" w:leader="none"/>
        </w:tabs>
        <w:ind w:hanging="0" w:left="0"/>
        <w:jc w:val="both"/>
        <w:rPr>
          <w:sz w:val="20"/>
          <w:szCs w:val="20"/>
          <w:lang w:val="pt-BR"/>
        </w:rPr>
      </w:pPr>
      <w:r>
        <w:rPr>
          <w:sz w:val="20"/>
          <w:szCs w:val="20"/>
          <w:lang w:val="pt-BR"/>
        </w:rPr>
        <w:t>2. DA FUNDAMENTAÇÃO DA NECESSIDADE DE CONTRATAÇÃO:</w:t>
      </w:r>
    </w:p>
    <w:p>
      <w:pPr>
        <w:pStyle w:val="Heading1"/>
        <w:tabs>
          <w:tab w:val="clear" w:pos="720"/>
          <w:tab w:val="left" w:pos="712" w:leader="none"/>
        </w:tabs>
        <w:ind w:hanging="0" w:left="0"/>
        <w:jc w:val="both"/>
        <w:rPr>
          <w:b w:val="false"/>
          <w:bCs w:val="false"/>
          <w:sz w:val="20"/>
          <w:szCs w:val="20"/>
          <w:lang w:val="pt-BR"/>
        </w:rPr>
      </w:pPr>
      <w:r>
        <w:rPr>
          <w:b w:val="false"/>
          <w:bCs w:val="false"/>
          <w:sz w:val="20"/>
          <w:szCs w:val="20"/>
          <w:lang w:val="pt-BR"/>
        </w:rPr>
      </w:r>
    </w:p>
    <w:p>
      <w:pPr>
        <w:pStyle w:val="ListParagraph"/>
        <w:tabs>
          <w:tab w:val="clear" w:pos="720"/>
          <w:tab w:val="left" w:pos="878" w:leader="none"/>
        </w:tabs>
        <w:ind w:left="0"/>
        <w:rPr>
          <w:rFonts w:ascii="Arial" w:hAnsi="Arial" w:cs="Arial"/>
          <w:sz w:val="20"/>
          <w:szCs w:val="20"/>
          <w:lang w:val="pt-BR"/>
        </w:rPr>
      </w:pPr>
      <w:r>
        <w:rPr>
          <w:rFonts w:cs="Arial" w:ascii="Arial" w:hAnsi="Arial"/>
          <w:sz w:val="20"/>
          <w:szCs w:val="20"/>
          <w:lang w:val="pt-BR"/>
        </w:rPr>
        <w:t>Considerando a reduzida complexidade do objeto e seus requisitos, não foi necessária a elaboração de estudo técnico preliminar e da análise de risco, nos termos do art. 72, I da lei nº 14.133/2021.</w:t>
      </w:r>
    </w:p>
    <w:p>
      <w:pPr>
        <w:pStyle w:val="ListParagraph"/>
        <w:tabs>
          <w:tab w:val="clear" w:pos="720"/>
          <w:tab w:val="left" w:pos="911"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11" w:leader="none"/>
        </w:tabs>
        <w:ind w:left="0"/>
        <w:rPr>
          <w:rFonts w:ascii="Arial" w:hAnsi="Arial" w:cs="Arial"/>
          <w:sz w:val="20"/>
          <w:szCs w:val="20"/>
          <w:lang w:val="pt-BR"/>
        </w:rPr>
      </w:pPr>
      <w:r>
        <w:rPr>
          <w:rFonts w:cs="Arial" w:ascii="Arial" w:hAnsi="Arial"/>
          <w:sz w:val="20"/>
          <w:szCs w:val="20"/>
          <w:lang w:val="pt-BR"/>
        </w:rPr>
        <w:t>Justifica-se a presente aquisição de fardamentos, em virtude da necessidade de renovação das peças dos fardamentos utilizados pelos servidores deste SAAE, em função dos mesmos não mais estarem em boas condições de uso.</w:t>
      </w:r>
    </w:p>
    <w:p>
      <w:pPr>
        <w:pStyle w:val="ListParagraph"/>
        <w:tabs>
          <w:tab w:val="clear" w:pos="720"/>
          <w:tab w:val="left" w:pos="899"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99" w:leader="none"/>
        </w:tabs>
        <w:ind w:left="0"/>
        <w:rPr>
          <w:rFonts w:ascii="Arial" w:hAnsi="Arial" w:cs="Arial"/>
          <w:sz w:val="20"/>
          <w:szCs w:val="20"/>
          <w:lang w:val="pt-BR"/>
        </w:rPr>
      </w:pPr>
      <w:r>
        <w:rPr>
          <w:rFonts w:cs="Arial" w:ascii="Arial" w:hAnsi="Arial"/>
          <w:sz w:val="20"/>
          <w:szCs w:val="20"/>
          <w:lang w:val="pt-BR"/>
        </w:rPr>
        <w:t>Considerando que o último procedimento para aquisição de fardamentos do SAAE, ocorreu em 2022, faz-se necessário a abertura de novo procedimento, objetivando a substituição das peças de roupas que se encontrarem desgastadas pelo uso natural e/ou que venham a se desgastar/estragar no decorrer de mais de doze meses.</w:t>
      </w:r>
    </w:p>
    <w:p>
      <w:pPr>
        <w:pStyle w:val="ListParagraph"/>
        <w:tabs>
          <w:tab w:val="clear" w:pos="720"/>
          <w:tab w:val="left" w:pos="911"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11" w:leader="none"/>
        </w:tabs>
        <w:ind w:left="0"/>
        <w:rPr>
          <w:rFonts w:ascii="Arial" w:hAnsi="Arial" w:cs="Arial"/>
          <w:sz w:val="20"/>
          <w:szCs w:val="20"/>
          <w:lang w:val="pt-BR"/>
        </w:rPr>
      </w:pPr>
      <w:r>
        <w:rPr>
          <w:rFonts w:cs="Arial" w:ascii="Arial" w:hAnsi="Arial"/>
          <w:sz w:val="20"/>
          <w:szCs w:val="20"/>
          <w:lang w:val="pt-BR"/>
        </w:rPr>
        <w:t>Considerando ainda, o curto prazo para formalização tradicional da contratação e a logística do fornecimento dos produtos a pesquisa de preço será realizada com fornecedores locais visando tornar mais viável e seguro o fornecimento do objeto deste termo, através de solicitação formal, observando o disposto na IN nº 65/2021.</w:t>
      </w:r>
    </w:p>
    <w:p>
      <w:pPr>
        <w:pStyle w:val="ListParagraph"/>
        <w:tabs>
          <w:tab w:val="clear" w:pos="720"/>
          <w:tab w:val="left" w:pos="895"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95" w:leader="none"/>
        </w:tabs>
        <w:ind w:left="0"/>
        <w:rPr>
          <w:rFonts w:ascii="Arial" w:hAnsi="Arial" w:cs="Arial"/>
          <w:sz w:val="20"/>
          <w:szCs w:val="20"/>
          <w:lang w:val="pt-BR"/>
        </w:rPr>
      </w:pPr>
      <w:r>
        <w:rPr>
          <w:rFonts w:cs="Arial" w:ascii="Arial" w:hAnsi="Arial"/>
          <w:sz w:val="20"/>
          <w:szCs w:val="20"/>
          <w:lang w:val="pt-BR"/>
        </w:rPr>
        <w:t>Portanto, a aquisição em tela, tem por finalidade o atendimento das necessidades aqui apontadas pela Divisão Administrativa e Divisão Técnica, imprescindíveis no desempenho das suas atividades.</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712" w:leader="none"/>
        </w:tabs>
        <w:ind w:hanging="0" w:left="0"/>
        <w:jc w:val="both"/>
        <w:rPr>
          <w:sz w:val="20"/>
          <w:szCs w:val="20"/>
          <w:lang w:val="pt-BR"/>
        </w:rPr>
      </w:pPr>
      <w:r>
        <w:rPr>
          <w:sz w:val="20"/>
          <w:szCs w:val="20"/>
          <w:lang w:val="pt-BR"/>
        </w:rPr>
        <w:t>3. DA FUNDAMENTAÇÃO LEGAL:</w:t>
      </w:r>
    </w:p>
    <w:p>
      <w:pPr>
        <w:pStyle w:val="Heading1"/>
        <w:tabs>
          <w:tab w:val="clear" w:pos="720"/>
          <w:tab w:val="left" w:pos="712" w:leader="none"/>
        </w:tabs>
        <w:ind w:hanging="0" w:left="0"/>
        <w:jc w:val="both"/>
        <w:rPr>
          <w:b w:val="false"/>
          <w:bCs w:val="false"/>
          <w:sz w:val="20"/>
          <w:szCs w:val="20"/>
          <w:lang w:val="pt-BR"/>
        </w:rPr>
      </w:pPr>
      <w:r>
        <w:rPr>
          <w:b w:val="false"/>
          <w:bCs w:val="false"/>
          <w:sz w:val="20"/>
          <w:szCs w:val="20"/>
          <w:lang w:val="pt-BR"/>
        </w:rPr>
      </w:r>
    </w:p>
    <w:p>
      <w:pPr>
        <w:pStyle w:val="ListParagraph"/>
        <w:tabs>
          <w:tab w:val="clear" w:pos="720"/>
          <w:tab w:val="left" w:pos="707" w:leader="none"/>
          <w:tab w:val="left" w:pos="902" w:leader="none"/>
        </w:tabs>
        <w:ind w:left="0"/>
        <w:rPr>
          <w:rFonts w:ascii="Arial" w:hAnsi="Arial" w:cs="Arial"/>
          <w:sz w:val="20"/>
          <w:szCs w:val="20"/>
          <w:lang w:val="pt-BR"/>
        </w:rPr>
      </w:pPr>
      <w:r>
        <w:rPr>
          <w:rFonts w:cs="Arial" w:ascii="Arial" w:hAnsi="Arial"/>
          <w:sz w:val="20"/>
          <w:szCs w:val="20"/>
          <w:lang w:val="pt-BR"/>
        </w:rPr>
        <w:t>O processo de dispensa de licitação objeto deste Termo de Referência obedecerá, integralmente ao disposto no artigo 75, inciso II, da Lei Federal nº 14.133/2021.</w:t>
      </w:r>
    </w:p>
    <w:p>
      <w:pPr>
        <w:pStyle w:val="ListParagraph"/>
        <w:tabs>
          <w:tab w:val="clear" w:pos="720"/>
          <w:tab w:val="left" w:pos="707" w:leader="none"/>
          <w:tab w:val="left" w:pos="902"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707" w:leader="none"/>
          <w:tab w:val="left" w:pos="902" w:leader="none"/>
        </w:tabs>
        <w:ind w:left="0"/>
        <w:rPr>
          <w:rFonts w:ascii="Arial" w:hAnsi="Arial" w:cs="Arial"/>
          <w:sz w:val="20"/>
          <w:szCs w:val="20"/>
          <w:lang w:val="pt-BR"/>
        </w:rPr>
      </w:pPr>
      <w:r>
        <w:rPr>
          <w:rFonts w:cs="Arial" w:ascii="Arial" w:hAnsi="Arial"/>
          <w:sz w:val="20"/>
          <w:szCs w:val="20"/>
          <w:lang w:val="pt-BR"/>
        </w:rPr>
        <w:t>3.1. DESCRIÇÃO DA SOLUÇÃO COMO UM TODO CONSIDERADO O CICLO DE VIDA DO OBJETO E ESPECIFICAÇÃO DO PRODUTO:</w:t>
      </w:r>
    </w:p>
    <w:p>
      <w:pPr>
        <w:pStyle w:val="ListParagraph"/>
        <w:tabs>
          <w:tab w:val="clear" w:pos="720"/>
          <w:tab w:val="left" w:pos="707" w:leader="none"/>
          <w:tab w:val="left" w:pos="902" w:leader="none"/>
        </w:tabs>
        <w:ind w:left="0"/>
        <w:rPr>
          <w:rFonts w:ascii="Arial" w:hAnsi="Arial" w:cs="Arial"/>
          <w:sz w:val="20"/>
          <w:szCs w:val="20"/>
          <w:lang w:val="pt-BR"/>
        </w:rPr>
      </w:pPr>
      <w:r>
        <w:rPr>
          <w:rFonts w:cs="Arial" w:ascii="Arial" w:hAnsi="Arial"/>
          <w:sz w:val="20"/>
          <w:szCs w:val="20"/>
          <w:lang w:val="pt-BR"/>
        </w:rPr>
      </w:r>
    </w:p>
    <w:p>
      <w:pPr>
        <w:pStyle w:val="BodyText"/>
        <w:ind w:left="0"/>
        <w:rPr>
          <w:rFonts w:ascii="Arial" w:hAnsi="Arial" w:cs="Arial"/>
          <w:sz w:val="20"/>
          <w:szCs w:val="20"/>
          <w:lang w:val="pt-BR"/>
        </w:rPr>
      </w:pPr>
      <w:r>
        <w:rPr>
          <w:rFonts w:cs="Arial" w:ascii="Arial" w:hAnsi="Arial"/>
          <w:sz w:val="20"/>
          <w:szCs w:val="20"/>
          <w:lang w:val="pt-BR"/>
        </w:rPr>
        <w:t>A descrição da solução como um todo abrange a aquisição de fardamentos, por empresa especializada para tal fim, para serem utilizados nas atividades do SAAE, objetivando a substituição dos atuais diante do desgaste usual do tempo.</w:t>
      </w:r>
    </w:p>
    <w:p>
      <w:pPr>
        <w:pStyle w:val="BodyText"/>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73" w:leader="none"/>
        </w:tabs>
        <w:ind w:left="0"/>
        <w:rPr>
          <w:rFonts w:ascii="Arial" w:hAnsi="Arial" w:cs="Arial"/>
          <w:sz w:val="20"/>
          <w:szCs w:val="20"/>
          <w:lang w:val="pt-BR"/>
        </w:rPr>
      </w:pPr>
      <w:r>
        <w:rPr>
          <w:rFonts w:cs="Arial" w:ascii="Arial" w:hAnsi="Arial"/>
          <w:sz w:val="20"/>
          <w:szCs w:val="20"/>
          <w:lang w:val="pt-BR"/>
        </w:rPr>
        <w:t xml:space="preserve">A empresa contratada terá </w:t>
      </w:r>
      <w:r>
        <w:rPr>
          <w:rFonts w:cs="Arial" w:ascii="Arial" w:hAnsi="Arial"/>
          <w:sz w:val="20"/>
          <w:szCs w:val="20"/>
          <w:shd w:fill="auto" w:val="clear"/>
          <w:lang w:val="pt-BR"/>
        </w:rPr>
        <w:t>05 (cinco) dias corridos,</w:t>
      </w:r>
      <w:r>
        <w:rPr>
          <w:rFonts w:cs="Arial" w:ascii="Arial" w:hAnsi="Arial"/>
          <w:sz w:val="20"/>
          <w:szCs w:val="20"/>
          <w:lang w:val="pt-BR"/>
        </w:rPr>
        <w:t xml:space="preserve"> após o recebimento da Nota de Empenho emitida, onde constará a quantidade e a numeração do fardamento de cada funcionário, para conferência das medidas que se fizerem necessárias, visando à perfeita entrega das peças objeto deste Termo.</w:t>
      </w:r>
    </w:p>
    <w:p>
      <w:pPr>
        <w:pStyle w:val="ListParagraph"/>
        <w:tabs>
          <w:tab w:val="clear" w:pos="720"/>
          <w:tab w:val="left" w:pos="873"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26" w:leader="none"/>
        </w:tabs>
        <w:ind w:left="0"/>
        <w:rPr>
          <w:rFonts w:ascii="Arial" w:hAnsi="Arial" w:cs="Arial"/>
          <w:sz w:val="20"/>
          <w:szCs w:val="20"/>
          <w:lang w:val="pt-BR"/>
        </w:rPr>
      </w:pPr>
      <w:r>
        <w:rPr>
          <w:rFonts w:cs="Arial" w:ascii="Arial" w:hAnsi="Arial"/>
          <w:sz w:val="20"/>
          <w:szCs w:val="20"/>
          <w:lang w:val="pt-BR"/>
        </w:rPr>
        <w:t>A entrega dos fardamentos deverá ser realizada nas dependências do SAAE, através da disponibilização de funcionário da própria empresa.</w:t>
      </w:r>
    </w:p>
    <w:p>
      <w:pPr>
        <w:pStyle w:val="ListParagraph"/>
        <w:tabs>
          <w:tab w:val="clear" w:pos="720"/>
          <w:tab w:val="left" w:pos="926"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87" w:leader="none"/>
        </w:tabs>
        <w:ind w:left="0"/>
        <w:rPr>
          <w:rFonts w:ascii="Arial" w:hAnsi="Arial" w:cs="Arial"/>
          <w:sz w:val="20"/>
          <w:szCs w:val="20"/>
          <w:lang w:val="pt-BR"/>
        </w:rPr>
      </w:pPr>
      <w:r>
        <w:rPr>
          <w:rFonts w:cs="Arial" w:ascii="Arial" w:hAnsi="Arial"/>
          <w:sz w:val="20"/>
          <w:szCs w:val="20"/>
          <w:lang w:val="pt-BR"/>
        </w:rPr>
        <w:t>A empresa contratada deverá disponibilizar um ou mais funcionários para conferência das medidas dos servidores no intuito de que sejam tiradas de forma correta e precisa, considerando as particularidades do corpo de cada um e as características dos fardamentos. Fato que visa minimizar o risco de erros que podem resultar em fardamentos mal ajustados, causando desconforto e insatisfação.</w:t>
      </w:r>
    </w:p>
    <w:p>
      <w:pPr>
        <w:pStyle w:val="ListParagraph"/>
        <w:tabs>
          <w:tab w:val="clear" w:pos="720"/>
          <w:tab w:val="left" w:pos="887"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92" w:leader="none"/>
        </w:tabs>
        <w:ind w:left="0"/>
        <w:rPr>
          <w:rFonts w:ascii="Arial" w:hAnsi="Arial" w:cs="Arial"/>
          <w:sz w:val="20"/>
          <w:szCs w:val="20"/>
          <w:lang w:val="pt-BR"/>
        </w:rPr>
      </w:pPr>
      <w:r>
        <w:rPr>
          <w:rFonts w:cs="Arial" w:ascii="Arial" w:hAnsi="Arial"/>
          <w:sz w:val="20"/>
          <w:szCs w:val="20"/>
          <w:lang w:val="pt-BR"/>
        </w:rPr>
        <w:t>A empresa contratada deverá proceder à entrega dos fardamentos na sede do SAAE, a cada servidor constante da relação própria, salvo em alguns casos, a pedido do Divisão Administrativa e Divisão Técnica, os produtos poderão ser entregues no estabelecimento da empresa contratada.</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712" w:leader="none"/>
        </w:tabs>
        <w:ind w:hanging="0" w:left="0"/>
        <w:rPr>
          <w:sz w:val="20"/>
          <w:szCs w:val="20"/>
          <w:lang w:val="pt-BR"/>
        </w:rPr>
      </w:pPr>
      <w:r>
        <w:rPr>
          <w:sz w:val="20"/>
          <w:szCs w:val="20"/>
          <w:lang w:val="pt-BR"/>
        </w:rPr>
        <w:t>4. REQUISITOS DA CONTRATAÇÃO:</w:t>
      </w:r>
    </w:p>
    <w:p>
      <w:pPr>
        <w:pStyle w:val="Heading1"/>
        <w:tabs>
          <w:tab w:val="clear" w:pos="720"/>
          <w:tab w:val="left" w:pos="712" w:leader="none"/>
        </w:tabs>
        <w:ind w:hanging="0" w:left="0"/>
        <w:rPr>
          <w:b w:val="false"/>
          <w:bCs w:val="false"/>
          <w:sz w:val="20"/>
          <w:szCs w:val="20"/>
          <w:lang w:val="pt-BR"/>
        </w:rPr>
      </w:pPr>
      <w:r>
        <w:rPr>
          <w:b w:val="false"/>
          <w:bCs w:val="false"/>
          <w:sz w:val="20"/>
          <w:szCs w:val="20"/>
          <w:lang w:val="pt-BR"/>
        </w:rPr>
      </w:r>
    </w:p>
    <w:p>
      <w:pPr>
        <w:pStyle w:val="ListParagraph"/>
        <w:tabs>
          <w:tab w:val="clear" w:pos="720"/>
          <w:tab w:val="left" w:pos="943" w:leader="none"/>
        </w:tabs>
        <w:ind w:left="0"/>
        <w:rPr>
          <w:rFonts w:ascii="Arial" w:hAnsi="Arial" w:cs="Arial"/>
          <w:sz w:val="20"/>
          <w:szCs w:val="20"/>
          <w:lang w:val="pt-BR"/>
        </w:rPr>
      </w:pPr>
      <w:r>
        <w:rPr>
          <w:rFonts w:cs="Arial" w:ascii="Arial" w:hAnsi="Arial"/>
          <w:sz w:val="20"/>
          <w:szCs w:val="20"/>
          <w:lang w:val="pt-BR"/>
        </w:rPr>
        <w:t>A dispensa de licitação, objeto deste Termo de Referência obedecerá, integralmente ao disposto no inciso II do art. 75 da Lei 14.133/2021.</w:t>
      </w:r>
    </w:p>
    <w:p>
      <w:pPr>
        <w:pStyle w:val="ListParagraph"/>
        <w:tabs>
          <w:tab w:val="clear" w:pos="720"/>
          <w:tab w:val="left" w:pos="943"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40" w:leader="none"/>
        </w:tabs>
        <w:ind w:left="0"/>
        <w:rPr>
          <w:rFonts w:ascii="Arial" w:hAnsi="Arial" w:cs="Arial"/>
          <w:sz w:val="20"/>
          <w:szCs w:val="20"/>
          <w:lang w:val="pt-BR"/>
        </w:rPr>
      </w:pPr>
      <w:r>
        <w:rPr>
          <w:rFonts w:cs="Arial" w:ascii="Arial" w:hAnsi="Arial"/>
          <w:sz w:val="20"/>
          <w:szCs w:val="20"/>
          <w:lang w:val="pt-BR"/>
        </w:rPr>
        <w:t>É de responsabilidade da empresa contratada todos as despesas, custos diretos e indiretos incidentes sobre a aquisição, tais como tributos, tarifas, taxas, emolumentos, lucro, materiais, serviços, seguros, fretes e demais despesas operacionais, bem como todos os encargos trabalhistas, previdenciários, fiscais, comerciais, despesas e obrigações financeiras de qualquer natureza, necessários à perfeita execução do objeto.</w:t>
      </w:r>
    </w:p>
    <w:p>
      <w:pPr>
        <w:pStyle w:val="ListParagraph"/>
        <w:tabs>
          <w:tab w:val="clear" w:pos="720"/>
          <w:tab w:val="left" w:pos="94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87" w:leader="none"/>
        </w:tabs>
        <w:ind w:left="0"/>
        <w:rPr>
          <w:rFonts w:ascii="Arial" w:hAnsi="Arial" w:cs="Arial"/>
          <w:sz w:val="20"/>
          <w:szCs w:val="20"/>
          <w:lang w:val="pt-BR"/>
        </w:rPr>
      </w:pPr>
      <w:r>
        <w:rPr>
          <w:rFonts w:cs="Arial" w:ascii="Arial" w:hAnsi="Arial"/>
          <w:sz w:val="20"/>
          <w:szCs w:val="20"/>
          <w:lang w:val="pt-BR"/>
        </w:rPr>
        <w:t>Não é admitida a subcontratação do objeto contratual.</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710" w:leader="none"/>
        </w:tabs>
        <w:ind w:hanging="0" w:left="0"/>
        <w:rPr>
          <w:sz w:val="20"/>
          <w:szCs w:val="20"/>
          <w:lang w:val="pt-BR"/>
        </w:rPr>
      </w:pPr>
      <w:r>
        <w:rPr>
          <w:sz w:val="20"/>
          <w:szCs w:val="20"/>
          <w:lang w:val="pt-BR"/>
        </w:rPr>
        <w:t>5. MODELO DE EXECUÇÃO DO OBJETO:</w:t>
      </w:r>
    </w:p>
    <w:p>
      <w:pPr>
        <w:pStyle w:val="Heading1"/>
        <w:tabs>
          <w:tab w:val="clear" w:pos="720"/>
          <w:tab w:val="left" w:pos="710" w:leader="none"/>
        </w:tabs>
        <w:ind w:hanging="0" w:left="0"/>
        <w:rPr>
          <w:b w:val="false"/>
          <w:bCs w:val="false"/>
          <w:sz w:val="20"/>
          <w:szCs w:val="20"/>
          <w:lang w:val="pt-BR"/>
        </w:rPr>
      </w:pPr>
      <w:r>
        <w:rPr>
          <w:b w:val="false"/>
          <w:bCs w:val="false"/>
          <w:sz w:val="20"/>
          <w:szCs w:val="20"/>
          <w:lang w:val="pt-BR"/>
        </w:rPr>
      </w:r>
    </w:p>
    <w:p>
      <w:pPr>
        <w:pStyle w:val="ListParagraph"/>
        <w:tabs>
          <w:tab w:val="clear" w:pos="720"/>
          <w:tab w:val="left" w:pos="916" w:leader="none"/>
        </w:tabs>
        <w:ind w:left="0"/>
        <w:rPr>
          <w:rFonts w:ascii="Arial" w:hAnsi="Arial" w:cs="Arial"/>
          <w:sz w:val="20"/>
          <w:szCs w:val="20"/>
          <w:lang w:val="pt-BR"/>
        </w:rPr>
      </w:pPr>
      <w:r>
        <w:rPr>
          <w:rFonts w:cs="Arial" w:ascii="Arial" w:hAnsi="Arial"/>
          <w:sz w:val="20"/>
          <w:szCs w:val="20"/>
          <w:lang w:val="pt-BR"/>
        </w:rPr>
        <w:t xml:space="preserve">Após o recebimento da Nota de Empenho e da Solicitação de Fornecimento dos Fardamentos, emitida, a empresa contratada terá </w:t>
      </w:r>
      <w:r>
        <w:rPr>
          <w:rFonts w:cs="Arial" w:ascii="Arial" w:hAnsi="Arial"/>
          <w:sz w:val="20"/>
          <w:szCs w:val="20"/>
          <w:shd w:fill="auto" w:val="clear"/>
          <w:lang w:val="pt-BR"/>
        </w:rPr>
        <w:t>05 (cinco) dias corridos</w:t>
      </w:r>
      <w:r>
        <w:rPr>
          <w:rFonts w:cs="Arial" w:ascii="Arial" w:hAnsi="Arial"/>
          <w:sz w:val="20"/>
          <w:szCs w:val="20"/>
          <w:lang w:val="pt-BR"/>
        </w:rPr>
        <w:t xml:space="preserve"> para conferência das medidas dos servidores que se fizerem necessárias, de forma correta e precisa, visando à perfeita entrega das peças objeto deste Termo.</w:t>
      </w:r>
    </w:p>
    <w:p>
      <w:pPr>
        <w:pStyle w:val="ListParagraph"/>
        <w:tabs>
          <w:tab w:val="clear" w:pos="720"/>
          <w:tab w:val="left" w:pos="916"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58" w:leader="none"/>
        </w:tabs>
        <w:ind w:left="0"/>
        <w:rPr>
          <w:rFonts w:ascii="Arial" w:hAnsi="Arial" w:cs="Arial"/>
          <w:sz w:val="20"/>
          <w:szCs w:val="20"/>
          <w:lang w:val="pt-BR"/>
        </w:rPr>
      </w:pPr>
      <w:r>
        <w:rPr>
          <w:rFonts w:cs="Arial" w:ascii="Arial" w:hAnsi="Arial"/>
          <w:sz w:val="20"/>
          <w:szCs w:val="20"/>
          <w:lang w:val="pt-BR"/>
        </w:rPr>
        <w:t>A conferência de que se trata o item anterior, deverá ser realizada por um ou mais funcionários da empresa contratada, devidamente identificados e munidos de seus materiais de trabalhos, no SAAE Taperoá/BA.</w:t>
      </w:r>
    </w:p>
    <w:p>
      <w:pPr>
        <w:pStyle w:val="ListParagraph"/>
        <w:tabs>
          <w:tab w:val="clear" w:pos="720"/>
          <w:tab w:val="left" w:pos="1058"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04" w:leader="none"/>
        </w:tabs>
        <w:ind w:left="0"/>
        <w:rPr>
          <w:rFonts w:ascii="Arial" w:hAnsi="Arial" w:cs="Arial"/>
          <w:sz w:val="20"/>
          <w:szCs w:val="20"/>
          <w:lang w:val="pt-BR"/>
        </w:rPr>
      </w:pPr>
      <w:r>
        <w:rPr>
          <w:rFonts w:cs="Arial" w:ascii="Arial" w:hAnsi="Arial"/>
          <w:sz w:val="20"/>
          <w:szCs w:val="20"/>
          <w:lang w:val="pt-BR"/>
        </w:rPr>
        <w:t xml:space="preserve">O prazo de entrega dos produtos será de </w:t>
      </w:r>
      <w:r>
        <w:rPr>
          <w:rFonts w:cs="Arial" w:ascii="Arial" w:hAnsi="Arial"/>
          <w:sz w:val="20"/>
          <w:szCs w:val="20"/>
          <w:shd w:fill="auto" w:val="clear"/>
          <w:lang w:val="pt-BR"/>
        </w:rPr>
        <w:t>30 (trinta) dias corridos</w:t>
      </w:r>
      <w:r>
        <w:rPr>
          <w:rFonts w:cs="Arial" w:ascii="Arial" w:hAnsi="Arial"/>
          <w:sz w:val="20"/>
          <w:szCs w:val="20"/>
          <w:lang w:val="pt-BR"/>
        </w:rPr>
        <w:t>, contados do término do prazo previsto no item 3.1 deste Termo de Referência, após o recebimento da Nota de Empenho emitida por este SAAE, juntamente com a Solicitação de Fornecimento dos Fardamentos que também deverá relacionar os funcionários autorizados a retirarem o fardamento.</w:t>
      </w:r>
    </w:p>
    <w:p>
      <w:pPr>
        <w:pStyle w:val="ListParagraph"/>
        <w:tabs>
          <w:tab w:val="clear" w:pos="720"/>
          <w:tab w:val="left" w:pos="904"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23" w:leader="none"/>
        </w:tabs>
        <w:ind w:left="0"/>
        <w:rPr>
          <w:rFonts w:ascii="Arial" w:hAnsi="Arial" w:cs="Arial"/>
          <w:sz w:val="20"/>
          <w:szCs w:val="20"/>
          <w:lang w:val="pt-BR"/>
        </w:rPr>
      </w:pPr>
      <w:r>
        <w:rPr>
          <w:rFonts w:cs="Arial" w:ascii="Arial" w:hAnsi="Arial"/>
          <w:sz w:val="20"/>
          <w:szCs w:val="20"/>
          <w:lang w:val="pt-BR"/>
        </w:rPr>
        <w:t>Admite-se a prorrogação do prazo de entrega desde que previamente solicitada pela empresa contratada devendo ser motivada e pertinente, com fatos ocorridos na confecção dos fardamentos e com a anuência do SAAE.</w:t>
      </w:r>
    </w:p>
    <w:p>
      <w:pPr>
        <w:pStyle w:val="ListParagraph"/>
        <w:tabs>
          <w:tab w:val="clear" w:pos="720"/>
          <w:tab w:val="left" w:pos="923"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43" w:leader="none"/>
        </w:tabs>
        <w:ind w:left="0"/>
        <w:rPr>
          <w:rFonts w:ascii="Arial" w:hAnsi="Arial" w:cs="Arial"/>
          <w:sz w:val="20"/>
          <w:szCs w:val="20"/>
          <w:lang w:val="pt-BR"/>
        </w:rPr>
      </w:pPr>
      <w:r>
        <w:rPr>
          <w:rFonts w:cs="Arial" w:ascii="Arial" w:hAnsi="Arial"/>
          <w:sz w:val="20"/>
          <w:szCs w:val="20"/>
          <w:lang w:val="pt-BR"/>
        </w:rPr>
        <w:t>Os materiais, acompanhados da respectiva Nota Fiscal, deverão ser entregues no SAAE TAPEROÁ/BA, localizado na RUA MARECHAL DEODORO, 139, 1º ANDAR, CENTRO, TAPEROÁ/BA.</w:t>
      </w:r>
    </w:p>
    <w:p>
      <w:pPr>
        <w:pStyle w:val="ListParagraph"/>
        <w:tabs>
          <w:tab w:val="clear" w:pos="720"/>
          <w:tab w:val="left" w:pos="943"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43" w:leader="none"/>
        </w:tabs>
        <w:ind w:left="0"/>
        <w:rPr>
          <w:rFonts w:ascii="Arial" w:hAnsi="Arial" w:cs="Arial"/>
          <w:sz w:val="20"/>
          <w:szCs w:val="20"/>
          <w:lang w:val="pt-BR"/>
        </w:rPr>
      </w:pPr>
      <w:r>
        <w:rPr>
          <w:rFonts w:cs="Arial" w:ascii="Arial" w:hAnsi="Arial"/>
          <w:sz w:val="20"/>
          <w:szCs w:val="20"/>
          <w:lang w:val="pt-BR"/>
        </w:rPr>
        <w:t>Os materiais deverão ser entregues rigorosamente dentro das especificações estabelecidas neste Termo, sendo que a inobservância desta condição implicará recusa formal, com a aplicação das penalidades contratuais.</w:t>
      </w:r>
    </w:p>
    <w:p>
      <w:pPr>
        <w:pStyle w:val="ListParagraph"/>
        <w:tabs>
          <w:tab w:val="clear" w:pos="720"/>
          <w:tab w:val="left" w:pos="943"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87" w:leader="none"/>
        </w:tabs>
        <w:ind w:left="0"/>
        <w:rPr>
          <w:rFonts w:ascii="Arial" w:hAnsi="Arial" w:cs="Arial"/>
          <w:sz w:val="20"/>
          <w:szCs w:val="20"/>
          <w:lang w:val="pt-BR"/>
        </w:rPr>
      </w:pPr>
      <w:r>
        <w:rPr>
          <w:rFonts w:cs="Arial" w:ascii="Arial" w:hAnsi="Arial"/>
          <w:sz w:val="20"/>
          <w:szCs w:val="20"/>
          <w:lang w:val="pt-BR"/>
        </w:rPr>
        <w:t>Os produtos a serem fornecidos deverão estar de acordo com os padrões da ABNT.</w:t>
      </w:r>
    </w:p>
    <w:p>
      <w:pPr>
        <w:pStyle w:val="ListParagraph"/>
        <w:tabs>
          <w:tab w:val="clear" w:pos="720"/>
          <w:tab w:val="left" w:pos="887"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21" w:leader="none"/>
        </w:tabs>
        <w:ind w:left="0"/>
        <w:rPr>
          <w:rFonts w:ascii="Arial" w:hAnsi="Arial" w:cs="Arial"/>
          <w:sz w:val="20"/>
          <w:szCs w:val="20"/>
          <w:lang w:val="pt-BR"/>
        </w:rPr>
      </w:pPr>
      <w:r>
        <w:rPr>
          <w:rFonts w:cs="Arial" w:ascii="Arial" w:hAnsi="Arial"/>
          <w:sz w:val="20"/>
          <w:szCs w:val="20"/>
          <w:lang w:val="pt-BR"/>
        </w:rPr>
        <w:t>Os materiais entregues deverão possuir garantia mínima de</w:t>
      </w:r>
      <w:r>
        <w:rPr>
          <w:rFonts w:cs="Arial" w:ascii="Arial" w:hAnsi="Arial"/>
          <w:sz w:val="20"/>
          <w:szCs w:val="20"/>
          <w:shd w:fill="auto" w:val="clear"/>
          <w:lang w:val="pt-BR"/>
        </w:rPr>
        <w:t xml:space="preserve"> 90 dias, </w:t>
      </w:r>
      <w:r>
        <w:rPr>
          <w:rFonts w:cs="Arial" w:ascii="Arial" w:hAnsi="Arial"/>
          <w:sz w:val="20"/>
          <w:szCs w:val="20"/>
          <w:lang w:val="pt-BR"/>
        </w:rPr>
        <w:t>contra vícios, defeitos ou incorreções decorrentes da fabricação e entrega, contados a partir do recebimento definitivo dos fardamentos.</w:t>
      </w:r>
    </w:p>
    <w:p>
      <w:pPr>
        <w:pStyle w:val="ListParagraph"/>
        <w:tabs>
          <w:tab w:val="clear" w:pos="720"/>
          <w:tab w:val="left" w:pos="921"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55" w:leader="none"/>
        </w:tabs>
        <w:ind w:left="0"/>
        <w:rPr>
          <w:rFonts w:ascii="Arial" w:hAnsi="Arial" w:cs="Arial"/>
          <w:sz w:val="20"/>
          <w:szCs w:val="20"/>
          <w:lang w:val="pt-BR"/>
        </w:rPr>
      </w:pPr>
      <w:r>
        <w:rPr>
          <w:rFonts w:cs="Arial" w:ascii="Arial" w:hAnsi="Arial"/>
          <w:sz w:val="20"/>
          <w:szCs w:val="20"/>
          <w:lang w:val="pt-BR"/>
        </w:rPr>
        <w:t>Na vigência da garantia, a empresa contratada obrigar-se-á a substituir ou reparar, sem ônus para o SAAE, o objeto contratado que apresentar vícios ou incorreções resultantes da fabricação que o tornem impróprio, inadequado e em desacordo com a tabela deste Termo, somado as medidas conferidas dos servidores, para o consumo a que se destina, no prazo máximo de 7 (sete) dias úteis, a contar do primeiro dia útil seguinte ao do recebimento, pela empresa contratada, da comunicação de inconformidade.</w:t>
      </w:r>
    </w:p>
    <w:p>
      <w:pPr>
        <w:pStyle w:val="ListParagraph"/>
        <w:tabs>
          <w:tab w:val="clear" w:pos="720"/>
          <w:tab w:val="left" w:pos="1055"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67" w:leader="none"/>
        </w:tabs>
        <w:ind w:left="0"/>
        <w:rPr>
          <w:rFonts w:ascii="Arial" w:hAnsi="Arial" w:cs="Arial"/>
          <w:sz w:val="20"/>
          <w:szCs w:val="20"/>
          <w:lang w:val="pt-BR"/>
        </w:rPr>
      </w:pPr>
      <w:r>
        <w:rPr>
          <w:rFonts w:cs="Arial" w:ascii="Arial" w:hAnsi="Arial"/>
          <w:sz w:val="20"/>
          <w:szCs w:val="20"/>
          <w:lang w:val="pt-BR"/>
        </w:rPr>
        <w:t>O término do atendimento ocorrerá no dia de conclusão do reparo e da disponibilidade do objeto em perfeito estado de uso, nas dependências do SAAE.</w:t>
      </w:r>
    </w:p>
    <w:p>
      <w:pPr>
        <w:pStyle w:val="ListParagraph"/>
        <w:tabs>
          <w:tab w:val="clear" w:pos="720"/>
          <w:tab w:val="left" w:pos="1067"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56" w:leader="none"/>
        </w:tabs>
        <w:ind w:left="0"/>
        <w:rPr>
          <w:rFonts w:ascii="Arial" w:hAnsi="Arial" w:cs="Arial"/>
          <w:sz w:val="20"/>
          <w:szCs w:val="20"/>
          <w:lang w:val="pt-BR"/>
        </w:rPr>
      </w:pPr>
      <w:r>
        <w:rPr>
          <w:rFonts w:cs="Arial" w:ascii="Arial" w:hAnsi="Arial"/>
          <w:sz w:val="20"/>
          <w:szCs w:val="20"/>
          <w:lang w:val="pt-BR"/>
        </w:rPr>
        <w:t>O pedido de substituição ou de reparo do objeto contratado, durante o período de garantia, poderá ser formalizado por telefone, e-mail ou outro meio hábil de comunicação.</w:t>
      </w:r>
    </w:p>
    <w:p>
      <w:pPr>
        <w:pStyle w:val="ListParagraph"/>
        <w:tabs>
          <w:tab w:val="clear" w:pos="720"/>
          <w:tab w:val="left" w:pos="1056"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51" w:leader="none"/>
        </w:tabs>
        <w:ind w:left="0"/>
        <w:rPr>
          <w:rFonts w:ascii="Arial" w:hAnsi="Arial" w:cs="Arial"/>
          <w:sz w:val="20"/>
          <w:szCs w:val="20"/>
          <w:lang w:val="pt-BR"/>
        </w:rPr>
      </w:pPr>
      <w:r>
        <w:rPr>
          <w:rFonts w:cs="Arial" w:ascii="Arial" w:hAnsi="Arial"/>
          <w:sz w:val="20"/>
          <w:szCs w:val="20"/>
          <w:lang w:val="pt-BR"/>
        </w:rPr>
        <w:t>Não sendo o vício sanado no prazo do item acima, a empresa contratada estará sujeita às sanções previstas deste Termo de Referência.</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710" w:leader="none"/>
        </w:tabs>
        <w:ind w:hanging="0" w:left="0"/>
        <w:jc w:val="both"/>
        <w:rPr>
          <w:sz w:val="20"/>
          <w:szCs w:val="20"/>
          <w:lang w:val="pt-BR"/>
        </w:rPr>
      </w:pPr>
      <w:r>
        <w:rPr>
          <w:sz w:val="20"/>
          <w:szCs w:val="20"/>
          <w:lang w:val="pt-BR"/>
        </w:rPr>
        <w:t>6. MODELO DE GESTÃO DO CONTRATO:</w:t>
      </w:r>
    </w:p>
    <w:p>
      <w:pPr>
        <w:pStyle w:val="Heading1"/>
        <w:tabs>
          <w:tab w:val="clear" w:pos="720"/>
          <w:tab w:val="left" w:pos="710" w:leader="none"/>
        </w:tabs>
        <w:ind w:hanging="0" w:left="0"/>
        <w:jc w:val="both"/>
        <w:rPr>
          <w:b w:val="false"/>
          <w:bCs w:val="false"/>
          <w:sz w:val="20"/>
          <w:szCs w:val="20"/>
          <w:lang w:val="pt-BR"/>
        </w:rPr>
      </w:pPr>
      <w:r>
        <w:rPr>
          <w:b w:val="false"/>
          <w:bCs w:val="false"/>
          <w:sz w:val="20"/>
          <w:szCs w:val="20"/>
          <w:lang w:val="pt-BR"/>
        </w:rPr>
      </w:r>
    </w:p>
    <w:p>
      <w:pPr>
        <w:pStyle w:val="ListParagraph"/>
        <w:tabs>
          <w:tab w:val="clear" w:pos="720"/>
          <w:tab w:val="left" w:pos="916" w:leader="none"/>
        </w:tabs>
        <w:ind w:left="0"/>
        <w:rPr>
          <w:rFonts w:ascii="Arial" w:hAnsi="Arial" w:cs="Arial"/>
          <w:sz w:val="20"/>
          <w:szCs w:val="20"/>
          <w:lang w:val="pt-BR"/>
        </w:rPr>
      </w:pPr>
      <w:r>
        <w:rPr>
          <w:rFonts w:cs="Arial" w:ascii="Arial" w:hAnsi="Arial"/>
          <w:sz w:val="20"/>
          <w:szCs w:val="20"/>
          <w:lang w:val="pt-BR"/>
        </w:rPr>
        <w:t>A Nota de Empenho configura documento hábil para todos os efeitos legais e funcionará como “instrumento contratual” entre o SAAE e a empresa vencedora, considerando-se nela transcritas todos os itens constantes deste Termo de Referência, conforme tabela do Termo.</w:t>
      </w:r>
    </w:p>
    <w:p>
      <w:pPr>
        <w:pStyle w:val="ListParagraph"/>
        <w:tabs>
          <w:tab w:val="clear" w:pos="720"/>
          <w:tab w:val="left" w:pos="916"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21" w:leader="none"/>
        </w:tabs>
        <w:ind w:left="0"/>
        <w:rPr>
          <w:rFonts w:ascii="Arial" w:hAnsi="Arial" w:cs="Arial"/>
          <w:sz w:val="20"/>
          <w:szCs w:val="20"/>
          <w:lang w:val="pt-BR"/>
        </w:rPr>
      </w:pPr>
      <w:r>
        <w:rPr>
          <w:rFonts w:cs="Arial" w:ascii="Arial" w:hAnsi="Arial"/>
          <w:sz w:val="20"/>
          <w:szCs w:val="20"/>
          <w:lang w:val="pt-BR"/>
        </w:rPr>
        <w:t>Os fardamentos deverão ser entregues rigorosamente dentro das especificações estabelecidas neste Termo, sendo que a inobservância desta condição implicará recusa formal, com a aplicação das penalidades previstas no Termo.</w:t>
      </w:r>
    </w:p>
    <w:p>
      <w:pPr>
        <w:pStyle w:val="ListParagraph"/>
        <w:tabs>
          <w:tab w:val="clear" w:pos="720"/>
          <w:tab w:val="left" w:pos="921"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92" w:leader="none"/>
        </w:tabs>
        <w:ind w:left="0"/>
        <w:rPr>
          <w:rFonts w:ascii="Arial" w:hAnsi="Arial" w:cs="Arial"/>
          <w:sz w:val="20"/>
          <w:szCs w:val="20"/>
          <w:lang w:val="pt-BR"/>
        </w:rPr>
      </w:pPr>
      <w:r>
        <w:rPr>
          <w:rFonts w:cs="Arial" w:ascii="Arial" w:hAnsi="Arial"/>
          <w:sz w:val="20"/>
          <w:szCs w:val="20"/>
          <w:lang w:val="pt-BR"/>
        </w:rPr>
        <w:t>O fornecimento dos fardamentos será acompanhado e fiscalizado pelo Divisão Administrativa e Divisão Técnica ou por representante do SAAE, devidamente designado para esse fim, permitida a assistência de terceiros, com autoridade para exercer, como representante da Administração do SAAE, toda e qualquer ação de orientação geral, acompanhamento e fiscalização do objeto, para posterior atesto da Nota Fiscal.</w:t>
      </w:r>
    </w:p>
    <w:p>
      <w:pPr>
        <w:pStyle w:val="ListParagraph"/>
        <w:tabs>
          <w:tab w:val="clear" w:pos="720"/>
          <w:tab w:val="left" w:pos="892"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73" w:leader="none"/>
        </w:tabs>
        <w:ind w:left="0"/>
        <w:rPr>
          <w:rFonts w:ascii="Arial" w:hAnsi="Arial" w:cs="Arial"/>
          <w:sz w:val="20"/>
          <w:szCs w:val="20"/>
          <w:lang w:val="pt-BR"/>
        </w:rPr>
      </w:pPr>
      <w:r>
        <w:rPr>
          <w:rFonts w:cs="Arial" w:ascii="Arial" w:hAnsi="Arial"/>
          <w:sz w:val="20"/>
          <w:szCs w:val="20"/>
          <w:lang w:val="pt-BR"/>
        </w:rPr>
        <w:t>A fiscalização por parte do SAAE não exclui nem reduz a responsabilidade da empresa contratada, inclusive perante terceiros, por qualquer irregularidade, ou emprego de material inadequado ou de qualidade inferior e, na ocorrência desta, não implica em corresponsabilidade do SAAE ou de seus agentes e preposto, de conformidade com o art. 120 da Lei nº 14.133 de 2021.</w:t>
      </w:r>
    </w:p>
    <w:p>
      <w:pPr>
        <w:pStyle w:val="ListParagraph"/>
        <w:tabs>
          <w:tab w:val="clear" w:pos="720"/>
          <w:tab w:val="left" w:pos="873"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87" w:leader="none"/>
        </w:tabs>
        <w:ind w:left="0"/>
        <w:rPr>
          <w:rFonts w:ascii="Arial" w:hAnsi="Arial" w:cs="Arial"/>
          <w:sz w:val="20"/>
          <w:szCs w:val="20"/>
          <w:lang w:val="pt-BR"/>
        </w:rPr>
      </w:pPr>
      <w:r>
        <w:rPr>
          <w:rFonts w:cs="Arial" w:ascii="Arial" w:hAnsi="Arial"/>
          <w:sz w:val="20"/>
          <w:szCs w:val="20"/>
          <w:lang w:val="pt-BR"/>
        </w:rPr>
        <w:t>O fornecedor se vincula à sua proposta e às previsões contidas neste Termo de Referência.</w:t>
      </w:r>
    </w:p>
    <w:p>
      <w:pPr>
        <w:pStyle w:val="ListParagraph"/>
        <w:tabs>
          <w:tab w:val="clear" w:pos="720"/>
          <w:tab w:val="left" w:pos="887"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21" w:leader="none"/>
        </w:tabs>
        <w:ind w:left="0"/>
        <w:rPr>
          <w:rFonts w:ascii="Arial" w:hAnsi="Arial" w:cs="Arial"/>
          <w:sz w:val="20"/>
          <w:szCs w:val="20"/>
          <w:lang w:val="pt-BR"/>
        </w:rPr>
      </w:pPr>
      <w:r>
        <w:rPr>
          <w:rFonts w:cs="Arial" w:ascii="Arial" w:hAnsi="Arial"/>
          <w:sz w:val="20"/>
          <w:szCs w:val="20"/>
          <w:lang w:val="pt-BR"/>
        </w:rPr>
        <w:t>A atestação de conformidade na execução do objeto cabe ao titular do setor responsável pela Fiscalização ou a outro servidor designado para esse fim.</w:t>
      </w:r>
    </w:p>
    <w:p>
      <w:pPr>
        <w:pStyle w:val="ListParagraph"/>
        <w:tabs>
          <w:tab w:val="clear" w:pos="720"/>
          <w:tab w:val="left" w:pos="887"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87" w:leader="none"/>
        </w:tabs>
        <w:ind w:left="0"/>
        <w:rPr>
          <w:rFonts w:ascii="Arial" w:hAnsi="Arial" w:cs="Arial"/>
          <w:sz w:val="20"/>
          <w:szCs w:val="20"/>
          <w:lang w:val="pt-BR"/>
        </w:rPr>
      </w:pPr>
      <w:r>
        <w:rPr>
          <w:rFonts w:cs="Arial" w:ascii="Arial" w:hAnsi="Arial"/>
          <w:sz w:val="20"/>
          <w:szCs w:val="20"/>
          <w:lang w:val="pt-BR"/>
        </w:rPr>
        <w:t>À FISCALIZAÇÃO compete, entre outras atribuições:</w:t>
      </w:r>
    </w:p>
    <w:p>
      <w:pPr>
        <w:pStyle w:val="ListParagraph"/>
        <w:tabs>
          <w:tab w:val="clear" w:pos="720"/>
          <w:tab w:val="left" w:pos="1115"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15" w:leader="none"/>
        </w:tabs>
        <w:ind w:left="0"/>
        <w:rPr>
          <w:rFonts w:ascii="Arial" w:hAnsi="Arial" w:cs="Arial"/>
          <w:sz w:val="20"/>
          <w:szCs w:val="20"/>
          <w:lang w:val="pt-BR"/>
        </w:rPr>
      </w:pPr>
      <w:r>
        <w:rPr>
          <w:rFonts w:cs="Arial" w:ascii="Arial" w:hAnsi="Arial"/>
          <w:sz w:val="20"/>
          <w:szCs w:val="20"/>
          <w:lang w:val="pt-BR"/>
        </w:rPr>
        <w:t>Encaminhar à Diretoria Administrativa e Financeira do SAAE, documento que relacione as ocorrências que impliquem em multas a serem aplicadas a empresa contratada.</w:t>
      </w:r>
    </w:p>
    <w:p>
      <w:pPr>
        <w:pStyle w:val="ListParagraph"/>
        <w:tabs>
          <w:tab w:val="clear" w:pos="720"/>
          <w:tab w:val="left" w:pos="1115"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54" w:leader="none"/>
        </w:tabs>
        <w:ind w:left="0"/>
        <w:rPr>
          <w:rFonts w:ascii="Arial" w:hAnsi="Arial" w:cs="Arial"/>
          <w:sz w:val="20"/>
          <w:szCs w:val="20"/>
          <w:lang w:val="pt-BR"/>
        </w:rPr>
      </w:pPr>
      <w:r>
        <w:rPr>
          <w:rFonts w:cs="Arial" w:ascii="Arial" w:hAnsi="Arial"/>
          <w:sz w:val="20"/>
          <w:szCs w:val="20"/>
          <w:lang w:val="pt-BR"/>
        </w:rPr>
        <w:t>Solicitar à empresa contratada, ou obter da Administração, tempestivamente, todas as providências necessárias ao bom andamento do fornecimento do objeto contratado.</w:t>
      </w:r>
    </w:p>
    <w:p>
      <w:pPr>
        <w:pStyle w:val="ListParagraph"/>
        <w:tabs>
          <w:tab w:val="clear" w:pos="720"/>
          <w:tab w:val="left" w:pos="1154"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82" w:leader="none"/>
        </w:tabs>
        <w:ind w:left="0"/>
        <w:rPr>
          <w:rFonts w:ascii="Arial" w:hAnsi="Arial" w:cs="Arial"/>
          <w:sz w:val="20"/>
          <w:szCs w:val="20"/>
          <w:lang w:val="pt-BR"/>
        </w:rPr>
      </w:pPr>
      <w:r>
        <w:rPr>
          <w:rFonts w:cs="Arial" w:ascii="Arial" w:hAnsi="Arial"/>
          <w:sz w:val="20"/>
          <w:szCs w:val="20"/>
          <w:lang w:val="pt-BR"/>
        </w:rPr>
        <w:t>Verificar a conformidade do objeto com as normas especificadas e se os padrões empregados são adequados para garantir a qualidade do produto.</w:t>
      </w:r>
    </w:p>
    <w:p>
      <w:pPr>
        <w:pStyle w:val="ListParagraph"/>
        <w:tabs>
          <w:tab w:val="clear" w:pos="720"/>
          <w:tab w:val="left" w:pos="1091"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91" w:leader="none"/>
        </w:tabs>
        <w:ind w:left="0"/>
        <w:rPr>
          <w:rFonts w:ascii="Arial" w:hAnsi="Arial" w:cs="Arial"/>
          <w:sz w:val="20"/>
          <w:szCs w:val="20"/>
          <w:lang w:val="pt-BR"/>
        </w:rPr>
      </w:pPr>
      <w:r>
        <w:rPr>
          <w:rFonts w:cs="Arial" w:ascii="Arial" w:hAnsi="Arial"/>
          <w:sz w:val="20"/>
          <w:szCs w:val="20"/>
          <w:lang w:val="pt-BR"/>
        </w:rPr>
        <w:t>Anotar, em registro próprio, todas as ocorrências relacionadas com o fornecimento do objeto, determinando o que for necessário à regularização das falhas ou defeitos observados.</w:t>
      </w:r>
    </w:p>
    <w:p>
      <w:pPr>
        <w:pStyle w:val="ListParagraph"/>
        <w:tabs>
          <w:tab w:val="clear" w:pos="720"/>
          <w:tab w:val="left" w:pos="1091"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77" w:leader="none"/>
        </w:tabs>
        <w:ind w:left="0"/>
        <w:rPr>
          <w:rFonts w:ascii="Arial" w:hAnsi="Arial" w:cs="Arial"/>
          <w:sz w:val="20"/>
          <w:szCs w:val="20"/>
          <w:lang w:val="pt-BR"/>
        </w:rPr>
      </w:pPr>
      <w:r>
        <w:rPr>
          <w:rFonts w:cs="Arial" w:ascii="Arial" w:hAnsi="Arial"/>
          <w:sz w:val="20"/>
          <w:szCs w:val="20"/>
          <w:lang w:val="pt-BR"/>
        </w:rPr>
        <w:t>Acompanhar e atestar o recebimento definitivo do objeto deste termo, indicando as ocorrências por ventura possam ocorrer.</w:t>
      </w:r>
    </w:p>
    <w:p>
      <w:pPr>
        <w:pStyle w:val="ListParagraph"/>
        <w:tabs>
          <w:tab w:val="clear" w:pos="720"/>
          <w:tab w:val="left" w:pos="1077"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57" w:leader="none"/>
        </w:tabs>
        <w:ind w:left="0"/>
        <w:rPr>
          <w:rFonts w:ascii="Arial" w:hAnsi="Arial" w:cs="Arial"/>
          <w:sz w:val="20"/>
          <w:szCs w:val="20"/>
          <w:lang w:val="pt-BR"/>
        </w:rPr>
      </w:pPr>
      <w:r>
        <w:rPr>
          <w:rFonts w:cs="Arial" w:ascii="Arial" w:hAnsi="Arial"/>
          <w:sz w:val="20"/>
          <w:szCs w:val="20"/>
          <w:lang w:val="pt-BR"/>
        </w:rPr>
        <w:t>A ação da FISCALIZAÇÃO não exonera a empresa contratada de suas responsabilidades constantes neste Termo.</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712" w:leader="none"/>
        </w:tabs>
        <w:ind w:hanging="0" w:left="0"/>
        <w:rPr>
          <w:sz w:val="20"/>
          <w:szCs w:val="20"/>
          <w:lang w:val="pt-BR"/>
        </w:rPr>
      </w:pPr>
      <w:r>
        <w:rPr>
          <w:sz w:val="20"/>
          <w:szCs w:val="20"/>
          <w:lang w:val="pt-BR"/>
        </w:rPr>
        <w:t>7. DAS CONDIÇÕES DE RECEBIMENTO DO OBJETO:</w:t>
      </w:r>
    </w:p>
    <w:p>
      <w:pPr>
        <w:pStyle w:val="Heading1"/>
        <w:tabs>
          <w:tab w:val="clear" w:pos="720"/>
          <w:tab w:val="left" w:pos="712" w:leader="none"/>
        </w:tabs>
        <w:ind w:hanging="0" w:left="0"/>
        <w:rPr>
          <w:b w:val="false"/>
          <w:bCs w:val="false"/>
          <w:sz w:val="20"/>
          <w:szCs w:val="20"/>
          <w:lang w:val="pt-BR"/>
        </w:rPr>
      </w:pPr>
      <w:r>
        <w:rPr>
          <w:b w:val="false"/>
          <w:bCs w:val="false"/>
          <w:sz w:val="20"/>
          <w:szCs w:val="20"/>
          <w:lang w:val="pt-BR"/>
        </w:rPr>
      </w:r>
    </w:p>
    <w:p>
      <w:pPr>
        <w:pStyle w:val="ListParagraph"/>
        <w:tabs>
          <w:tab w:val="clear" w:pos="720"/>
          <w:tab w:val="left" w:pos="890" w:leader="none"/>
        </w:tabs>
        <w:ind w:left="0"/>
        <w:rPr>
          <w:rFonts w:ascii="Arial" w:hAnsi="Arial" w:cs="Arial"/>
          <w:sz w:val="20"/>
          <w:szCs w:val="20"/>
          <w:lang w:val="pt-BR"/>
        </w:rPr>
      </w:pPr>
      <w:r>
        <w:rPr>
          <w:rFonts w:cs="Arial" w:ascii="Arial" w:hAnsi="Arial"/>
          <w:sz w:val="20"/>
          <w:szCs w:val="20"/>
          <w:lang w:val="pt-BR"/>
        </w:rPr>
        <w:t>Em conformidade com o artigo 140, inciso II da Lei 14.133/2021, o objeto do presente Termo, será recebido da seguinte forma:</w:t>
      </w:r>
    </w:p>
    <w:p>
      <w:pPr>
        <w:pStyle w:val="ListParagraph"/>
        <w:tabs>
          <w:tab w:val="clear" w:pos="720"/>
          <w:tab w:val="left" w:pos="89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48" w:leader="none"/>
        </w:tabs>
        <w:ind w:left="0"/>
        <w:rPr>
          <w:rFonts w:ascii="Arial" w:hAnsi="Arial" w:cs="Arial"/>
          <w:sz w:val="20"/>
          <w:szCs w:val="20"/>
          <w:lang w:val="pt-BR"/>
        </w:rPr>
      </w:pPr>
      <w:r>
        <w:rPr>
          <w:rFonts w:cs="Arial" w:ascii="Arial" w:hAnsi="Arial"/>
          <w:sz w:val="20"/>
          <w:szCs w:val="20"/>
          <w:lang w:val="pt-BR"/>
        </w:rPr>
        <w:t>Provisoriamente, no prazo de até 02 (dois) dias úteis, de forma sumária, pelo responsável por seu acompanhamento e fiscalização, com verificação posterior da conformidade do objeto com as especificações do objeto deste Termo.</w:t>
      </w:r>
    </w:p>
    <w:p>
      <w:pPr>
        <w:pStyle w:val="ListParagraph"/>
        <w:tabs>
          <w:tab w:val="clear" w:pos="720"/>
          <w:tab w:val="left" w:pos="1048"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48" w:leader="none"/>
        </w:tabs>
        <w:ind w:left="0"/>
        <w:rPr>
          <w:rFonts w:ascii="Arial" w:hAnsi="Arial" w:cs="Arial"/>
          <w:sz w:val="20"/>
          <w:szCs w:val="20"/>
          <w:lang w:val="pt-BR"/>
        </w:rPr>
      </w:pPr>
      <w:r>
        <w:rPr>
          <w:rFonts w:cs="Arial" w:ascii="Arial" w:hAnsi="Arial"/>
          <w:sz w:val="20"/>
          <w:szCs w:val="20"/>
          <w:lang w:val="pt-BR"/>
        </w:rPr>
        <w:t>Definitivamente, em até 03 (três) dias úteis, contados do recebimento provisório, após a verificação da qualidade do objeto e consequente aceitação, quando a nota fiscal será atestada e remetida para pagamento.</w:t>
      </w:r>
    </w:p>
    <w:p>
      <w:pPr>
        <w:pStyle w:val="ListParagraph"/>
        <w:tabs>
          <w:tab w:val="clear" w:pos="720"/>
          <w:tab w:val="left" w:pos="1048"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85" w:leader="none"/>
        </w:tabs>
        <w:ind w:left="0"/>
        <w:rPr>
          <w:rFonts w:ascii="Arial" w:hAnsi="Arial" w:cs="Arial"/>
          <w:sz w:val="20"/>
          <w:szCs w:val="20"/>
          <w:lang w:val="pt-BR"/>
        </w:rPr>
      </w:pPr>
      <w:r>
        <w:rPr>
          <w:rFonts w:cs="Arial" w:ascii="Arial" w:hAnsi="Arial"/>
          <w:sz w:val="20"/>
          <w:szCs w:val="20"/>
          <w:lang w:val="pt-BR"/>
        </w:rPr>
        <w:t>O recebimento provisório e definitivo do objeto ficará a cargo da Divisão Administrativa e Divisão Técnica do SAAE ou a outro servidor designado para esse fim, cabendo a estes o atesto na Nota Fiscal.</w:t>
      </w:r>
    </w:p>
    <w:p>
      <w:pPr>
        <w:pStyle w:val="ListParagraph"/>
        <w:tabs>
          <w:tab w:val="clear" w:pos="720"/>
          <w:tab w:val="left" w:pos="885"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02" w:leader="none"/>
        </w:tabs>
        <w:ind w:left="0"/>
        <w:rPr>
          <w:rFonts w:ascii="Arial" w:hAnsi="Arial" w:cs="Arial"/>
          <w:sz w:val="20"/>
          <w:szCs w:val="20"/>
          <w:lang w:val="pt-BR"/>
        </w:rPr>
      </w:pPr>
      <w:r>
        <w:rPr>
          <w:rFonts w:cs="Arial" w:ascii="Arial" w:hAnsi="Arial"/>
          <w:sz w:val="20"/>
          <w:szCs w:val="20"/>
          <w:lang w:val="pt-BR"/>
        </w:rPr>
        <w:t>A empresa contratada fica obrigada a reparar, corrigir, remover, reconstruir ou substituir, às suas expensas, no todo ou em parte, o objeto em que se verificarem vícios, defeitos ou incorreções resultantes do fornecimento ou materiais empregados, cabendo à fiscalização não atestar a nota fiscal até que sejam sanadas todas as eventuais pendências que possam vir a ser apontadas no Recebimento Provisório.</w:t>
      </w:r>
    </w:p>
    <w:p>
      <w:pPr>
        <w:pStyle w:val="ListParagraph"/>
        <w:tabs>
          <w:tab w:val="clear" w:pos="720"/>
          <w:tab w:val="left" w:pos="902"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38" w:leader="none"/>
        </w:tabs>
        <w:ind w:left="0"/>
        <w:rPr>
          <w:rFonts w:ascii="Arial" w:hAnsi="Arial" w:cs="Arial"/>
          <w:sz w:val="20"/>
          <w:szCs w:val="20"/>
          <w:lang w:val="pt-BR"/>
        </w:rPr>
      </w:pPr>
      <w:r>
        <w:rPr>
          <w:rFonts w:cs="Arial" w:ascii="Arial" w:hAnsi="Arial"/>
          <w:sz w:val="20"/>
          <w:szCs w:val="20"/>
          <w:lang w:val="pt-BR"/>
        </w:rPr>
        <w:t>Se houver erro na nota fiscal ou qualquer outra circunstância que desaprove o recebimento definitivo, o mesmo ficará pendente e o pagamento suspenso até o saneamento das irregularidades.</w:t>
      </w:r>
    </w:p>
    <w:p>
      <w:pPr>
        <w:pStyle w:val="ListParagraph"/>
        <w:tabs>
          <w:tab w:val="clear" w:pos="720"/>
          <w:tab w:val="left" w:pos="938"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95" w:leader="none"/>
        </w:tabs>
        <w:ind w:left="0"/>
        <w:rPr>
          <w:rFonts w:ascii="Arial" w:hAnsi="Arial" w:cs="Arial"/>
          <w:sz w:val="20"/>
          <w:szCs w:val="20"/>
          <w:lang w:val="pt-BR"/>
        </w:rPr>
      </w:pPr>
      <w:r>
        <w:rPr>
          <w:rFonts w:cs="Arial" w:ascii="Arial" w:hAnsi="Arial"/>
          <w:sz w:val="20"/>
          <w:szCs w:val="20"/>
          <w:lang w:val="pt-BR"/>
        </w:rPr>
        <w:t>O recebimento definitivo do objeto deste Termo não exclui a responsabilidade da empresa quanto aos vícios ocultos, ou seja, só manifestados quando da sua normal utilização pelo SAAE, nos termos do Código de Defesa do Consumidor (Lei nº 8.078/90).</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712" w:leader="none"/>
        </w:tabs>
        <w:ind w:hanging="0" w:left="0"/>
        <w:jc w:val="both"/>
        <w:rPr>
          <w:sz w:val="20"/>
          <w:szCs w:val="20"/>
          <w:lang w:val="pt-BR"/>
        </w:rPr>
      </w:pPr>
      <w:r>
        <w:rPr>
          <w:sz w:val="20"/>
          <w:szCs w:val="20"/>
          <w:lang w:val="pt-BR"/>
        </w:rPr>
        <w:t>8. CRITÉRIOS DE MEDIÇÃO E DE PAGAMENTO:</w:t>
      </w:r>
    </w:p>
    <w:p>
      <w:pPr>
        <w:pStyle w:val="ListParagraph"/>
        <w:tabs>
          <w:tab w:val="clear" w:pos="720"/>
          <w:tab w:val="left" w:pos="1065" w:leader="none"/>
        </w:tabs>
        <w:ind w:left="0"/>
        <w:rPr>
          <w:rFonts w:ascii="Arial" w:hAnsi="Arial" w:cs="Arial"/>
          <w:sz w:val="20"/>
          <w:szCs w:val="20"/>
          <w:lang w:val="pt-BR"/>
        </w:rPr>
      </w:pPr>
      <w:r>
        <w:rPr>
          <w:rFonts w:cs="Arial" w:ascii="Arial" w:hAnsi="Arial"/>
          <w:sz w:val="20"/>
          <w:szCs w:val="20"/>
          <w:lang w:val="pt-BR"/>
        </w:rPr>
        <w:t>A nota fiscal ou instrumento de cobrança equivalente deverá ser obrigatoriamente acompanhado da comprovação da regularidade fiscal, constatada por meio de consulta on-line aos sítios eletrônicos oficiais ou à documentação mencionada no art. 68 da Lei nº 14.133, de 2021.</w:t>
      </w:r>
    </w:p>
    <w:p>
      <w:pPr>
        <w:pStyle w:val="ListParagraph"/>
        <w:tabs>
          <w:tab w:val="clear" w:pos="720"/>
          <w:tab w:val="left" w:pos="1065"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08" w:leader="none"/>
        </w:tabs>
        <w:ind w:left="0"/>
        <w:rPr>
          <w:rFonts w:ascii="Arial" w:hAnsi="Arial" w:cs="Arial"/>
          <w:sz w:val="20"/>
          <w:szCs w:val="20"/>
          <w:lang w:val="pt-BR"/>
        </w:rPr>
      </w:pPr>
      <w:r>
        <w:rPr>
          <w:rFonts w:cs="Arial" w:ascii="Arial" w:hAnsi="Arial"/>
          <w:sz w:val="20"/>
          <w:szCs w:val="20"/>
          <w:lang w:val="pt-BR"/>
        </w:rPr>
        <w:t>A Administração deverá realizar consulta para: a) verificar a manutenção das condições de habilitação exigidas no aviso de dispensa; b) identificar possível razão que impeça a participação em dispensa de licitação, no âmbito do órgão, que implique proibição de contratar com o Poder Público, bem como ocorrências impeditivas indiretas.</w:t>
      </w:r>
    </w:p>
    <w:p>
      <w:pPr>
        <w:pStyle w:val="ListParagraph"/>
        <w:tabs>
          <w:tab w:val="clear" w:pos="720"/>
          <w:tab w:val="left" w:pos="1108"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77" w:leader="none"/>
        </w:tabs>
        <w:ind w:left="0"/>
        <w:rPr>
          <w:rFonts w:ascii="Arial" w:hAnsi="Arial" w:cs="Arial"/>
          <w:sz w:val="20"/>
          <w:szCs w:val="20"/>
          <w:lang w:val="pt-BR"/>
        </w:rPr>
      </w:pPr>
      <w:r>
        <w:rPr>
          <w:rFonts w:cs="Arial" w:ascii="Arial" w:hAnsi="Arial"/>
          <w:sz w:val="20"/>
          <w:szCs w:val="20"/>
          <w:lang w:val="pt-BR"/>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SAAE.</w:t>
      </w:r>
    </w:p>
    <w:p>
      <w:pPr>
        <w:pStyle w:val="ListParagraph"/>
        <w:tabs>
          <w:tab w:val="clear" w:pos="720"/>
          <w:tab w:val="left" w:pos="1077"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96" w:leader="none"/>
        </w:tabs>
        <w:ind w:left="0"/>
        <w:rPr>
          <w:rFonts w:ascii="Arial" w:hAnsi="Arial" w:cs="Arial"/>
          <w:sz w:val="20"/>
          <w:szCs w:val="20"/>
          <w:lang w:val="pt-BR"/>
        </w:rPr>
      </w:pPr>
      <w:r>
        <w:rPr>
          <w:rFonts w:cs="Arial" w:ascii="Arial" w:hAnsi="Arial"/>
          <w:sz w:val="20"/>
          <w:szCs w:val="20"/>
          <w:lang w:val="pt-BR"/>
        </w:rPr>
        <w:t>Não havendo regularização ou sendo a defesa considerada improcedente, o SAAE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tabs>
          <w:tab w:val="clear" w:pos="720"/>
          <w:tab w:val="left" w:pos="1096"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16" w:leader="none"/>
        </w:tabs>
        <w:ind w:left="0"/>
        <w:rPr>
          <w:rFonts w:ascii="Arial" w:hAnsi="Arial" w:cs="Arial"/>
          <w:sz w:val="20"/>
          <w:szCs w:val="20"/>
          <w:lang w:val="pt-BR"/>
        </w:rPr>
      </w:pPr>
      <w:r>
        <w:rPr>
          <w:rFonts w:cs="Arial" w:ascii="Arial" w:hAnsi="Arial"/>
          <w:sz w:val="20"/>
          <w:szCs w:val="20"/>
          <w:lang w:val="pt-BR"/>
        </w:rPr>
        <w:t>O pagamento será efetuado pelo SAAE por ordem cronológica das datas de suas exigibilidades, conforme a fonte de recursos, em cumprimento ao art. 141 da Lei Federal nº 14.133/2021: ordem nos pagamentos públicos.</w:t>
      </w:r>
    </w:p>
    <w:p>
      <w:pPr>
        <w:pStyle w:val="ListParagraph"/>
        <w:tabs>
          <w:tab w:val="clear" w:pos="720"/>
          <w:tab w:val="left" w:pos="916"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78" w:leader="none"/>
        </w:tabs>
        <w:ind w:left="0"/>
        <w:rPr>
          <w:rFonts w:ascii="Arial" w:hAnsi="Arial" w:cs="Arial"/>
          <w:sz w:val="20"/>
          <w:szCs w:val="20"/>
          <w:lang w:val="pt-BR"/>
        </w:rPr>
      </w:pPr>
      <w:r>
        <w:rPr>
          <w:rFonts w:cs="Arial" w:ascii="Arial" w:hAnsi="Arial"/>
          <w:sz w:val="20"/>
          <w:szCs w:val="20"/>
          <w:lang w:val="pt-BR"/>
        </w:rPr>
        <w:t>O SAAE manterá listas consolidadas de credores, classificadas por fonte diferenciada de recursos e organizadas pela ordem cronológica de antiguidade dos referidos créditos, estabelecida mediante apresentação de notas fiscais/faturas acompanhadas dos documentos comprobatórios, sem os quais não será possível a inclusão do contratado nas listas classificatórias de fornecedores.</w:t>
      </w:r>
    </w:p>
    <w:p>
      <w:pPr>
        <w:pStyle w:val="ListParagraph"/>
        <w:tabs>
          <w:tab w:val="clear" w:pos="720"/>
          <w:tab w:val="left" w:pos="878"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04" w:leader="none"/>
        </w:tabs>
        <w:ind w:left="0"/>
        <w:rPr>
          <w:rFonts w:ascii="Arial" w:hAnsi="Arial" w:cs="Arial"/>
          <w:sz w:val="20"/>
          <w:szCs w:val="20"/>
          <w:lang w:val="pt-BR"/>
        </w:rPr>
      </w:pPr>
      <w:r>
        <w:rPr>
          <w:rFonts w:cs="Arial" w:ascii="Arial" w:hAnsi="Arial"/>
          <w:sz w:val="20"/>
          <w:szCs w:val="20"/>
          <w:lang w:val="pt-BR"/>
        </w:rPr>
        <w:t>Respeitada a ordem de classificação dos créditos, será observado o prazo máximo de 30 (trinta) dias para proceder à liquidação e o pagamento da obrigação, contados da apresentação da nota fiscal/fatura.</w:t>
      </w:r>
    </w:p>
    <w:p>
      <w:pPr>
        <w:pStyle w:val="ListParagraph"/>
        <w:tabs>
          <w:tab w:val="clear" w:pos="720"/>
          <w:tab w:val="left" w:pos="904"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14" w:leader="none"/>
        </w:tabs>
        <w:ind w:left="0"/>
        <w:rPr>
          <w:rFonts w:ascii="Arial" w:hAnsi="Arial" w:cs="Arial"/>
          <w:sz w:val="20"/>
          <w:szCs w:val="20"/>
          <w:lang w:val="pt-BR"/>
        </w:rPr>
      </w:pPr>
      <w:r>
        <w:rPr>
          <w:rFonts w:cs="Arial" w:ascii="Arial" w:hAnsi="Arial"/>
          <w:sz w:val="20"/>
          <w:szCs w:val="20"/>
          <w:lang w:val="pt-BR"/>
        </w:rPr>
        <w:t>O pagamento será realizado mediante ordem bancária, creditada em conta corrente da empresa contratada.</w:t>
      </w:r>
    </w:p>
    <w:p>
      <w:pPr>
        <w:pStyle w:val="ListParagraph"/>
        <w:tabs>
          <w:tab w:val="clear" w:pos="720"/>
          <w:tab w:val="left" w:pos="914"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880" w:leader="none"/>
        </w:tabs>
        <w:ind w:left="0"/>
        <w:rPr>
          <w:rFonts w:ascii="Arial" w:hAnsi="Arial" w:cs="Arial"/>
          <w:sz w:val="20"/>
          <w:szCs w:val="20"/>
          <w:lang w:val="pt-BR"/>
        </w:rPr>
      </w:pPr>
      <w:r>
        <w:rPr>
          <w:rFonts w:cs="Arial" w:ascii="Arial" w:hAnsi="Arial"/>
          <w:sz w:val="20"/>
          <w:szCs w:val="20"/>
          <w:lang w:val="pt-BR"/>
        </w:rPr>
        <w:t xml:space="preserve">O contratado regularmente optante pelo Simples Nacional, nos termos da </w:t>
      </w:r>
      <w:hyperlink r:id="rId3">
        <w:r>
          <w:rPr>
            <w:rStyle w:val="Style8"/>
            <w:rFonts w:cs="Arial" w:ascii="Arial" w:hAnsi="Arial"/>
            <w:sz w:val="20"/>
            <w:szCs w:val="20"/>
            <w:lang w:val="pt-BR"/>
          </w:rPr>
          <w:t>Lei Complementar nº 123,</w:t>
        </w:r>
      </w:hyperlink>
      <w:r>
        <w:rPr>
          <w:rFonts w:cs="Arial" w:ascii="Arial" w:hAnsi="Arial"/>
          <w:sz w:val="20"/>
          <w:szCs w:val="20"/>
          <w:lang w:val="pt-BR"/>
        </w:rPr>
        <w:t xml:space="preserve"> </w:t>
      </w:r>
      <w:hyperlink r:id="rId4">
        <w:r>
          <w:rPr>
            <w:rStyle w:val="Style8"/>
            <w:rFonts w:cs="Arial" w:ascii="Arial" w:hAnsi="Arial"/>
            <w:sz w:val="20"/>
            <w:szCs w:val="20"/>
            <w:lang w:val="pt-BR"/>
          </w:rPr>
          <w:t>de 2006</w:t>
        </w:r>
      </w:hyperlink>
      <w:r>
        <w:rPr>
          <w:rFonts w:cs="Arial" w:ascii="Arial" w:hAnsi="Arial"/>
          <w:sz w:val="20"/>
          <w:szCs w:val="20"/>
          <w:lang w:val="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istParagraph"/>
        <w:tabs>
          <w:tab w:val="clear" w:pos="720"/>
          <w:tab w:val="left" w:pos="935"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35" w:leader="none"/>
        </w:tabs>
        <w:ind w:left="0"/>
        <w:rPr>
          <w:rFonts w:ascii="Arial" w:hAnsi="Arial" w:cs="Arial"/>
          <w:sz w:val="20"/>
          <w:szCs w:val="20"/>
          <w:lang w:val="pt-BR"/>
        </w:rPr>
      </w:pPr>
      <w:r>
        <w:rPr>
          <w:rFonts w:cs="Arial" w:ascii="Arial" w:hAnsi="Arial"/>
          <w:sz w:val="20"/>
          <w:szCs w:val="20"/>
          <w:lang w:val="pt-BR"/>
        </w:rPr>
        <w:t>Nos casos de eventuais atrasos de pagamento, desde que a empresa contratada não tenha concorrido, de alguma forma, para tanto, fica convencionado que a taxa de compensação financeira devida pela Contratante, entre a data do vencimento e o efetivo adimplemento da parcela, é calculada mediante a aplicação da seguinte fórmula:</w:t>
      </w:r>
    </w:p>
    <w:p>
      <w:pPr>
        <w:pStyle w:val="ListParagraph"/>
        <w:tabs>
          <w:tab w:val="clear" w:pos="720"/>
          <w:tab w:val="left" w:pos="935" w:leader="none"/>
        </w:tabs>
        <w:ind w:left="0"/>
        <w:rPr>
          <w:rFonts w:ascii="Arial" w:hAnsi="Arial" w:cs="Arial"/>
          <w:sz w:val="20"/>
          <w:szCs w:val="20"/>
          <w:lang w:val="pt-BR"/>
        </w:rPr>
      </w:pPr>
      <w:r>
        <w:rPr>
          <w:rFonts w:cs="Arial" w:ascii="Arial" w:hAnsi="Arial"/>
          <w:sz w:val="20"/>
          <w:szCs w:val="20"/>
          <w:lang w:val="pt-BR"/>
        </w:rPr>
      </w:r>
    </w:p>
    <w:p>
      <w:pPr>
        <w:pStyle w:val="BodyText"/>
        <w:ind w:left="0"/>
        <w:rPr>
          <w:rFonts w:ascii="Arial" w:hAnsi="Arial" w:cs="Arial"/>
          <w:sz w:val="20"/>
          <w:szCs w:val="20"/>
          <w:lang w:val="pt-BR"/>
        </w:rPr>
      </w:pPr>
      <w:r>
        <w:rPr>
          <w:rFonts w:cs="Arial" w:ascii="Arial" w:hAnsi="Arial"/>
          <w:sz w:val="20"/>
          <w:szCs w:val="20"/>
          <w:lang w:val="pt-BR"/>
        </w:rPr>
        <w:t>EM = I x N x VP, sendo:</w:t>
      </w:r>
    </w:p>
    <w:p>
      <w:pPr>
        <w:pStyle w:val="BodyText"/>
        <w:ind w:left="0"/>
        <w:rPr>
          <w:rFonts w:ascii="Arial" w:hAnsi="Arial" w:cs="Arial"/>
          <w:sz w:val="20"/>
          <w:szCs w:val="20"/>
          <w:lang w:val="pt-BR"/>
        </w:rPr>
      </w:pPr>
      <w:r>
        <w:rPr>
          <w:rFonts w:cs="Arial" w:ascii="Arial" w:hAnsi="Arial"/>
          <w:sz w:val="20"/>
          <w:szCs w:val="20"/>
          <w:lang w:val="pt-BR"/>
        </w:rPr>
        <w:t>EM = Encargos moratórios;</w:t>
      </w:r>
    </w:p>
    <w:p>
      <w:pPr>
        <w:pStyle w:val="BodyText"/>
        <w:ind w:left="0"/>
        <w:rPr>
          <w:rFonts w:ascii="Arial" w:hAnsi="Arial" w:cs="Arial"/>
          <w:sz w:val="20"/>
          <w:szCs w:val="20"/>
          <w:lang w:val="pt-BR"/>
        </w:rPr>
      </w:pPr>
      <w:r>
        <w:rPr>
          <w:rFonts w:cs="Arial" w:ascii="Arial" w:hAnsi="Arial"/>
          <w:sz w:val="20"/>
          <w:szCs w:val="20"/>
          <w:lang w:val="pt-BR"/>
        </w:rPr>
        <w:t>N = Número de dias entre a data prevista para o pagamento e a do efetivo pagamento; VP = Valor da parcela a ser paga.</w:t>
      </w:r>
    </w:p>
    <w:p>
      <w:pPr>
        <w:pStyle w:val="BodyText"/>
        <w:ind w:left="0"/>
        <w:rPr>
          <w:rFonts w:ascii="Arial" w:hAnsi="Arial" w:cs="Arial"/>
          <w:sz w:val="20"/>
          <w:szCs w:val="20"/>
          <w:lang w:val="pt-BR"/>
        </w:rPr>
      </w:pPr>
      <w:r>
        <w:rPr>
          <w:rFonts w:cs="Arial" w:ascii="Arial" w:hAnsi="Arial"/>
          <w:sz w:val="20"/>
          <w:szCs w:val="20"/>
          <w:lang w:val="pt-BR"/>
        </w:rPr>
        <w:t xml:space="preserve">I = Índice de compensação financeira = 0,00016438, assim apurado: I = (TX) / I = </w:t>
      </w:r>
      <w:r>
        <w:rPr>
          <w:rFonts w:cs="Arial" w:ascii="Arial" w:hAnsi="Arial"/>
          <w:sz w:val="20"/>
          <w:szCs w:val="20"/>
          <w:u w:val="single"/>
          <w:lang w:val="pt-BR"/>
        </w:rPr>
        <w:t>(6/10)</w:t>
      </w:r>
    </w:p>
    <w:p>
      <w:pPr>
        <w:pStyle w:val="BodyText"/>
        <w:ind w:left="0"/>
        <w:jc w:val="left"/>
        <w:rPr>
          <w:rFonts w:ascii="Arial" w:hAnsi="Arial" w:cs="Arial"/>
          <w:sz w:val="20"/>
          <w:szCs w:val="20"/>
          <w:lang w:val="pt-BR"/>
        </w:rPr>
      </w:pPr>
      <w:r>
        <w:rPr>
          <w:rFonts w:cs="Arial" w:ascii="Arial" w:hAnsi="Arial"/>
          <w:sz w:val="20"/>
          <w:szCs w:val="20"/>
          <w:lang w:val="pt-BR"/>
        </w:rPr>
        <w:t>365</w:t>
      </w:r>
    </w:p>
    <w:p>
      <w:pPr>
        <w:pStyle w:val="BodyText"/>
        <w:ind w:left="0"/>
        <w:jc w:val="left"/>
        <w:rPr>
          <w:rFonts w:ascii="Arial" w:hAnsi="Arial" w:cs="Arial"/>
          <w:sz w:val="20"/>
          <w:szCs w:val="20"/>
          <w:lang w:val="pt-BR"/>
        </w:rPr>
      </w:pPr>
      <w:r>
        <w:rPr>
          <w:rFonts w:cs="Arial" w:ascii="Arial" w:hAnsi="Arial"/>
          <w:sz w:val="20"/>
          <w:szCs w:val="20"/>
          <w:lang w:val="pt-BR"/>
        </w:rPr>
        <w:t>TX = Percentual de taxa anual = 6% I =0,00016438</w:t>
      </w:r>
    </w:p>
    <w:p>
      <w:pPr>
        <w:pStyle w:val="BodyText"/>
        <w:ind w:left="0"/>
        <w:jc w:val="left"/>
        <w:rPr>
          <w:rFonts w:ascii="Arial" w:hAnsi="Arial" w:cs="Arial"/>
          <w:bCs/>
          <w:sz w:val="20"/>
          <w:szCs w:val="20"/>
          <w:lang w:val="pt-BR"/>
        </w:rPr>
      </w:pPr>
      <w:r>
        <w:rPr>
          <w:rFonts w:cs="Arial" w:ascii="Arial" w:hAnsi="Arial"/>
          <w:bCs/>
          <w:sz w:val="20"/>
          <w:szCs w:val="20"/>
          <w:lang w:val="pt-BR"/>
        </w:rPr>
      </w:r>
    </w:p>
    <w:p>
      <w:pPr>
        <w:pStyle w:val="BodyText"/>
        <w:ind w:left="0"/>
        <w:jc w:val="left"/>
        <w:rPr>
          <w:rFonts w:ascii="Arial" w:hAnsi="Arial" w:cs="Arial"/>
          <w:b/>
          <w:sz w:val="20"/>
          <w:szCs w:val="20"/>
          <w:lang w:val="pt-BR"/>
        </w:rPr>
      </w:pPr>
      <w:r>
        <w:rPr>
          <w:rFonts w:cs="Arial" w:ascii="Arial" w:hAnsi="Arial"/>
          <w:sz w:val="20"/>
          <w:szCs w:val="20"/>
          <w:lang w:val="pt-BR"/>
        </w:rPr>
        <w:t>É vedado ao contratado transferir a terceiros os direitos ou créditos decorrentes do contrato.</w:t>
      </w:r>
    </w:p>
    <w:p>
      <w:pPr>
        <w:pStyle w:val="BodyText"/>
        <w:ind w:left="0"/>
        <w:jc w:val="left"/>
        <w:rPr>
          <w:rFonts w:ascii="Arial" w:hAnsi="Arial" w:cs="Arial"/>
          <w:sz w:val="20"/>
          <w:szCs w:val="20"/>
          <w:lang w:val="pt-BR"/>
        </w:rPr>
      </w:pPr>
      <w:r>
        <w:rPr>
          <w:rFonts w:cs="Arial" w:ascii="Arial" w:hAnsi="Arial"/>
          <w:sz w:val="20"/>
          <w:szCs w:val="20"/>
          <w:lang w:val="pt-BR"/>
        </w:rPr>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830" w:leader="none"/>
        </w:tabs>
        <w:ind w:hanging="0" w:left="0"/>
        <w:rPr>
          <w:sz w:val="20"/>
          <w:szCs w:val="20"/>
          <w:lang w:val="pt-BR"/>
        </w:rPr>
      </w:pPr>
      <w:r>
        <w:rPr>
          <w:sz w:val="20"/>
          <w:szCs w:val="20"/>
          <w:lang w:val="pt-BR"/>
        </w:rPr>
        <w:t>9. ESTIMATIVA DO VALOR DA CONTRATAÇÃO:</w:t>
      </w:r>
    </w:p>
    <w:p>
      <w:pPr>
        <w:pStyle w:val="Heading1"/>
        <w:tabs>
          <w:tab w:val="clear" w:pos="720"/>
          <w:tab w:val="left" w:pos="830" w:leader="none"/>
        </w:tabs>
        <w:ind w:hanging="0" w:left="0"/>
        <w:rPr>
          <w:b w:val="false"/>
          <w:bCs w:val="false"/>
          <w:sz w:val="20"/>
          <w:szCs w:val="20"/>
          <w:lang w:val="pt-BR"/>
        </w:rPr>
      </w:pPr>
      <w:r>
        <w:rPr>
          <w:b w:val="false"/>
          <w:bCs w:val="false"/>
          <w:sz w:val="20"/>
          <w:szCs w:val="20"/>
          <w:lang w:val="pt-BR"/>
        </w:rPr>
      </w:r>
    </w:p>
    <w:p>
      <w:pPr>
        <w:pStyle w:val="ListParagraph"/>
        <w:tabs>
          <w:tab w:val="clear" w:pos="720"/>
          <w:tab w:val="left" w:pos="1007" w:leader="none"/>
        </w:tabs>
        <w:ind w:left="0"/>
        <w:rPr>
          <w:rFonts w:ascii="Arial" w:hAnsi="Arial" w:cs="Arial"/>
          <w:sz w:val="20"/>
          <w:szCs w:val="20"/>
          <w:lang w:val="pt-BR"/>
        </w:rPr>
      </w:pPr>
      <w:r>
        <w:rPr>
          <w:rFonts w:cs="Arial" w:ascii="Arial" w:hAnsi="Arial"/>
          <w:sz w:val="20"/>
          <w:szCs w:val="20"/>
          <w:lang w:val="pt-BR"/>
        </w:rPr>
        <w:t xml:space="preserve">O valor total estimado da contratação, objeto deste Termo de Referência, é de </w:t>
      </w:r>
      <w:r>
        <w:rPr>
          <w:rFonts w:cs="Arial" w:ascii="Arial" w:hAnsi="Arial"/>
          <w:sz w:val="20"/>
          <w:szCs w:val="20"/>
          <w:shd w:fill="auto" w:val="clear"/>
          <w:lang w:val="pt-BR"/>
        </w:rPr>
        <w:t>R$</w:t>
      </w:r>
      <w:r>
        <w:rPr>
          <w:rFonts w:cs="Arial" w:ascii="Arial" w:hAnsi="Arial"/>
          <w:sz w:val="20"/>
          <w:szCs w:val="20"/>
          <w:shd w:fill="auto" w:val="clear"/>
          <w:lang w:val="pt-BR"/>
        </w:rPr>
        <w:t>14.608,00</w:t>
      </w:r>
      <w:r>
        <w:rPr>
          <w:rFonts w:cs="Arial" w:ascii="Arial" w:hAnsi="Arial"/>
          <w:sz w:val="20"/>
          <w:szCs w:val="20"/>
          <w:shd w:fill="auto" w:val="clear"/>
          <w:lang w:val="pt-BR"/>
        </w:rPr>
        <w:t xml:space="preserve"> (</w:t>
      </w:r>
      <w:r>
        <w:rPr>
          <w:rFonts w:cs="Arial" w:ascii="Arial" w:hAnsi="Arial"/>
          <w:sz w:val="20"/>
          <w:szCs w:val="20"/>
          <w:shd w:fill="auto" w:val="clear"/>
          <w:lang w:val="pt-BR"/>
        </w:rPr>
        <w:t xml:space="preserve">quatorze mil, seiscentos e oito reais </w:t>
      </w:r>
      <w:r>
        <w:rPr>
          <w:rFonts w:cs="Arial" w:ascii="Arial" w:hAnsi="Arial"/>
          <w:sz w:val="20"/>
          <w:szCs w:val="20"/>
          <w:shd w:fill="auto" w:val="clear"/>
          <w:lang w:val="pt-BR"/>
        </w:rPr>
        <w:t xml:space="preserve">), </w:t>
      </w:r>
      <w:r>
        <w:rPr>
          <w:rFonts w:cs="Arial" w:ascii="Arial" w:hAnsi="Arial"/>
          <w:sz w:val="20"/>
          <w:szCs w:val="20"/>
          <w:lang w:val="pt-BR"/>
        </w:rPr>
        <w:t>conforme valor disposto no Termo.</w:t>
      </w:r>
    </w:p>
    <w:p>
      <w:pPr>
        <w:pStyle w:val="ListParagraph"/>
        <w:tabs>
          <w:tab w:val="clear" w:pos="720"/>
          <w:tab w:val="left" w:pos="1007"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998" w:leader="none"/>
        </w:tabs>
        <w:ind w:left="0"/>
        <w:rPr>
          <w:rFonts w:ascii="Arial" w:hAnsi="Arial" w:cs="Arial"/>
          <w:sz w:val="20"/>
          <w:szCs w:val="20"/>
          <w:lang w:val="pt-BR"/>
        </w:rPr>
      </w:pPr>
      <w:r>
        <w:rPr>
          <w:rFonts w:cs="Arial" w:ascii="Arial" w:hAnsi="Arial"/>
          <w:sz w:val="20"/>
          <w:szCs w:val="20"/>
          <w:lang w:val="pt-BR"/>
        </w:rPr>
        <w:t>Para a pesquisa de preço foram consultadas diretamente empresas regionais mediante solicitação formal de cotação com o objetivo de buscar a realidade do mercado, visto que os impostos regionais e a disponibilidade de deslocamento de funcionários da empresa contratada influenciarão diretamente os preços a serem ofertados.</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830" w:leader="none"/>
        </w:tabs>
        <w:ind w:hanging="0" w:left="0"/>
        <w:rPr>
          <w:sz w:val="20"/>
          <w:szCs w:val="20"/>
          <w:lang w:val="pt-BR"/>
        </w:rPr>
      </w:pPr>
      <w:r>
        <w:rPr>
          <w:sz w:val="20"/>
          <w:szCs w:val="20"/>
          <w:lang w:val="pt-BR"/>
        </w:rPr>
        <w:t>10. DA DESPESA E DOS RECURSOS ORÇAMENTÁRIOS:</w:t>
      </w:r>
    </w:p>
    <w:p>
      <w:pPr>
        <w:pStyle w:val="Heading1"/>
        <w:tabs>
          <w:tab w:val="clear" w:pos="720"/>
          <w:tab w:val="left" w:pos="830" w:leader="none"/>
        </w:tabs>
        <w:ind w:hanging="0" w:left="0"/>
        <w:rPr>
          <w:b w:val="false"/>
          <w:bCs w:val="false"/>
          <w:sz w:val="20"/>
          <w:szCs w:val="20"/>
          <w:lang w:val="pt-BR"/>
        </w:rPr>
      </w:pPr>
      <w:r>
        <w:rPr>
          <w:b w:val="false"/>
          <w:bCs w:val="false"/>
          <w:sz w:val="20"/>
          <w:szCs w:val="20"/>
          <w:lang w:val="pt-BR"/>
        </w:rPr>
      </w:r>
    </w:p>
    <w:p>
      <w:pPr>
        <w:pStyle w:val="ListParagraph"/>
        <w:tabs>
          <w:tab w:val="clear" w:pos="720"/>
          <w:tab w:val="left" w:pos="1029" w:leader="none"/>
        </w:tabs>
        <w:ind w:left="0"/>
        <w:rPr>
          <w:rFonts w:ascii="Arial" w:hAnsi="Arial" w:cs="Arial"/>
          <w:sz w:val="20"/>
          <w:szCs w:val="20"/>
          <w:lang w:val="pt-BR"/>
        </w:rPr>
      </w:pPr>
      <w:r>
        <w:rPr>
          <w:rFonts w:cs="Arial" w:ascii="Arial" w:hAnsi="Arial"/>
          <w:sz w:val="20"/>
          <w:szCs w:val="20"/>
          <w:lang w:val="pt-BR"/>
        </w:rPr>
        <w:t xml:space="preserve">A despesa orçamentária decorrente do fornecimento dos materiais de que trata o objeto </w:t>
      </w:r>
      <w:r>
        <w:rPr>
          <w:rFonts w:cs="Arial" w:ascii="Arial" w:hAnsi="Arial"/>
          <w:sz w:val="20"/>
          <w:szCs w:val="20"/>
          <w:lang w:val="pt-BR"/>
        </w:rPr>
        <w:t xml:space="preserve">por </w:t>
      </w:r>
      <w:r>
        <w:rPr>
          <w:rFonts w:cs="Arial" w:ascii="Arial" w:hAnsi="Arial"/>
          <w:sz w:val="20"/>
          <w:szCs w:val="20"/>
          <w:lang w:val="pt-BR"/>
        </w:rPr>
        <w:t>conta d</w:t>
      </w:r>
      <w:r>
        <w:rPr>
          <w:rFonts w:cs="Arial" w:ascii="Arial" w:hAnsi="Arial"/>
          <w:sz w:val="20"/>
          <w:szCs w:val="20"/>
          <w:lang w:val="pt-BR"/>
        </w:rPr>
        <w:t>e dotação a ser especificada no Termo de Dispensa.</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830" w:leader="none"/>
        </w:tabs>
        <w:ind w:hanging="0" w:left="0"/>
        <w:rPr>
          <w:sz w:val="20"/>
          <w:szCs w:val="20"/>
          <w:lang w:val="pt-BR"/>
        </w:rPr>
      </w:pPr>
      <w:r>
        <w:rPr>
          <w:sz w:val="20"/>
          <w:szCs w:val="20"/>
          <w:lang w:val="pt-BR"/>
        </w:rPr>
        <w:t>11. DAS OBRIGAÇÕES DO CONTRATANTE:</w:t>
      </w:r>
    </w:p>
    <w:p>
      <w:pPr>
        <w:pStyle w:val="Heading1"/>
        <w:tabs>
          <w:tab w:val="clear" w:pos="720"/>
          <w:tab w:val="left" w:pos="830" w:leader="none"/>
        </w:tabs>
        <w:ind w:hanging="0" w:left="0"/>
        <w:rPr>
          <w:b w:val="false"/>
          <w:bCs w:val="false"/>
          <w:sz w:val="20"/>
          <w:szCs w:val="20"/>
          <w:lang w:val="pt-BR"/>
        </w:rPr>
      </w:pPr>
      <w:r>
        <w:rPr>
          <w:b w:val="false"/>
          <w:bCs w:val="false"/>
          <w:sz w:val="20"/>
          <w:szCs w:val="20"/>
          <w:lang w:val="pt-BR"/>
        </w:rPr>
      </w:r>
    </w:p>
    <w:p>
      <w:pPr>
        <w:pStyle w:val="ListParagraph"/>
        <w:tabs>
          <w:tab w:val="clear" w:pos="720"/>
          <w:tab w:val="left" w:pos="1060" w:leader="none"/>
        </w:tabs>
        <w:ind w:left="0"/>
        <w:rPr>
          <w:rFonts w:ascii="Arial" w:hAnsi="Arial" w:cs="Arial"/>
          <w:sz w:val="20"/>
          <w:szCs w:val="20"/>
          <w:lang w:val="pt-BR"/>
        </w:rPr>
      </w:pPr>
      <w:r>
        <w:rPr>
          <w:rFonts w:cs="Arial" w:ascii="Arial" w:hAnsi="Arial"/>
          <w:sz w:val="20"/>
          <w:szCs w:val="20"/>
          <w:lang w:val="pt-BR"/>
        </w:rPr>
        <w:t>Emitir a Solicitação de Fornecimento dos Fardamentos, com as informações necessárias à execução do objeto que trata este Termo de Referência.</w:t>
      </w:r>
    </w:p>
    <w:p>
      <w:pPr>
        <w:pStyle w:val="ListParagraph"/>
        <w:tabs>
          <w:tab w:val="clear" w:pos="720"/>
          <w:tab w:val="left" w:pos="106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22" w:leader="none"/>
        </w:tabs>
        <w:ind w:left="0"/>
        <w:rPr>
          <w:rFonts w:ascii="Arial" w:hAnsi="Arial" w:cs="Arial"/>
          <w:sz w:val="20"/>
          <w:szCs w:val="20"/>
          <w:lang w:val="pt-BR"/>
        </w:rPr>
      </w:pPr>
      <w:r>
        <w:rPr>
          <w:rFonts w:cs="Arial" w:ascii="Arial" w:hAnsi="Arial"/>
          <w:sz w:val="20"/>
          <w:szCs w:val="20"/>
          <w:lang w:val="pt-BR"/>
        </w:rPr>
        <w:t>Promover o acompanhamento e fiscalização da entrega do objeto licitado, de forma que sejam mantidas as condições de habilitação exigidas na licitação.</w:t>
      </w:r>
    </w:p>
    <w:p>
      <w:pPr>
        <w:pStyle w:val="ListParagraph"/>
        <w:tabs>
          <w:tab w:val="clear" w:pos="720"/>
          <w:tab w:val="left" w:pos="1022"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22" w:leader="none"/>
        </w:tabs>
        <w:ind w:left="0"/>
        <w:rPr>
          <w:rFonts w:ascii="Arial" w:hAnsi="Arial" w:cs="Arial"/>
          <w:sz w:val="20"/>
          <w:szCs w:val="20"/>
          <w:lang w:val="pt-BR"/>
        </w:rPr>
      </w:pPr>
      <w:r>
        <w:rPr>
          <w:rFonts w:cs="Arial" w:ascii="Arial" w:hAnsi="Arial"/>
          <w:sz w:val="20"/>
          <w:szCs w:val="20"/>
          <w:lang w:val="pt-BR"/>
        </w:rPr>
        <w:t>Notificar à empresa contratada, por escrito, a ocorrência de eventuais imperfeições no curso do fornecimento do objeto deste Termo, fixando prazo, se necessário, para a sua correção.</w:t>
      </w:r>
    </w:p>
    <w:p>
      <w:pPr>
        <w:pStyle w:val="ListParagraph"/>
        <w:tabs>
          <w:tab w:val="clear" w:pos="720"/>
          <w:tab w:val="left" w:pos="1022"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70" w:leader="none"/>
        </w:tabs>
        <w:ind w:left="0"/>
        <w:rPr>
          <w:rFonts w:ascii="Arial" w:hAnsi="Arial" w:cs="Arial"/>
          <w:sz w:val="20"/>
          <w:szCs w:val="20"/>
          <w:lang w:val="pt-BR"/>
        </w:rPr>
      </w:pPr>
      <w:r>
        <w:rPr>
          <w:rFonts w:cs="Arial" w:ascii="Arial" w:hAnsi="Arial"/>
          <w:sz w:val="20"/>
          <w:szCs w:val="20"/>
          <w:lang w:val="pt-BR"/>
        </w:rPr>
        <w:t>Rejeitar, no todo ou em parte, os materiais que a empresa contratada entregar fora das especificações constantes deste Termo.</w:t>
      </w:r>
    </w:p>
    <w:p>
      <w:pPr>
        <w:pStyle w:val="ListParagraph"/>
        <w:tabs>
          <w:tab w:val="clear" w:pos="720"/>
          <w:tab w:val="left" w:pos="107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10" w:leader="none"/>
        </w:tabs>
        <w:ind w:left="0"/>
        <w:rPr>
          <w:rFonts w:ascii="Arial" w:hAnsi="Arial" w:cs="Arial"/>
          <w:sz w:val="20"/>
          <w:szCs w:val="20"/>
          <w:lang w:val="pt-BR"/>
        </w:rPr>
      </w:pPr>
      <w:r>
        <w:rPr>
          <w:rFonts w:cs="Arial" w:ascii="Arial" w:hAnsi="Arial"/>
          <w:sz w:val="20"/>
          <w:szCs w:val="20"/>
          <w:lang w:val="pt-BR"/>
        </w:rPr>
        <w:t>Permitir acesso dos empregados da empresa contratada às dependências do SAAE para conferência de medidas e entrega dos produtos solicitados.</w:t>
      </w:r>
    </w:p>
    <w:p>
      <w:pPr>
        <w:pStyle w:val="ListParagraph"/>
        <w:tabs>
          <w:tab w:val="clear" w:pos="720"/>
          <w:tab w:val="left" w:pos="101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05" w:leader="none"/>
        </w:tabs>
        <w:ind w:left="0"/>
        <w:rPr>
          <w:rFonts w:ascii="Arial" w:hAnsi="Arial" w:cs="Arial"/>
          <w:sz w:val="20"/>
          <w:szCs w:val="20"/>
          <w:lang w:val="pt-BR"/>
        </w:rPr>
      </w:pPr>
      <w:r>
        <w:rPr>
          <w:rFonts w:cs="Arial" w:ascii="Arial" w:hAnsi="Arial"/>
          <w:sz w:val="20"/>
          <w:szCs w:val="20"/>
          <w:lang w:val="pt-BR"/>
        </w:rPr>
        <w:t>Aplicar penalidades à empresa contratada, por descumprimento contratual.</w:t>
      </w:r>
    </w:p>
    <w:p>
      <w:pPr>
        <w:pStyle w:val="ListParagraph"/>
        <w:tabs>
          <w:tab w:val="clear" w:pos="720"/>
          <w:tab w:val="left" w:pos="1005"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51" w:leader="none"/>
        </w:tabs>
        <w:ind w:left="0"/>
        <w:rPr>
          <w:rFonts w:ascii="Arial" w:hAnsi="Arial" w:cs="Arial"/>
          <w:sz w:val="20"/>
          <w:szCs w:val="20"/>
          <w:lang w:val="pt-BR"/>
        </w:rPr>
      </w:pPr>
      <w:r>
        <w:rPr>
          <w:rFonts w:cs="Arial" w:ascii="Arial" w:hAnsi="Arial"/>
          <w:sz w:val="20"/>
          <w:szCs w:val="20"/>
          <w:lang w:val="pt-BR"/>
        </w:rPr>
        <w:t>Prestar as informações e esclarecimentos que eventualmente venham a ser solicitados pela empresa contratada, e que digam respeito à natureza do objeto deste Termo.</w:t>
      </w:r>
    </w:p>
    <w:p>
      <w:pPr>
        <w:pStyle w:val="ListParagraph"/>
        <w:tabs>
          <w:tab w:val="clear" w:pos="720"/>
          <w:tab w:val="left" w:pos="1051"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39" w:leader="none"/>
        </w:tabs>
        <w:ind w:left="0"/>
        <w:rPr>
          <w:rFonts w:ascii="Arial" w:hAnsi="Arial" w:cs="Arial"/>
          <w:sz w:val="20"/>
          <w:szCs w:val="20"/>
          <w:lang w:val="pt-BR"/>
        </w:rPr>
      </w:pPr>
      <w:r>
        <w:rPr>
          <w:rFonts w:cs="Arial" w:ascii="Arial" w:hAnsi="Arial"/>
          <w:sz w:val="20"/>
          <w:szCs w:val="20"/>
          <w:lang w:val="pt-BR"/>
        </w:rPr>
        <w:t>Proceder à conferência da Nota fiscal, atestando no corpo da mesma, pelo fornecimento dos materiais.</w:t>
      </w:r>
    </w:p>
    <w:p>
      <w:pPr>
        <w:pStyle w:val="ListParagraph"/>
        <w:tabs>
          <w:tab w:val="clear" w:pos="720"/>
          <w:tab w:val="left" w:pos="1027"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027" w:leader="none"/>
        </w:tabs>
        <w:ind w:left="0"/>
        <w:rPr>
          <w:rFonts w:ascii="Arial" w:hAnsi="Arial" w:cs="Arial"/>
          <w:sz w:val="20"/>
          <w:szCs w:val="20"/>
          <w:lang w:val="pt-BR"/>
        </w:rPr>
      </w:pPr>
      <w:r>
        <w:rPr>
          <w:rFonts w:cs="Arial" w:ascii="Arial" w:hAnsi="Arial"/>
          <w:sz w:val="20"/>
          <w:szCs w:val="20"/>
          <w:lang w:val="pt-BR"/>
        </w:rPr>
        <w:t>Efetuar o pagamento devido pelo fornecimento dos produtos à empresa contratada, desde que cumpridas todas as formalidades e exigências deste Termo.</w:t>
      </w:r>
    </w:p>
    <w:p>
      <w:pPr>
        <w:pStyle w:val="ListParagraph"/>
        <w:tabs>
          <w:tab w:val="clear" w:pos="720"/>
          <w:tab w:val="left" w:pos="1027"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68" w:leader="none"/>
        </w:tabs>
        <w:ind w:left="0"/>
        <w:rPr>
          <w:rFonts w:ascii="Arial" w:hAnsi="Arial" w:cs="Arial"/>
          <w:sz w:val="20"/>
          <w:szCs w:val="20"/>
          <w:lang w:val="pt-BR"/>
        </w:rPr>
      </w:pPr>
      <w:r>
        <w:rPr>
          <w:rFonts w:cs="Arial" w:ascii="Arial" w:hAnsi="Arial"/>
          <w:sz w:val="20"/>
          <w:szCs w:val="20"/>
          <w:lang w:val="pt-BR"/>
        </w:rPr>
        <w:t>Designar o Fiscal, dentre os servidores do SAAE para acompanhar e fiscalizar o fornecimento e atestar o recebimento dos materiais.</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830" w:leader="none"/>
        </w:tabs>
        <w:ind w:hanging="0" w:left="0"/>
        <w:rPr>
          <w:sz w:val="20"/>
          <w:szCs w:val="20"/>
          <w:lang w:val="pt-BR"/>
        </w:rPr>
      </w:pPr>
      <w:r>
        <w:rPr>
          <w:sz w:val="20"/>
          <w:szCs w:val="20"/>
          <w:lang w:val="pt-BR"/>
        </w:rPr>
        <w:t>12. DAS OBRIGAÇÕES DA EMPRESA CONTRATADA:</w:t>
      </w:r>
    </w:p>
    <w:p>
      <w:pPr>
        <w:pStyle w:val="Heading1"/>
        <w:tabs>
          <w:tab w:val="clear" w:pos="720"/>
          <w:tab w:val="left" w:pos="830" w:leader="none"/>
        </w:tabs>
        <w:ind w:hanging="0" w:left="0"/>
        <w:rPr>
          <w:b w:val="false"/>
          <w:bCs w:val="false"/>
          <w:sz w:val="20"/>
          <w:szCs w:val="20"/>
          <w:lang w:val="pt-BR"/>
        </w:rPr>
      </w:pPr>
      <w:r>
        <w:rPr>
          <w:b w:val="false"/>
          <w:bCs w:val="false"/>
          <w:sz w:val="20"/>
          <w:szCs w:val="20"/>
          <w:lang w:val="pt-BR"/>
        </w:rPr>
      </w:r>
    </w:p>
    <w:p>
      <w:pPr>
        <w:pStyle w:val="ListParagraph"/>
        <w:tabs>
          <w:tab w:val="clear" w:pos="720"/>
          <w:tab w:val="left" w:pos="1010" w:leader="none"/>
        </w:tabs>
        <w:ind w:left="0"/>
        <w:rPr>
          <w:rFonts w:ascii="Arial" w:hAnsi="Arial" w:cs="Arial"/>
          <w:sz w:val="20"/>
          <w:szCs w:val="20"/>
          <w:lang w:val="pt-BR"/>
        </w:rPr>
      </w:pPr>
      <w:r>
        <w:rPr>
          <w:rFonts w:cs="Arial" w:ascii="Arial" w:hAnsi="Arial"/>
          <w:sz w:val="20"/>
          <w:szCs w:val="20"/>
          <w:lang w:val="pt-BR"/>
        </w:rPr>
        <w:t>Além das obrigações resultantes da aplicação da Lei nº 14.133/2021 são obrigações da empresa contratada:</w:t>
      </w:r>
    </w:p>
    <w:p>
      <w:pPr>
        <w:pStyle w:val="ListParagraph"/>
        <w:tabs>
          <w:tab w:val="clear" w:pos="720"/>
          <w:tab w:val="left" w:pos="101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t>Executar fielmente a entrega do objeto deste Termo, com presteza e satisfação.</w:t>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t>Entregar os objetos no prazo estabelecido neste Termo.</w:t>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75" w:leader="none"/>
        </w:tabs>
        <w:ind w:left="0"/>
        <w:rPr>
          <w:rFonts w:ascii="Arial" w:hAnsi="Arial" w:cs="Arial"/>
          <w:sz w:val="20"/>
          <w:szCs w:val="20"/>
          <w:lang w:val="pt-BR"/>
        </w:rPr>
      </w:pPr>
      <w:r>
        <w:rPr>
          <w:rFonts w:cs="Arial" w:ascii="Arial" w:hAnsi="Arial"/>
          <w:sz w:val="20"/>
          <w:szCs w:val="20"/>
          <w:lang w:val="pt-BR"/>
        </w:rPr>
        <w:t>Designar um profissional (nome, telefone e e-mail) em até 05 (cinco) dias após o recebimento da Nota de Empenho, que se reportará diretamente ao Fiscal do Contrato para acompanhar e responder pela entrega dos materiais.</w:t>
      </w:r>
    </w:p>
    <w:p>
      <w:pPr>
        <w:pStyle w:val="ListParagraph"/>
        <w:tabs>
          <w:tab w:val="clear" w:pos="720"/>
          <w:tab w:val="left" w:pos="1175" w:leader="none"/>
        </w:tabs>
        <w:ind w:left="0"/>
        <w:rPr>
          <w:rFonts w:ascii="Arial" w:hAnsi="Arial" w:cs="Arial"/>
          <w:sz w:val="20"/>
          <w:szCs w:val="20"/>
          <w:lang w:val="pt-BR"/>
        </w:rPr>
      </w:pPr>
      <w:r>
        <w:rPr/>
      </w:r>
    </w:p>
    <w:p>
      <w:pPr>
        <w:pStyle w:val="ListParagraph"/>
        <w:tabs>
          <w:tab w:val="clear" w:pos="720"/>
          <w:tab w:val="left" w:pos="1175"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73" w:leader="none"/>
        </w:tabs>
        <w:ind w:left="0"/>
        <w:rPr>
          <w:rFonts w:ascii="Arial" w:hAnsi="Arial" w:cs="Arial"/>
          <w:sz w:val="20"/>
          <w:szCs w:val="20"/>
          <w:lang w:val="pt-BR"/>
        </w:rPr>
      </w:pPr>
      <w:r>
        <w:rPr>
          <w:rFonts w:cs="Arial" w:ascii="Arial" w:hAnsi="Arial"/>
          <w:sz w:val="20"/>
          <w:szCs w:val="20"/>
          <w:lang w:val="pt-BR"/>
        </w:rPr>
        <w:t>Cumprir fielmente os compromissos avençados, de forma que o fornecimento seja realizado com esmero e perfeição.</w:t>
      </w:r>
    </w:p>
    <w:p>
      <w:pPr>
        <w:pStyle w:val="ListParagraph"/>
        <w:tabs>
          <w:tab w:val="clear" w:pos="720"/>
          <w:tab w:val="left" w:pos="1173"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78" w:leader="none"/>
        </w:tabs>
        <w:ind w:left="0"/>
        <w:rPr>
          <w:rFonts w:ascii="Arial" w:hAnsi="Arial" w:cs="Arial"/>
          <w:sz w:val="20"/>
          <w:szCs w:val="20"/>
          <w:lang w:val="pt-BR"/>
        </w:rPr>
      </w:pPr>
      <w:r>
        <w:rPr>
          <w:rFonts w:cs="Arial" w:ascii="Arial" w:hAnsi="Arial"/>
          <w:sz w:val="20"/>
          <w:szCs w:val="20"/>
          <w:lang w:val="pt-BR"/>
        </w:rPr>
        <w:t>Manter-se, durante todo o período de execução do objeto deste Termo, em compatibilidade com as obrigações por ele assumidas, todas as condições exigidas para a habilitação na licitação, ou para a qualificação, na contratação direta.</w:t>
      </w:r>
    </w:p>
    <w:p>
      <w:pPr>
        <w:pStyle w:val="ListParagraph"/>
        <w:tabs>
          <w:tab w:val="clear" w:pos="720"/>
          <w:tab w:val="left" w:pos="1178"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218" w:leader="none"/>
        </w:tabs>
        <w:ind w:left="0"/>
        <w:rPr>
          <w:rFonts w:ascii="Arial" w:hAnsi="Arial" w:cs="Arial"/>
          <w:sz w:val="20"/>
          <w:szCs w:val="20"/>
          <w:lang w:val="pt-BR"/>
        </w:rPr>
      </w:pPr>
      <w:r>
        <w:rPr>
          <w:rFonts w:cs="Arial" w:ascii="Arial" w:hAnsi="Arial"/>
          <w:sz w:val="20"/>
          <w:szCs w:val="20"/>
          <w:lang w:val="pt-BR"/>
        </w:rPr>
        <w:t>Comunicar ao SAAE, por escrito, qualquer anormalidade de caráter urgente e prestar os esclarecimentos que esta julgar necessários.</w:t>
      </w:r>
    </w:p>
    <w:p>
      <w:pPr>
        <w:pStyle w:val="ListParagraph"/>
        <w:tabs>
          <w:tab w:val="clear" w:pos="720"/>
          <w:tab w:val="left" w:pos="1218"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97" w:leader="none"/>
        </w:tabs>
        <w:ind w:left="0"/>
        <w:rPr>
          <w:rFonts w:ascii="Arial" w:hAnsi="Arial" w:cs="Arial"/>
          <w:sz w:val="20"/>
          <w:szCs w:val="20"/>
          <w:lang w:val="pt-BR"/>
        </w:rPr>
      </w:pPr>
      <w:r>
        <w:rPr>
          <w:rFonts w:cs="Arial" w:ascii="Arial" w:hAnsi="Arial"/>
          <w:sz w:val="20"/>
          <w:szCs w:val="20"/>
          <w:lang w:val="pt-BR"/>
        </w:rPr>
        <w:t>Responsabilizar-se pelos danos causados diretamente ao SAAE ou a terceiros, decorrentes de sua culpa ou dolo na execução do contrato.</w:t>
      </w:r>
    </w:p>
    <w:p>
      <w:pPr>
        <w:pStyle w:val="ListParagraph"/>
        <w:tabs>
          <w:tab w:val="clear" w:pos="720"/>
          <w:tab w:val="left" w:pos="1197"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92" w:leader="none"/>
        </w:tabs>
        <w:ind w:left="0"/>
        <w:rPr>
          <w:rFonts w:ascii="Arial" w:hAnsi="Arial" w:cs="Arial"/>
          <w:sz w:val="20"/>
          <w:szCs w:val="20"/>
          <w:lang w:val="pt-BR"/>
        </w:rPr>
      </w:pPr>
      <w:r>
        <w:rPr>
          <w:rFonts w:cs="Arial" w:ascii="Arial" w:hAnsi="Arial"/>
          <w:sz w:val="20"/>
          <w:szCs w:val="20"/>
          <w:lang w:val="pt-BR"/>
        </w:rPr>
        <w:t>Prestar todos os esclarecimentos solicitados pelo SAAE, atendendo prontamente a todas as reclamações, e se for o caso providenciar a imediata correção das deficiências apontadas pela Fiscalização, seja quanto ao fornecimento dos produtos, seja quanto à parte burocrática.</w:t>
      </w:r>
    </w:p>
    <w:p>
      <w:pPr>
        <w:pStyle w:val="ListParagraph"/>
        <w:tabs>
          <w:tab w:val="clear" w:pos="720"/>
          <w:tab w:val="left" w:pos="1192"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362" w:leader="none"/>
        </w:tabs>
        <w:ind w:left="0"/>
        <w:rPr>
          <w:rFonts w:ascii="Arial" w:hAnsi="Arial" w:cs="Arial"/>
          <w:sz w:val="20"/>
          <w:szCs w:val="20"/>
          <w:lang w:val="pt-BR"/>
        </w:rPr>
      </w:pPr>
      <w:r>
        <w:rPr>
          <w:rFonts w:cs="Arial" w:ascii="Arial" w:hAnsi="Arial"/>
          <w:sz w:val="20"/>
          <w:szCs w:val="20"/>
          <w:lang w:val="pt-BR"/>
        </w:rPr>
        <w:t>A responsabilidade por seus empregados em decorrência do fornecimento do material, respondendo inclusive pela imediata indenização de danos por eles eventualmente causados.</w:t>
      </w:r>
    </w:p>
    <w:p>
      <w:pPr>
        <w:pStyle w:val="ListParagraph"/>
        <w:tabs>
          <w:tab w:val="clear" w:pos="720"/>
          <w:tab w:val="left" w:pos="1362"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302" w:leader="none"/>
        </w:tabs>
        <w:ind w:left="0"/>
        <w:rPr>
          <w:rFonts w:ascii="Arial" w:hAnsi="Arial" w:cs="Arial"/>
          <w:sz w:val="20"/>
          <w:szCs w:val="20"/>
          <w:lang w:val="pt-BR"/>
        </w:rPr>
      </w:pPr>
      <w:r>
        <w:rPr>
          <w:rFonts w:cs="Arial" w:ascii="Arial" w:hAnsi="Arial"/>
          <w:sz w:val="20"/>
          <w:szCs w:val="20"/>
          <w:lang w:val="pt-BR"/>
        </w:rPr>
        <w:t>Caberá a empresa contratada todas as providências e obrigações estabelecidas na legislação específica de acidente de trabalho, quando em ocorrências da espécie forem vítimas os seus técnicos e empregados no desempenho do fornecimento, ou em contato com eles nas dependências do SAAE.</w:t>
      </w:r>
    </w:p>
    <w:p>
      <w:pPr>
        <w:pStyle w:val="ListParagraph"/>
        <w:tabs>
          <w:tab w:val="clear" w:pos="720"/>
          <w:tab w:val="left" w:pos="1302"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290" w:leader="none"/>
        </w:tabs>
        <w:ind w:left="0"/>
        <w:rPr>
          <w:rFonts w:ascii="Arial" w:hAnsi="Arial" w:cs="Arial"/>
          <w:sz w:val="20"/>
          <w:szCs w:val="20"/>
          <w:lang w:val="pt-BR"/>
        </w:rPr>
      </w:pPr>
      <w:r>
        <w:rPr>
          <w:rFonts w:cs="Arial" w:ascii="Arial" w:hAnsi="Arial"/>
          <w:sz w:val="20"/>
          <w:szCs w:val="20"/>
          <w:lang w:val="pt-BR"/>
        </w:rPr>
        <w:t>Aceitar a fiscalização e acompanhamento do fornecimento dos materiais pelo Fiscal, bem como fornecer todas as informações e elementos necessários à fiscalização.</w:t>
      </w:r>
    </w:p>
    <w:p>
      <w:pPr>
        <w:pStyle w:val="ListParagraph"/>
        <w:tabs>
          <w:tab w:val="clear" w:pos="720"/>
          <w:tab w:val="left" w:pos="129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319" w:leader="none"/>
        </w:tabs>
        <w:ind w:left="0"/>
        <w:rPr>
          <w:rFonts w:ascii="Arial" w:hAnsi="Arial" w:cs="Arial"/>
          <w:sz w:val="20"/>
          <w:szCs w:val="20"/>
          <w:lang w:val="pt-BR"/>
        </w:rPr>
      </w:pPr>
      <w:r>
        <w:rPr>
          <w:rFonts w:cs="Arial" w:ascii="Arial" w:hAnsi="Arial"/>
          <w:sz w:val="20"/>
          <w:szCs w:val="20"/>
          <w:lang w:val="pt-BR"/>
        </w:rPr>
        <w:t>A empresa contratada assumirá a responsabilidade e o ônus pelo recolhimento de todos os impostos, taxas, tarifas, contribuições ou emolumentos federais, estaduais e municipais, que incidam ou venham a incidir sobre os materiais do objeto deste Termo e apresentar os respectivos comprovantes, quando solicitados pelo SAAE, exceto com relação aos tributos e contribuições que serão recolhidos pelo SAAE no ato do pagamento.</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830" w:leader="none"/>
        </w:tabs>
        <w:ind w:hanging="0" w:left="0"/>
        <w:rPr>
          <w:sz w:val="20"/>
          <w:szCs w:val="20"/>
          <w:lang w:val="pt-BR"/>
        </w:rPr>
      </w:pPr>
      <w:r>
        <w:rPr>
          <w:sz w:val="20"/>
          <w:szCs w:val="20"/>
          <w:lang w:val="pt-BR"/>
        </w:rPr>
        <w:t>13. DA GARANTIA CONTRATUAL:</w:t>
      </w:r>
    </w:p>
    <w:p>
      <w:pPr>
        <w:pStyle w:val="Heading1"/>
        <w:tabs>
          <w:tab w:val="clear" w:pos="720"/>
          <w:tab w:val="left" w:pos="830" w:leader="none"/>
        </w:tabs>
        <w:ind w:hanging="0" w:left="0"/>
        <w:rPr>
          <w:b w:val="false"/>
          <w:bCs w:val="false"/>
          <w:sz w:val="20"/>
          <w:szCs w:val="20"/>
          <w:lang w:val="pt-BR"/>
        </w:rPr>
      </w:pPr>
      <w:r>
        <w:rPr>
          <w:b w:val="false"/>
          <w:bCs w:val="false"/>
          <w:sz w:val="20"/>
          <w:szCs w:val="20"/>
          <w:lang w:val="pt-BR"/>
        </w:rPr>
      </w:r>
    </w:p>
    <w:p>
      <w:pPr>
        <w:pStyle w:val="ListParagraph"/>
        <w:tabs>
          <w:tab w:val="clear" w:pos="720"/>
          <w:tab w:val="left" w:pos="1041" w:leader="none"/>
        </w:tabs>
        <w:ind w:left="0"/>
        <w:rPr>
          <w:rFonts w:ascii="Arial" w:hAnsi="Arial" w:cs="Arial"/>
          <w:sz w:val="20"/>
          <w:szCs w:val="20"/>
          <w:lang w:val="pt-BR"/>
        </w:rPr>
      </w:pPr>
      <w:r>
        <w:rPr>
          <w:rFonts w:cs="Arial" w:ascii="Arial" w:hAnsi="Arial"/>
          <w:sz w:val="20"/>
          <w:szCs w:val="20"/>
          <w:lang w:val="pt-BR"/>
        </w:rPr>
        <w:t>Não haverá exigência da garantia da contratação, conforme artigos 96 e seguintes da Lei nº 14.133/2021.</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830" w:leader="none"/>
        </w:tabs>
        <w:ind w:hanging="0" w:left="0"/>
        <w:rPr>
          <w:sz w:val="20"/>
          <w:szCs w:val="20"/>
          <w:lang w:val="pt-BR"/>
        </w:rPr>
      </w:pPr>
      <w:r>
        <w:rPr>
          <w:sz w:val="20"/>
          <w:szCs w:val="20"/>
          <w:lang w:val="pt-BR"/>
        </w:rPr>
        <w:t>14. DAS SANÇÕES ADMINISTRATIVAS:</w:t>
      </w:r>
    </w:p>
    <w:p>
      <w:pPr>
        <w:pStyle w:val="Heading1"/>
        <w:tabs>
          <w:tab w:val="clear" w:pos="720"/>
          <w:tab w:val="left" w:pos="830" w:leader="none"/>
        </w:tabs>
        <w:ind w:hanging="0" w:left="0"/>
        <w:rPr>
          <w:b w:val="false"/>
          <w:bCs w:val="false"/>
          <w:sz w:val="20"/>
          <w:szCs w:val="20"/>
          <w:lang w:val="pt-BR"/>
        </w:rPr>
      </w:pPr>
      <w:r>
        <w:rPr>
          <w:b w:val="false"/>
          <w:bCs w:val="false"/>
          <w:sz w:val="20"/>
          <w:szCs w:val="20"/>
          <w:lang w:val="pt-BR"/>
        </w:rPr>
      </w:r>
    </w:p>
    <w:p>
      <w:pPr>
        <w:pStyle w:val="ListParagraph"/>
        <w:tabs>
          <w:tab w:val="clear" w:pos="720"/>
          <w:tab w:val="left" w:pos="998" w:leader="none"/>
        </w:tabs>
        <w:ind w:left="0"/>
        <w:rPr>
          <w:rFonts w:ascii="Arial" w:hAnsi="Arial" w:cs="Arial"/>
          <w:sz w:val="20"/>
          <w:szCs w:val="20"/>
          <w:lang w:val="pt-BR"/>
        </w:rPr>
      </w:pPr>
      <w:r>
        <w:rPr>
          <w:rFonts w:cs="Arial" w:ascii="Arial" w:hAnsi="Arial"/>
          <w:sz w:val="20"/>
          <w:szCs w:val="20"/>
          <w:lang w:val="pt-BR"/>
        </w:rPr>
        <w:t>O fornecedor, relativamente à participação da Dispensa Eletrônica, ficará sujeito, sem prejuízo das responsabilidades civil e criminal, assegurada a prévia e ampla defesa, com fundamento nos artigos 155 e 156 da Lei nº 14.133/2021, às seguintes penalidades:</w:t>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t>a) Advertência.</w:t>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t>b) Multa de: 0,5% (cinco décimos por cento) ao dia sobre o valor contratado, limitada a incidência a 10 (dez) dias, em razão do atraso injustificado do fornecimento dos materiais objeto deste Termo, ou descumprimento dos prazos estabelecidos pela Administração para apresentação de documentos.</w:t>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774" w:leader="none"/>
        </w:tabs>
        <w:ind w:left="0"/>
        <w:rPr>
          <w:rFonts w:ascii="Arial" w:hAnsi="Arial" w:cs="Arial"/>
          <w:sz w:val="20"/>
          <w:szCs w:val="20"/>
          <w:lang w:val="pt-BR"/>
        </w:rPr>
      </w:pPr>
      <w:r>
        <w:rPr>
          <w:rFonts w:cs="Arial" w:ascii="Arial" w:hAnsi="Arial"/>
          <w:sz w:val="20"/>
          <w:szCs w:val="20"/>
          <w:lang w:val="pt-BR"/>
        </w:rPr>
        <w:t>c) 10% (dez por cento) sobre o valor contratado, em caso de inexecução parcial, suspensão ou interrupção do fornecimento do objeto contratado, salvo por motivo de força maior ou caso fortuito.</w:t>
      </w:r>
    </w:p>
    <w:p>
      <w:pPr>
        <w:pStyle w:val="ListParagraph"/>
        <w:tabs>
          <w:tab w:val="clear" w:pos="720"/>
          <w:tab w:val="left" w:pos="774"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703" w:leader="none"/>
        </w:tabs>
        <w:ind w:left="0"/>
        <w:rPr>
          <w:rFonts w:ascii="Arial" w:hAnsi="Arial" w:cs="Arial"/>
          <w:sz w:val="20"/>
          <w:szCs w:val="20"/>
          <w:lang w:val="pt-BR"/>
        </w:rPr>
      </w:pPr>
      <w:r>
        <w:rPr>
          <w:rFonts w:cs="Arial" w:ascii="Arial" w:hAnsi="Arial"/>
          <w:sz w:val="20"/>
          <w:szCs w:val="20"/>
          <w:lang w:val="pt-BR"/>
        </w:rPr>
        <w:t>d) 15% (quinze por cento) sobre o valor contratado, em caso de inexecução total da obrigação assumida.</w:t>
      </w:r>
    </w:p>
    <w:p>
      <w:pPr>
        <w:pStyle w:val="ListParagraph"/>
        <w:tabs>
          <w:tab w:val="clear" w:pos="720"/>
          <w:tab w:val="left" w:pos="703"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t>Impedimento de licitar e contratar no âmbito da Administração Pública direta e indireta estadual, pelo prazo máximo de 3 (três) anos.</w:t>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t>Declaração de inidoneidade para licitar ou contratar com a Administração Pública.</w:t>
      </w:r>
    </w:p>
    <w:p>
      <w:pPr>
        <w:pStyle w:val="ListParagraph"/>
        <w:tabs>
          <w:tab w:val="clear" w:pos="720"/>
          <w:tab w:val="left" w:pos="1180" w:leader="none"/>
        </w:tabs>
        <w:ind w:left="0"/>
        <w:rPr>
          <w:rFonts w:ascii="Arial" w:hAnsi="Arial" w:cs="Arial"/>
          <w:sz w:val="20"/>
          <w:szCs w:val="20"/>
          <w:lang w:val="pt-BR"/>
        </w:rPr>
      </w:pPr>
      <w:r>
        <w:rPr>
          <w:rFonts w:cs="Arial" w:ascii="Arial" w:hAnsi="Arial"/>
          <w:sz w:val="20"/>
          <w:szCs w:val="20"/>
          <w:lang w:val="pt-BR"/>
        </w:rPr>
      </w:r>
    </w:p>
    <w:p>
      <w:pPr>
        <w:pStyle w:val="ListParagraph"/>
        <w:tabs>
          <w:tab w:val="clear" w:pos="720"/>
          <w:tab w:val="left" w:pos="1175" w:leader="none"/>
        </w:tabs>
        <w:ind w:left="0"/>
        <w:rPr>
          <w:rFonts w:ascii="Arial" w:hAnsi="Arial" w:cs="Arial"/>
          <w:sz w:val="20"/>
          <w:szCs w:val="20"/>
          <w:lang w:val="pt-BR"/>
        </w:rPr>
      </w:pPr>
      <w:r>
        <w:rPr>
          <w:rFonts w:cs="Arial" w:ascii="Arial" w:hAnsi="Arial"/>
          <w:sz w:val="20"/>
          <w:szCs w:val="20"/>
          <w:lang w:val="pt-BR"/>
        </w:rPr>
        <w:t>A aplicação de qualquer das penalidades previstas realizar-se-á em processo administrativo que assegurará o contraditório e a ampla defesa ao fornecedor/adjudicatário, observando-se o procedimento previsto na Lei nº 14.133, de 2021.</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830" w:leader="none"/>
        </w:tabs>
        <w:ind w:hanging="0" w:left="0"/>
        <w:jc w:val="both"/>
        <w:rPr>
          <w:sz w:val="20"/>
          <w:szCs w:val="20"/>
          <w:lang w:val="pt-BR"/>
        </w:rPr>
      </w:pPr>
      <w:r>
        <w:rPr>
          <w:sz w:val="20"/>
          <w:szCs w:val="20"/>
          <w:lang w:val="pt-BR"/>
        </w:rPr>
        <w:t>15. DO REGIME DE EXECUÇÃO:</w:t>
      </w:r>
    </w:p>
    <w:p>
      <w:pPr>
        <w:pStyle w:val="Heading1"/>
        <w:tabs>
          <w:tab w:val="clear" w:pos="720"/>
          <w:tab w:val="left" w:pos="830" w:leader="none"/>
        </w:tabs>
        <w:ind w:hanging="0" w:left="0"/>
        <w:jc w:val="both"/>
        <w:rPr>
          <w:b w:val="false"/>
          <w:bCs w:val="false"/>
          <w:sz w:val="20"/>
          <w:szCs w:val="20"/>
          <w:lang w:val="pt-BR"/>
        </w:rPr>
      </w:pPr>
      <w:r>
        <w:rPr>
          <w:b w:val="false"/>
          <w:bCs w:val="false"/>
          <w:sz w:val="20"/>
          <w:szCs w:val="20"/>
          <w:lang w:val="pt-BR"/>
        </w:rPr>
      </w:r>
    </w:p>
    <w:p>
      <w:pPr>
        <w:pStyle w:val="ListParagraph"/>
        <w:tabs>
          <w:tab w:val="clear" w:pos="720"/>
          <w:tab w:val="left" w:pos="1005" w:leader="none"/>
        </w:tabs>
        <w:ind w:left="0"/>
        <w:rPr>
          <w:rFonts w:ascii="Arial" w:hAnsi="Arial" w:cs="Arial"/>
          <w:sz w:val="20"/>
          <w:szCs w:val="20"/>
          <w:lang w:val="pt-BR"/>
        </w:rPr>
      </w:pPr>
      <w:r>
        <w:rPr>
          <w:rFonts w:cs="Arial" w:ascii="Arial" w:hAnsi="Arial"/>
          <w:sz w:val="20"/>
          <w:szCs w:val="20"/>
          <w:lang w:val="pt-BR"/>
        </w:rPr>
        <w:t>O fornecimento dos fardamentos, objeto deste Termo, serão realizados de forma integral.</w:t>
      </w:r>
    </w:p>
    <w:p>
      <w:pPr>
        <w:pStyle w:val="BodyText"/>
        <w:ind w:left="0"/>
        <w:jc w:val="left"/>
        <w:rPr>
          <w:rFonts w:ascii="Arial" w:hAnsi="Arial" w:cs="Arial"/>
          <w:sz w:val="20"/>
          <w:szCs w:val="20"/>
          <w:lang w:val="pt-BR"/>
        </w:rPr>
      </w:pPr>
      <w:r>
        <w:rPr>
          <w:rFonts w:cs="Arial" w:ascii="Arial" w:hAnsi="Arial"/>
          <w:sz w:val="20"/>
          <w:szCs w:val="20"/>
          <w:lang w:val="pt-BR"/>
        </w:rPr>
      </w:r>
    </w:p>
    <w:p>
      <w:pPr>
        <w:pStyle w:val="Heading1"/>
        <w:tabs>
          <w:tab w:val="clear" w:pos="720"/>
          <w:tab w:val="left" w:pos="830" w:leader="none"/>
        </w:tabs>
        <w:ind w:hanging="0" w:left="0"/>
        <w:jc w:val="both"/>
        <w:rPr>
          <w:sz w:val="20"/>
          <w:szCs w:val="20"/>
          <w:lang w:val="pt-BR"/>
        </w:rPr>
      </w:pPr>
      <w:r>
        <w:rPr>
          <w:sz w:val="20"/>
          <w:szCs w:val="20"/>
          <w:lang w:val="pt-BR"/>
        </w:rPr>
      </w:r>
    </w:p>
    <w:p>
      <w:pPr>
        <w:pStyle w:val="Heading1"/>
        <w:tabs>
          <w:tab w:val="clear" w:pos="720"/>
          <w:tab w:val="left" w:pos="830" w:leader="none"/>
        </w:tabs>
        <w:ind w:hanging="0" w:left="0"/>
        <w:jc w:val="both"/>
        <w:rPr>
          <w:sz w:val="20"/>
          <w:szCs w:val="20"/>
          <w:lang w:val="pt-BR"/>
        </w:rPr>
      </w:pPr>
      <w:r>
        <w:rPr>
          <w:sz w:val="20"/>
          <w:szCs w:val="20"/>
          <w:lang w:val="pt-BR"/>
        </w:rPr>
        <w:t>16. DAS DISPOSIÇÕES GERAIS:</w:t>
      </w:r>
    </w:p>
    <w:p>
      <w:pPr>
        <w:pStyle w:val="Heading1"/>
        <w:tabs>
          <w:tab w:val="clear" w:pos="720"/>
          <w:tab w:val="left" w:pos="830" w:leader="none"/>
        </w:tabs>
        <w:ind w:hanging="0" w:left="0"/>
        <w:jc w:val="both"/>
        <w:rPr>
          <w:b w:val="false"/>
          <w:bCs w:val="false"/>
          <w:sz w:val="20"/>
          <w:szCs w:val="20"/>
          <w:lang w:val="pt-BR"/>
        </w:rPr>
      </w:pPr>
      <w:r>
        <w:rPr>
          <w:b w:val="false"/>
          <w:bCs w:val="false"/>
          <w:sz w:val="20"/>
          <w:szCs w:val="20"/>
          <w:lang w:val="pt-BR"/>
        </w:rPr>
      </w:r>
    </w:p>
    <w:p>
      <w:pPr>
        <w:pStyle w:val="ListParagraph"/>
        <w:tabs>
          <w:tab w:val="clear" w:pos="720"/>
          <w:tab w:val="left" w:pos="995" w:leader="none"/>
        </w:tabs>
        <w:ind w:left="0"/>
        <w:rPr>
          <w:rFonts w:ascii="Arial" w:hAnsi="Arial" w:cs="Arial"/>
          <w:sz w:val="20"/>
          <w:szCs w:val="20"/>
          <w:lang w:val="pt-BR"/>
        </w:rPr>
      </w:pPr>
      <w:r>
        <w:rPr>
          <w:rFonts w:cs="Arial" w:ascii="Arial" w:hAnsi="Arial"/>
          <w:sz w:val="20"/>
          <w:szCs w:val="20"/>
          <w:lang w:val="pt-BR"/>
        </w:rPr>
        <w:t>O SAAE poderá, a qualquer tempo, recusar os materiais, no todo ou em parte, sempre que não atender ao estipulado neste Termo ou aos padrões técnicos de qualidade exigíveis.</w:t>
      </w:r>
    </w:p>
    <w:p>
      <w:pPr>
        <w:pStyle w:val="BodyText"/>
        <w:ind w:left="0"/>
        <w:jc w:val="left"/>
        <w:rPr>
          <w:rFonts w:ascii="Arial" w:hAnsi="Arial" w:cs="Arial"/>
          <w:sz w:val="20"/>
          <w:szCs w:val="20"/>
          <w:lang w:val="pt-BR"/>
        </w:rPr>
      </w:pPr>
      <w:r>
        <w:rPr>
          <w:rFonts w:cs="Arial" w:ascii="Arial" w:hAnsi="Arial"/>
          <w:sz w:val="20"/>
          <w:szCs w:val="20"/>
          <w:lang w:val="pt-BR"/>
        </w:rPr>
      </w:r>
    </w:p>
    <w:p>
      <w:pPr>
        <w:pStyle w:val="Normal"/>
        <w:jc w:val="both"/>
        <w:rPr>
          <w:rStyle w:val="fontstyle01"/>
          <w:rFonts w:ascii="Arial" w:hAnsi="Arial" w:eastAsia="" w:cs="Arial" w:eastAsiaTheme="majorEastAsia"/>
          <w:sz w:val="20"/>
          <w:szCs w:val="20"/>
          <w:lang w:eastAsia="pt-BR"/>
        </w:rPr>
      </w:pPr>
      <w:r>
        <w:rPr>
          <w:rFonts w:eastAsia="" w:cs="Arial" w:eastAsiaTheme="majorEastAsia" w:ascii="Arial" w:hAnsi="Arial"/>
          <w:sz w:val="20"/>
          <w:szCs w:val="20"/>
          <w:lang w:eastAsia="pt-BR"/>
        </w:rPr>
      </w:r>
    </w:p>
    <w:p>
      <w:pPr>
        <w:pStyle w:val="Normal"/>
        <w:jc w:val="both"/>
        <w:rPr>
          <w:rStyle w:val="fontstyle01"/>
          <w:rFonts w:ascii="Arial" w:hAnsi="Arial" w:eastAsia="" w:cs="Arial" w:eastAsiaTheme="majorEastAsia"/>
          <w:sz w:val="20"/>
          <w:szCs w:val="20"/>
          <w:lang w:eastAsia="pt-BR"/>
        </w:rPr>
      </w:pPr>
      <w:r>
        <w:rPr>
          <w:rStyle w:val="fontstyle01"/>
          <w:rFonts w:eastAsia="" w:cs="Arial" w:ascii="Arial" w:hAnsi="Arial" w:eastAsiaTheme="majorEastAsia"/>
          <w:sz w:val="20"/>
          <w:szCs w:val="20"/>
          <w:lang w:eastAsia="pt-BR"/>
        </w:rPr>
        <w:t xml:space="preserve">Taperoá/BA, </w:t>
      </w:r>
      <w:r>
        <w:rPr>
          <w:rStyle w:val="fontstyle01"/>
          <w:rFonts w:eastAsia="" w:cs="Arial" w:ascii="Arial" w:hAnsi="Arial" w:eastAsiaTheme="majorEastAsia"/>
          <w:sz w:val="20"/>
          <w:szCs w:val="20"/>
          <w:lang w:eastAsia="pt-BR"/>
        </w:rPr>
        <w:t>25 de abril de 2025</w:t>
      </w:r>
      <w:r>
        <w:rPr>
          <w:rStyle w:val="fontstyle01"/>
          <w:rFonts w:eastAsia="" w:cs="Arial" w:ascii="Arial" w:hAnsi="Arial" w:eastAsiaTheme="majorEastAsia"/>
          <w:sz w:val="20"/>
          <w:szCs w:val="20"/>
          <w:lang w:eastAsia="pt-BR"/>
        </w:rPr>
        <w:t>.</w:t>
      </w:r>
    </w:p>
    <w:p>
      <w:pPr>
        <w:pStyle w:val="Normal"/>
        <w:jc w:val="both"/>
        <w:rPr>
          <w:rStyle w:val="fontstyle01"/>
          <w:rFonts w:ascii="Arial" w:hAnsi="Arial" w:eastAsia="" w:cs="Arial" w:eastAsiaTheme="majorEastAsia"/>
          <w:sz w:val="20"/>
          <w:szCs w:val="20"/>
          <w:lang w:eastAsia="pt-BR"/>
        </w:rPr>
      </w:pPr>
      <w:r>
        <w:rPr>
          <w:rFonts w:eastAsia="" w:cs="Arial" w:eastAsiaTheme="majorEastAsia" w:ascii="Arial" w:hAnsi="Arial"/>
          <w:sz w:val="20"/>
          <w:szCs w:val="20"/>
          <w:lang w:eastAsia="pt-BR"/>
        </w:rPr>
      </w:r>
      <w:bookmarkStart w:id="0" w:name="_GoBack"/>
      <w:bookmarkStart w:id="1" w:name="_GoBack"/>
      <w:bookmarkEnd w:id="1"/>
    </w:p>
    <w:p>
      <w:pPr>
        <w:pStyle w:val="Normal"/>
        <w:jc w:val="both"/>
        <w:rPr>
          <w:rStyle w:val="fontstyle01"/>
          <w:rFonts w:ascii="Arial" w:hAnsi="Arial" w:eastAsia="" w:cs="Arial" w:eastAsiaTheme="majorEastAsia"/>
          <w:sz w:val="20"/>
          <w:szCs w:val="20"/>
          <w:lang w:eastAsia="pt-BR"/>
        </w:rPr>
      </w:pPr>
      <w:r>
        <w:rPr>
          <w:rFonts w:eastAsia="" w:cs="Arial" w:eastAsiaTheme="majorEastAsia" w:ascii="Arial" w:hAnsi="Arial"/>
          <w:sz w:val="20"/>
          <w:szCs w:val="20"/>
          <w:lang w:eastAsia="pt-BR"/>
        </w:rPr>
      </w:r>
    </w:p>
    <w:p>
      <w:pPr>
        <w:pStyle w:val="Normal"/>
        <w:jc w:val="both"/>
        <w:rPr>
          <w:rStyle w:val="fontstyle01"/>
          <w:rFonts w:ascii="Arial" w:hAnsi="Arial" w:eastAsia="" w:cs="Arial" w:eastAsiaTheme="majorEastAsia"/>
          <w:sz w:val="20"/>
          <w:szCs w:val="20"/>
          <w:lang w:eastAsia="pt-BR"/>
        </w:rPr>
      </w:pPr>
      <w:r>
        <w:rPr>
          <w:rFonts w:eastAsia="" w:cs="Arial" w:eastAsiaTheme="majorEastAsia" w:ascii="Arial" w:hAnsi="Arial"/>
          <w:sz w:val="20"/>
          <w:szCs w:val="20"/>
          <w:lang w:eastAsia="pt-BR"/>
        </w:rPr>
      </w:r>
    </w:p>
    <w:p>
      <w:pPr>
        <w:pStyle w:val="Normal"/>
        <w:jc w:val="center"/>
        <w:rPr>
          <w:rStyle w:val="fontstyle01"/>
          <w:rFonts w:ascii="Arial" w:hAnsi="Arial" w:eastAsia="" w:cs="Arial" w:eastAsiaTheme="majorEastAsia"/>
          <w:sz w:val="20"/>
          <w:szCs w:val="20"/>
          <w:lang w:eastAsia="pt-BR"/>
        </w:rPr>
      </w:pPr>
      <w:r>
        <w:rPr>
          <w:rStyle w:val="fontstyle01"/>
          <w:rFonts w:eastAsia="" w:cs="Arial" w:ascii="Arial" w:hAnsi="Arial" w:eastAsiaTheme="majorEastAsia"/>
          <w:sz w:val="20"/>
          <w:szCs w:val="20"/>
          <w:lang w:eastAsia="pt-BR"/>
        </w:rPr>
        <w:t>___________________________________</w:t>
      </w:r>
    </w:p>
    <w:p>
      <w:pPr>
        <w:pStyle w:val="Normal"/>
        <w:jc w:val="center"/>
        <w:rPr>
          <w:rStyle w:val="fontstyle01"/>
          <w:rFonts w:ascii="Arial" w:hAnsi="Arial" w:eastAsia="" w:cs="Arial" w:eastAsiaTheme="majorEastAsia"/>
          <w:bCs/>
          <w:sz w:val="20"/>
          <w:szCs w:val="20"/>
          <w:lang w:eastAsia="pt-BR"/>
        </w:rPr>
      </w:pPr>
      <w:r>
        <w:rPr>
          <w:rStyle w:val="fontstyle01"/>
          <w:rFonts w:eastAsia="" w:cs="Arial" w:ascii="Arial" w:hAnsi="Arial" w:eastAsiaTheme="majorEastAsia"/>
          <w:bCs/>
          <w:sz w:val="20"/>
          <w:szCs w:val="20"/>
          <w:lang w:eastAsia="pt-BR"/>
        </w:rPr>
        <w:t>Edson Bispo de Assis Filho</w:t>
      </w:r>
    </w:p>
    <w:p>
      <w:pPr>
        <w:pStyle w:val="BodyText"/>
        <w:ind w:left="0"/>
        <w:jc w:val="center"/>
        <w:rPr>
          <w:rFonts w:ascii="Arial" w:hAnsi="Arial" w:cs="Arial"/>
          <w:sz w:val="20"/>
          <w:szCs w:val="20"/>
          <w:lang w:val="pt-BR"/>
        </w:rPr>
      </w:pPr>
      <w:r>
        <w:rPr>
          <w:rStyle w:val="fontstyle01"/>
          <w:rFonts w:eastAsia="" w:cs="Arial" w:ascii="Arial" w:hAnsi="Arial" w:eastAsiaTheme="majorEastAsia"/>
          <w:b/>
          <w:sz w:val="20"/>
          <w:szCs w:val="20"/>
          <w:lang w:eastAsia="pt-BR"/>
        </w:rPr>
        <w:t xml:space="preserve">Chefe da </w:t>
      </w:r>
      <w:r>
        <w:rPr>
          <w:rStyle w:val="fontstyle01"/>
          <w:rFonts w:eastAsia="" w:cs="Arial" w:ascii="Arial" w:hAnsi="Arial" w:eastAsiaTheme="majorEastAsia"/>
          <w:b/>
          <w:sz w:val="20"/>
          <w:szCs w:val="20"/>
          <w:lang w:val="pt-BR" w:eastAsia="pt-BR"/>
        </w:rPr>
        <w:t>Seção de Materias e Transportes</w:t>
      </w:r>
    </w:p>
    <w:sectPr>
      <w:type w:val="nextPage"/>
      <w:pgSz w:w="11906" w:h="16838"/>
      <w:pgMar w:left="1134" w:right="1134" w:gutter="0" w:header="0" w:top="1134" w:footer="0" w:bottom="1134"/>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swiss"/>
    <w:pitch w:val="variable"/>
  </w:font>
  <w:font w:name="TimesNewRomanPSMT">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false"/>
      <w:bidi w:val="0"/>
      <w:spacing w:before="0" w:after="0"/>
      <w:jc w:val="left"/>
    </w:pPr>
    <w:rPr>
      <w:rFonts w:ascii="Arial MT" w:hAnsi="Arial MT" w:eastAsia="Arial MT" w:cs="Arial MT"/>
      <w:color w:val="auto"/>
      <w:kern w:val="0"/>
      <w:sz w:val="22"/>
      <w:szCs w:val="22"/>
      <w:lang w:val="pt-PT" w:eastAsia="en-US" w:bidi="ar-SA"/>
    </w:rPr>
  </w:style>
  <w:style w:type="paragraph" w:styleId="Heading1">
    <w:name w:val="heading 1"/>
    <w:basedOn w:val="Normal"/>
    <w:uiPriority w:val="9"/>
    <w:qFormat/>
    <w:pPr>
      <w:ind w:hanging="352" w:left="829"/>
      <w:outlineLvl w:val="0"/>
    </w:pPr>
    <w:rPr>
      <w:rFonts w:ascii="Arial" w:hAnsi="Arial" w:eastAsia="Arial" w:cs="Arial"/>
      <w:b/>
      <w:bCs/>
      <w:sz w:val="21"/>
      <w:szCs w:val="2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42400"/>
    <w:rPr>
      <w:rFonts w:ascii="Arial MT" w:hAnsi="Arial MT" w:eastAsia="Arial MT" w:cs="Arial MT"/>
      <w:lang w:val="pt-PT"/>
    </w:rPr>
  </w:style>
  <w:style w:type="character" w:styleId="RodapChar" w:customStyle="1">
    <w:name w:val="Rodapé Char"/>
    <w:basedOn w:val="DefaultParagraphFont"/>
    <w:uiPriority w:val="99"/>
    <w:qFormat/>
    <w:rsid w:val="00b42400"/>
    <w:rPr>
      <w:rFonts w:ascii="Arial MT" w:hAnsi="Arial MT" w:eastAsia="Arial MT" w:cs="Arial MT"/>
      <w:lang w:val="pt-PT"/>
    </w:rPr>
  </w:style>
  <w:style w:type="character" w:styleId="fontstyle01" w:customStyle="1">
    <w:name w:val="fontstyle01"/>
    <w:basedOn w:val="DefaultParagraphFont"/>
    <w:qFormat/>
    <w:rsid w:val="007549e7"/>
    <w:rPr>
      <w:rFonts w:ascii="TimesNewRomanPSMT" w:hAnsi="TimesNewRomanPSMT"/>
      <w:b w:val="false"/>
      <w:bCs w:val="false"/>
      <w:i w:val="false"/>
      <w:iCs w:val="false"/>
      <w:color w:val="000000"/>
      <w:sz w:val="22"/>
      <w:szCs w:val="22"/>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iPriority w:val="1"/>
    <w:qFormat/>
    <w:pPr>
      <w:ind w:left="478"/>
      <w:jc w:val="both"/>
    </w:pPr>
    <w:rPr>
      <w:sz w:val="21"/>
      <w:szCs w:val="21"/>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itle">
    <w:name w:val="Title"/>
    <w:basedOn w:val="Normal"/>
    <w:uiPriority w:val="10"/>
    <w:qFormat/>
    <w:pPr>
      <w:spacing w:before="112" w:after="0"/>
      <w:ind w:hanging="905" w:left="3971" w:right="2702"/>
    </w:pPr>
    <w:rPr>
      <w:rFonts w:ascii="Arial" w:hAnsi="Arial" w:eastAsia="Arial" w:cs="Arial"/>
      <w:b/>
      <w:bCs/>
    </w:rPr>
  </w:style>
  <w:style w:type="paragraph" w:styleId="ListParagraph">
    <w:name w:val="List Paragraph"/>
    <w:basedOn w:val="Normal"/>
    <w:uiPriority w:val="1"/>
    <w:qFormat/>
    <w:pPr>
      <w:ind w:left="478"/>
      <w:jc w:val="both"/>
    </w:pPr>
    <w:rPr/>
  </w:style>
  <w:style w:type="paragraph" w:styleId="TableParagraph" w:customStyle="1">
    <w:name w:val="Table Paragraph"/>
    <w:basedOn w:val="Normal"/>
    <w:uiPriority w:val="1"/>
    <w:qFormat/>
    <w:pPr/>
    <w:rPr/>
  </w:style>
  <w:style w:type="paragraph" w:styleId="Cabealhoerodap">
    <w:name w:val="Cabeçalho e rodapé"/>
    <w:basedOn w:val="Normal"/>
    <w:qFormat/>
    <w:pPr/>
    <w:rPr/>
  </w:style>
  <w:style w:type="paragraph" w:styleId="Header">
    <w:name w:val="header"/>
    <w:basedOn w:val="Normal"/>
    <w:link w:val="CabealhoChar"/>
    <w:uiPriority w:val="99"/>
    <w:unhideWhenUsed/>
    <w:rsid w:val="00b42400"/>
    <w:pPr>
      <w:tabs>
        <w:tab w:val="clear" w:pos="720"/>
        <w:tab w:val="center" w:pos="4252" w:leader="none"/>
        <w:tab w:val="right" w:pos="8504" w:leader="none"/>
      </w:tabs>
    </w:pPr>
    <w:rPr/>
  </w:style>
  <w:style w:type="paragraph" w:styleId="Footer">
    <w:name w:val="footer"/>
    <w:basedOn w:val="Normal"/>
    <w:link w:val="RodapChar"/>
    <w:uiPriority w:val="99"/>
    <w:unhideWhenUsed/>
    <w:rsid w:val="00b42400"/>
    <w:pPr>
      <w:tabs>
        <w:tab w:val="clear" w:pos="720"/>
        <w:tab w:val="center" w:pos="4252" w:leader="none"/>
        <w:tab w:val="right" w:pos="8504" w:leader="none"/>
      </w:tabs>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planalto.gov.br/ccivil_03/leis/lcp/lcp123.htm" TargetMode="External"/><Relationship Id="rId4" Type="http://schemas.openxmlformats.org/officeDocument/2006/relationships/hyperlink" Target="https://www.planalto.gov.br/ccivil_03/leis/lcp/lcp123.htm"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126</TotalTime>
  <Application>LibreOffice/24.8.6.2$Windows_X86_64 LibreOffice_project/6d98ba145e9a8a39fc57bcc76981d1fb1316c60c</Application>
  <AppVersion>15.0000</AppVersion>
  <Pages>7</Pages>
  <Words>3106</Words>
  <Characters>17715</Characters>
  <CharactersWithSpaces>20696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2024-09-09T14:11:00Z</dcterms:created>
  <dc:creator>TCE</dc:creator>
  <dc:description/>
  <dc:language>pt-BR</dc:language>
  <cp:lastModifiedBy/>
  <dcterms:modified xsi:type="dcterms:W3CDTF">2025-05-07T09:35:32Z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2024-08-27T00:00:00Z</vt:filetime>
  </property>
  <property fmtid="{D5CDD505-2E9C-101B-9397-08002B2CF9AE}" pid="3" name="Creator">
    <vt:lpwstr>Microsoft® Word 2016</vt:lpwstr>
  </property>
  <property fmtid="{D5CDD505-2E9C-101B-9397-08002B2CF9AE}" pid="4" name="LastSaved">
    <vt:filetime>2024-09-09T00:00:00Z</vt:filetime>
  </property>
</Properties>
</file>