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ESTUDO TÉCNICO PRELIMINAR - ETP</w:t>
      </w:r>
      <w:bookmarkStart w:id="0" w:name="_Hlk82473550"/>
    </w:p>
    <w:p>
      <w:pPr>
        <w:pStyle w:val="Normal"/>
        <w:rPr/>
      </w:pPr>
      <w:r>
        <w:rPr/>
      </w:r>
      <w:bookmarkStart w:id="1" w:name="_Hlk82471863"/>
      <w:bookmarkStart w:id="2" w:name="_Hlk82471863"/>
      <w:bookmarkEnd w:id="2"/>
    </w:p>
    <w:p>
      <w:pPr>
        <w:pStyle w:val="BodyText"/>
        <w:spacing w:lineRule="auto" w:line="360" w:before="0" w:after="120"/>
        <w:jc w:val="center"/>
        <w:rPr/>
      </w:pPr>
      <w:bookmarkStart w:id="3" w:name="_Hlk82471863_Copia_1"/>
      <w:bookmarkEnd w:id="0"/>
      <w:bookmarkEnd w:id="3"/>
      <w:r>
        <w:rPr>
          <w:rStyle w:val="Strong"/>
          <w:rFonts w:eastAsia="" w:cs="Tahoma" w:ascii="Arial" w:hAnsi="Arial" w:eastAsiaTheme="majorEastAsia"/>
          <w:sz w:val="20"/>
          <w:szCs w:val="20"/>
          <w:lang w:eastAsia="pt-BR"/>
        </w:rPr>
        <w:t>Contratação do Banco do Brasil para Serviços Financeiros ao SAAE Taperoá (BA)</w:t>
      </w:r>
    </w:p>
    <w:p>
      <w:pPr>
        <w:pStyle w:val="Heading4"/>
        <w:jc w:val="both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1. Apresentação do Objeto</w:t>
      </w:r>
    </w:p>
    <w:p>
      <w:pPr>
        <w:pStyle w:val="BodyText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 objeto da contratação é a prestação de serviços financeiros pelo Banco do Brasil, incluindo: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Recebimento de valores arrecadados pelas faturas de abastecimento de água do SAAE Taperoá (BA).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Gestão de pagamentos a fornecedores, mediante tarifas por transação.</w:t>
      </w:r>
    </w:p>
    <w:p>
      <w:pPr>
        <w:pStyle w:val="BodyText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 contratação visa garantir a eficiência no fluxo financeiro do SAAE e a acessibilidade para os consumidores na realização de pagamentos.</w:t>
      </w:r>
    </w:p>
    <w:p>
      <w:pPr>
        <w:pStyle w:val="Heading4"/>
        <w:jc w:val="both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2. Justificativa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 Banco do Brasil é o único banco presente no município de Taperoá (BA), o que garante sua exclusividade na prestação de serviços financeiros locais.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Viabilizar o recebimento das faturas por meio de uma rede bancária formal e de fácil acesso para os consumidores.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Reduzir riscos operacionais e financeiros associados à manipulação direta de recursos em espécie.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Cumprir exigências legais relacionadas à gestão transparente e segura de recursos públicos.</w:t>
      </w:r>
    </w:p>
    <w:p>
      <w:pPr>
        <w:pStyle w:val="Heading4"/>
        <w:jc w:val="both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3. Diagnóstico da Situação Atual</w:t>
      </w:r>
    </w:p>
    <w:p>
      <w:pPr>
        <w:pStyle w:val="BodyText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Atualmente, o SAAE enfrenta os seguintes desafios: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Restrição de opções para serviços financeiros, dado que o Banco do Brasil é a única instituição bancária no município.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Necessidade de um fluxo financeiro seguro e eficiente para recebimento e pagamentos.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Atendimento à legislação que exige boas práticas na administração financeira e controle de recursos.</w:t>
      </w:r>
    </w:p>
    <w:p>
      <w:pPr>
        <w:pStyle w:val="Heading4"/>
        <w:jc w:val="both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4. Requisitos Técnicos e Operacionais</w:t>
      </w:r>
    </w:p>
    <w:p>
      <w:pPr>
        <w:pStyle w:val="BodyText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Os serviços requeridos incluem: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Recebimento de pagamentos por meio de códigos de barras e pix.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Transferências e pagamentos automatizados a fornecedores.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Cobrança de tarifas por transação a valores competitivos.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Relatórios financeiros periódicos para auditoria e controle interno.</w:t>
      </w:r>
    </w:p>
    <w:p>
      <w:pPr>
        <w:pStyle w:val="Heading4"/>
        <w:jc w:val="both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5. Levantamento de Soluções de Mercado</w:t>
      </w:r>
    </w:p>
    <w:p>
      <w:pPr>
        <w:pStyle w:val="BodyText"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Não há concorrência bancária local, uma vez que o Banco do Brasil é a única instituição financeira presente no município.</w:t>
      </w:r>
    </w:p>
    <w:p>
      <w:pPr>
        <w:pStyle w:val="BodyText"/>
        <w:numPr>
          <w:ilvl w:val="0"/>
          <w:numId w:val="6"/>
        </w:numPr>
        <w:tabs>
          <w:tab w:val="clear" w:pos="708"/>
          <w:tab w:val="left" w:pos="0" w:leader="none"/>
        </w:tabs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Alternativas como correspondentes bancários ou instituições financeiras digitais não são viáveis devido à falta de infraestrutura ou baixa adoção tecnológica local.</w:t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6. Análise Comparativa de Alternativas</w:t>
      </w:r>
    </w:p>
    <w:p>
      <w:pPr>
        <w:pStyle w:val="BodyText"/>
        <w:numPr>
          <w:ilvl w:val="0"/>
          <w:numId w:val="7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/>
      </w:pPr>
      <w:r>
        <w:rPr>
          <w:rStyle w:val="Strong"/>
          <w:rFonts w:ascii="Arial" w:hAnsi="Arial"/>
          <w:sz w:val="20"/>
          <w:szCs w:val="20"/>
        </w:rPr>
        <w:t>Alternativas Consideradas</w:t>
      </w:r>
      <w:r>
        <w:rPr>
          <w:rFonts w:ascii="Arial" w:hAnsi="Arial"/>
          <w:sz w:val="20"/>
          <w:szCs w:val="20"/>
        </w:rPr>
        <w:t>:</w:t>
      </w:r>
    </w:p>
    <w:p>
      <w:pPr>
        <w:pStyle w:val="BodyText"/>
        <w:numPr>
          <w:ilvl w:val="1"/>
          <w:numId w:val="7"/>
        </w:numPr>
        <w:tabs>
          <w:tab w:val="clear" w:pos="708"/>
          <w:tab w:val="left" w:pos="0" w:leader="none"/>
        </w:tabs>
        <w:spacing w:before="0" w:after="0"/>
        <w:ind w:hanging="283" w:left="1418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Instituições financeiras digitais: inviáveis devido à falta de integração com a população local e infraestrutura limitada.</w:t>
      </w:r>
    </w:p>
    <w:p>
      <w:pPr>
        <w:pStyle w:val="BodyText"/>
        <w:numPr>
          <w:ilvl w:val="1"/>
          <w:numId w:val="7"/>
        </w:numPr>
        <w:tabs>
          <w:tab w:val="clear" w:pos="708"/>
          <w:tab w:val="left" w:pos="0" w:leader="none"/>
        </w:tabs>
        <w:spacing w:before="0" w:after="0"/>
        <w:ind w:hanging="283" w:left="1418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Correspondentes bancários: não possuem capacidade para atender ao volume de transações do SAAE.</w:t>
      </w:r>
    </w:p>
    <w:p>
      <w:pPr>
        <w:pStyle w:val="BodyText"/>
        <w:numPr>
          <w:ilvl w:val="0"/>
          <w:numId w:val="7"/>
        </w:numPr>
        <w:tabs>
          <w:tab w:val="clear" w:pos="708"/>
          <w:tab w:val="left" w:pos="0" w:leader="none"/>
        </w:tabs>
        <w:ind w:hanging="283" w:left="709"/>
        <w:jc w:val="both"/>
        <w:rPr/>
      </w:pPr>
      <w:r>
        <w:rPr>
          <w:rStyle w:val="Strong"/>
          <w:rFonts w:ascii="Arial" w:hAnsi="Arial"/>
          <w:sz w:val="20"/>
          <w:szCs w:val="20"/>
        </w:rPr>
        <w:t>Conclusão</w:t>
      </w:r>
      <w:r>
        <w:rPr>
          <w:rFonts w:ascii="Arial" w:hAnsi="Arial"/>
          <w:sz w:val="20"/>
          <w:szCs w:val="20"/>
        </w:rPr>
        <w:t>: O Banco do Brasil é a única solução viável para atender às necessidades financeiras do SAAE Taperoá.</w:t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7. Estimativa de Custos</w:t>
      </w:r>
    </w:p>
    <w:p>
      <w:pPr>
        <w:pStyle w:val="BodyText"/>
        <w:numPr>
          <w:ilvl w:val="0"/>
          <w:numId w:val="8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Tarifas cobradas por conta recebida (conforme tabela padrão do banco).</w:t>
      </w:r>
    </w:p>
    <w:p>
      <w:pPr>
        <w:pStyle w:val="BodyText"/>
        <w:numPr>
          <w:ilvl w:val="0"/>
          <w:numId w:val="8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Tarifas para pagamentos efetuados (conforme tabela padrão do banco).</w:t>
      </w:r>
    </w:p>
    <w:p>
      <w:pPr>
        <w:pStyle w:val="BodyText"/>
        <w:numPr>
          <w:ilvl w:val="0"/>
          <w:numId w:val="8"/>
        </w:numPr>
        <w:tabs>
          <w:tab w:val="clear" w:pos="708"/>
          <w:tab w:val="left" w:pos="0" w:leader="none"/>
        </w:tabs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Cálculo baseado em histórico de arrecadação mensal e volume de pagamentos realizados, nos faz estimar os custos em R$35.000,00.</w:t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8. Riscos e Mitigação</w:t>
      </w:r>
    </w:p>
    <w:p>
      <w:pPr>
        <w:pStyle w:val="BodyText"/>
        <w:numPr>
          <w:ilvl w:val="0"/>
          <w:numId w:val="9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/>
      </w:pPr>
      <w:r>
        <w:rPr>
          <w:rStyle w:val="Strong"/>
          <w:rFonts w:ascii="Arial" w:hAnsi="Arial"/>
          <w:sz w:val="20"/>
          <w:szCs w:val="20"/>
        </w:rPr>
        <w:t>Risco</w:t>
      </w:r>
      <w:r>
        <w:rPr>
          <w:rFonts w:ascii="Arial" w:hAnsi="Arial"/>
          <w:sz w:val="20"/>
          <w:szCs w:val="20"/>
        </w:rPr>
        <w:t>: Eventuais interrupções nos serviços bancários locais.</w:t>
        <w:br/>
      </w:r>
      <w:r>
        <w:rPr>
          <w:rStyle w:val="Strong"/>
          <w:rFonts w:ascii="Arial" w:hAnsi="Arial"/>
          <w:sz w:val="20"/>
          <w:szCs w:val="20"/>
        </w:rPr>
        <w:t>Mitigação</w:t>
      </w:r>
      <w:r>
        <w:rPr>
          <w:rFonts w:ascii="Arial" w:hAnsi="Arial"/>
          <w:sz w:val="20"/>
          <w:szCs w:val="20"/>
        </w:rPr>
        <w:t>: Adoção de ferramentas digitais e criação de canais de contingência para pagamentos.</w:t>
      </w:r>
    </w:p>
    <w:p>
      <w:pPr>
        <w:pStyle w:val="BodyText"/>
        <w:numPr>
          <w:ilvl w:val="0"/>
          <w:numId w:val="9"/>
        </w:numPr>
        <w:tabs>
          <w:tab w:val="clear" w:pos="708"/>
          <w:tab w:val="left" w:pos="0" w:leader="none"/>
        </w:tabs>
        <w:ind w:hanging="283" w:left="709"/>
        <w:jc w:val="both"/>
        <w:rPr/>
      </w:pPr>
      <w:r>
        <w:rPr>
          <w:rStyle w:val="Strong"/>
          <w:rFonts w:ascii="Arial" w:hAnsi="Arial"/>
          <w:sz w:val="20"/>
          <w:szCs w:val="20"/>
        </w:rPr>
        <w:t>Risco</w:t>
      </w:r>
      <w:r>
        <w:rPr>
          <w:rFonts w:ascii="Arial" w:hAnsi="Arial"/>
          <w:sz w:val="20"/>
          <w:szCs w:val="20"/>
        </w:rPr>
        <w:t>: Tarifas elevadas.</w:t>
        <w:br/>
      </w:r>
      <w:r>
        <w:rPr>
          <w:rStyle w:val="Strong"/>
          <w:rFonts w:ascii="Arial" w:hAnsi="Arial"/>
          <w:sz w:val="20"/>
          <w:szCs w:val="20"/>
        </w:rPr>
        <w:t>Mitigação</w:t>
      </w:r>
      <w:r>
        <w:rPr>
          <w:rFonts w:ascii="Arial" w:hAnsi="Arial"/>
          <w:sz w:val="20"/>
          <w:szCs w:val="20"/>
        </w:rPr>
        <w:t>: Negociação de condições especiais com o Banco do Brasil.</w:t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9. Conformidade Jurídica</w:t>
      </w:r>
    </w:p>
    <w:p>
      <w:pPr>
        <w:pStyle w:val="BodyText"/>
        <w:numPr>
          <w:ilvl w:val="0"/>
          <w:numId w:val="10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 contratação do Banco do Brasil é amparada pela Lei nº 14.133/2021 (art. 74), que permite inexigibilidade de licitação quando houver inviabilidade de competição, como no caso de um único fornecedor disponível.</w:t>
      </w:r>
    </w:p>
    <w:p>
      <w:pPr>
        <w:pStyle w:val="BodyText"/>
        <w:numPr>
          <w:ilvl w:val="0"/>
          <w:numId w:val="10"/>
        </w:numPr>
        <w:tabs>
          <w:tab w:val="clear" w:pos="708"/>
          <w:tab w:val="left" w:pos="0" w:leader="none"/>
        </w:tabs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Adequação à legislação de finanças públicas e boas práticas de gestão.</w:t>
      </w:r>
    </w:p>
    <w:p>
      <w:pPr>
        <w:pStyle w:val="Heading4"/>
        <w:jc w:val="both"/>
        <w:rPr/>
      </w:pPr>
      <w:r>
        <w:rPr>
          <w:rStyle w:val="Strong"/>
          <w:rFonts w:ascii="Arial" w:hAnsi="Arial"/>
          <w:b/>
          <w:bCs/>
          <w:sz w:val="20"/>
          <w:szCs w:val="20"/>
        </w:rPr>
        <w:t>10. Considerações Finais</w:t>
      </w:r>
    </w:p>
    <w:p>
      <w:pPr>
        <w:pStyle w:val="BodyText"/>
        <w:numPr>
          <w:ilvl w:val="0"/>
          <w:numId w:val="11"/>
        </w:numPr>
        <w:tabs>
          <w:tab w:val="clear" w:pos="708"/>
          <w:tab w:val="left" w:pos="0" w:leader="none"/>
        </w:tabs>
        <w:spacing w:before="0" w:after="0"/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 contratação do Banco do Brasil é essencial para garantir a eficiência e a segurança da gestão financeira do SAAE Taperoá.</w:t>
      </w:r>
    </w:p>
    <w:p>
      <w:pPr>
        <w:pStyle w:val="BodyText"/>
        <w:numPr>
          <w:ilvl w:val="0"/>
          <w:numId w:val="11"/>
        </w:numPr>
        <w:tabs>
          <w:tab w:val="clear" w:pos="708"/>
          <w:tab w:val="left" w:pos="0" w:leader="none"/>
        </w:tabs>
        <w:ind w:hanging="283"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Próximos passos incluem a formalização do contrato, especificando tarifas e serviços prestados, bem como a criação de um cronograma de implementação.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360" w:before="0" w:after="120"/>
        <w:jc w:val="both"/>
        <w:rPr/>
      </w:pPr>
      <w:r>
        <w:rPr>
          <w:rStyle w:val="fontstyle01"/>
          <w:rFonts w:eastAsia="" w:cs="Tahoma" w:ascii="Arial" w:hAnsi="Arial" w:eastAsiaTheme="majorEastAsia"/>
          <w:sz w:val="20"/>
          <w:szCs w:val="20"/>
          <w:lang w:eastAsia="pt-BR"/>
        </w:rPr>
        <w:t xml:space="preserve">Taperoá/Ba, </w:t>
      </w:r>
      <w:r>
        <w:rPr>
          <w:rStyle w:val="fontstyle01"/>
          <w:rFonts w:eastAsia="" w:cs="Tahoma" w:ascii="Arial" w:hAnsi="Arial" w:eastAsiaTheme="majorEastAsia"/>
          <w:sz w:val="20"/>
          <w:szCs w:val="20"/>
          <w:lang w:eastAsia="pt-BR"/>
        </w:rPr>
        <w:t xml:space="preserve">01 </w:t>
      </w:r>
      <w:r>
        <w:rPr>
          <w:rStyle w:val="fontstyle01"/>
          <w:rFonts w:eastAsia="" w:cs="Tahoma" w:ascii="Arial" w:hAnsi="Arial" w:eastAsiaTheme="majorEastAsia"/>
          <w:sz w:val="20"/>
          <w:szCs w:val="20"/>
          <w:lang w:eastAsia="pt-BR"/>
        </w:rPr>
        <w:t xml:space="preserve">de </w:t>
      </w:r>
      <w:r>
        <w:rPr>
          <w:rStyle w:val="fontstyle01"/>
          <w:rFonts w:eastAsia="" w:cs="Tahoma" w:ascii="Arial" w:hAnsi="Arial" w:eastAsiaTheme="majorEastAsia"/>
          <w:sz w:val="20"/>
          <w:szCs w:val="20"/>
          <w:lang w:eastAsia="pt-BR"/>
        </w:rPr>
        <w:t>dezembro</w:t>
      </w:r>
      <w:r>
        <w:rPr>
          <w:rStyle w:val="fontstyle01"/>
          <w:rFonts w:eastAsia="" w:cs="Tahoma" w:ascii="Arial" w:hAnsi="Arial" w:eastAsiaTheme="majorEastAsia"/>
          <w:sz w:val="20"/>
          <w:szCs w:val="20"/>
          <w:lang w:eastAsia="pt-BR"/>
        </w:rPr>
        <w:t xml:space="preserve"> de 2025.</w:t>
      </w:r>
    </w:p>
    <w:p>
      <w:pPr>
        <w:pStyle w:val="Normal"/>
        <w:spacing w:lineRule="auto" w:line="360" w:before="0" w:after="120"/>
        <w:jc w:val="both"/>
        <w:rPr>
          <w:rFonts w:ascii="Arial" w:hAnsi="Arial" w:eastAsia="" w:cs="Tahoma" w:eastAsiaTheme="majorEastAsia"/>
          <w:sz w:val="20"/>
          <w:szCs w:val="20"/>
          <w:lang w:eastAsia="pt-BR"/>
        </w:rPr>
      </w:pPr>
      <w:r>
        <w:rPr>
          <w:rFonts w:eastAsia="" w:cs="Tahoma" w:eastAsiaTheme="majorEastAsia" w:ascii="Arial" w:hAnsi="Arial"/>
          <w:sz w:val="20"/>
          <w:szCs w:val="20"/>
          <w:lang w:eastAsia="pt-BR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eastAsia="" w:cs="Tahoma" w:eastAsiaTheme="majorEastAsia"/>
          <w:sz w:val="20"/>
          <w:szCs w:val="20"/>
          <w:lang w:eastAsia="pt-BR"/>
        </w:rPr>
      </w:pPr>
      <w:r>
        <w:rPr>
          <w:rFonts w:eastAsia="" w:cs="Tahoma" w:eastAsiaTheme="majorEastAsia" w:ascii="Arial" w:hAnsi="Arial"/>
          <w:sz w:val="20"/>
          <w:szCs w:val="20"/>
          <w:lang w:eastAsia="pt-BR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eastAsia="" w:cs="Tahoma" w:eastAsiaTheme="majorEastAsia"/>
          <w:sz w:val="20"/>
          <w:szCs w:val="20"/>
          <w:lang w:eastAsia="pt-BR"/>
        </w:rPr>
      </w:pPr>
      <w:r>
        <w:rPr>
          <w:rFonts w:eastAsia="" w:cs="Tahoma" w:eastAsiaTheme="majorEastAsia" w:ascii="Arial" w:hAnsi="Arial"/>
          <w:sz w:val="20"/>
          <w:szCs w:val="20"/>
          <w:lang w:eastAsia="pt-BR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Style w:val="fontstyle01"/>
          <w:rFonts w:eastAsia="" w:cs="Tahoma" w:ascii="Arial" w:hAnsi="Arial" w:eastAsiaTheme="majorEastAsia"/>
          <w:b/>
          <w:sz w:val="20"/>
          <w:szCs w:val="20"/>
          <w:lang w:eastAsia="pt-BR"/>
        </w:rPr>
        <w:t>Edson Bispo de Assis Filho</w:t>
      </w:r>
    </w:p>
    <w:p>
      <w:pPr>
        <w:pStyle w:val="Normal"/>
        <w:spacing w:lineRule="auto" w:line="360" w:before="0" w:after="0"/>
        <w:jc w:val="center"/>
        <w:rPr/>
      </w:pPr>
      <w:r>
        <w:rPr>
          <w:rStyle w:val="fontstyle01"/>
          <w:rFonts w:eastAsia="" w:cs="Tahoma" w:ascii="Arial" w:hAnsi="Arial" w:eastAsiaTheme="majorEastAsia"/>
          <w:b/>
          <w:sz w:val="20"/>
          <w:szCs w:val="20"/>
          <w:lang w:eastAsia="pt-BR"/>
        </w:rPr>
        <w:t>Chefe do Setor de Materiais e Transporte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708" w:top="993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Ecofont_Spranq_eco_Sans">
    <w:charset w:val="00"/>
    <w:family w:val="swiss"/>
    <w:pitch w:val="variable"/>
  </w:font>
  <w:font w:name="Segoe UI">
    <w:charset w:val="00"/>
    <w:family w:val="swiss"/>
    <w:pitch w:val="variable"/>
  </w:font>
  <w:font w:name="TimesNewRomanPSMT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Black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300990</wp:posOffset>
          </wp:positionH>
          <wp:positionV relativeFrom="paragraph">
            <wp:posOffset>-40005</wp:posOffset>
          </wp:positionV>
          <wp:extent cx="903605" cy="969010"/>
          <wp:effectExtent l="0" t="0" r="0" b="0"/>
          <wp:wrapSquare wrapText="bothSides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3605" cy="969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color w:val="000080"/>
        <w:sz w:val="18"/>
        <w:szCs w:val="18"/>
      </w:rPr>
      <w:t>SERVIÇO AUTÔNOMO DE ÁGUA E ESGOTO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AUTARQUIA MUNICIPAL Lei nº 013/70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RUA MARECHAL DEODORO, 1º ANDAR, S/Nº - TAPEROÁ – BAHIA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CEP 45.430-000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CNPJ: 16.098.402/0001-00 -  I.E.: 29.559.226</w:t>
    </w:r>
  </w:p>
  <w:p>
    <w:pPr>
      <w:pStyle w:val="Header"/>
      <w:ind w:left="2127"/>
      <w:rPr>
        <w:rFonts w:ascii="Arial Black" w:hAnsi="Arial Black"/>
        <w:b/>
        <w:color w:val="000080"/>
        <w:sz w:val="18"/>
        <w:szCs w:val="18"/>
      </w:rPr>
    </w:pPr>
    <w:r>
      <w:rPr>
        <w:rFonts w:ascii="Arial Black" w:hAnsi="Arial Black"/>
        <w:b/>
        <w:color w:val="000080"/>
        <w:sz w:val="18"/>
        <w:szCs w:val="18"/>
      </w:rPr>
      <w:t xml:space="preserve">TEL.: (75) 3664-1210 / E-MAIL: </w:t>
    </w:r>
    <w:hyperlink r:id="rId2">
      <w:r>
        <w:rPr>
          <w:rStyle w:val="Hyperlink"/>
          <w:rFonts w:ascii="Arial Black" w:hAnsi="Arial Black"/>
          <w:b/>
        </w:rPr>
        <w:t>saaetaperoa@yahoo.com.br</w:t>
      </w:r>
    </w:hyperlink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300990</wp:posOffset>
          </wp:positionH>
          <wp:positionV relativeFrom="paragraph">
            <wp:posOffset>-40005</wp:posOffset>
          </wp:positionV>
          <wp:extent cx="903605" cy="969010"/>
          <wp:effectExtent l="0" t="0" r="0" b="0"/>
          <wp:wrapSquare wrapText="bothSides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3605" cy="969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color w:val="000080"/>
        <w:sz w:val="18"/>
        <w:szCs w:val="18"/>
      </w:rPr>
      <w:t>SERVIÇO AUTÔNOMO DE ÁGUA E ESGOTO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AUTARQUIA MUNICIPAL Lei nº 013/70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RUA MARECHAL DEODORO, 1º ANDAR, S/Nº - TAPEROÁ – BAHIA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CEP 45.430-000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CNPJ: 16.098.402/0001-00 -  I.E.: 29.559.226</w:t>
    </w:r>
  </w:p>
  <w:p>
    <w:pPr>
      <w:pStyle w:val="Header"/>
      <w:ind w:left="2127"/>
      <w:rPr>
        <w:rFonts w:ascii="Arial Black" w:hAnsi="Arial Black"/>
        <w:b/>
        <w:color w:val="000080"/>
        <w:sz w:val="18"/>
        <w:szCs w:val="18"/>
      </w:rPr>
    </w:pPr>
    <w:r>
      <w:rPr>
        <w:rFonts w:ascii="Arial Black" w:hAnsi="Arial Black"/>
        <w:b/>
        <w:color w:val="000080"/>
        <w:sz w:val="18"/>
        <w:szCs w:val="18"/>
      </w:rPr>
      <w:t xml:space="preserve">TEL.: (75) 3664-1210 / E-MAIL: </w:t>
    </w:r>
    <w:hyperlink r:id="rId2">
      <w:r>
        <w:rPr>
          <w:rStyle w:val="Hyperlink"/>
          <w:rFonts w:ascii="Arial Black" w:hAnsi="Arial Black"/>
          <w:b/>
        </w:rPr>
        <w:t>saaetaperoa@yahoo.com.br</w:t>
      </w:r>
    </w:hyperlink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432" w:hanging="432"/>
      </w:pPr>
      <w:rPr>
        <w:dstrike w:val="false"/>
        <w:strike w:val="false"/>
        <w:i w:val="false"/>
        <w:u w:val="none"/>
        <w:b w:val="false"/>
        <w:effect w:val="none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i w:val="false"/>
        <w:b w:val="false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0"/>
    <w:lsdException w:name="caption" w:uiPriority="35" w:qFormat="1"/>
    <w:lsdException w:name="annotation reference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0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e71e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fe71e3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4">
    <w:name w:val="heading 4"/>
    <w:basedOn w:val="Ttulouser"/>
    <w:next w:val="BodyText"/>
    <w:qFormat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 w:val="true"/>
      <w:keepLines/>
      <w:spacing w:before="40" w:after="0"/>
      <w:outlineLvl w:val="5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nhideWhenUsed/>
    <w:rsid w:val="00fe71e3"/>
    <w:rPr>
      <w:color w:val="000080"/>
      <w:u w:val="single"/>
    </w:rPr>
  </w:style>
  <w:style w:type="character" w:styleId="CitaoChar" w:customStyle="1">
    <w:name w:val="Citação Char"/>
    <w:basedOn w:val="DefaultParagraphFont"/>
    <w:link w:val="Quote"/>
    <w:qFormat/>
    <w:rsid w:val="00fe71e3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ivel1Char" w:customStyle="1">
    <w:name w:val="Nivel1 Char"/>
    <w:basedOn w:val="DefaultParagraphFont"/>
    <w:link w:val="Nivel1"/>
    <w:qFormat/>
    <w:locked/>
    <w:rsid w:val="00fe71e3"/>
    <w:rPr>
      <w:rFonts w:ascii="Arial" w:hAnsi="Arial" w:eastAsia="" w:cs="Arial" w:eastAsiaTheme="majorEastAsia"/>
      <w:b/>
      <w:color w:val="000000"/>
      <w:sz w:val="32"/>
      <w:szCs w:val="32"/>
    </w:rPr>
  </w:style>
  <w:style w:type="character" w:styleId="Ttulo1Char" w:customStyle="1">
    <w:name w:val="Título 1 Char"/>
    <w:basedOn w:val="DefaultParagraphFont"/>
    <w:uiPriority w:val="9"/>
    <w:qFormat/>
    <w:rsid w:val="00fe71e3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ormalchar1" w:customStyle="1">
    <w:name w:val="normal__char1"/>
    <w:qFormat/>
    <w:rsid w:val="00a45c14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42560b"/>
    <w:rPr>
      <w:b/>
      <w:bCs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c81183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unhideWhenUsed/>
    <w:qFormat/>
    <w:rsid w:val="00843661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843661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843661"/>
    <w:rPr>
      <w:b/>
      <w:bCs/>
      <w:sz w:val="20"/>
      <w:szCs w:val="20"/>
    </w:rPr>
  </w:style>
  <w:style w:type="character" w:styleId="Ttulo6Char" w:customStyle="1">
    <w:name w:val="Título 6 Char"/>
    <w:basedOn w:val="DefaultParagraphFont"/>
    <w:uiPriority w:val="9"/>
    <w:semiHidden/>
    <w:qFormat/>
    <w:rsid w:val="008e1fe3"/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</w:rPr>
  </w:style>
  <w:style w:type="character" w:styleId="FollowedHyperlink">
    <w:name w:val="FollowedHyperlink"/>
    <w:basedOn w:val="DefaultParagraphFont"/>
    <w:uiPriority w:val="99"/>
    <w:semiHidden/>
    <w:unhideWhenUsed/>
    <w:rsid w:val="00206410"/>
    <w:rPr>
      <w:color w:themeColor="followedHyperlink" w:val="954F72"/>
      <w:u w:val="single"/>
    </w:rPr>
  </w:style>
  <w:style w:type="character" w:styleId="QuoteChar" w:customStyle="1">
    <w:name w:val="Quote Char"/>
    <w:link w:val="Citao1"/>
    <w:qFormat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fill="FFFFCC" w:val="clear"/>
    </w:rPr>
  </w:style>
  <w:style w:type="character" w:styleId="markedcontent" w:customStyle="1">
    <w:name w:val="markedcontent"/>
    <w:basedOn w:val="DefaultParagraphFont"/>
    <w:qFormat/>
    <w:rsid w:val="00bd4caf"/>
    <w:rPr/>
  </w:style>
  <w:style w:type="character" w:styleId="highlight" w:customStyle="1">
    <w:name w:val="highlight"/>
    <w:basedOn w:val="DefaultParagraphFont"/>
    <w:qFormat/>
    <w:rsid w:val="00bd4caf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e81162"/>
    <w:rPr>
      <w:rFonts w:ascii="Segoe UI" w:hAnsi="Segoe UI" w:cs="Segoe UI"/>
      <w:sz w:val="18"/>
      <w:szCs w:val="18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307e84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ff4094"/>
    <w:rPr>
      <w:rFonts w:ascii="Arial" w:hAnsi="Arial" w:cs="Arial"/>
      <w:color w:val="000000"/>
    </w:rPr>
  </w:style>
  <w:style w:type="character" w:styleId="citao2Char" w:customStyle="1">
    <w:name w:val="citação 2 Char"/>
    <w:basedOn w:val="CitaoChar"/>
    <w:link w:val="citao2"/>
    <w:qFormat/>
    <w:rsid w:val="003e7046"/>
    <w:rPr>
      <w:rFonts w:ascii="Arial" w:hAnsi="Arial" w:eastAsia="Calibri" w:cs="Tahoma"/>
      <w:i/>
      <w:iCs/>
      <w:color w:val="000000"/>
      <w:kern w:val="2"/>
      <w:sz w:val="20"/>
      <w:szCs w:val="20"/>
      <w:shd w:fill="FFFFCC" w:val="clear"/>
      <w:lang w:eastAsia="zh-CN" w:bidi="hi-IN"/>
    </w:rPr>
  </w:style>
  <w:style w:type="character" w:styleId="CabealhoChar" w:customStyle="1">
    <w:name w:val="Cabeçalho Char"/>
    <w:basedOn w:val="DefaultParagraphFont"/>
    <w:qFormat/>
    <w:rsid w:val="0073140b"/>
    <w:rPr/>
  </w:style>
  <w:style w:type="character" w:styleId="RodapChar" w:customStyle="1">
    <w:name w:val="Rodapé Char"/>
    <w:basedOn w:val="DefaultParagraphFont"/>
    <w:uiPriority w:val="99"/>
    <w:qFormat/>
    <w:rsid w:val="0073140b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f57d61"/>
    <w:rPr>
      <w:color w:val="605E5C"/>
      <w:shd w:fill="E1DFDD" w:val="clear"/>
    </w:rPr>
  </w:style>
  <w:style w:type="character" w:styleId="fontstyle01" w:customStyle="1">
    <w:name w:val="fontstyle01"/>
    <w:basedOn w:val="DefaultParagraphFont"/>
    <w:qFormat/>
    <w:rsid w:val="00e01b50"/>
    <w:rPr>
      <w:rFonts w:ascii="TimesNewRomanPSMT" w:hAnsi="TimesNewRomanPSMT"/>
      <w:b w:val="false"/>
      <w:bCs w:val="false"/>
      <w:i w:val="false"/>
      <w:iCs w:val="false"/>
      <w:color w:val="000000"/>
      <w:sz w:val="22"/>
      <w:szCs w:val="22"/>
    </w:rPr>
  </w:style>
  <w:style w:type="character" w:styleId="fontstyle21" w:customStyle="1">
    <w:name w:val="fontstyle21"/>
    <w:basedOn w:val="DefaultParagraphFont"/>
    <w:qFormat/>
    <w:rsid w:val="00387665"/>
    <w:rPr>
      <w:rFonts w:ascii="Arial" w:hAnsi="Arial" w:cs="Arial"/>
      <w:b w:val="false"/>
      <w:bCs w:val="false"/>
      <w:i w:val="false"/>
      <w:iCs w:val="false"/>
      <w:color w:val="000000"/>
      <w:sz w:val="18"/>
      <w:szCs w:val="18"/>
    </w:rPr>
  </w:style>
  <w:style w:type="character" w:styleId="fontstyle31" w:customStyle="1">
    <w:name w:val="fontstyle31"/>
    <w:basedOn w:val="DefaultParagraphFont"/>
    <w:qFormat/>
    <w:rsid w:val="00387665"/>
    <w:rPr>
      <w:rFonts w:ascii="Arial" w:hAnsi="Arial" w:cs="Arial"/>
      <w:b w:val="false"/>
      <w:bCs w:val="false"/>
      <w:i/>
      <w:iCs/>
      <w:color w:val="000000"/>
      <w:sz w:val="18"/>
      <w:szCs w:val="18"/>
    </w:rPr>
  </w:style>
  <w:style w:type="character" w:styleId="TtuloChar" w:customStyle="1">
    <w:name w:val="Título Char"/>
    <w:basedOn w:val="DefaultParagraphFont"/>
    <w:qFormat/>
    <w:rsid w:val="008b66ad"/>
    <w:rPr>
      <w:rFonts w:ascii="Times New Roman" w:hAnsi="Times New Roman" w:eastAsia="Times New Roman" w:cs="Times New Roman"/>
      <w:b/>
      <w:sz w:val="40"/>
      <w:szCs w:val="20"/>
      <w:u w:val="single"/>
      <w:lang w:eastAsia="pt-BR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Quote">
    <w:name w:val="Quote"/>
    <w:basedOn w:val="Normal"/>
    <w:next w:val="Normal"/>
    <w:link w:val="CitaoChar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Rule="auto" w:line="240" w:before="120" w:after="0"/>
      <w:jc w:val="both"/>
    </w:pPr>
    <w:rPr>
      <w:rFonts w:ascii="Arial" w:hAnsi="Arial" w:eastAsia="Calibri" w:cs="Tahoma"/>
      <w:i/>
      <w:iCs/>
      <w:color w:val="000000"/>
      <w:sz w:val="20"/>
      <w:szCs w:val="24"/>
    </w:rPr>
  </w:style>
  <w:style w:type="paragraph" w:styleId="Nivel1" w:customStyle="1">
    <w:name w:val="Nivel1"/>
    <w:basedOn w:val="Heading1"/>
    <w:next w:val="Normal"/>
    <w:link w:val="Nivel1Char"/>
    <w:qFormat/>
    <w:rsid w:val="00fe71e3"/>
    <w:pPr>
      <w:numPr>
        <w:ilvl w:val="0"/>
        <w:numId w:val="1"/>
      </w:numPr>
      <w:spacing w:lineRule="auto" w:line="276" w:before="480" w:after="120"/>
      <w:jc w:val="both"/>
    </w:pPr>
    <w:rPr>
      <w:rFonts w:ascii="Arial" w:hAnsi="Arial" w:cs="Arial"/>
      <w:b/>
      <w:color w:themeColor="accent1" w:themeShade="bf" w:val="000000"/>
    </w:rPr>
  </w:style>
  <w:style w:type="paragraph" w:styleId="ListParagraph">
    <w:name w:val="List Paragraph"/>
    <w:basedOn w:val="Normal"/>
    <w:uiPriority w:val="34"/>
    <w:qFormat/>
    <w:rsid w:val="00fe71e3"/>
    <w:pPr>
      <w:spacing w:before="0" w:after="16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fe71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SombreamentoMdio1-nfase31" w:customStyle="1">
    <w:name w:val="Sombreamento Médio 1 - Ênfase 31"/>
    <w:basedOn w:val="Normal"/>
    <w:next w:val="Normal"/>
    <w:qFormat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 w:val="true"/>
      <w:spacing w:lineRule="auto" w:line="240"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0"/>
      <w:szCs w:val="24"/>
      <w:lang w:eastAsia="zh-CN"/>
    </w:rPr>
  </w:style>
  <w:style w:type="paragraph" w:styleId="corpo" w:customStyle="1">
    <w:name w:val="corpo"/>
    <w:basedOn w:val="Normal"/>
    <w:qFormat/>
    <w:rsid w:val="00bb36b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ommentText">
    <w:name w:val="annotation text"/>
    <w:basedOn w:val="Normal"/>
    <w:link w:val="TextodecomentrioChar"/>
    <w:uiPriority w:val="99"/>
    <w:unhideWhenUsed/>
    <w:qFormat/>
    <w:rsid w:val="00843661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unhideWhenUsed/>
    <w:qFormat/>
    <w:rsid w:val="00843661"/>
    <w:pPr/>
    <w:rPr>
      <w:b/>
      <w:bCs/>
    </w:rPr>
  </w:style>
  <w:style w:type="paragraph" w:styleId="itemnivel2" w:customStyle="1">
    <w:name w:val="item_nivel2"/>
    <w:basedOn w:val="Normal"/>
    <w:qFormat/>
    <w:rsid w:val="00400a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itemnivel1" w:customStyle="1">
    <w:name w:val="item_nivel1"/>
    <w:basedOn w:val="Normal"/>
    <w:qFormat/>
    <w:rsid w:val="00400a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itemalinealetra" w:customStyle="1">
    <w:name w:val="item_alinea_letra"/>
    <w:basedOn w:val="Normal"/>
    <w:qFormat/>
    <w:rsid w:val="00400a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itao1" w:customStyle="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Rule="auto" w:line="240" w:before="120" w:after="0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8116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 w:customStyle="1">
    <w:name w:val="Standard"/>
    <w:qFormat/>
    <w:rsid w:val="00ff4094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rsid w:val="00ff4094"/>
    <w:pPr>
      <w:spacing w:lineRule="auto" w:line="276" w:before="0" w:after="140"/>
    </w:pPr>
    <w:rPr/>
  </w:style>
  <w:style w:type="paragraph" w:styleId="citao2" w:customStyle="1">
    <w:name w:val="citação 2"/>
    <w:basedOn w:val="Quote"/>
    <w:link w:val="citao2Char"/>
    <w:qFormat/>
    <w:rsid w:val="00ff4094"/>
    <w:pPr>
      <w:suppressAutoHyphens w:val="true"/>
    </w:pPr>
    <w:rPr>
      <w:kern w:val="2"/>
      <w:szCs w:val="20"/>
      <w:lang w:eastAsia="zh-CN" w:bidi="hi-IN"/>
    </w:rPr>
  </w:style>
  <w:style w:type="paragraph" w:styleId="Nivel2" w:customStyle="1">
    <w:name w:val="Nivel 2"/>
    <w:basedOn w:val="Normal"/>
    <w:link w:val="Nivel2Char"/>
    <w:qFormat/>
    <w:rsid w:val="00ff4094"/>
    <w:pPr>
      <w:spacing w:lineRule="auto" w:line="276" w:before="120" w:after="120"/>
      <w:jc w:val="both"/>
    </w:pPr>
    <w:rPr>
      <w:rFonts w:ascii="Arial" w:hAnsi="Arial" w:cs="Arial"/>
      <w:color w:val="000000"/>
    </w:rPr>
  </w:style>
  <w:style w:type="paragraph" w:styleId="Nivel3" w:customStyle="1">
    <w:name w:val="Nivel 3"/>
    <w:basedOn w:val="ListParagraph"/>
    <w:qFormat/>
    <w:rsid w:val="00ff4094"/>
    <w:pPr>
      <w:tabs>
        <w:tab w:val="clear" w:pos="708"/>
        <w:tab w:val="left" w:pos="360" w:leader="none"/>
      </w:tabs>
      <w:spacing w:lineRule="auto" w:line="276" w:before="120" w:after="120"/>
      <w:ind w:left="425"/>
      <w:contextualSpacing/>
      <w:jc w:val="both"/>
    </w:pPr>
    <w:rPr>
      <w:rFonts w:ascii="Arial" w:hAnsi="Arial" w:eastAsia="Times New Roman" w:cs="Arial"/>
      <w:sz w:val="20"/>
      <w:szCs w:val="20"/>
      <w:lang w:eastAsia="pt-BR"/>
    </w:rPr>
  </w:style>
  <w:style w:type="paragraph" w:styleId="Nivel4" w:customStyle="1">
    <w:name w:val="Nivel 4"/>
    <w:basedOn w:val="Nivel3"/>
    <w:qFormat/>
    <w:rsid w:val="00ff4094"/>
    <w:pPr>
      <w:ind w:hanging="648" w:left="2491"/>
    </w:pPr>
    <w:rPr/>
  </w:style>
  <w:style w:type="paragraph" w:styleId="Nivel5" w:customStyle="1">
    <w:name w:val="Nivel 5"/>
    <w:basedOn w:val="Nivel4"/>
    <w:qFormat/>
    <w:rsid w:val="00ff4094"/>
    <w:pPr>
      <w:ind w:hanging="792" w:left="3485"/>
    </w:pPr>
    <w:rPr/>
  </w:style>
  <w:style w:type="paragraph" w:styleId="PADRO" w:customStyle="1">
    <w:name w:val="PADRÃO"/>
    <w:qFormat/>
    <w:rsid w:val="00ed4d94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73140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3140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itle">
    <w:name w:val="Title"/>
    <w:basedOn w:val="Normal"/>
    <w:link w:val="TtuloChar"/>
    <w:qFormat/>
    <w:rsid w:val="008b66ad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40"/>
      <w:szCs w:val="20"/>
      <w:u w:val="single"/>
      <w:lang w:eastAsia="pt-BR"/>
    </w:rPr>
  </w:style>
  <w:style w:type="paragraph" w:styleId="Linhahorizontaluser">
    <w:name w:val="Linha horizontal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<Relationship Id="rId11" Type="http://schemas.openxmlformats.org/officeDocument/2006/relationships/customXml" Target="../customXml/item3.xml"/><Relationship Id="rId12" Type="http://schemas.openxmlformats.org/officeDocument/2006/relationships/customXml" Target="../customXml/item4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saaetaperoa@yahoo.com.br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saaetaperoa@yahoo.com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340BAD-FC0F-4E49-9AEF-52253D358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Application>LibreOffice/25.2.7.2$Windows_X86_64 LibreOffice_project/5cbfd1ab6520636bb5f7b99185aa69bd7456825d</Application>
  <AppVersion>15.0000</AppVersion>
  <Pages>2</Pages>
  <Words>633</Words>
  <Characters>3605</Characters>
  <CharactersWithSpaces>4155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2022-07-02T17:53:00Z</dcterms:created>
  <dc:creator>Marcela Ali Tarif</dc:creator>
  <dc:description/>
  <dc:language>pt-BR</dc:language>
  <cp:lastModifiedBy/>
  <cp:lastPrinted>2024-01-04T12:57:00Z</cp:lastPrinted>
  <dcterms:modified xsi:type="dcterms:W3CDTF">2025-12-02T12:44:19Z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