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Arial" w:hAnsi="Arial" w:cs="Arial"/>
          <w:b/>
          <w:bCs/>
          <w:sz w:val="20"/>
          <w:szCs w:val="20"/>
        </w:rPr>
      </w:pPr>
      <w:r>
        <w:rPr>
          <w:rFonts w:cs="Arial" w:ascii="Arial" w:hAnsi="Arial"/>
          <w:b/>
          <w:bCs/>
          <w:sz w:val="20"/>
          <w:szCs w:val="20"/>
        </w:rPr>
        <w:t>TERMO DE REFERÊNCIA</w:t>
      </w:r>
    </w:p>
    <w:p>
      <w:pPr>
        <w:pStyle w:val="Normal"/>
        <w:spacing w:lineRule="auto" w:line="276" w:before="0" w:after="0"/>
        <w:jc w:val="center"/>
        <w:rPr>
          <w:rFonts w:ascii="Arial" w:hAnsi="Arial" w:cs="Arial"/>
          <w:b/>
          <w:bCs/>
          <w:sz w:val="20"/>
          <w:szCs w:val="20"/>
        </w:rPr>
      </w:pPr>
      <w:r>
        <w:rPr>
          <w:rFonts w:cs="Arial" w:ascii="Arial" w:hAnsi="Arial"/>
          <w:b/>
          <w:bCs/>
          <w:sz w:val="20"/>
          <w:szCs w:val="20"/>
        </w:rPr>
      </w:r>
    </w:p>
    <w:p>
      <w:pPr>
        <w:pStyle w:val="Normal"/>
        <w:spacing w:lineRule="auto" w:line="276" w:before="0" w:after="0"/>
        <w:jc w:val="center"/>
        <w:rPr>
          <w:rFonts w:ascii="Arial" w:hAnsi="Arial" w:cs="Arial"/>
          <w:b/>
          <w:bCs/>
          <w:sz w:val="20"/>
          <w:szCs w:val="20"/>
        </w:rPr>
      </w:pPr>
      <w:r>
        <w:rPr>
          <w:rFonts w:cs="Arial" w:ascii="Arial" w:hAnsi="Arial"/>
          <w:b/>
          <w:bCs/>
          <w:sz w:val="20"/>
          <w:szCs w:val="20"/>
        </w:rPr>
      </w:r>
    </w:p>
    <w:p>
      <w:pPr>
        <w:pStyle w:val="Normal"/>
        <w:rPr/>
      </w:pPr>
      <w: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1. DO OBJETO</w:t>
      </w:r>
      <w:bookmarkStart w:id="0" w:name="_GoBack"/>
      <w:bookmarkEnd w:id="0"/>
    </w:p>
    <w:p>
      <w:pPr>
        <w:pStyle w:val="Normal"/>
        <w:spacing w:lineRule="auto" w:line="360" w:before="0" w:after="120"/>
        <w:jc w:val="both"/>
        <w:rPr>
          <w:rStyle w:val="fontstyle01"/>
          <w:rFonts w:ascii="Arial" w:hAnsi="Arial" w:cs="Arial"/>
          <w:sz w:val="20"/>
          <w:szCs w:val="20"/>
        </w:rPr>
      </w:pPr>
      <w:r>
        <w:rPr>
          <w:rStyle w:val="fontstyle01"/>
          <w:rFonts w:eastAsia="" w:cs="Tahoma" w:ascii="Arial" w:hAnsi="Arial" w:eastAsiaTheme="majorEastAsia"/>
          <w:lang w:eastAsia="pt-BR"/>
        </w:rPr>
        <w:t>1.1 O presente certame objetiva a</w:t>
      </w:r>
      <w:r>
        <w:rPr>
          <w:rStyle w:val="fontstyle01"/>
          <w:rFonts w:eastAsia="" w:cs="Tahoma" w:ascii="Arial" w:hAnsi="Arial" w:eastAsiaTheme="majorEastAsia"/>
          <w:sz w:val="22"/>
          <w:szCs w:val="22"/>
          <w:lang w:eastAsia="pt-BR"/>
        </w:rPr>
        <w:t xml:space="preserve"> Prestação do Serviço de Fornecimento de Energia Elétrica para o Serviço Autônomo de Água e Esgoto de Taperoá/Ba no Exercício 2026</w:t>
      </w:r>
      <w:r>
        <w:rPr>
          <w:rStyle w:val="fontstyle01"/>
          <w:rFonts w:eastAsia="" w:cs="Tahoma" w:ascii="Arial" w:hAnsi="Arial" w:eastAsiaTheme="majorEastAsia"/>
          <w:lang w:eastAsia="pt-BR"/>
        </w:rPr>
        <w:t>, por Inexigibilidade, a fim de atender a demanda da autarquia, região abrangida pela Companhia de Eletricidade do Estado da Bahia – COELBA.</w:t>
      </w:r>
    </w:p>
    <w:p>
      <w:pPr>
        <w:pStyle w:val="Normal"/>
        <w:spacing w:lineRule="auto" w:line="360" w:before="0" w:after="120"/>
        <w:jc w:val="both"/>
        <w:rPr>
          <w:rStyle w:val="fontstyle01"/>
          <w:rFonts w:ascii="Arial" w:hAnsi="Arial" w:cs="Arial"/>
          <w:sz w:val="20"/>
          <w:szCs w:val="20"/>
        </w:rPr>
      </w:pPr>
      <w:r>
        <w:rPr>
          <w:rFonts w:cs="Arial" w:ascii="Arial" w:hAnsi="Arial"/>
          <w:sz w:val="20"/>
          <w:szCs w:val="20"/>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2. DA JUSTIFICATIVA</w:t>
      </w:r>
    </w:p>
    <w:p>
      <w:pPr>
        <w:pStyle w:val="Title"/>
        <w:spacing w:lineRule="auto" w:line="360"/>
        <w:jc w:val="both"/>
        <w:rPr>
          <w:rFonts w:ascii="Arial" w:hAnsi="Arial" w:cs="Arial"/>
          <w:b w:val="false"/>
          <w:sz w:val="22"/>
          <w:szCs w:val="22"/>
          <w:u w:val="none"/>
        </w:rPr>
      </w:pPr>
      <w:r>
        <w:rPr>
          <w:rStyle w:val="fontstyle01"/>
          <w:rFonts w:eastAsia="" w:cs="Tahoma" w:ascii="Arial" w:hAnsi="Arial" w:eastAsiaTheme="majorEastAsia"/>
          <w:b w:val="false"/>
          <w:u w:val="none"/>
        </w:rPr>
        <w:t>2.1</w:t>
      </w:r>
      <w:r>
        <w:rPr>
          <w:rStyle w:val="fontstyle01"/>
          <w:rFonts w:eastAsia="" w:cs="Tahoma" w:ascii="Arial" w:hAnsi="Arial" w:eastAsiaTheme="majorEastAsia"/>
          <w:u w:val="none"/>
        </w:rPr>
        <w:t xml:space="preserve"> </w:t>
      </w:r>
      <w:r>
        <w:rPr>
          <w:rFonts w:cs="Arial" w:ascii="Arial" w:hAnsi="Arial"/>
          <w:b w:val="false"/>
          <w:sz w:val="22"/>
          <w:szCs w:val="22"/>
          <w:u w:val="none"/>
        </w:rPr>
        <w:t xml:space="preserve">O SAAE atua na captação, tratamento e distribuição de água no município de Taperoá/Ba e todas as etapas do processo acima descrito dependem de bombas e outros equipamentos elétrico, tornando de fundamental importância o fornecimento ininterrupto de energia elétrica visando atender de forma regular, contínua e em condições adequadas à nossa população. </w:t>
      </w:r>
    </w:p>
    <w:p>
      <w:pPr>
        <w:pStyle w:val="Normal"/>
        <w:spacing w:lineRule="auto" w:line="360" w:before="0" w:after="120"/>
        <w:jc w:val="both"/>
        <w:rPr/>
      </w:pPr>
      <w: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3. DA LEGISLAÇÃO APLICÁVEL</w:t>
      </w:r>
    </w:p>
    <w:p>
      <w:pPr>
        <w:pStyle w:val="Normal"/>
        <w:spacing w:lineRule="auto" w:line="360" w:before="0" w:after="120"/>
        <w:jc w:val="both"/>
        <w:rPr>
          <w:rStyle w:val="fontstyle01"/>
          <w:rFonts w:ascii="Arial" w:hAnsi="Arial" w:eastAsia="" w:cs="Tahoma" w:eastAsiaTheme="majorEastAsia"/>
          <w:b/>
          <w:lang w:eastAsia="pt-BR"/>
        </w:rPr>
      </w:pPr>
      <w:r>
        <w:rPr>
          <w:rFonts w:eastAsia="" w:cs="Tahoma" w:eastAsiaTheme="majorEastAsia" w:ascii="Arial" w:hAnsi="Arial"/>
          <w:b/>
          <w:lang w:eastAsia="pt-BR"/>
        </w:rPr>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3.1 Será adotada a Lei Federal nº 14.133/2021, notadamente o Art. 74:</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É inexigível a licitação quando inviável a competição, em especial nos casos de: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w:t>
      </w:r>
    </w:p>
    <w:p>
      <w:pPr>
        <w:pStyle w:val="Normal"/>
        <w:spacing w:lineRule="auto" w:line="360" w:before="0" w:after="120"/>
        <w:jc w:val="both"/>
        <w:rPr>
          <w:rFonts w:ascii="Arial" w:hAnsi="Arial" w:cs="Arial"/>
        </w:rPr>
      </w:pPr>
      <w:r>
        <w:rPr>
          <w:rFonts w:cs="Arial" w:ascii="Arial" w:hAnsi="Arial"/>
        </w:rPr>
        <w:t>I - aquisição de materiais, de equipamentos ou de gêneros ou contratação de serviços que só possam ser fornecidos por produtor, empresa ou representante comercial exclusivo.</w:t>
      </w:r>
    </w:p>
    <w:p>
      <w:pPr>
        <w:pStyle w:val="Normal"/>
        <w:spacing w:lineRule="auto" w:line="360" w:before="0" w:after="120"/>
        <w:jc w:val="both"/>
        <w:rPr>
          <w:rFonts w:ascii="Arial" w:hAnsi="Arial" w:cs="Arial"/>
        </w:rPr>
      </w:pPr>
      <w:r>
        <w:rPr>
          <w:rFonts w:cs="Arial" w:ascii="Arial" w:hAnsi="Arial"/>
        </w:rPr>
        <w:t>A COELBA é a única concessionária fornecedora de energia elétrica no estado da Bahia (segundo documento da ANEEL em anexo), possuindo a estrutura operacional adequada para atender a necessidade do SAAE Taperoá/Ba.</w:t>
      </w:r>
    </w:p>
    <w:p>
      <w:pPr>
        <w:pStyle w:val="Normal"/>
        <w:spacing w:lineRule="auto" w:line="360" w:before="0" w:after="120"/>
        <w:jc w:val="both"/>
        <w:rPr>
          <w:rFonts w:ascii="Arial" w:hAnsi="Arial" w:cs="Arial"/>
        </w:rPr>
      </w:pPr>
      <w:r>
        <w:rPr>
          <w:rFonts w:cs="Arial" w:ascii="Arial" w:hAnsi="Arial"/>
        </w:rPr>
        <w:t>Dessa forma, será realizada a contratação por Inexigibilidade de Licitação nos termos do artigo supracitado.</w:t>
      </w:r>
    </w:p>
    <w:p>
      <w:pPr>
        <w:pStyle w:val="Normal"/>
        <w:spacing w:lineRule="auto" w:line="360" w:before="0" w:after="120"/>
        <w:jc w:val="both"/>
        <w:rPr>
          <w:rStyle w:val="fontstyle01"/>
          <w:rFonts w:ascii="Arial" w:hAnsi="Arial" w:eastAsia="" w:cs="Tahoma" w:eastAsiaTheme="majorEastAsia"/>
          <w:b/>
          <w:lang w:eastAsia="pt-BR"/>
        </w:rPr>
      </w:pPr>
      <w:r>
        <w:rPr>
          <w:rFonts w:eastAsia="" w:cs="Tahoma" w:eastAsiaTheme="majorEastAsia" w:ascii="Arial" w:hAnsi="Arial"/>
          <w:b/>
          <w:lang w:eastAsia="pt-BR"/>
        </w:rPr>
      </w:r>
    </w:p>
    <w:p>
      <w:pPr>
        <w:pStyle w:val="Normal"/>
        <w:spacing w:lineRule="auto" w:line="360" w:before="0" w:after="120"/>
        <w:jc w:val="both"/>
        <w:rPr>
          <w:rStyle w:val="fontstyle01"/>
          <w:rFonts w:ascii="Arial" w:hAnsi="Arial" w:eastAsia="" w:cs="Tahoma" w:eastAsiaTheme="majorEastAsia"/>
          <w:b/>
          <w:lang w:eastAsia="pt-BR"/>
        </w:rPr>
      </w:pPr>
      <w:r>
        <w:rPr>
          <w:rFonts w:eastAsia="" w:cs="Tahoma" w:eastAsiaTheme="majorEastAsia" w:ascii="Arial" w:hAnsi="Arial"/>
          <w:b/>
          <w:lang w:eastAsia="pt-BR"/>
        </w:rPr>
      </w:r>
    </w:p>
    <w:p>
      <w:pPr>
        <w:pStyle w:val="Normal"/>
        <w:spacing w:lineRule="auto" w:line="360" w:before="0" w:after="120"/>
        <w:jc w:val="both"/>
        <w:rPr>
          <w:rStyle w:val="fontstyle01"/>
          <w:rFonts w:ascii="Arial" w:hAnsi="Arial" w:eastAsia="" w:cs="Tahoma" w:eastAsiaTheme="majorEastAsia"/>
          <w:b/>
          <w:lang w:eastAsia="pt-BR"/>
        </w:rPr>
      </w:pPr>
      <w:r>
        <w:rPr>
          <w:rFonts w:eastAsia="" w:cs="Tahoma" w:eastAsiaTheme="majorEastAsia" w:ascii="Arial" w:hAnsi="Arial"/>
          <w:b/>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4. DAS ESPECIFICAÇÕES DOS SERVIÇOS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4.1 As especificações e os quantitativos dos serviços foi elaborado com base no nosso consumo atual acrescido um percentual de segurança, que fazem parte do processo administrativo.</w:t>
      </w:r>
    </w:p>
    <w:tbl>
      <w:tblPr>
        <w:tblW w:w="847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22"/>
        <w:gridCol w:w="6007"/>
        <w:gridCol w:w="1846"/>
      </w:tblGrid>
      <w:tr>
        <w:trPr>
          <w:trHeight w:val="390" w:hRule="atLeast"/>
        </w:trPr>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b/>
                <w:bCs/>
                <w:color w:val="000000"/>
                <w:sz w:val="18"/>
                <w:szCs w:val="18"/>
                <w:shd w:fill="auto" w:val="clear"/>
                <w:lang w:eastAsia="pt-BR"/>
              </w:rPr>
              <w:t>Item</w:t>
            </w:r>
          </w:p>
        </w:tc>
        <w:tc>
          <w:tcPr>
            <w:tcW w:w="600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b/>
                <w:bCs/>
                <w:color w:val="000000"/>
                <w:sz w:val="18"/>
                <w:szCs w:val="18"/>
                <w:shd w:fill="auto" w:val="clear"/>
                <w:lang w:eastAsia="pt-BR"/>
              </w:rPr>
              <w:t>Descrição do serviço</w:t>
            </w:r>
          </w:p>
        </w:tc>
        <w:tc>
          <w:tcPr>
            <w:tcW w:w="184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b/>
                <w:bCs/>
                <w:color w:val="000000"/>
                <w:sz w:val="18"/>
                <w:szCs w:val="18"/>
                <w:shd w:fill="auto" w:val="clear"/>
                <w:lang w:eastAsia="pt-BR"/>
              </w:rPr>
              <w:t>Valor estimado</w:t>
            </w:r>
          </w:p>
        </w:tc>
      </w:tr>
      <w:tr>
        <w:trPr/>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color w:val="000000"/>
                <w:sz w:val="18"/>
                <w:szCs w:val="18"/>
                <w:shd w:fill="auto" w:val="clear"/>
                <w:lang w:eastAsia="pt-BR"/>
              </w:rPr>
              <w:t>01</w:t>
            </w:r>
          </w:p>
        </w:tc>
        <w:tc>
          <w:tcPr>
            <w:tcW w:w="600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pPr>
            <w:r>
              <w:rPr>
                <w:rStyle w:val="fontstyle01"/>
                <w:rFonts w:eastAsia="" w:cs="Tahoma" w:ascii="Arial" w:hAnsi="Arial" w:eastAsiaTheme="majorEastAsia"/>
                <w:sz w:val="20"/>
                <w:szCs w:val="20"/>
                <w:shd w:fill="auto" w:val="clear"/>
                <w:lang w:eastAsia="pt-BR"/>
              </w:rPr>
              <w:t xml:space="preserve">Prestação do Serviço de Fornecimento de Energia Elétrica para o </w:t>
            </w:r>
            <w:r>
              <w:rPr>
                <w:rFonts w:eastAsia="Times New Roman" w:cs="Arial" w:ascii="Arial" w:hAnsi="Arial"/>
                <w:bCs/>
                <w:color w:val="000000"/>
                <w:sz w:val="20"/>
                <w:szCs w:val="20"/>
                <w:shd w:fill="auto" w:val="clear"/>
                <w:lang w:eastAsia="pt-BR"/>
              </w:rPr>
              <w:t xml:space="preserve">SAAE </w:t>
            </w:r>
            <w:r>
              <w:rPr>
                <w:rFonts w:eastAsia="Times New Roman" w:cs="Arial" w:ascii="Arial" w:hAnsi="Arial"/>
                <w:color w:val="000000"/>
                <w:sz w:val="20"/>
                <w:szCs w:val="20"/>
                <w:shd w:fill="auto" w:val="clear"/>
                <w:lang w:eastAsia="pt-BR"/>
              </w:rPr>
              <w:t>Taperoá/Ba (Escritório)</w:t>
            </w:r>
          </w:p>
        </w:tc>
        <w:tc>
          <w:tcPr>
            <w:tcW w:w="184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color w:val="000000"/>
                <w:sz w:val="18"/>
                <w:szCs w:val="18"/>
                <w:shd w:fill="auto" w:val="clear"/>
                <w:lang w:eastAsia="pt-BR"/>
              </w:rPr>
              <w:t>R$</w:t>
            </w:r>
            <w:r>
              <w:rPr>
                <w:rFonts w:eastAsia="Times New Roman" w:cs="Arial" w:ascii="Arial" w:hAnsi="Arial"/>
                <w:color w:val="000000"/>
                <w:sz w:val="18"/>
                <w:szCs w:val="18"/>
                <w:shd w:fill="auto" w:val="clear"/>
                <w:lang w:eastAsia="pt-BR"/>
              </w:rPr>
              <w:t>17</w:t>
            </w:r>
            <w:r>
              <w:rPr>
                <w:rFonts w:eastAsia="Times New Roman" w:cs="Arial" w:ascii="Arial" w:hAnsi="Arial"/>
                <w:color w:val="000000"/>
                <w:sz w:val="18"/>
                <w:szCs w:val="18"/>
                <w:shd w:fill="auto" w:val="clear"/>
                <w:lang w:eastAsia="pt-BR"/>
              </w:rPr>
              <w:t>.000,00</w:t>
            </w:r>
          </w:p>
        </w:tc>
      </w:tr>
      <w:tr>
        <w:trPr/>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color w:val="000000"/>
                <w:sz w:val="18"/>
                <w:szCs w:val="18"/>
                <w:shd w:fill="auto" w:val="clear"/>
                <w:lang w:eastAsia="pt-BR"/>
              </w:rPr>
              <w:t>02</w:t>
            </w:r>
          </w:p>
        </w:tc>
        <w:tc>
          <w:tcPr>
            <w:tcW w:w="600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pPr>
            <w:r>
              <w:rPr>
                <w:rStyle w:val="fontstyle01"/>
                <w:rFonts w:eastAsia="" w:cs="Tahoma" w:ascii="Arial" w:hAnsi="Arial" w:eastAsiaTheme="majorEastAsia"/>
                <w:sz w:val="20"/>
                <w:szCs w:val="20"/>
                <w:shd w:fill="auto" w:val="clear"/>
                <w:lang w:eastAsia="pt-BR"/>
              </w:rPr>
              <w:t xml:space="preserve">Prestação do Serviço de Fornecimento de Energia Elétrica para o </w:t>
            </w:r>
            <w:r>
              <w:rPr>
                <w:rFonts w:eastAsia="Times New Roman" w:cs="Arial" w:ascii="Arial" w:hAnsi="Arial"/>
                <w:bCs/>
                <w:color w:val="000000"/>
                <w:sz w:val="20"/>
                <w:szCs w:val="20"/>
                <w:shd w:fill="auto" w:val="clear"/>
                <w:lang w:eastAsia="pt-BR"/>
              </w:rPr>
              <w:t xml:space="preserve">SAAE </w:t>
            </w:r>
            <w:r>
              <w:rPr>
                <w:rFonts w:eastAsia="Times New Roman" w:cs="Arial" w:ascii="Arial" w:hAnsi="Arial"/>
                <w:color w:val="000000"/>
                <w:sz w:val="20"/>
                <w:szCs w:val="20"/>
                <w:shd w:fill="auto" w:val="clear"/>
                <w:lang w:eastAsia="pt-BR"/>
              </w:rPr>
              <w:t>Taperoá/Ba (Captação e ETA)</w:t>
            </w:r>
          </w:p>
        </w:tc>
        <w:tc>
          <w:tcPr>
            <w:tcW w:w="184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color w:val="000000"/>
                <w:sz w:val="18"/>
                <w:szCs w:val="18"/>
                <w:shd w:fill="auto" w:val="clear"/>
                <w:lang w:eastAsia="pt-BR"/>
              </w:rPr>
              <w:t>R$</w:t>
            </w:r>
            <w:r>
              <w:rPr>
                <w:rFonts w:eastAsia="Times New Roman" w:cs="Arial" w:ascii="Arial" w:hAnsi="Arial"/>
                <w:color w:val="000000"/>
                <w:sz w:val="18"/>
                <w:szCs w:val="18"/>
                <w:shd w:fill="auto" w:val="clear"/>
                <w:lang w:eastAsia="pt-BR"/>
              </w:rPr>
              <w:t>443</w:t>
            </w:r>
            <w:r>
              <w:rPr>
                <w:rFonts w:eastAsia="Times New Roman" w:cs="Arial" w:ascii="Arial" w:hAnsi="Arial"/>
                <w:color w:val="000000"/>
                <w:sz w:val="18"/>
                <w:szCs w:val="18"/>
                <w:shd w:fill="auto" w:val="clear"/>
                <w:lang w:eastAsia="pt-BR"/>
              </w:rPr>
              <w:t>.000,00</w:t>
            </w:r>
          </w:p>
        </w:tc>
      </w:tr>
      <w:tr>
        <w:trPr/>
        <w:tc>
          <w:tcPr>
            <w:tcW w:w="6629"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Arial" w:hAnsi="Arial" w:eastAsia="Times New Roman" w:cs="Arial"/>
                <w:b/>
                <w:color w:val="000000"/>
                <w:sz w:val="18"/>
                <w:szCs w:val="18"/>
                <w:highlight w:val="none"/>
                <w:shd w:fill="auto" w:val="clear"/>
                <w:lang w:eastAsia="pt-BR"/>
              </w:rPr>
            </w:pPr>
            <w:r>
              <w:rPr>
                <w:rFonts w:eastAsia="Times New Roman" w:cs="Arial" w:ascii="Arial" w:hAnsi="Arial"/>
                <w:b/>
                <w:color w:val="000000"/>
                <w:sz w:val="18"/>
                <w:szCs w:val="18"/>
                <w:shd w:fill="auto" w:val="clear"/>
                <w:lang w:eastAsia="pt-BR"/>
              </w:rPr>
            </w:r>
          </w:p>
          <w:p>
            <w:pPr>
              <w:pStyle w:val="Normal"/>
              <w:spacing w:lineRule="auto" w:line="240" w:before="0" w:after="0"/>
              <w:jc w:val="center"/>
              <w:rPr>
                <w:highlight w:val="none"/>
                <w:shd w:fill="auto" w:val="clear"/>
              </w:rPr>
            </w:pPr>
            <w:r>
              <w:rPr>
                <w:rFonts w:eastAsia="Times New Roman" w:cs="Arial" w:ascii="Arial" w:hAnsi="Arial"/>
                <w:b/>
                <w:color w:val="000000"/>
                <w:sz w:val="18"/>
                <w:szCs w:val="18"/>
                <w:shd w:fill="auto" w:val="clear"/>
                <w:lang w:eastAsia="pt-BR"/>
              </w:rPr>
              <w:t>TOTAL</w:t>
            </w:r>
          </w:p>
          <w:p>
            <w:pPr>
              <w:pStyle w:val="Normal"/>
              <w:spacing w:lineRule="auto" w:line="240" w:before="0" w:after="0"/>
              <w:jc w:val="center"/>
              <w:rPr>
                <w:rFonts w:ascii="Arial" w:hAnsi="Arial" w:eastAsia="Times New Roman" w:cs="Arial"/>
                <w:b/>
                <w:sz w:val="18"/>
                <w:szCs w:val="18"/>
                <w:highlight w:val="none"/>
                <w:shd w:fill="auto" w:val="clear"/>
                <w:lang w:eastAsia="pt-BR"/>
              </w:rPr>
            </w:pPr>
            <w:r>
              <w:rPr>
                <w:rFonts w:eastAsia="Times New Roman" w:cs="Arial" w:ascii="Arial" w:hAnsi="Arial"/>
                <w:b/>
                <w:sz w:val="18"/>
                <w:szCs w:val="18"/>
                <w:shd w:fill="auto" w:val="clear"/>
                <w:lang w:eastAsia="pt-BR"/>
              </w:rPr>
            </w:r>
          </w:p>
        </w:tc>
        <w:tc>
          <w:tcPr>
            <w:tcW w:w="184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highlight w:val="none"/>
                <w:shd w:fill="auto" w:val="clear"/>
              </w:rPr>
            </w:pPr>
            <w:r>
              <w:rPr>
                <w:rFonts w:eastAsia="Times New Roman" w:cs="Arial" w:ascii="Arial" w:hAnsi="Arial"/>
                <w:b/>
                <w:color w:val="000000"/>
                <w:sz w:val="18"/>
                <w:szCs w:val="18"/>
                <w:shd w:fill="auto" w:val="clear"/>
                <w:lang w:eastAsia="pt-BR"/>
              </w:rPr>
              <w:t>R$</w:t>
            </w:r>
            <w:r>
              <w:rPr>
                <w:rFonts w:eastAsia="Times New Roman" w:cs="Arial" w:ascii="Arial" w:hAnsi="Arial"/>
                <w:b/>
                <w:color w:val="000000"/>
                <w:sz w:val="18"/>
                <w:szCs w:val="18"/>
                <w:shd w:fill="auto" w:val="clear"/>
                <w:lang w:eastAsia="pt-BR"/>
              </w:rPr>
              <w:t>460</w:t>
            </w:r>
            <w:r>
              <w:rPr>
                <w:rFonts w:eastAsia="Times New Roman" w:cs="Arial" w:ascii="Arial" w:hAnsi="Arial"/>
                <w:b/>
                <w:color w:val="000000"/>
                <w:sz w:val="18"/>
                <w:szCs w:val="18"/>
                <w:shd w:fill="auto" w:val="clear"/>
                <w:lang w:eastAsia="pt-BR"/>
              </w:rPr>
              <w:t>.000,00</w:t>
            </w:r>
          </w:p>
        </w:tc>
      </w:tr>
    </w:tbl>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color w:val="auto"/>
          <w:lang w:eastAsia="pt-BR"/>
        </w:rPr>
      </w:pPr>
      <w:r>
        <w:rPr>
          <w:rStyle w:val="fontstyle01"/>
          <w:rFonts w:eastAsia="" w:cs="Tahoma" w:ascii="Arial" w:hAnsi="Arial" w:eastAsiaTheme="majorEastAsia"/>
          <w:b/>
          <w:color w:val="auto"/>
          <w:lang w:eastAsia="pt-BR"/>
        </w:rPr>
        <w:t>5  EXECUÇÃO DOS SERVIÇOS</w:t>
      </w:r>
    </w:p>
    <w:p>
      <w:pPr>
        <w:pStyle w:val="Normal"/>
        <w:spacing w:lineRule="auto" w:line="360" w:before="0" w:after="120"/>
        <w:jc w:val="both"/>
        <w:rPr>
          <w:rStyle w:val="fontstyle01"/>
          <w:rFonts w:ascii="Arial" w:hAnsi="Arial" w:eastAsia="" w:cs="Tahoma" w:eastAsiaTheme="majorEastAsia"/>
          <w:color w:val="auto"/>
          <w:lang w:eastAsia="pt-BR"/>
        </w:rPr>
      </w:pPr>
      <w:bookmarkStart w:id="1" w:name="_Hlk82473550"/>
      <w:bookmarkStart w:id="2" w:name="_Hlk82471863"/>
      <w:r>
        <w:rPr>
          <w:rStyle w:val="fontstyle01"/>
          <w:rFonts w:eastAsia="" w:cs="Tahoma" w:ascii="Arial" w:hAnsi="Arial" w:eastAsiaTheme="majorEastAsia"/>
          <w:color w:val="auto"/>
          <w:lang w:eastAsia="pt-BR"/>
        </w:rPr>
        <w:t xml:space="preserve">5.1 </w:t>
      </w:r>
      <w:bookmarkEnd w:id="1"/>
      <w:bookmarkEnd w:id="2"/>
      <w:r>
        <w:rPr>
          <w:rStyle w:val="fontstyle01"/>
          <w:rFonts w:eastAsia="" w:cs="Tahoma" w:ascii="Arial" w:hAnsi="Arial" w:eastAsiaTheme="majorEastAsia"/>
          <w:color w:val="auto"/>
          <w:lang w:eastAsia="pt-BR"/>
        </w:rPr>
        <w:t>Prestar todos os serviços necessários para dentro dos parâmetros e rotinas estabelecidos neste Termo de Referência e em consonância com as orientações da Agência Reguladora, a prestação dos serviços ocorra de forma regular, segura, eficiente, adequada à saúde pública e à proteção do meio ambiente, com a observância às normas e legislações pertinentes.</w:t>
      </w:r>
    </w:p>
    <w:p>
      <w:pPr>
        <w:pStyle w:val="Normal"/>
        <w:spacing w:lineRule="auto" w:line="360" w:before="0" w:after="120"/>
        <w:jc w:val="both"/>
        <w:rPr>
          <w:rStyle w:val="fontstyle01"/>
          <w:rFonts w:ascii="Arial" w:hAnsi="Arial" w:eastAsia="" w:cs="Tahoma" w:eastAsiaTheme="majorEastAsia"/>
          <w:color w:val="auto"/>
          <w:lang w:eastAsia="pt-BR"/>
        </w:rPr>
      </w:pPr>
      <w:r>
        <w:rPr>
          <w:rStyle w:val="fontstyle01"/>
          <w:rFonts w:eastAsia="" w:cs="Tahoma" w:ascii="Arial" w:hAnsi="Arial" w:eastAsiaTheme="majorEastAsia"/>
          <w:color w:val="auto"/>
          <w:lang w:eastAsia="pt-BR"/>
        </w:rPr>
        <w:t>5.2. Cumprir fielmente o(s) serviço(s) de fornecimento de energia elétrica seja executado no prazo e condições previstas, ressalvando-se os casos fortuitos e de força maior, devidamente justificado e comprovado.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5.3. Garantir o amplo acesso às informações sobre os serviços prestados, bem como, aos manuais, normas e regulamentos relacionados com a prestação dos serviços.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5.4. Responsabilizarem-se por quaisquer ônus, despesas, obrigações trabalhistas, previdenciárias, fiscais, de acidentes de trabalho, bem como alimentação, transporte ou outro benefício de qualquer natureza, decorrentes da contratação dos serviços e com todos os encargos sociais previstos na legislação vigente e de quaisquer outros em decorrência da sua condição de empregadora ou decorrente da exploração do serviço público de saneamento básico.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5.5. Assumir todos os encargos de possível demanda trabalhista, civil ou penal relacionados aos materiais, originalmente ou vinculada por prevenção, conexão ou continência.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5.6. Responsabilizar-se pelos danos causados diretamente à Administração ou a terceiros, decorrentes de sua culpa ou dolo na execução do Contrato, não excluindo ou reduzindo essa responsabilidade à fiscalização e o acompanhamento do SAAE Taperoá BA.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5.7. Atender às solicitações e reclamações dos usuários dos seus serviços, com presteza;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5.8. Disponibilizar profissionais devidamente capacitados e identificados para a prestação de serviços de manutenções dos ramais prediais de energia elétrica.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5.9. Providenciar às suas expensas a substituição de quaisquer item que for necessário para o funcionamento adequado em decorrência de danos, avarias, furto ou perda total, sem prejuízo das multas a que estiver sujeito em tais casos.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5.10. Disponibilizar serviços telefônicos, virtual e correio eletrônico, para atendimento de informações, reclamações e de serviços.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5.11. Disponibilizar nas faturas emitidas, elementos que permitam a conferência pelo dos cálculos dos valores nela consignados.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5.12. Executar o objeto deste contrato de forma contínua, não sendo admitida sua interrupção sem justa causa e prévia comunicação ao CONTRATANTE;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5.13. Notificar a CONTRATANTE acerca de qualquer ocorrência anormal na prestação de serviço, tanto por parte da CONTRATANTE quanto por parte da CONTRATADA;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5.14. Cumprir com o disposto no inciso XXXIII do art. 7° da CF/88, devendo, A CONTRATADA, apresentar declaração de cumprimento aos termos da Lei n° 9.854/99, de que não emprega menor de 18 (dezoito) anos em trabalho noturno, perigoso ou insalubre e não emprega menor de 16 (dezesseis) anos, salvo na condição de aprendiz a partir dos 14 (quatorze) anos.</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6. DO ACOMPANHAMENTO E FISCALIZAÇÃO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6.1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6.2 O prestador ficará sujeito a mais ampla e irrestrita fiscalização, obrigando-se a prestar todos os esclarecimentos porventura requeridos pela Administração.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6.3 A fiscalização não aceitará, sob nenhum pretexto, a transferência de qualquer responsabilidade do prestador para outras pessoas e/ou entidades.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6.4 A fiscalização acima mencionada não exclui nem reduz a responsabilidade do prestador, inclusive perante terceiros, por qualquer irregularidade, e na ocorrência desta, não implica em corresponsabilidade do Serviço Autônimo de Água e Esgoto de Taperoá/BA.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6.5 O fiscal do contrato será auxiliado pelo assessoramento jurídico e controle interno do SAAE Taperoá/Ba, que deverão dirimir dúvidas e subsidiá-lo com informações relevantes para prevenir riscos na execução contratual.</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7. DAS OBRIGAÇÕES DO PRESTADOR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 Indicar um responsável pelo atendimento às demandas da Contratante;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7.2 Executar os serviços conforme as especificações constantes desse Termo de Referência, cumprindo o prazo estabelecido;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7.3 Responsabilizar-se pela qualidade dos serviços executados;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7.4 Permitir a fiscalização dos serviços pelo SAAE Taperoá/Ba, em qualquer tempo, e mantê-lo permanentemente informado a respeito do andamento dos mesmos;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7.6 Providenciar imediata correção de deficiências, falhas ou irregularidades constatadas pelo do Serviço Autônimo de Água e Esgoto de Taperoá/BA, referentes às condições firmadas neste Termo de Referência;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7.7 Fornecer, sempre que solicitado, no prazo máximo de 05 (cinco) dias úteis, documentação de habilitação e qualificação cujas validades encontrem-se vencidas;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7.8 Ressarcir os eventuais prejuízos causados ao Serviço Autônimo de Água e Esgoto de Taperoá/BA e/ou a terceiros, provocados por ineficiência ou irregularidades cometidas na execução das obrigações assumidas;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7.9 Comunicar ao Serviço Autônimo de Água e Esgoto de Taperoá/BA, no prazo máximo de 24 (vinte e quatro) horas, os motivos que impossibilitem a prestação do serviço;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7.10 Abster-se de veicular publicidade ou qualquer outra informação acerca das atividades objeto deste Termo de Referência, sem prévia autorização do Serviço Autônimo de Água e Esgoto de Taperoá/BA;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7.11 Prestar esclarecimentos ao Serviço Autônimo de Água e Esgoto de Taperoá/BA sobre eventuais atos ou fatos noticiados que o envolvam, independentemente de solicitação;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7.12 Emitir Nota Fiscal/Fatura discriminada, legível e sem rasuras;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7.13 Emitir e apresentar certidão negativa/positiva com efeito de negativa de débitos da Receita Federal, Receita Estadual (Sefaz), Receita Municipal (emitida no município), Trabalhista e Certificado de Regularidade perante o FGTS;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7.14 Responsabilizar-se pelo fiel cumprimento do objeto contratado, prestando todos os esclarecimentos que forem solicitados pelo Serviço Autônimo de Água e Esgoto de Taperoá/BA, cujas reclamações se obriga a atender;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7.15 Qualquer dano causado ao patrimônio do Serviço Autônimo de Água e Esgoto de Taperoá/BA na execução dos serviços serão ressarcidos pelo prestador, salvo justificativa comprovada, que deverá responsabilizar-se pelo ônus resultante de quaisquer ações, demandas, custos diretos e indiretos, inclusive despesas decorrentes de danos ocorridos por culpa sua ou de qualquer de seus empregados e prepostos, obrigando-se por quaisquer responsabilidades decorrentes de ações judiciais movidas por terceiros que lhe venham a ser exigidas por força da Lei, ligadas ao cumprimento do Termo de Referência.</w:t>
      </w:r>
    </w:p>
    <w:p>
      <w:pPr>
        <w:pStyle w:val="Normal"/>
        <w:spacing w:lineRule="auto" w:line="360" w:before="0" w:after="120"/>
        <w:jc w:val="both"/>
        <w:rPr>
          <w:rStyle w:val="fontstyle01"/>
          <w:rFonts w:ascii="Arial" w:hAnsi="Arial" w:eastAsia="" w:cs="Tahoma" w:eastAsiaTheme="majorEastAsia"/>
          <w:b/>
          <w:lang w:eastAsia="pt-BR"/>
        </w:rPr>
      </w:pPr>
      <w:r>
        <w:rPr>
          <w:rFonts w:eastAsia="" w:cs="Tahoma" w:eastAsiaTheme="majorEastAsia" w:ascii="Arial" w:hAnsi="Arial"/>
          <w:b/>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8. DAS OBRIGAÇÕES DA CONTRATANTE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8.1 Acompanhar e fiscalizar a execução dos serviços;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8.2 Informar ao prestador sobre as normas e procedimentos para a execução dos serviços e as eventuais alterações efetuadas em tais preceitos;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8.3 Prestar as informações e os esclarecimentos solicitados pelo prestador, relacionados com o objeto pactuado;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8.4 Comunicar por escrito, ao prestador, quaisquer irregularidades verificadas na execução dos serviços, ou seja, que não esteja de acordo com as especificações deste Termo de Referência;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8.5 Estando os serviços de acordo com o solicitado e a respectiva Nota Fiscal devidamente atestada, a Contratante efetuará o pagamento nas condições, preços e prazos pactuados neste Termo de Referência;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8.6 O Serviço Autônimo de Água e Esgoto de Taperoá/BA deverá acompanhar os prazos de execução, exigindo que o prestador tome as providências necessárias para regularização dos serviços, sob pena das sanções administrativas previstas na Lei Federal 14.133/2021, no Item 10 deste Termo de Referência e demais cominações legais;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8.7 Comunicar, por escrito, ao prestador quando os serviços não for prestado a contento, apontando as razões, quando for o caso, das suas não-adequações aos termos contratuais;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8.8 Proporcionar as condições para que o prestador possa cumprir as obrigações pactuadas.</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9. DAS SANÇÕES ADMINISTRATIVAS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 O licitante ou o contratado será responsabilizado administrativamente pelas seguintes infrações: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a) dar causa à inexecução parcial do contrato;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b) dar causa à inexecução parcial do contrato que cause grave dano ao SAAE Taperoá/Ba, ao funcionamento dos serviços públicos ou ao interesse coletivo;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c) dar causa à inexecução total do contrato;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d) deixar de entregar a documentação exigida para o certame;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e) não manter a proposta, salvo em decorrência de fato superveniente devidamente justificado;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f) não celebrar o contrato ou não entregar a documentação exigida para a contratação, quando convocado dentro do prazo de validade de sua proposta;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g) ensejar o retardamento da execução ou da entrega do objeto da licitação sem motivo justificado;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h) apresentar declaração ou documentação falsa exigida para o certame ou prestar declaração falsa durante a licitação ou a execução do contrato;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i) fraudar a licitação ou praticar ato fraudulento na execução do contrato;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j) comportar-se de modo inidôneo ou cometer fraude de qualquer natureza;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k) praticar atos ilícitos com vistas a frustrar os objetivos da licitação;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l) praticar ato lesivo previsto no art. 5º da Lei nº 12.846, de 1º de agosto de 2013.</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9.2 Serão aplicadas ao responsável pelas infrações administrativas previstas nesta Lei as seguintes sanções: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a) advertência;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b) multa;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c) impedimento de licitar e contratar;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d) declaração de inidoneidade para licitar ou contratar.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9.3 Na aplicação das sanções serão considerados: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a) a natureza e a gravidade da infração cometida;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b) as peculiaridades do caso concreto;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c) as circunstâncias agravantes ou atenuantes;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d) os danos que dela provierem para a Administração Pública;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e) a implantação ou o aperfeiçoamento de programa de integridade, conforme normas e orientações dos órgãos de controle.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9.4 A sanção prevista na letra “a” do item 10.2 (advertência) será aplicada exclusivamente pela infração administrativa prevista na letra “a” do item 10.1 deste Termo de Referência, quando não se justificar a imposição de penalidade mais grave.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9.5 A sanção prevista na letra “b” do item 10.2 (multa) não poderá ser inferior a 0,5% (cinco décimos por cento) nem superior a 30% (trinta por cento) do valor do contrato licitado ou celebrado com contratação direta e será aplicada ao responsável por qualquer das infrações administrativas previstas no item 10.1 deste Termo de Referência, nos seguintes termos: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a) se der causa à inexecução parcial do contrato, a multa, se aplicada, será de 5% (cinco por cento) sobre o valor correspondente à parte não cumprida;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b) se der causa à inexecução parcial do contrato que cause grave dano à Administração, ao funcionamento dos serviços públicos ou ao interesse coletivo, a multa será de 20% (vinte por cento) sobre o valor correspondente à parte não cumprida;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c) se der causa à inexecução total do contrato, a multa será de 10% (dez por cento) sobre o valor total do contrato;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9.6 A sanção prevista na letra “c” do item 10.2 (impedimento de licitar e contratar) será aplicada ao responsável pelas infrações administrativas previstas nas letras “b”, “c”, “d”, “e”, “f” e “g” do item 10.1 deste Termo de Referência, quando não se justificar a imposição de penalidade mais grave, e impedirá o responsável de licitar ou contratar no âmbito da Administração Pública direta e indireta do ente federativo que tiver aplicado a sanção, pelo prazo máximo de 3 (três) anos.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9.7 A sanção prevista na “d” do item 10.2 (declaração de inidoneidade para licitar ou contratar ) será aplicada ao responsável pelas infrações administrativas previstas nas letras “h”, “i”, “j”, “k” e “l” do item 10.1 deste Termo de Referência, bem como pelas infrações administrativas previstas nas letras “b”, “c”, “d”, “e”, “f” e “g” do item 10.1 deste Termo de Referência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9.8 A sanção estabelecida na letra “d” do item 10.2 (declaração de inidoneidade para licitar ou contratar) deste Termo de Referência será precedida de análise jurídica e será de competência exclusiva do secretário municipal.</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9.9 As sanções previstas nas letras “a”, “c” e “d” do item 10.2 poderão ser aplicadas cumulativamente com a prevista na letra “b” do item 10.2 (multa) deste Termo de Referência.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9.10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9.11 A aplicação das sanções previstas no item 10.2 deste Termo de Referência não exclui, em hipótese alguma, a obrigação de reparação integral do dano causado à Administração Pública.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9.12 Na aplicação da sanção prevista na letra “b” do item 10.2 (multa), será facultada a defesa do interessado no prazo de 15 (quinze) dias úteis, contado da data de sua intimação.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9.13 A aplicação das sanções previstas nas letras “c” e “d” do item 10.2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9.14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9.15 Serão indeferidas pela comissão, mediante decisão fundamentada, provas ilícitas, impertinentes, desnecessárias, protelatórias ou intempestivas.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9.16 As penalidades aplicadas serão anotadas no registro cadastral dos fornecedores mantido pela Administração Municipal.</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9.17 As importâncias relativas às multas deverão ser recolhidas à conta do SAAE Taperoá/Ba.</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10. DO PAGAMENTO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10.1 O pagamento será efetuado pelo Serviço Autônimo de Água e Esgoto de Taperoá/BA até o 5º (quinto) dia útil, mediante a apresentação da Nota Fiscal, após o ateste pelo profissional designado, sendo efetuada a retenção de tributos sobre o pagamento a ser realizado (se for o caso), conforme determina a legislação vigente.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10.2 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10.3 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 de 14 de dezembro de 2006.</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10.4 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ao Serviço Autônimo de Água e Esgoto de Taperoá/BA.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10.5 Previamente à data do pagamento, a Contabilidade verificará as certidões de regularidade fiscal e trabalhista, para verificar a manutenção das condições de habilitação do prestador.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10.6 Os tributos e as contribuições fiscais, bem como quaisquer outras despesas necessárias à dos serviços são de responsabilidade do prestador, podendo a Contratante exigir, a qualquer tempo, a comprovação de sua regularidade.</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10.7 Havendo atraso no pagamento de suas obrigações o Serviço Autônimo de Água e Esgoto de Taperoá/BA procederá à atualização financeira diária de seus débitos, por meio da média de índices de preços de abrangência nacional, na forma da regulamentação baixada pelo Poder Executivo (Decreto n.º 1.544, de 30.06.95) “pró rata”, tendo como base o dia limite para pagamento e como data final o dia anterior ao da emissão da ordem bancária, ou pelo índice que venha a substituí-lo.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10.8 Havendo erro na Nota Fiscal/Fatura, esta será devolvida ao prestador.</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10.9 Qualquer irregularidade que impeça a liquidação da despesa será comunicada ao prestador, ficando o pagamento suspenso até que se providenciem as medidas saneadoras. Nessa hipótese, o prazo para o pagamento iniciar-se-á após regularização da situação e/ou a reapresentação do documento fiscal, não acarretando qualquer ônus para o Serviço Autônimo de Água e Esgoto de Taperoá/BA.</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11. DA DOTAÇÃO ORÇAMENTÁRIA</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11.1 As despesas decorrentes desta contratação estão programadas em dotação orçamentária própria, prevista no orçamento do Serviço Autônimo de Água e Esgoto de Taperoá/BA, para o exercício de 2025, e serão indicadas no momento em que as adjudicações forem realizadas.</w:t>
      </w:r>
    </w:p>
    <w:p>
      <w:pPr>
        <w:pStyle w:val="Normal"/>
        <w:spacing w:lineRule="auto" w:line="360" w:before="0" w:after="120"/>
        <w:jc w:val="both"/>
        <w:rPr>
          <w:rStyle w:val="fontstyle01"/>
          <w:rFonts w:ascii="Arial" w:hAnsi="Arial" w:eastAsia="" w:cs="Tahoma" w:eastAsiaTheme="majorEastAsia"/>
          <w:b/>
          <w:lang w:eastAsia="pt-BR"/>
        </w:rPr>
      </w:pPr>
      <w:r>
        <w:rPr>
          <w:rFonts w:eastAsia="" w:cs="Tahoma" w:eastAsiaTheme="majorEastAsia" w:ascii="Arial" w:hAnsi="Arial"/>
          <w:b/>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12. CRONOGRAMA DE DESEMBOLSO</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12.1. Os serviços serão pagos conforme apresentação da Nota Fiscal e atestada pelo servidor designado pelo Serviço Autônimo de Água e Esgoto de Taperoá/BA.</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13. DAS DISPOSIÇÕES FINAIS</w:t>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13.1 A Nota de Empenho da Despesa terá força de contrato, conforme prevê o art. 95 da Lei Federal n° 14.133/2021.</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120"/>
        <w:jc w:val="both"/>
        <w:rPr>
          <w:rStyle w:val="fontstyle01"/>
          <w:rFonts w:ascii="Arial" w:hAnsi="Arial" w:eastAsia="" w:cs="Tahoma" w:eastAsiaTheme="majorEastAsia"/>
          <w:lang w:eastAsia="pt-BR"/>
        </w:rPr>
      </w:pPr>
      <w:r>
        <w:rPr>
          <w:rStyle w:val="fontstyle01"/>
          <w:rFonts w:eastAsia="" w:cs="Tahoma" w:ascii="Arial" w:hAnsi="Arial" w:eastAsiaTheme="majorEastAsia"/>
          <w:lang w:eastAsia="pt-BR"/>
        </w:rPr>
        <w:t xml:space="preserve">Taperoá/Ba, </w:t>
      </w:r>
      <w:r>
        <w:rPr>
          <w:rStyle w:val="fontstyle01"/>
          <w:rFonts w:eastAsia="" w:cs="Tahoma" w:ascii="Arial" w:hAnsi="Arial" w:eastAsiaTheme="majorEastAsia"/>
          <w:lang w:eastAsia="pt-BR"/>
        </w:rPr>
        <w:t xml:space="preserve">02 </w:t>
      </w:r>
      <w:r>
        <w:rPr>
          <w:rStyle w:val="fontstyle01"/>
          <w:rFonts w:eastAsia="" w:cs="Arial" w:ascii="Arial" w:hAnsi="Arial" w:eastAsiaTheme="majorEastAsia"/>
          <w:b w:val="false"/>
          <w:sz w:val="22"/>
          <w:szCs w:val="22"/>
          <w:u w:val="none"/>
          <w:lang w:eastAsia="pt-BR"/>
        </w:rPr>
        <w:t>de janeiro de 2026.</w:t>
      </w:r>
    </w:p>
    <w:p>
      <w:pPr>
        <w:pStyle w:val="Normal"/>
        <w:spacing w:lineRule="auto" w:line="360" w:before="0" w:after="120"/>
        <w:jc w:val="both"/>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0"/>
        <w:jc w:val="center"/>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0"/>
        <w:jc w:val="center"/>
        <w:rPr>
          <w:rStyle w:val="fontstyle01"/>
          <w:rFonts w:ascii="Arial" w:hAnsi="Arial" w:eastAsia="" w:cs="Tahoma" w:eastAsiaTheme="majorEastAsia"/>
          <w:lang w:eastAsia="pt-BR"/>
        </w:rPr>
      </w:pPr>
      <w:r>
        <w:rPr>
          <w:rFonts w:eastAsia="" w:cs="Tahoma" w:eastAsiaTheme="majorEastAsia" w:ascii="Arial" w:hAnsi="Arial"/>
          <w:lang w:eastAsia="pt-BR"/>
        </w:rPr>
      </w:r>
    </w:p>
    <w:p>
      <w:pPr>
        <w:pStyle w:val="Normal"/>
        <w:spacing w:lineRule="auto" w:line="360" w:before="0" w:after="0"/>
        <w:jc w:val="center"/>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Edson Bispo de Assis Filho</w:t>
      </w:r>
    </w:p>
    <w:p>
      <w:pPr>
        <w:pStyle w:val="Normal"/>
        <w:spacing w:lineRule="auto" w:line="360" w:before="0" w:after="0"/>
        <w:jc w:val="center"/>
        <w:rPr>
          <w:rStyle w:val="fontstyle01"/>
          <w:rFonts w:ascii="Arial" w:hAnsi="Arial" w:eastAsia="" w:cs="Tahoma" w:eastAsiaTheme="majorEastAsia"/>
          <w:b/>
          <w:lang w:eastAsia="pt-BR"/>
        </w:rPr>
      </w:pPr>
      <w:r>
        <w:rPr>
          <w:rStyle w:val="fontstyle01"/>
          <w:rFonts w:eastAsia="" w:cs="Tahoma" w:ascii="Arial" w:hAnsi="Arial" w:eastAsiaTheme="majorEastAsia"/>
          <w:b/>
          <w:lang w:eastAsia="pt-BR"/>
        </w:rPr>
        <w:t>Chefe do Setor de Materiais e Transporte</w:t>
      </w:r>
    </w:p>
    <w:sectPr>
      <w:headerReference w:type="even" r:id="rId2"/>
      <w:headerReference w:type="default" r:id="rId3"/>
      <w:headerReference w:type="first" r:id="rId4"/>
      <w:type w:val="nextPage"/>
      <w:pgSz w:w="11906" w:h="16838"/>
      <w:pgMar w:left="1701" w:right="1134" w:gutter="0" w:header="708" w:top="993"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Ecofont_Spranq_eco_Sans">
    <w:charset w:val="00"/>
    <w:family w:val="swiss"/>
    <w:pitch w:val="variable"/>
  </w:font>
  <w:font w:name="Segoe UI">
    <w:charset w:val="00"/>
    <w:family w:val="swiss"/>
    <w:pitch w:val="variable"/>
  </w:font>
  <w:font w:name="TimesNewRomanPSMT">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Black">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2127"/>
      <w:rPr>
        <w:rFonts w:ascii="Arial Black" w:hAnsi="Arial Black"/>
        <w:color w:val="000080"/>
        <w:sz w:val="18"/>
        <w:szCs w:val="18"/>
      </w:rPr>
    </w:pPr>
    <w:r>
      <w:drawing>
        <wp:anchor behindDoc="1" distT="0" distB="0" distL="114300" distR="114300" simplePos="0" locked="0" layoutInCell="0" allowOverlap="1" relativeHeight="12">
          <wp:simplePos x="0" y="0"/>
          <wp:positionH relativeFrom="column">
            <wp:posOffset>300990</wp:posOffset>
          </wp:positionH>
          <wp:positionV relativeFrom="paragraph">
            <wp:posOffset>-40005</wp:posOffset>
          </wp:positionV>
          <wp:extent cx="903605" cy="969010"/>
          <wp:effectExtent l="0" t="0" r="0" b="0"/>
          <wp:wrapSquare wrapText="bothSides"/>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903605" cy="969010"/>
                  </a:xfrm>
                  <a:prstGeom prst="rect">
                    <a:avLst/>
                  </a:prstGeom>
                  <a:noFill/>
                </pic:spPr>
              </pic:pic>
            </a:graphicData>
          </a:graphic>
        </wp:anchor>
      </w:drawing>
    </w:r>
    <w:r>
      <w:rPr>
        <w:rFonts w:ascii="Arial Black" w:hAnsi="Arial Black"/>
        <w:color w:val="000080"/>
        <w:sz w:val="18"/>
        <w:szCs w:val="18"/>
      </w:rPr>
      <w:t>SERVIÇO AUTÔNOMO DE ÁGUA E ESGOTO</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AUTARQUIA MUNICIPAL Lei nº 013/70</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RUA MARECHAL DEODORO, 1º ANDAR, S/Nº - TAPEROÁ – BAHIA</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CEP 45.430-000</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CNPJ: 16.098.402/0001-00 -  I.E.: 29.559.226</w:t>
    </w:r>
  </w:p>
  <w:p>
    <w:pPr>
      <w:pStyle w:val="Header"/>
      <w:ind w:left="2127"/>
      <w:rPr>
        <w:rFonts w:ascii="Arial Black" w:hAnsi="Arial Black"/>
        <w:b/>
        <w:color w:val="000080"/>
        <w:sz w:val="18"/>
        <w:szCs w:val="18"/>
      </w:rPr>
    </w:pPr>
    <w:r>
      <w:rPr>
        <w:rFonts w:ascii="Arial Black" w:hAnsi="Arial Black"/>
        <w:b/>
        <w:color w:val="000080"/>
        <w:sz w:val="18"/>
        <w:szCs w:val="18"/>
      </w:rPr>
      <w:t xml:space="preserve">TEL.: (75) 3664-1210 / E-MAIL: </w:t>
    </w:r>
    <w:hyperlink r:id="rId2">
      <w:r>
        <w:rPr>
          <w:rStyle w:val="Hyperlink"/>
          <w:rFonts w:ascii="Arial Black" w:hAnsi="Arial Black"/>
          <w:b/>
        </w:rPr>
        <w:t>saaetaperoa@yahoo.com.br</w:t>
      </w:r>
    </w:hyperlink>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2127"/>
      <w:rPr>
        <w:rFonts w:ascii="Arial Black" w:hAnsi="Arial Black"/>
        <w:color w:val="000080"/>
        <w:sz w:val="18"/>
        <w:szCs w:val="18"/>
      </w:rPr>
    </w:pPr>
    <w:r>
      <w:drawing>
        <wp:anchor behindDoc="1" distT="0" distB="0" distL="114300" distR="114300" simplePos="0" locked="0" layoutInCell="0" allowOverlap="1" relativeHeight="12">
          <wp:simplePos x="0" y="0"/>
          <wp:positionH relativeFrom="column">
            <wp:posOffset>300990</wp:posOffset>
          </wp:positionH>
          <wp:positionV relativeFrom="paragraph">
            <wp:posOffset>-40005</wp:posOffset>
          </wp:positionV>
          <wp:extent cx="903605" cy="969010"/>
          <wp:effectExtent l="0" t="0" r="0" b="0"/>
          <wp:wrapSquare wrapText="bothSides"/>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903605" cy="969010"/>
                  </a:xfrm>
                  <a:prstGeom prst="rect">
                    <a:avLst/>
                  </a:prstGeom>
                  <a:noFill/>
                </pic:spPr>
              </pic:pic>
            </a:graphicData>
          </a:graphic>
        </wp:anchor>
      </w:drawing>
    </w:r>
    <w:r>
      <w:rPr>
        <w:rFonts w:ascii="Arial Black" w:hAnsi="Arial Black"/>
        <w:color w:val="000080"/>
        <w:sz w:val="18"/>
        <w:szCs w:val="18"/>
      </w:rPr>
      <w:t>SERVIÇO AUTÔNOMO DE ÁGUA E ESGOTO</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AUTARQUIA MUNICIPAL Lei nº 013/70</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RUA MARECHAL DEODORO, 1º ANDAR, S/Nº - TAPEROÁ – BAHIA</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CEP 45.430-000</w:t>
    </w:r>
  </w:p>
  <w:p>
    <w:pPr>
      <w:pStyle w:val="Normal"/>
      <w:spacing w:lineRule="auto" w:line="240" w:before="0" w:after="0"/>
      <w:ind w:left="2127"/>
      <w:rPr>
        <w:rFonts w:ascii="Arial Black" w:hAnsi="Arial Black"/>
        <w:color w:val="000080"/>
        <w:sz w:val="18"/>
        <w:szCs w:val="18"/>
      </w:rPr>
    </w:pPr>
    <w:r>
      <w:rPr>
        <w:rFonts w:ascii="Arial Black" w:hAnsi="Arial Black"/>
        <w:color w:val="000080"/>
        <w:sz w:val="18"/>
        <w:szCs w:val="18"/>
      </w:rPr>
      <w:t>CNPJ: 16.098.402/0001-00 -  I.E.: 29.559.226</w:t>
    </w:r>
  </w:p>
  <w:p>
    <w:pPr>
      <w:pStyle w:val="Header"/>
      <w:ind w:left="2127"/>
      <w:rPr>
        <w:rFonts w:ascii="Arial Black" w:hAnsi="Arial Black"/>
        <w:b/>
        <w:color w:val="000080"/>
        <w:sz w:val="18"/>
        <w:szCs w:val="18"/>
      </w:rPr>
    </w:pPr>
    <w:r>
      <w:rPr>
        <w:rFonts w:ascii="Arial Black" w:hAnsi="Arial Black"/>
        <w:b/>
        <w:color w:val="000080"/>
        <w:sz w:val="18"/>
        <w:szCs w:val="18"/>
      </w:rPr>
      <w:t xml:space="preserve">TEL.: (75) 3664-1210 / E-MAIL: </w:t>
    </w:r>
    <w:hyperlink r:id="rId2">
      <w:r>
        <w:rPr>
          <w:rStyle w:val="Hyperlink"/>
          <w:rFonts w:ascii="Arial Black" w:hAnsi="Arial Black"/>
          <w:b/>
        </w:rPr>
        <w:t>saaetaperoa@yahoo.com.br</w:t>
      </w:r>
    </w:hyperlink>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color w:val="auto"/>
      </w:rPr>
    </w:lvl>
    <w:lvl w:ilvl="1">
      <w:start w:val="4"/>
      <w:numFmt w:val="decimal"/>
      <w:lvlText w:val="%1.%2."/>
      <w:lvlJc w:val="left"/>
      <w:pPr>
        <w:tabs>
          <w:tab w:val="num" w:pos="0"/>
        </w:tabs>
        <w:ind w:left="432" w:hanging="432"/>
      </w:pPr>
      <w:rPr>
        <w:dstrike w:val="false"/>
        <w:strike w:val="false"/>
        <w:i w:val="false"/>
        <w:u w:val="none"/>
        <w:b w:val="false"/>
        <w:effect w:val="none"/>
        <w:color w:val="auto"/>
      </w:rPr>
    </w:lvl>
    <w:lvl w:ilvl="2">
      <w:start w:val="1"/>
      <w:numFmt w:val="decimal"/>
      <w:lvlText w:val="%1.%2.%3."/>
      <w:lvlJc w:val="left"/>
      <w:pPr>
        <w:tabs>
          <w:tab w:val="num" w:pos="0"/>
        </w:tabs>
        <w:ind w:left="930" w:hanging="504"/>
      </w:pPr>
      <w:rPr>
        <w:i w:val="false"/>
        <w:b w:val="false"/>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uiPriority="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Normal Table" w:semiHidden="0" w:unhideWhenUsed="0"/>
    <w:lsdException w:name="Table Web 3" w:semiHidden="0" w:unhideWhenUsed="0"/>
    <w:lsdException w:name="Table Grid" w:uiPriority="39" w:semiHidden="0" w:unhideWhenUsed="0"/>
    <w:lsdException w:name="Table Theme"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71e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fe71e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4">
    <w:name w:val="heading 4"/>
    <w:basedOn w:val="Ttulouser"/>
    <w:next w:val="BodyText"/>
    <w:qFormat/>
    <w:pPr>
      <w:numPr>
        <w:ilvl w:val="0"/>
        <w:numId w:val="0"/>
      </w:numPr>
      <w:spacing w:before="120" w:after="120"/>
      <w:outlineLvl w:val="3"/>
    </w:pPr>
    <w:rPr>
      <w:rFonts w:ascii="Liberation Serif" w:hAnsi="Liberation Serif" w:eastAsia="Segoe UI" w:cs="Tahoma"/>
      <w:b/>
      <w:bCs/>
      <w:sz w:val="24"/>
      <w:szCs w:val="24"/>
    </w:rPr>
  </w:style>
  <w:style w:type="paragraph" w:styleId="Heading6">
    <w:name w:val="heading 6"/>
    <w:basedOn w:val="Normal"/>
    <w:next w:val="Normal"/>
    <w:link w:val="Ttulo6Char"/>
    <w:uiPriority w:val="9"/>
    <w:semiHidden/>
    <w:unhideWhenUsed/>
    <w:qFormat/>
    <w:rsid w:val="008e1fe3"/>
    <w:pPr>
      <w:keepNext w:val="true"/>
      <w:keepLines/>
      <w:spacing w:before="40" w:after="0"/>
      <w:outlineLvl w:val="5"/>
    </w:pPr>
    <w:rPr>
      <w:rFonts w:ascii="Calibri Light" w:hAnsi="Calibri Light" w:eastAsia="" w:cs="" w:asciiTheme="majorHAnsi" w:cstheme="majorBidi" w:eastAsiaTheme="majorEastAsia" w:hAnsiTheme="majorHAnsi"/>
      <w:color w:themeColor="accent1" w:themeShade="7f" w:val="1F3763"/>
    </w:rPr>
  </w:style>
  <w:style w:type="character" w:styleId="DefaultParagraphFont" w:default="1">
    <w:name w:val="Default Paragraph Font"/>
    <w:uiPriority w:val="1"/>
    <w:semiHidden/>
    <w:unhideWhenUsed/>
    <w:qFormat/>
    <w:rPr/>
  </w:style>
  <w:style w:type="character" w:styleId="Hyperlink">
    <w:name w:val="Hyperlink"/>
    <w:unhideWhenUsed/>
    <w:rsid w:val="00fe71e3"/>
    <w:rPr>
      <w:color w:val="000080"/>
      <w:u w:val="single"/>
    </w:rPr>
  </w:style>
  <w:style w:type="character" w:styleId="CitaoChar" w:customStyle="1">
    <w:name w:val="Citação Char"/>
    <w:basedOn w:val="DefaultParagraphFont"/>
    <w:link w:val="Quote"/>
    <w:qFormat/>
    <w:rsid w:val="00fe71e3"/>
    <w:rPr>
      <w:rFonts w:ascii="Arial" w:hAnsi="Arial" w:eastAsia="Calibri" w:cs="Tahoma"/>
      <w:i/>
      <w:iCs/>
      <w:color w:val="000000"/>
      <w:sz w:val="20"/>
      <w:szCs w:val="24"/>
      <w:shd w:fill="FFFFCC" w:val="clear"/>
    </w:rPr>
  </w:style>
  <w:style w:type="character" w:styleId="Nivel1Char" w:customStyle="1">
    <w:name w:val="Nivel1 Char"/>
    <w:basedOn w:val="DefaultParagraphFont"/>
    <w:link w:val="Nivel1"/>
    <w:qFormat/>
    <w:locked/>
    <w:rsid w:val="00fe71e3"/>
    <w:rPr>
      <w:rFonts w:ascii="Arial" w:hAnsi="Arial" w:eastAsia="" w:cs="Arial" w:eastAsiaTheme="majorEastAsia"/>
      <w:b/>
      <w:color w:val="000000"/>
      <w:sz w:val="32"/>
      <w:szCs w:val="32"/>
    </w:rPr>
  </w:style>
  <w:style w:type="character" w:styleId="Ttulo1Char" w:customStyle="1">
    <w:name w:val="Título 1 Char"/>
    <w:basedOn w:val="DefaultParagraphFont"/>
    <w:uiPriority w:val="9"/>
    <w:qFormat/>
    <w:rsid w:val="00fe71e3"/>
    <w:rPr>
      <w:rFonts w:ascii="Calibri Light" w:hAnsi="Calibri Light" w:eastAsia="" w:cs="" w:asciiTheme="majorHAnsi" w:cstheme="majorBidi" w:eastAsiaTheme="majorEastAsia" w:hAnsiTheme="majorHAnsi"/>
      <w:color w:themeColor="accent1" w:themeShade="bf" w:val="2F5496"/>
      <w:sz w:val="32"/>
      <w:szCs w:val="32"/>
    </w:rPr>
  </w:style>
  <w:style w:type="character" w:styleId="normalchar1" w:customStyle="1">
    <w:name w:val="normal__char1"/>
    <w:qFormat/>
    <w:rsid w:val="00a45c14"/>
    <w:rPr>
      <w:rFonts w:ascii="Arial" w:hAnsi="Arial" w:cs="Arial"/>
      <w:strike w:val="false"/>
      <w:dstrike w:val="false"/>
      <w:sz w:val="24"/>
      <w:szCs w:val="24"/>
      <w:u w:val="none"/>
      <w:effect w:val="none"/>
    </w:rPr>
  </w:style>
  <w:style w:type="character" w:styleId="Strong">
    <w:name w:val="Strong"/>
    <w:basedOn w:val="DefaultParagraphFont"/>
    <w:uiPriority w:val="22"/>
    <w:qFormat/>
    <w:rsid w:val="0042560b"/>
    <w:rPr>
      <w:b/>
      <w:bCs/>
    </w:rPr>
  </w:style>
  <w:style w:type="character" w:styleId="MenoPendente1" w:customStyle="1">
    <w:name w:val="Menção Pendente1"/>
    <w:basedOn w:val="DefaultParagraphFont"/>
    <w:uiPriority w:val="99"/>
    <w:semiHidden/>
    <w:unhideWhenUsed/>
    <w:qFormat/>
    <w:rsid w:val="00c81183"/>
    <w:rPr>
      <w:color w:val="605E5C"/>
      <w:shd w:fill="E1DFDD" w:val="clear"/>
    </w:rPr>
  </w:style>
  <w:style w:type="character" w:styleId="CommentReference">
    <w:name w:val="annotation reference"/>
    <w:basedOn w:val="DefaultParagraphFont"/>
    <w:uiPriority w:val="99"/>
    <w:unhideWhenUsed/>
    <w:qFormat/>
    <w:rsid w:val="00843661"/>
    <w:rPr>
      <w:sz w:val="16"/>
      <w:szCs w:val="16"/>
    </w:rPr>
  </w:style>
  <w:style w:type="character" w:styleId="TextodecomentrioChar" w:customStyle="1">
    <w:name w:val="Texto de comentário Char"/>
    <w:basedOn w:val="DefaultParagraphFont"/>
    <w:uiPriority w:val="99"/>
    <w:qFormat/>
    <w:rsid w:val="00843661"/>
    <w:rPr>
      <w:sz w:val="20"/>
      <w:szCs w:val="20"/>
    </w:rPr>
  </w:style>
  <w:style w:type="character" w:styleId="AssuntodocomentrioChar" w:customStyle="1">
    <w:name w:val="Assunto do comentário Char"/>
    <w:basedOn w:val="TextodecomentrioChar"/>
    <w:link w:val="annotationsubject"/>
    <w:uiPriority w:val="99"/>
    <w:semiHidden/>
    <w:qFormat/>
    <w:rsid w:val="00843661"/>
    <w:rPr>
      <w:b/>
      <w:bCs/>
      <w:sz w:val="20"/>
      <w:szCs w:val="20"/>
    </w:rPr>
  </w:style>
  <w:style w:type="character" w:styleId="Ttulo6Char" w:customStyle="1">
    <w:name w:val="Título 6 Char"/>
    <w:basedOn w:val="DefaultParagraphFont"/>
    <w:uiPriority w:val="9"/>
    <w:semiHidden/>
    <w:qFormat/>
    <w:rsid w:val="008e1fe3"/>
    <w:rPr>
      <w:rFonts w:ascii="Calibri Light" w:hAnsi="Calibri Light" w:eastAsia="" w:cs="" w:asciiTheme="majorHAnsi" w:cstheme="majorBidi" w:eastAsiaTheme="majorEastAsia" w:hAnsiTheme="majorHAnsi"/>
      <w:color w:themeColor="accent1" w:themeShade="7f" w:val="1F3763"/>
    </w:rPr>
  </w:style>
  <w:style w:type="character" w:styleId="FollowedHyperlink">
    <w:name w:val="FollowedHyperlink"/>
    <w:basedOn w:val="DefaultParagraphFont"/>
    <w:uiPriority w:val="99"/>
    <w:semiHidden/>
    <w:unhideWhenUsed/>
    <w:rsid w:val="00206410"/>
    <w:rPr>
      <w:color w:themeColor="followedHyperlink" w:val="954F72"/>
      <w:u w:val="single"/>
    </w:rPr>
  </w:style>
  <w:style w:type="character" w:styleId="QuoteChar" w:customStyle="1">
    <w:name w:val="Quote Char"/>
    <w:link w:val="Citao1"/>
    <w:qFormat/>
    <w:locked/>
    <w:rsid w:val="003948b2"/>
    <w:rPr>
      <w:rFonts w:ascii="Ecofont_Spranq_eco_Sans" w:hAnsi="Ecofont_Spranq_eco_Sans" w:cs="Ecofont_Spranq_eco_Sans"/>
      <w:i/>
      <w:iCs/>
      <w:color w:val="000000"/>
      <w:sz w:val="24"/>
      <w:szCs w:val="24"/>
      <w:shd w:fill="FFFFCC" w:val="clear"/>
    </w:rPr>
  </w:style>
  <w:style w:type="character" w:styleId="markedcontent" w:customStyle="1">
    <w:name w:val="markedcontent"/>
    <w:basedOn w:val="DefaultParagraphFont"/>
    <w:qFormat/>
    <w:rsid w:val="00bd4caf"/>
    <w:rPr/>
  </w:style>
  <w:style w:type="character" w:styleId="highlight" w:customStyle="1">
    <w:name w:val="highlight"/>
    <w:basedOn w:val="DefaultParagraphFont"/>
    <w:qFormat/>
    <w:rsid w:val="00bd4caf"/>
    <w:rPr/>
  </w:style>
  <w:style w:type="character" w:styleId="TextodebaloChar" w:customStyle="1">
    <w:name w:val="Texto de balão Char"/>
    <w:basedOn w:val="DefaultParagraphFont"/>
    <w:link w:val="BalloonText"/>
    <w:uiPriority w:val="99"/>
    <w:semiHidden/>
    <w:qFormat/>
    <w:rsid w:val="00e81162"/>
    <w:rPr>
      <w:rFonts w:ascii="Segoe UI" w:hAnsi="Segoe UI" w:cs="Segoe UI"/>
      <w:sz w:val="18"/>
      <w:szCs w:val="18"/>
    </w:rPr>
  </w:style>
  <w:style w:type="character" w:styleId="MenoPendente2" w:customStyle="1">
    <w:name w:val="Menção Pendente2"/>
    <w:basedOn w:val="DefaultParagraphFont"/>
    <w:uiPriority w:val="99"/>
    <w:semiHidden/>
    <w:unhideWhenUsed/>
    <w:qFormat/>
    <w:rsid w:val="00307e84"/>
    <w:rPr>
      <w:color w:val="605E5C"/>
      <w:shd w:fill="E1DFDD" w:val="clear"/>
    </w:rPr>
  </w:style>
  <w:style w:type="character" w:styleId="Nivel2Char" w:customStyle="1">
    <w:name w:val="Nivel 2 Char"/>
    <w:basedOn w:val="DefaultParagraphFont"/>
    <w:link w:val="Nivel2"/>
    <w:qFormat/>
    <w:locked/>
    <w:rsid w:val="00ff4094"/>
    <w:rPr>
      <w:rFonts w:ascii="Arial" w:hAnsi="Arial" w:cs="Arial"/>
      <w:color w:val="000000"/>
    </w:rPr>
  </w:style>
  <w:style w:type="character" w:styleId="citao2Char" w:customStyle="1">
    <w:name w:val="citação 2 Char"/>
    <w:basedOn w:val="CitaoChar"/>
    <w:link w:val="citao2"/>
    <w:qFormat/>
    <w:rsid w:val="003e7046"/>
    <w:rPr>
      <w:rFonts w:ascii="Arial" w:hAnsi="Arial" w:eastAsia="Calibri" w:cs="Tahoma"/>
      <w:i/>
      <w:iCs/>
      <w:color w:val="000000"/>
      <w:kern w:val="2"/>
      <w:sz w:val="20"/>
      <w:szCs w:val="20"/>
      <w:shd w:fill="FFFFCC" w:val="clear"/>
      <w:lang w:eastAsia="zh-CN" w:bidi="hi-IN"/>
    </w:rPr>
  </w:style>
  <w:style w:type="character" w:styleId="CabealhoChar" w:customStyle="1">
    <w:name w:val="Cabeçalho Char"/>
    <w:basedOn w:val="DefaultParagraphFont"/>
    <w:qFormat/>
    <w:rsid w:val="0073140b"/>
    <w:rPr/>
  </w:style>
  <w:style w:type="character" w:styleId="RodapChar" w:customStyle="1">
    <w:name w:val="Rodapé Char"/>
    <w:basedOn w:val="DefaultParagraphFont"/>
    <w:uiPriority w:val="99"/>
    <w:qFormat/>
    <w:rsid w:val="0073140b"/>
    <w:rPr/>
  </w:style>
  <w:style w:type="character" w:styleId="MenoPendente3" w:customStyle="1">
    <w:name w:val="Menção Pendente3"/>
    <w:basedOn w:val="DefaultParagraphFont"/>
    <w:uiPriority w:val="99"/>
    <w:semiHidden/>
    <w:unhideWhenUsed/>
    <w:qFormat/>
    <w:rsid w:val="00f57d61"/>
    <w:rPr>
      <w:color w:val="605E5C"/>
      <w:shd w:fill="E1DFDD" w:val="clear"/>
    </w:rPr>
  </w:style>
  <w:style w:type="character" w:styleId="fontstyle01" w:customStyle="1">
    <w:name w:val="fontstyle01"/>
    <w:basedOn w:val="DefaultParagraphFont"/>
    <w:qFormat/>
    <w:rsid w:val="00e01b50"/>
    <w:rPr>
      <w:rFonts w:ascii="TimesNewRomanPSMT" w:hAnsi="TimesNewRomanPSMT"/>
      <w:b w:val="false"/>
      <w:bCs w:val="false"/>
      <w:i w:val="false"/>
      <w:iCs w:val="false"/>
      <w:color w:val="000000"/>
      <w:sz w:val="22"/>
      <w:szCs w:val="22"/>
    </w:rPr>
  </w:style>
  <w:style w:type="character" w:styleId="fontstyle21" w:customStyle="1">
    <w:name w:val="fontstyle21"/>
    <w:basedOn w:val="DefaultParagraphFont"/>
    <w:qFormat/>
    <w:rsid w:val="00387665"/>
    <w:rPr>
      <w:rFonts w:ascii="Arial" w:hAnsi="Arial" w:cs="Arial"/>
      <w:b w:val="false"/>
      <w:bCs w:val="false"/>
      <w:i w:val="false"/>
      <w:iCs w:val="false"/>
      <w:color w:val="000000"/>
      <w:sz w:val="18"/>
      <w:szCs w:val="18"/>
    </w:rPr>
  </w:style>
  <w:style w:type="character" w:styleId="fontstyle31" w:customStyle="1">
    <w:name w:val="fontstyle31"/>
    <w:basedOn w:val="DefaultParagraphFont"/>
    <w:qFormat/>
    <w:rsid w:val="00387665"/>
    <w:rPr>
      <w:rFonts w:ascii="Arial" w:hAnsi="Arial" w:cs="Arial"/>
      <w:b w:val="false"/>
      <w:bCs w:val="false"/>
      <w:i/>
      <w:iCs/>
      <w:color w:val="000000"/>
      <w:sz w:val="18"/>
      <w:szCs w:val="18"/>
    </w:rPr>
  </w:style>
  <w:style w:type="character" w:styleId="TtuloChar" w:customStyle="1">
    <w:name w:val="Título Char"/>
    <w:basedOn w:val="DefaultParagraphFont"/>
    <w:qFormat/>
    <w:rsid w:val="008b66ad"/>
    <w:rPr>
      <w:rFonts w:ascii="Times New Roman" w:hAnsi="Times New Roman" w:eastAsia="Times New Roman" w:cs="Times New Roman"/>
      <w:b/>
      <w:sz w:val="40"/>
      <w:szCs w:val="20"/>
      <w:u w:val="single"/>
      <w:lang w:eastAsia="pt-BR"/>
    </w:rPr>
  </w:style>
  <w:style w:type="character" w:styleId="WW8Num1z0">
    <w:name w:val="WW8Num1z0"/>
    <w:qFormat/>
    <w:rPr>
      <w:rFonts w:ascii="Symbol" w:hAnsi="Symbol" w:eastAsia="Times New Roman"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Fontepargpadro">
    <w:name w:val="Fonte parág. padrão"/>
    <w:qFormat/>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Quote">
    <w:name w:val="Quote"/>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Arial" w:hAnsi="Arial" w:eastAsia="Calibri" w:cs="Tahoma"/>
      <w:i/>
      <w:iCs/>
      <w:color w:val="000000"/>
      <w:sz w:val="20"/>
      <w:szCs w:val="24"/>
    </w:rPr>
  </w:style>
  <w:style w:type="paragraph" w:styleId="Nivel1" w:customStyle="1">
    <w:name w:val="Nivel1"/>
    <w:basedOn w:val="Heading1"/>
    <w:next w:val="Normal"/>
    <w:link w:val="Nivel1Char"/>
    <w:qFormat/>
    <w:rsid w:val="00fe71e3"/>
    <w:pPr>
      <w:numPr>
        <w:ilvl w:val="0"/>
        <w:numId w:val="1"/>
      </w:numPr>
      <w:spacing w:lineRule="auto" w:line="276" w:before="480" w:after="120"/>
      <w:jc w:val="both"/>
    </w:pPr>
    <w:rPr>
      <w:rFonts w:ascii="Arial" w:hAnsi="Arial" w:cs="Arial"/>
      <w:b/>
      <w:color w:themeColor="accent1" w:themeShade="bf" w:val="000000"/>
    </w:rPr>
  </w:style>
  <w:style w:type="paragraph" w:styleId="ListParagraph">
    <w:name w:val="List Paragraph"/>
    <w:basedOn w:val="Normal"/>
    <w:uiPriority w:val="34"/>
    <w:qFormat/>
    <w:rsid w:val="00fe71e3"/>
    <w:pPr>
      <w:spacing w:before="0" w:after="160"/>
      <w:ind w:left="720"/>
      <w:contextualSpacing/>
    </w:pPr>
    <w:rPr/>
  </w:style>
  <w:style w:type="paragraph" w:styleId="NormalWeb">
    <w:name w:val="Normal (Web)"/>
    <w:basedOn w:val="Normal"/>
    <w:uiPriority w:val="99"/>
    <w:unhideWhenUsed/>
    <w:qFormat/>
    <w:rsid w:val="00fe71e3"/>
    <w:pPr>
      <w:spacing w:lineRule="auto" w:line="240" w:beforeAutospacing="1" w:afterAutospacing="1"/>
    </w:pPr>
    <w:rPr>
      <w:rFonts w:ascii="Times New Roman" w:hAnsi="Times New Roman" w:eastAsia="Times New Roman" w:cs="Times New Roman"/>
      <w:sz w:val="24"/>
      <w:szCs w:val="24"/>
      <w:lang w:eastAsia="pt-BR"/>
    </w:rPr>
  </w:style>
  <w:style w:type="paragraph" w:styleId="SombreamentoMdio1-nfase31" w:customStyle="1">
    <w:name w:val="Sombreamento Médio 1 - Ênfase 31"/>
    <w:basedOn w:val="Normal"/>
    <w:next w:val="Normal"/>
    <w:qFormat/>
    <w:rsid w:val="00a45c14"/>
    <w:pPr>
      <w:pBdr>
        <w:top w:val="single" w:sz="4" w:space="1" w:color="000080"/>
        <w:left w:val="single" w:sz="4" w:space="4" w:color="000080"/>
        <w:bottom w:val="single" w:sz="4" w:space="1" w:color="000080"/>
        <w:right w:val="single" w:sz="4" w:space="4" w:color="000080"/>
      </w:pBdr>
      <w:shd w:val="clear" w:color="auto" w:fill="FFFFCC"/>
      <w:suppressAutoHyphens w:val="true"/>
      <w:spacing w:lineRule="auto" w:line="240" w:before="120" w:after="0"/>
      <w:jc w:val="both"/>
    </w:pPr>
    <w:rPr>
      <w:rFonts w:ascii="Ecofont_Spranq_eco_Sans" w:hAnsi="Ecofont_Spranq_eco_Sans" w:eastAsia="Calibri" w:cs="Tahoma"/>
      <w:i/>
      <w:iCs/>
      <w:color w:val="000000"/>
      <w:sz w:val="20"/>
      <w:szCs w:val="24"/>
      <w:lang w:eastAsia="zh-CN"/>
    </w:rPr>
  </w:style>
  <w:style w:type="paragraph" w:styleId="corpo" w:customStyle="1">
    <w:name w:val="corpo"/>
    <w:basedOn w:val="Normal"/>
    <w:qFormat/>
    <w:rsid w:val="00bb36bb"/>
    <w:pPr>
      <w:spacing w:lineRule="auto" w:line="240" w:beforeAutospacing="1" w:afterAutospacing="1"/>
    </w:pPr>
    <w:rPr>
      <w:rFonts w:ascii="Times New Roman" w:hAnsi="Times New Roman" w:eastAsia="Times New Roman" w:cs="Times New Roman"/>
      <w:sz w:val="24"/>
      <w:szCs w:val="24"/>
      <w:lang w:eastAsia="pt-BR"/>
    </w:rPr>
  </w:style>
  <w:style w:type="paragraph" w:styleId="CommentText">
    <w:name w:val="annotation text"/>
    <w:basedOn w:val="Normal"/>
    <w:link w:val="TextodecomentrioChar"/>
    <w:uiPriority w:val="99"/>
    <w:unhideWhenUsed/>
    <w:qFormat/>
    <w:rsid w:val="00843661"/>
    <w:pPr>
      <w:spacing w:lineRule="auto" w:line="240"/>
    </w:pPr>
    <w:rPr>
      <w:sz w:val="20"/>
      <w:szCs w:val="20"/>
    </w:rPr>
  </w:style>
  <w:style w:type="paragraph" w:styleId="annotationsubject">
    <w:name w:val="annotation subject"/>
    <w:basedOn w:val="CommentText"/>
    <w:next w:val="CommentText"/>
    <w:link w:val="AssuntodocomentrioChar"/>
    <w:uiPriority w:val="99"/>
    <w:semiHidden/>
    <w:unhideWhenUsed/>
    <w:qFormat/>
    <w:rsid w:val="00843661"/>
    <w:pPr/>
    <w:rPr>
      <w:b/>
      <w:bCs/>
    </w:rPr>
  </w:style>
  <w:style w:type="paragraph" w:styleId="itemnivel2" w:customStyle="1">
    <w:name w:val="item_nivel2"/>
    <w:basedOn w:val="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itemnivel1" w:customStyle="1">
    <w:name w:val="item_nivel1"/>
    <w:basedOn w:val="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itemalinealetra" w:customStyle="1">
    <w:name w:val="item_alinea_letra"/>
    <w:basedOn w:val="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Citao1" w:customStyle="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Ecofont_Spranq_eco_Sans" w:hAnsi="Ecofont_Spranq_eco_Sans" w:cs="Ecofont_Spranq_eco_Sans"/>
      <w:i/>
      <w:iCs/>
      <w:color w:val="000000"/>
      <w:sz w:val="24"/>
      <w:szCs w:val="24"/>
    </w:rPr>
  </w:style>
  <w:style w:type="paragraph" w:styleId="BalloonText">
    <w:name w:val="Balloon Text"/>
    <w:basedOn w:val="Normal"/>
    <w:link w:val="TextodebaloChar"/>
    <w:uiPriority w:val="99"/>
    <w:semiHidden/>
    <w:unhideWhenUsed/>
    <w:qFormat/>
    <w:rsid w:val="00e81162"/>
    <w:pPr>
      <w:spacing w:lineRule="auto" w:line="240" w:before="0" w:after="0"/>
    </w:pPr>
    <w:rPr>
      <w:rFonts w:ascii="Segoe UI" w:hAnsi="Segoe UI" w:cs="Segoe UI"/>
      <w:sz w:val="18"/>
      <w:szCs w:val="18"/>
    </w:rPr>
  </w:style>
  <w:style w:type="paragraph" w:styleId="Standard" w:customStyle="1">
    <w:name w:val="Standard"/>
    <w:qFormat/>
    <w:rsid w:val="00ff4094"/>
    <w:pPr>
      <w:widowControl/>
      <w:suppressAutoHyphens w:val="true"/>
      <w:bidi w:val="0"/>
      <w:spacing w:lineRule="auto" w:line="240" w:before="0" w:after="0"/>
      <w:jc w:val="left"/>
    </w:pPr>
    <w:rPr>
      <w:rFonts w:ascii="Liberation Serif" w:hAnsi="Liberation Serif" w:eastAsia="NSimSun" w:cs="Lucida Sans"/>
      <w:color w:val="auto"/>
      <w:kern w:val="2"/>
      <w:sz w:val="24"/>
      <w:szCs w:val="24"/>
      <w:lang w:val="pt-BR" w:eastAsia="zh-CN" w:bidi="hi-IN"/>
    </w:rPr>
  </w:style>
  <w:style w:type="paragraph" w:styleId="Textbody" w:customStyle="1">
    <w:name w:val="Text body"/>
    <w:basedOn w:val="Standard"/>
    <w:qFormat/>
    <w:rsid w:val="00ff4094"/>
    <w:pPr>
      <w:spacing w:lineRule="auto" w:line="276" w:before="0" w:after="140"/>
    </w:pPr>
    <w:rPr/>
  </w:style>
  <w:style w:type="paragraph" w:styleId="citao2" w:customStyle="1">
    <w:name w:val="citação 2"/>
    <w:basedOn w:val="Quote"/>
    <w:link w:val="citao2Char"/>
    <w:qFormat/>
    <w:rsid w:val="00ff4094"/>
    <w:pPr>
      <w:suppressAutoHyphens w:val="true"/>
    </w:pPr>
    <w:rPr>
      <w:kern w:val="2"/>
      <w:szCs w:val="20"/>
      <w:lang w:eastAsia="zh-CN" w:bidi="hi-IN"/>
    </w:rPr>
  </w:style>
  <w:style w:type="paragraph" w:styleId="Nivel2" w:customStyle="1">
    <w:name w:val="Nivel 2"/>
    <w:basedOn w:val="Normal"/>
    <w:link w:val="Nivel2Char"/>
    <w:qFormat/>
    <w:rsid w:val="00ff4094"/>
    <w:pPr>
      <w:spacing w:lineRule="auto" w:line="276" w:before="120" w:after="120"/>
      <w:jc w:val="both"/>
    </w:pPr>
    <w:rPr>
      <w:rFonts w:ascii="Arial" w:hAnsi="Arial" w:cs="Arial"/>
      <w:color w:val="000000"/>
    </w:rPr>
  </w:style>
  <w:style w:type="paragraph" w:styleId="Nivel3" w:customStyle="1">
    <w:name w:val="Nivel 3"/>
    <w:basedOn w:val="ListParagraph"/>
    <w:qFormat/>
    <w:rsid w:val="00ff4094"/>
    <w:pPr>
      <w:tabs>
        <w:tab w:val="clear" w:pos="708"/>
        <w:tab w:val="left" w:pos="360" w:leader="none"/>
      </w:tabs>
      <w:spacing w:lineRule="auto" w:line="276" w:before="120" w:after="120"/>
      <w:ind w:left="425"/>
      <w:contextualSpacing/>
      <w:jc w:val="both"/>
    </w:pPr>
    <w:rPr>
      <w:rFonts w:ascii="Arial" w:hAnsi="Arial" w:eastAsia="Times New Roman" w:cs="Arial"/>
      <w:sz w:val="20"/>
      <w:szCs w:val="20"/>
      <w:lang w:eastAsia="pt-BR"/>
    </w:rPr>
  </w:style>
  <w:style w:type="paragraph" w:styleId="Nivel4" w:customStyle="1">
    <w:name w:val="Nivel 4"/>
    <w:basedOn w:val="Nivel3"/>
    <w:qFormat/>
    <w:rsid w:val="00ff4094"/>
    <w:pPr>
      <w:ind w:hanging="648" w:left="2491"/>
    </w:pPr>
    <w:rPr/>
  </w:style>
  <w:style w:type="paragraph" w:styleId="Nivel5" w:customStyle="1">
    <w:name w:val="Nivel 5"/>
    <w:basedOn w:val="Nivel4"/>
    <w:qFormat/>
    <w:rsid w:val="00ff4094"/>
    <w:pPr>
      <w:ind w:hanging="792" w:left="3485"/>
    </w:pPr>
    <w:rPr/>
  </w:style>
  <w:style w:type="paragraph" w:styleId="PADRO" w:customStyle="1">
    <w:name w:val="PADRÃO"/>
    <w:qFormat/>
    <w:rsid w:val="00ed4d94"/>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link w:val="CabealhoChar"/>
    <w:unhideWhenUsed/>
    <w:rsid w:val="0073140b"/>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73140b"/>
    <w:pPr>
      <w:tabs>
        <w:tab w:val="clear" w:pos="708"/>
        <w:tab w:val="center" w:pos="4252" w:leader="none"/>
        <w:tab w:val="right" w:pos="8504" w:leader="none"/>
      </w:tabs>
      <w:spacing w:lineRule="auto" w:line="240" w:before="0" w:after="0"/>
    </w:pPr>
    <w:rPr/>
  </w:style>
  <w:style w:type="paragraph" w:styleId="Title">
    <w:name w:val="Title"/>
    <w:basedOn w:val="Normal"/>
    <w:link w:val="TtuloChar"/>
    <w:qFormat/>
    <w:rsid w:val="008b66ad"/>
    <w:pPr>
      <w:spacing w:lineRule="auto" w:line="240" w:before="0" w:after="0"/>
      <w:jc w:val="center"/>
    </w:pPr>
    <w:rPr>
      <w:rFonts w:ascii="Times New Roman" w:hAnsi="Times New Roman" w:eastAsia="Times New Roman" w:cs="Times New Roman"/>
      <w:b/>
      <w:sz w:val="40"/>
      <w:szCs w:val="20"/>
      <w:u w:val="single"/>
      <w:lang w:eastAsia="pt-BR"/>
    </w:rPr>
  </w:style>
  <w:style w:type="paragraph" w:styleId="caption2">
    <w:name w:val="caption2"/>
    <w:basedOn w:val="Normal"/>
    <w:qFormat/>
    <w:pPr>
      <w:suppressLineNumbers/>
      <w:spacing w:before="120" w:after="120"/>
    </w:pPr>
    <w:rPr>
      <w:rFonts w:cs="Lucida Sans"/>
      <w:i/>
      <w:iCs/>
      <w:sz w:val="24"/>
      <w:szCs w:val="24"/>
    </w:rPr>
  </w:style>
  <w:style w:type="paragraph" w:styleId="caption1">
    <w:name w:val="caption1"/>
    <w:basedOn w:val="Normal"/>
    <w:qFormat/>
    <w:pPr>
      <w:suppressLineNumbers/>
      <w:spacing w:before="120" w:after="120"/>
    </w:pPr>
    <w:rPr>
      <w:rFonts w:cs="Lucida Sans"/>
      <w:i/>
      <w:iCs/>
      <w:sz w:val="24"/>
      <w:szCs w:val="24"/>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Linhahorizontaluser">
    <w:name w:val="Linha horizontal (user)"/>
    <w:basedOn w:val="Normal"/>
    <w:next w:val="BodyText"/>
    <w:qFormat/>
    <w:pPr>
      <w:suppressLineNumbers/>
      <w:pBdr>
        <w:bottom w:val="double" w:sz="2" w:space="0" w:color="808080"/>
      </w:pBdr>
      <w:spacing w:before="0" w:after="283"/>
    </w:pPr>
    <w:rPr>
      <w:sz w:val="12"/>
      <w:szCs w:val="12"/>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b530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Relationship Id="rId11" Type="http://schemas.openxmlformats.org/officeDocument/2006/relationships/customXml" Target="../customXml/item3.xml"/><Relationship Id="rId12"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saaetaperoa@yahoo.com.br" TargetMode="Externa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saaetaperoa@yahoo.com.br"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E3E8AB3B-462C-4837-B75E-C099F26DA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Application>LibreOffice/25.2.7.2$Windows_X86_64 LibreOffice_project/5cbfd1ab6520636bb5f7b99185aa69bd7456825d</Application>
  <AppVersion>15.0000</AppVersion>
  <Pages>11</Pages>
  <Words>3105</Words>
  <Characters>17481</Characters>
  <CharactersWithSpaces>20450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2022-07-02T17:53:00Z</dcterms:created>
  <dc:creator>Marcela Ali Tarif</dc:creator>
  <dc:description/>
  <dc:language>pt-BR</dc:language>
  <cp:lastModifiedBy/>
  <cp:lastPrinted>2024-01-02T12:59:00Z</cp:lastPrinted>
  <dcterms:modified xsi:type="dcterms:W3CDTF">2026-01-06T13:15:37Z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