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3CA" w:rsidRDefault="00F923CA" w:rsidP="00F923CA">
      <w:pPr>
        <w:spacing w:after="200" w:line="276" w:lineRule="auto"/>
        <w:jc w:val="both"/>
        <w:rPr>
          <w:rFonts w:ascii="Tahoma" w:hAnsi="Tahoma" w:cs="Tahoma"/>
          <w:b/>
          <w:sz w:val="22"/>
          <w:szCs w:val="22"/>
          <w:lang w:eastAsia="en-US"/>
        </w:rPr>
      </w:pPr>
    </w:p>
    <w:p w:rsidR="00F923CA" w:rsidRDefault="00F923CA" w:rsidP="00F923CA">
      <w:pPr>
        <w:spacing w:after="200" w:line="276" w:lineRule="auto"/>
        <w:jc w:val="both"/>
        <w:rPr>
          <w:rFonts w:ascii="Tahoma" w:hAnsi="Tahoma" w:cs="Tahoma"/>
          <w:b/>
          <w:sz w:val="22"/>
          <w:szCs w:val="22"/>
          <w:lang w:eastAsia="en-US"/>
        </w:rPr>
      </w:pPr>
    </w:p>
    <w:p w:rsidR="00F923CA" w:rsidRDefault="00F923CA" w:rsidP="00F923CA">
      <w:pPr>
        <w:spacing w:after="200" w:line="276" w:lineRule="auto"/>
        <w:jc w:val="both"/>
        <w:rPr>
          <w:rFonts w:ascii="Tahoma" w:hAnsi="Tahoma" w:cs="Tahoma"/>
          <w:b/>
          <w:sz w:val="22"/>
          <w:szCs w:val="22"/>
          <w:lang w:eastAsia="en-US"/>
        </w:rPr>
      </w:pPr>
    </w:p>
    <w:p w:rsidR="00F923CA" w:rsidRDefault="00F923CA" w:rsidP="00F923CA">
      <w:pPr>
        <w:spacing w:after="200" w:line="276" w:lineRule="auto"/>
        <w:jc w:val="both"/>
        <w:rPr>
          <w:rFonts w:ascii="Century Gothic" w:hAnsi="Century Gothic" w:cs="Tahoma"/>
          <w:b/>
          <w:sz w:val="20"/>
          <w:szCs w:val="20"/>
          <w:lang w:eastAsia="en-US"/>
        </w:rPr>
      </w:pPr>
      <w:r>
        <w:rPr>
          <w:rFonts w:ascii="Century Gothic" w:hAnsi="Century Gothic" w:cs="Tahoma"/>
          <w:b/>
          <w:sz w:val="20"/>
          <w:szCs w:val="20"/>
          <w:lang w:eastAsia="en-US"/>
        </w:rPr>
        <w:t xml:space="preserve">                                             </w:t>
      </w:r>
      <w:r w:rsidR="00E92AD6">
        <w:rPr>
          <w:rFonts w:ascii="Century Gothic" w:hAnsi="Century Gothic" w:cs="Tahoma"/>
          <w:b/>
          <w:sz w:val="20"/>
          <w:szCs w:val="20"/>
          <w:lang w:eastAsia="en-US"/>
        </w:rPr>
        <w:t xml:space="preserve"> </w:t>
      </w:r>
      <w:r w:rsidRPr="00AA2E77">
        <w:rPr>
          <w:rFonts w:ascii="Century Gothic" w:hAnsi="Century Gothic" w:cs="Tahoma"/>
          <w:b/>
          <w:sz w:val="20"/>
          <w:szCs w:val="20"/>
          <w:lang w:eastAsia="en-US"/>
        </w:rPr>
        <w:t xml:space="preserve">AVISO DE DISPENSA DE LICITAÇÃO </w:t>
      </w:r>
    </w:p>
    <w:p w:rsidR="00F923CA" w:rsidRDefault="00F923CA" w:rsidP="00F923CA">
      <w:pPr>
        <w:spacing w:after="200" w:line="276" w:lineRule="auto"/>
        <w:ind w:left="2124" w:firstLine="708"/>
        <w:jc w:val="both"/>
        <w:rPr>
          <w:rFonts w:ascii="Century Gothic" w:hAnsi="Century Gothic" w:cs="Tahoma"/>
          <w:b/>
          <w:sz w:val="20"/>
          <w:szCs w:val="20"/>
          <w:lang w:eastAsia="en-US"/>
        </w:rPr>
      </w:pPr>
    </w:p>
    <w:p w:rsidR="00F923CA" w:rsidRPr="00AA2E77" w:rsidRDefault="00F923CA" w:rsidP="00F923CA">
      <w:pPr>
        <w:spacing w:after="200" w:line="276" w:lineRule="auto"/>
        <w:ind w:left="2124" w:firstLine="708"/>
        <w:jc w:val="both"/>
        <w:rPr>
          <w:rFonts w:ascii="Century Gothic" w:hAnsi="Century Gothic" w:cs="Tahoma"/>
          <w:b/>
          <w:sz w:val="20"/>
          <w:szCs w:val="20"/>
          <w:lang w:eastAsia="en-US"/>
        </w:rPr>
      </w:pPr>
    </w:p>
    <w:p w:rsidR="00F923CA" w:rsidRPr="00AA2E77" w:rsidRDefault="00F923CA" w:rsidP="00F923CA">
      <w:pPr>
        <w:spacing w:after="200" w:line="276" w:lineRule="auto"/>
        <w:jc w:val="both"/>
        <w:rPr>
          <w:rFonts w:ascii="Century Gothic" w:eastAsia="Calibri" w:hAnsi="Century Gothic" w:cs="Tahoma"/>
          <w:sz w:val="20"/>
          <w:szCs w:val="20"/>
          <w:lang w:eastAsia="en-US"/>
        </w:rPr>
      </w:pPr>
    </w:p>
    <w:p w:rsidR="00F923CA" w:rsidRPr="00AA2E77" w:rsidRDefault="00F923CA" w:rsidP="00F923CA">
      <w:pPr>
        <w:spacing w:after="200" w:line="276" w:lineRule="auto"/>
        <w:jc w:val="both"/>
        <w:rPr>
          <w:rFonts w:ascii="Century Gothic" w:eastAsia="Calibri" w:hAnsi="Century Gothic" w:cs="Tahoma"/>
          <w:sz w:val="20"/>
          <w:szCs w:val="20"/>
          <w:lang w:eastAsia="en-US"/>
        </w:rPr>
      </w:pPr>
      <w:r w:rsidRPr="00AA2E77">
        <w:rPr>
          <w:rFonts w:ascii="Century Gothic" w:eastAsia="Calibri" w:hAnsi="Century Gothic" w:cs="Tahoma"/>
          <w:sz w:val="20"/>
          <w:szCs w:val="20"/>
          <w:lang w:eastAsia="en-US"/>
        </w:rPr>
        <w:t>A Câmara Municipal de Prado/Bahia, em atendimento a</w:t>
      </w:r>
      <w:r>
        <w:rPr>
          <w:rFonts w:ascii="Century Gothic" w:eastAsia="Calibri" w:hAnsi="Century Gothic" w:cs="Tahoma"/>
          <w:sz w:val="20"/>
          <w:szCs w:val="20"/>
          <w:lang w:eastAsia="en-US"/>
        </w:rPr>
        <w:t>o §3º do art. 75 da Lei nº. 14.1</w:t>
      </w:r>
      <w:r w:rsidRPr="00AA2E77">
        <w:rPr>
          <w:rFonts w:ascii="Century Gothic" w:eastAsia="Calibri" w:hAnsi="Century Gothic" w:cs="Tahoma"/>
          <w:sz w:val="20"/>
          <w:szCs w:val="20"/>
          <w:lang w:eastAsia="en-US"/>
        </w:rPr>
        <w:t xml:space="preserve">33/2021, torna público para conhecimento dos interessados, o presente aviso da Dispensa de Licitação de nº </w:t>
      </w:r>
      <w:r w:rsidRPr="00AA2E77">
        <w:rPr>
          <w:rFonts w:ascii="Century Gothic" w:eastAsia="Calibri" w:hAnsi="Century Gothic" w:cs="Tahoma"/>
          <w:b/>
          <w:sz w:val="20"/>
          <w:szCs w:val="20"/>
          <w:lang w:eastAsia="en-US"/>
        </w:rPr>
        <w:t>0</w:t>
      </w:r>
      <w:r>
        <w:rPr>
          <w:rFonts w:ascii="Century Gothic" w:eastAsia="Calibri" w:hAnsi="Century Gothic" w:cs="Tahoma"/>
          <w:b/>
          <w:sz w:val="20"/>
          <w:szCs w:val="20"/>
          <w:lang w:eastAsia="en-US"/>
        </w:rPr>
        <w:t>36</w:t>
      </w:r>
      <w:r w:rsidRPr="00AA2E77">
        <w:rPr>
          <w:rFonts w:ascii="Century Gothic" w:eastAsia="Calibri" w:hAnsi="Century Gothic" w:cs="Tahoma"/>
          <w:b/>
          <w:sz w:val="20"/>
          <w:szCs w:val="20"/>
          <w:lang w:eastAsia="en-US"/>
        </w:rPr>
        <w:t>/202</w:t>
      </w:r>
      <w:r>
        <w:rPr>
          <w:rFonts w:ascii="Century Gothic" w:eastAsia="Calibri" w:hAnsi="Century Gothic" w:cs="Tahoma"/>
          <w:b/>
          <w:sz w:val="20"/>
          <w:szCs w:val="20"/>
          <w:lang w:eastAsia="en-US"/>
        </w:rPr>
        <w:t>3</w:t>
      </w:r>
      <w:r w:rsidRPr="00AA2E77">
        <w:rPr>
          <w:rFonts w:ascii="Century Gothic" w:eastAsia="Calibri" w:hAnsi="Century Gothic" w:cs="Tahoma"/>
          <w:sz w:val="20"/>
          <w:szCs w:val="20"/>
          <w:lang w:eastAsia="en-US"/>
        </w:rPr>
        <w:t xml:space="preserve"> para a Prestação dos </w:t>
      </w:r>
      <w:r w:rsidRPr="00AA2E77">
        <w:rPr>
          <w:rFonts w:ascii="Century Gothic" w:hAnsi="Century Gothic" w:cs="Tahoma"/>
          <w:sz w:val="20"/>
          <w:szCs w:val="20"/>
        </w:rPr>
        <w:t xml:space="preserve">Serviços de </w:t>
      </w:r>
      <w:r w:rsidRPr="00AA2E77">
        <w:rPr>
          <w:rFonts w:ascii="Century Gothic" w:eastAsia="Calibri" w:hAnsi="Century Gothic" w:cs="Tahoma"/>
          <w:sz w:val="20"/>
          <w:szCs w:val="20"/>
        </w:rPr>
        <w:t xml:space="preserve">fornecimento, </w:t>
      </w:r>
      <w:bookmarkStart w:id="0" w:name="_GoBack"/>
      <w:bookmarkEnd w:id="0"/>
      <w:r w:rsidRPr="00AA2E77">
        <w:rPr>
          <w:rFonts w:ascii="Century Gothic" w:eastAsia="Calibri" w:hAnsi="Century Gothic" w:cs="Tahoma"/>
          <w:sz w:val="20"/>
          <w:szCs w:val="20"/>
        </w:rPr>
        <w:t>licenciamento, implantação, treinamento, manutenção e suporte de Sistema</w:t>
      </w:r>
      <w:r w:rsidR="00726BF8">
        <w:rPr>
          <w:rFonts w:ascii="Century Gothic" w:eastAsia="Calibri" w:hAnsi="Century Gothic" w:cs="Tahoma"/>
          <w:sz w:val="20"/>
          <w:szCs w:val="20"/>
        </w:rPr>
        <w:t>s</w:t>
      </w:r>
      <w:r w:rsidRPr="00AA2E77">
        <w:rPr>
          <w:rFonts w:ascii="Century Gothic" w:eastAsia="Calibri" w:hAnsi="Century Gothic" w:cs="Tahoma"/>
          <w:sz w:val="20"/>
          <w:szCs w:val="20"/>
        </w:rPr>
        <w:t xml:space="preserve"> Informatizado</w:t>
      </w:r>
      <w:r w:rsidR="00726BF8">
        <w:rPr>
          <w:rFonts w:ascii="Century Gothic" w:eastAsia="Calibri" w:hAnsi="Century Gothic" w:cs="Tahoma"/>
          <w:sz w:val="20"/>
          <w:szCs w:val="20"/>
        </w:rPr>
        <w:t>s</w:t>
      </w:r>
      <w:r w:rsidRPr="00AA2E77">
        <w:rPr>
          <w:rFonts w:ascii="Century Gothic" w:eastAsia="Calibri" w:hAnsi="Century Gothic" w:cs="Tahoma"/>
          <w:sz w:val="20"/>
          <w:szCs w:val="20"/>
        </w:rPr>
        <w:t xml:space="preserve"> Integrado</w:t>
      </w:r>
      <w:r w:rsidR="00726BF8">
        <w:rPr>
          <w:rFonts w:ascii="Century Gothic" w:eastAsia="Calibri" w:hAnsi="Century Gothic" w:cs="Tahoma"/>
          <w:sz w:val="20"/>
          <w:szCs w:val="20"/>
        </w:rPr>
        <w:t>s</w:t>
      </w:r>
      <w:r w:rsidRPr="00AA2E77">
        <w:rPr>
          <w:rFonts w:ascii="Century Gothic" w:eastAsia="Calibri" w:hAnsi="Century Gothic" w:cs="Tahoma"/>
          <w:sz w:val="20"/>
          <w:szCs w:val="20"/>
        </w:rPr>
        <w:t xml:space="preserve"> de </w:t>
      </w:r>
      <w:r w:rsidRPr="00AA2E77">
        <w:rPr>
          <w:rFonts w:ascii="Century Gothic" w:hAnsi="Century Gothic" w:cs="Tahoma"/>
          <w:bCs/>
          <w:sz w:val="20"/>
          <w:szCs w:val="20"/>
        </w:rPr>
        <w:t xml:space="preserve">Recursos Humanos e Folha de Pagamento, Patrimônio, </w:t>
      </w:r>
      <w:r>
        <w:rPr>
          <w:rFonts w:ascii="Century Gothic" w:hAnsi="Century Gothic" w:cs="Tahoma"/>
          <w:bCs/>
          <w:sz w:val="20"/>
          <w:szCs w:val="20"/>
        </w:rPr>
        <w:t>Almoxarifado e Contratos</w:t>
      </w:r>
      <w:r w:rsidRPr="00AA2E77">
        <w:rPr>
          <w:rFonts w:ascii="Century Gothic" w:eastAsia="Calibri" w:hAnsi="Century Gothic" w:cs="Tahoma"/>
          <w:sz w:val="20"/>
          <w:szCs w:val="20"/>
        </w:rPr>
        <w:t xml:space="preserve">, para atender as necessidades dessa </w:t>
      </w:r>
      <w:r w:rsidRPr="00AA2E77">
        <w:rPr>
          <w:rFonts w:ascii="Century Gothic" w:hAnsi="Century Gothic" w:cs="Tahoma"/>
          <w:sz w:val="20"/>
          <w:szCs w:val="20"/>
        </w:rPr>
        <w:t>Casa Legislativa</w:t>
      </w:r>
      <w:r w:rsidRPr="00AA2E77">
        <w:rPr>
          <w:rFonts w:ascii="Century Gothic" w:eastAsia="Calibri" w:hAnsi="Century Gothic" w:cs="Tahoma"/>
          <w:sz w:val="20"/>
          <w:szCs w:val="20"/>
          <w:lang w:eastAsia="en-US"/>
        </w:rPr>
        <w:t>, no exercício de 202</w:t>
      </w:r>
      <w:r>
        <w:rPr>
          <w:rFonts w:ascii="Century Gothic" w:eastAsia="Calibri" w:hAnsi="Century Gothic" w:cs="Tahoma"/>
          <w:sz w:val="20"/>
          <w:szCs w:val="20"/>
          <w:lang w:eastAsia="en-US"/>
        </w:rPr>
        <w:t>3</w:t>
      </w:r>
      <w:r w:rsidRPr="00AA2E77">
        <w:rPr>
          <w:rFonts w:ascii="Century Gothic" w:eastAsia="Calibri" w:hAnsi="Century Gothic" w:cs="Tahoma"/>
          <w:sz w:val="20"/>
          <w:szCs w:val="20"/>
          <w:lang w:eastAsia="en-US"/>
        </w:rPr>
        <w:t>, a fim de obter propostas adicionais.</w:t>
      </w:r>
    </w:p>
    <w:p w:rsidR="00F923CA" w:rsidRPr="00AA2E77" w:rsidRDefault="00F923CA" w:rsidP="00F923CA">
      <w:pPr>
        <w:spacing w:after="200" w:line="276" w:lineRule="auto"/>
        <w:jc w:val="both"/>
        <w:rPr>
          <w:rFonts w:ascii="Century Gothic" w:eastAsia="Calibri" w:hAnsi="Century Gothic" w:cs="Tahoma"/>
          <w:sz w:val="20"/>
          <w:szCs w:val="20"/>
          <w:lang w:eastAsia="en-US"/>
        </w:rPr>
      </w:pPr>
      <w:r w:rsidRPr="00AA2E77">
        <w:rPr>
          <w:rFonts w:ascii="Century Gothic" w:eastAsia="Calibri" w:hAnsi="Century Gothic" w:cs="Tahoma"/>
          <w:sz w:val="20"/>
          <w:szCs w:val="20"/>
          <w:lang w:eastAsia="en-US"/>
        </w:rPr>
        <w:t xml:space="preserve">Para tanto, convoca as empresas interessadas a enviarem suas propostas para </w:t>
      </w:r>
      <w:proofErr w:type="gramStart"/>
      <w:r w:rsidRPr="00AA2E77">
        <w:rPr>
          <w:rFonts w:ascii="Century Gothic" w:eastAsia="Calibri" w:hAnsi="Century Gothic" w:cs="Tahoma"/>
          <w:sz w:val="20"/>
          <w:szCs w:val="20"/>
          <w:lang w:eastAsia="en-US"/>
        </w:rPr>
        <w:t>o(</w:t>
      </w:r>
      <w:proofErr w:type="gramEnd"/>
      <w:r w:rsidRPr="00AA2E77">
        <w:rPr>
          <w:rFonts w:ascii="Century Gothic" w:eastAsia="Calibri" w:hAnsi="Century Gothic" w:cs="Tahoma"/>
          <w:sz w:val="20"/>
          <w:szCs w:val="20"/>
          <w:lang w:eastAsia="en-US"/>
        </w:rPr>
        <w:t>s) objeto(s) constante(s) do Termo de Referência e conforme modelo de proposta, disponibilizados abaixo, exclusivamente para o e-mail cmpradolicitacao@gmail.com até às 23h59 do dia 2</w:t>
      </w:r>
      <w:r>
        <w:rPr>
          <w:rFonts w:ascii="Century Gothic" w:eastAsia="Calibri" w:hAnsi="Century Gothic" w:cs="Tahoma"/>
          <w:sz w:val="20"/>
          <w:szCs w:val="20"/>
          <w:lang w:eastAsia="en-US"/>
        </w:rPr>
        <w:t>8</w:t>
      </w:r>
      <w:r w:rsidRPr="00AA2E77">
        <w:rPr>
          <w:rFonts w:ascii="Century Gothic" w:eastAsia="Calibri" w:hAnsi="Century Gothic" w:cs="Tahoma"/>
          <w:sz w:val="20"/>
          <w:szCs w:val="20"/>
          <w:lang w:eastAsia="en-US"/>
        </w:rPr>
        <w:t>/0</w:t>
      </w:r>
      <w:r>
        <w:rPr>
          <w:rFonts w:ascii="Century Gothic" w:eastAsia="Calibri" w:hAnsi="Century Gothic" w:cs="Tahoma"/>
          <w:sz w:val="20"/>
          <w:szCs w:val="20"/>
          <w:lang w:eastAsia="en-US"/>
        </w:rPr>
        <w:t>6</w:t>
      </w:r>
      <w:r w:rsidRPr="00AA2E77">
        <w:rPr>
          <w:rFonts w:ascii="Century Gothic" w:eastAsia="Calibri" w:hAnsi="Century Gothic" w:cs="Tahoma"/>
          <w:sz w:val="20"/>
          <w:szCs w:val="20"/>
          <w:lang w:eastAsia="en-US"/>
        </w:rPr>
        <w:t>/202</w:t>
      </w:r>
      <w:r>
        <w:rPr>
          <w:rFonts w:ascii="Century Gothic" w:eastAsia="Calibri" w:hAnsi="Century Gothic" w:cs="Tahoma"/>
          <w:sz w:val="20"/>
          <w:szCs w:val="20"/>
          <w:lang w:eastAsia="en-US"/>
        </w:rPr>
        <w:t>3</w:t>
      </w:r>
      <w:r w:rsidRPr="00AA2E77">
        <w:rPr>
          <w:rFonts w:ascii="Century Gothic" w:eastAsia="Calibri" w:hAnsi="Century Gothic" w:cs="Tahoma"/>
          <w:sz w:val="20"/>
          <w:szCs w:val="20"/>
          <w:lang w:eastAsia="en-US"/>
        </w:rPr>
        <w:t>. A empresa detentora da proposta mais vantajosa para esta Casa Legislativa será contatada para envio da documentação que comprove reunir as condições necessár</w:t>
      </w:r>
      <w:r w:rsidRPr="00F923CA">
        <w:rPr>
          <w:rFonts w:ascii="Century Gothic" w:eastAsia="Calibri" w:hAnsi="Century Gothic" w:cs="Tahoma"/>
          <w:sz w:val="20"/>
          <w:szCs w:val="20"/>
          <w:lang w:eastAsia="en-US"/>
        </w:rPr>
        <w:t>i</w:t>
      </w:r>
      <w:r w:rsidRPr="00E01ADB">
        <w:rPr>
          <w:rFonts w:ascii="Century Gothic" w:eastAsia="Calibri" w:hAnsi="Century Gothic" w:cs="Tahoma"/>
          <w:sz w:val="20"/>
          <w:szCs w:val="20"/>
          <w:lang w:eastAsia="en-US"/>
        </w:rPr>
        <w:t xml:space="preserve">as, em até dois dias úteis após a convocação. Prado, Prado Bahia </w:t>
      </w:r>
      <w:r>
        <w:rPr>
          <w:rFonts w:ascii="Century Gothic" w:eastAsia="Calibri" w:hAnsi="Century Gothic" w:cs="Tahoma"/>
          <w:sz w:val="20"/>
          <w:szCs w:val="20"/>
          <w:lang w:eastAsia="en-US"/>
        </w:rPr>
        <w:t>em 23</w:t>
      </w:r>
      <w:r w:rsidRPr="004A7ACB">
        <w:rPr>
          <w:rFonts w:ascii="Century Gothic" w:eastAsia="Calibri" w:hAnsi="Century Gothic" w:cs="Tahoma"/>
          <w:sz w:val="20"/>
          <w:szCs w:val="20"/>
          <w:lang w:eastAsia="en-US"/>
        </w:rPr>
        <w:t xml:space="preserve"> de j</w:t>
      </w:r>
      <w:r>
        <w:rPr>
          <w:rFonts w:ascii="Century Gothic" w:eastAsia="Calibri" w:hAnsi="Century Gothic" w:cs="Tahoma"/>
          <w:sz w:val="20"/>
          <w:szCs w:val="20"/>
          <w:lang w:eastAsia="en-US"/>
        </w:rPr>
        <w:t>unh</w:t>
      </w:r>
      <w:r w:rsidRPr="004A7ACB">
        <w:rPr>
          <w:rFonts w:ascii="Century Gothic" w:eastAsia="Calibri" w:hAnsi="Century Gothic" w:cs="Tahoma"/>
          <w:sz w:val="20"/>
          <w:szCs w:val="20"/>
          <w:lang w:eastAsia="en-US"/>
        </w:rPr>
        <w:t>o de 2023</w:t>
      </w:r>
      <w:r w:rsidRPr="00AA2E77">
        <w:rPr>
          <w:rFonts w:ascii="Century Gothic" w:eastAsia="Calibri" w:hAnsi="Century Gothic" w:cs="Tahoma"/>
          <w:sz w:val="20"/>
          <w:szCs w:val="20"/>
          <w:lang w:eastAsia="en-US"/>
        </w:rPr>
        <w:t xml:space="preserve">, Antônio Carlos Rosário dos Santos.  Agente de Contratação. </w:t>
      </w:r>
    </w:p>
    <w:p w:rsidR="004C00B6" w:rsidRDefault="004C00B6" w:rsidP="00F923CA">
      <w:pPr>
        <w:spacing w:after="200" w:line="276" w:lineRule="auto"/>
        <w:jc w:val="both"/>
      </w:pPr>
    </w:p>
    <w:sectPr w:rsidR="004C00B6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898" w:rsidRDefault="00130898" w:rsidP="00130898">
      <w:r>
        <w:separator/>
      </w:r>
    </w:p>
  </w:endnote>
  <w:endnote w:type="continuationSeparator" w:id="0">
    <w:p w:rsidR="00130898" w:rsidRDefault="00130898" w:rsidP="00130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898" w:rsidRPr="00130898" w:rsidRDefault="00130898" w:rsidP="00130898">
    <w:pPr>
      <w:pStyle w:val="Rodap"/>
      <w:spacing w:before="120"/>
      <w:jc w:val="center"/>
      <w:rPr>
        <w:rFonts w:ascii="Arial" w:hAnsi="Arial" w:cs="Arial"/>
        <w:b/>
        <w:bCs/>
        <w:sz w:val="16"/>
        <w:szCs w:val="16"/>
      </w:rPr>
    </w:pPr>
    <w:proofErr w:type="spellStart"/>
    <w:r w:rsidRPr="00130898">
      <w:rPr>
        <w:rFonts w:ascii="Arial" w:hAnsi="Arial" w:cs="Arial"/>
        <w:b/>
        <w:bCs/>
        <w:sz w:val="16"/>
        <w:szCs w:val="16"/>
      </w:rPr>
      <w:t>End</w:t>
    </w:r>
    <w:proofErr w:type="spellEnd"/>
    <w:r w:rsidRPr="00130898">
      <w:rPr>
        <w:rFonts w:ascii="Arial" w:hAnsi="Arial" w:cs="Arial"/>
        <w:b/>
        <w:bCs/>
        <w:sz w:val="16"/>
        <w:szCs w:val="16"/>
      </w:rPr>
      <w:t>: Av. Prado/</w:t>
    </w:r>
    <w:proofErr w:type="spellStart"/>
    <w:r w:rsidRPr="00130898">
      <w:rPr>
        <w:rFonts w:ascii="Arial" w:hAnsi="Arial" w:cs="Arial"/>
        <w:b/>
        <w:bCs/>
        <w:sz w:val="16"/>
        <w:szCs w:val="16"/>
      </w:rPr>
      <w:t>Itamarajú</w:t>
    </w:r>
    <w:proofErr w:type="spellEnd"/>
    <w:r w:rsidRPr="00130898">
      <w:rPr>
        <w:rFonts w:ascii="Arial" w:hAnsi="Arial" w:cs="Arial"/>
        <w:b/>
        <w:bCs/>
        <w:sz w:val="16"/>
        <w:szCs w:val="16"/>
      </w:rPr>
      <w:t>, S/N – São Sebastião – Prado – Bahia – Brasil, CNPJ 16.412.306-0001-95</w:t>
    </w:r>
  </w:p>
  <w:p w:rsidR="00130898" w:rsidRDefault="0013089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898" w:rsidRDefault="00130898" w:rsidP="00130898">
      <w:r>
        <w:separator/>
      </w:r>
    </w:p>
  </w:footnote>
  <w:footnote w:type="continuationSeparator" w:id="0">
    <w:p w:rsidR="00130898" w:rsidRDefault="00130898" w:rsidP="001308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898" w:rsidRDefault="00130898">
    <w:pPr>
      <w:pStyle w:val="Cabealho"/>
    </w:pPr>
    <w:r>
      <w:rPr>
        <w:rFonts w:ascii="Arial" w:hAnsi="Arial" w:cs="Arial"/>
        <w:b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-451485</wp:posOffset>
          </wp:positionH>
          <wp:positionV relativeFrom="paragraph">
            <wp:posOffset>240030</wp:posOffset>
          </wp:positionV>
          <wp:extent cx="1095375" cy="895350"/>
          <wp:effectExtent l="0" t="0" r="9525" b="0"/>
          <wp:wrapSquare wrapText="righ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30898" w:rsidRDefault="00130898" w:rsidP="00130898">
    <w:pPr>
      <w:tabs>
        <w:tab w:val="left" w:pos="465"/>
        <w:tab w:val="center" w:pos="4394"/>
      </w:tabs>
    </w:pPr>
  </w:p>
  <w:p w:rsidR="00130898" w:rsidRPr="00C307DC" w:rsidRDefault="00130898" w:rsidP="00130898">
    <w:pPr>
      <w:tabs>
        <w:tab w:val="left" w:pos="465"/>
        <w:tab w:val="center" w:pos="4394"/>
      </w:tabs>
      <w:rPr>
        <w:rFonts w:ascii="Arial Narrow" w:hAnsi="Arial Narrow"/>
        <w:b/>
        <w:sz w:val="56"/>
        <w:szCs w:val="56"/>
      </w:rPr>
    </w:pPr>
    <w:r w:rsidRPr="00C307DC">
      <w:rPr>
        <w:rFonts w:ascii="Arial Narrow" w:hAnsi="Arial Narrow"/>
        <w:b/>
        <w:sz w:val="56"/>
        <w:szCs w:val="56"/>
      </w:rPr>
      <w:t>CÂMARA MUNICIPAL DE PRADO</w:t>
    </w:r>
  </w:p>
  <w:p w:rsidR="00130898" w:rsidRPr="00C307DC" w:rsidRDefault="00130898" w:rsidP="00130898">
    <w:pPr>
      <w:rPr>
        <w:rFonts w:ascii="Arial Narrow" w:hAnsi="Arial Narrow"/>
        <w:b/>
        <w:sz w:val="56"/>
        <w:szCs w:val="56"/>
      </w:rPr>
    </w:pPr>
    <w:r>
      <w:rPr>
        <w:rFonts w:ascii="Arial Narrow" w:hAnsi="Arial Narrow"/>
        <w:b/>
        <w:sz w:val="56"/>
        <w:szCs w:val="56"/>
      </w:rPr>
      <w:t xml:space="preserve">        </w:t>
    </w:r>
    <w:r w:rsidRPr="00C307DC">
      <w:rPr>
        <w:rFonts w:ascii="Arial Narrow" w:hAnsi="Arial Narrow"/>
        <w:b/>
        <w:sz w:val="56"/>
        <w:szCs w:val="56"/>
      </w:rPr>
      <w:t>ESTADO DA BAHIA</w:t>
    </w:r>
  </w:p>
  <w:p w:rsidR="00130898" w:rsidRDefault="0013089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898"/>
    <w:rsid w:val="000A5EB1"/>
    <w:rsid w:val="00130898"/>
    <w:rsid w:val="002438C1"/>
    <w:rsid w:val="00345E0C"/>
    <w:rsid w:val="004B5C12"/>
    <w:rsid w:val="004C00B6"/>
    <w:rsid w:val="00726BF8"/>
    <w:rsid w:val="00763A99"/>
    <w:rsid w:val="0091549F"/>
    <w:rsid w:val="00AB51AB"/>
    <w:rsid w:val="00E92AD6"/>
    <w:rsid w:val="00F92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F401FE1-3053-4581-A0A1-6B9B1E9D6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0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3089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308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3089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308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51A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51AB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2023-06-23T19:18:00Z</cp:lastPrinted>
  <dcterms:created xsi:type="dcterms:W3CDTF">2023-06-23T19:18:00Z</dcterms:created>
  <dcterms:modified xsi:type="dcterms:W3CDTF">2023-06-23T19:18:00Z</dcterms:modified>
</cp:coreProperties>
</file>