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Autospacing="1" w:afterAutospacing="1"/>
        <w:jc w:val="center"/>
        <w:rPr>
          <w:rFonts w:ascii="Arial" w:hAnsi="Arial" w:cs="Arial"/>
          <w:sz w:val="24"/>
          <w:szCs w:val="24"/>
        </w:rPr>
      </w:pPr>
      <w:r>
        <w:rPr>
          <w:rFonts w:cs="Arial" w:ascii="Arial" w:hAnsi="Arial"/>
          <w:b/>
          <w:bCs/>
          <w:sz w:val="24"/>
          <w:szCs w:val="24"/>
          <w:u w:val="single"/>
        </w:rPr>
        <w:t>TERMO DE REFERÊNCIA</w:t>
      </w:r>
    </w:p>
    <w:p>
      <w:pPr>
        <w:pStyle w:val="Normal"/>
        <w:spacing w:beforeAutospacing="1" w:afterAutospacing="1"/>
        <w:rPr>
          <w:rFonts w:ascii="Arial" w:hAnsi="Arial" w:cs="Arial"/>
          <w:sz w:val="24"/>
          <w:szCs w:val="24"/>
        </w:rPr>
      </w:pPr>
      <w:r>
        <w:rPr>
          <w:rFonts w:cs="Arial" w:ascii="Arial" w:hAnsi="Arial"/>
          <w:sz w:val="24"/>
          <w:szCs w:val="24"/>
        </w:rPr>
      </w:r>
    </w:p>
    <w:p>
      <w:pPr>
        <w:pStyle w:val="ListParagraph"/>
        <w:numPr>
          <w:ilvl w:val="0"/>
          <w:numId w:val="1"/>
        </w:numPr>
        <w:spacing w:beforeAutospacing="1" w:after="0"/>
        <w:contextualSpacing/>
        <w:rPr>
          <w:rFonts w:ascii="Arial" w:hAnsi="Arial" w:cs="Arial"/>
          <w:sz w:val="24"/>
          <w:szCs w:val="24"/>
        </w:rPr>
      </w:pPr>
      <w:r>
        <w:rPr>
          <w:rFonts w:cs="Arial" w:ascii="Arial" w:hAnsi="Arial"/>
          <w:b/>
          <w:bCs/>
          <w:sz w:val="24"/>
          <w:szCs w:val="24"/>
        </w:rPr>
        <w:t>DO OBJETO</w:t>
      </w:r>
    </w:p>
    <w:p>
      <w:pPr>
        <w:pStyle w:val="ListParagraph"/>
        <w:numPr>
          <w:ilvl w:val="1"/>
          <w:numId w:val="1"/>
        </w:numPr>
        <w:spacing w:before="0" w:afterAutospacing="1"/>
        <w:contextualSpacing/>
        <w:jc w:val="both"/>
        <w:rPr>
          <w:rFonts w:ascii="Arial" w:hAnsi="Arial" w:cs="Arial"/>
          <w:sz w:val="24"/>
          <w:szCs w:val="24"/>
        </w:rPr>
      </w:pPr>
      <w:r>
        <w:rPr>
          <w:rFonts w:cs="Arial" w:ascii="Arial" w:hAnsi="Arial"/>
          <w:sz w:val="24"/>
          <w:szCs w:val="24"/>
        </w:rPr>
        <w:t xml:space="preserve">Contratação emergencial de empresa especializada para realização de manutenção corretiva no transformador de 300 KVA em 220v da Estação de Tratamento de Água (ETA) do SAAE de Formiga/MG. </w:t>
      </w:r>
    </w:p>
    <w:p>
      <w:pPr>
        <w:pStyle w:val="ListParagraph"/>
        <w:spacing w:beforeAutospacing="1" w:afterAutospacing="1"/>
        <w:ind w:left="792"/>
        <w:contextualSpacing/>
        <w:jc w:val="both"/>
        <w:rPr>
          <w:rFonts w:ascii="Arial" w:hAnsi="Arial" w:cs="Arial"/>
          <w:sz w:val="24"/>
          <w:szCs w:val="24"/>
        </w:rPr>
      </w:pPr>
      <w:r>
        <w:rPr>
          <w:rFonts w:cs="Arial" w:ascii="Arial" w:hAnsi="Arial"/>
          <w:sz w:val="24"/>
          <w:szCs w:val="24"/>
        </w:rPr>
      </w:r>
    </w:p>
    <w:p>
      <w:pPr>
        <w:pStyle w:val="ListParagraph"/>
        <w:spacing w:beforeAutospacing="1" w:afterAutospacing="1"/>
        <w:ind w:left="792"/>
        <w:contextualSpacing/>
        <w:jc w:val="both"/>
        <w:rPr>
          <w:rFonts w:ascii="Arial" w:hAnsi="Arial" w:cs="Arial"/>
          <w:sz w:val="24"/>
          <w:szCs w:val="24"/>
        </w:rPr>
      </w:pPr>
      <w:r>
        <w:rPr>
          <w:rFonts w:cs="Arial" w:ascii="Arial" w:hAnsi="Arial"/>
          <w:sz w:val="24"/>
          <w:szCs w:val="24"/>
        </w:rPr>
      </w:r>
    </w:p>
    <w:tbl>
      <w:tblPr>
        <w:tblStyle w:val="Tabelacomgrade"/>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758"/>
        <w:gridCol w:w="4364"/>
        <w:gridCol w:w="801"/>
        <w:gridCol w:w="910"/>
        <w:gridCol w:w="1551"/>
        <w:gridCol w:w="1538"/>
      </w:tblGrid>
      <w:tr>
        <w:trPr/>
        <w:tc>
          <w:tcPr>
            <w:tcW w:w="758" w:type="dxa"/>
            <w:tcBorders/>
            <w:vAlign w:val="center"/>
          </w:tcPr>
          <w:p>
            <w:pPr>
              <w:pStyle w:val="ListParagraph"/>
              <w:widowControl/>
              <w:suppressAutoHyphens w:val="true"/>
              <w:spacing w:beforeAutospacing="1" w:after="0"/>
              <w:ind w:left="0"/>
              <w:contextualSpacing/>
              <w:jc w:val="center"/>
              <w:rPr>
                <w:rFonts w:ascii="Arial" w:hAnsi="Arial" w:cs="Arial"/>
                <w:b/>
                <w:bCs/>
                <w:sz w:val="22"/>
                <w:szCs w:val="22"/>
              </w:rPr>
            </w:pPr>
            <w:r>
              <w:rPr>
                <w:rFonts w:cs="Arial" w:ascii="Arial" w:hAnsi="Arial"/>
                <w:b/>
                <w:bCs/>
                <w:kern w:val="0"/>
                <w:sz w:val="22"/>
                <w:szCs w:val="22"/>
                <w:lang w:val="pt-BR" w:bidi="ar-SA"/>
              </w:rPr>
              <w:t>Item</w:t>
            </w:r>
          </w:p>
        </w:tc>
        <w:tc>
          <w:tcPr>
            <w:tcW w:w="4364" w:type="dxa"/>
            <w:tcBorders/>
            <w:vAlign w:val="center"/>
          </w:tcPr>
          <w:p>
            <w:pPr>
              <w:pStyle w:val="ListParagraph"/>
              <w:widowControl/>
              <w:suppressAutoHyphens w:val="true"/>
              <w:spacing w:beforeAutospacing="1" w:after="0"/>
              <w:ind w:left="0"/>
              <w:contextualSpacing/>
              <w:jc w:val="center"/>
              <w:rPr>
                <w:rFonts w:ascii="Arial" w:hAnsi="Arial" w:cs="Arial"/>
                <w:b/>
                <w:bCs/>
                <w:sz w:val="22"/>
                <w:szCs w:val="22"/>
              </w:rPr>
            </w:pPr>
            <w:r>
              <w:rPr>
                <w:rFonts w:cs="Arial" w:ascii="Arial" w:hAnsi="Arial"/>
                <w:b/>
                <w:bCs/>
                <w:kern w:val="0"/>
                <w:sz w:val="22"/>
                <w:szCs w:val="22"/>
                <w:lang w:val="pt-BR" w:bidi="ar-SA"/>
              </w:rPr>
              <w:t>Descrição</w:t>
            </w:r>
          </w:p>
        </w:tc>
        <w:tc>
          <w:tcPr>
            <w:tcW w:w="801" w:type="dxa"/>
            <w:tcBorders/>
            <w:vAlign w:val="center"/>
          </w:tcPr>
          <w:p>
            <w:pPr>
              <w:pStyle w:val="ListParagraph"/>
              <w:widowControl/>
              <w:suppressAutoHyphens w:val="true"/>
              <w:spacing w:beforeAutospacing="1" w:after="0"/>
              <w:ind w:left="0"/>
              <w:contextualSpacing/>
              <w:jc w:val="center"/>
              <w:rPr>
                <w:rFonts w:ascii="Arial" w:hAnsi="Arial" w:cs="Arial"/>
                <w:b/>
                <w:bCs/>
                <w:sz w:val="22"/>
                <w:szCs w:val="22"/>
              </w:rPr>
            </w:pPr>
            <w:r>
              <w:rPr>
                <w:rFonts w:cs="Arial" w:ascii="Arial" w:hAnsi="Arial"/>
                <w:b/>
                <w:bCs/>
                <w:kern w:val="0"/>
                <w:sz w:val="22"/>
                <w:szCs w:val="22"/>
                <w:lang w:val="pt-BR" w:bidi="ar-SA"/>
              </w:rPr>
              <w:t>Unid.</w:t>
            </w:r>
          </w:p>
        </w:tc>
        <w:tc>
          <w:tcPr>
            <w:tcW w:w="910" w:type="dxa"/>
            <w:tcBorders/>
            <w:vAlign w:val="center"/>
          </w:tcPr>
          <w:p>
            <w:pPr>
              <w:pStyle w:val="ListParagraph"/>
              <w:widowControl/>
              <w:suppressAutoHyphens w:val="true"/>
              <w:spacing w:beforeAutospacing="1" w:after="0"/>
              <w:ind w:left="0"/>
              <w:contextualSpacing/>
              <w:jc w:val="center"/>
              <w:rPr>
                <w:rFonts w:ascii="Arial" w:hAnsi="Arial" w:cs="Arial"/>
                <w:b/>
                <w:bCs/>
                <w:sz w:val="22"/>
                <w:szCs w:val="22"/>
              </w:rPr>
            </w:pPr>
            <w:r>
              <w:rPr>
                <w:rFonts w:cs="Arial" w:ascii="Arial" w:hAnsi="Arial"/>
                <w:b/>
                <w:bCs/>
                <w:kern w:val="0"/>
                <w:sz w:val="22"/>
                <w:szCs w:val="22"/>
                <w:lang w:val="pt-BR" w:bidi="ar-SA"/>
              </w:rPr>
              <w:t>Quant.</w:t>
            </w:r>
          </w:p>
        </w:tc>
        <w:tc>
          <w:tcPr>
            <w:tcW w:w="1551" w:type="dxa"/>
            <w:tcBorders/>
            <w:vAlign w:val="center"/>
          </w:tcPr>
          <w:p>
            <w:pPr>
              <w:pStyle w:val="ListParagraph"/>
              <w:widowControl/>
              <w:suppressAutoHyphens w:val="true"/>
              <w:spacing w:beforeAutospacing="1" w:after="0"/>
              <w:ind w:left="0"/>
              <w:contextualSpacing/>
              <w:jc w:val="center"/>
              <w:rPr>
                <w:rFonts w:ascii="Arial" w:hAnsi="Arial" w:cs="Arial"/>
                <w:b/>
                <w:bCs/>
                <w:sz w:val="22"/>
                <w:szCs w:val="22"/>
              </w:rPr>
            </w:pPr>
            <w:r>
              <w:rPr>
                <w:rFonts w:cs="Arial" w:ascii="Arial" w:hAnsi="Arial"/>
                <w:b/>
                <w:bCs/>
                <w:kern w:val="0"/>
                <w:sz w:val="22"/>
                <w:szCs w:val="22"/>
                <w:lang w:val="pt-BR" w:bidi="ar-SA"/>
              </w:rPr>
              <w:t>Valor unitário</w:t>
            </w:r>
          </w:p>
        </w:tc>
        <w:tc>
          <w:tcPr>
            <w:tcW w:w="1538" w:type="dxa"/>
            <w:tcBorders/>
            <w:vAlign w:val="center"/>
          </w:tcPr>
          <w:p>
            <w:pPr>
              <w:pStyle w:val="ListParagraph"/>
              <w:widowControl/>
              <w:suppressAutoHyphens w:val="true"/>
              <w:spacing w:beforeAutospacing="1" w:after="0"/>
              <w:ind w:left="0"/>
              <w:contextualSpacing/>
              <w:jc w:val="center"/>
              <w:rPr>
                <w:rFonts w:ascii="Arial" w:hAnsi="Arial" w:cs="Arial"/>
                <w:b/>
                <w:bCs/>
                <w:sz w:val="22"/>
                <w:szCs w:val="22"/>
              </w:rPr>
            </w:pPr>
            <w:r>
              <w:rPr>
                <w:rFonts w:cs="Arial" w:ascii="Arial" w:hAnsi="Arial"/>
                <w:b/>
                <w:bCs/>
                <w:kern w:val="0"/>
                <w:sz w:val="22"/>
                <w:szCs w:val="22"/>
                <w:lang w:val="pt-BR" w:bidi="ar-SA"/>
              </w:rPr>
              <w:t>Valor total</w:t>
            </w:r>
          </w:p>
        </w:tc>
      </w:tr>
      <w:tr>
        <w:trPr/>
        <w:tc>
          <w:tcPr>
            <w:tcW w:w="758" w:type="dxa"/>
            <w:tcBorders/>
            <w:vAlign w:val="center"/>
          </w:tcPr>
          <w:p>
            <w:pPr>
              <w:pStyle w:val="ListParagraph"/>
              <w:widowControl/>
              <w:suppressAutoHyphens w:val="true"/>
              <w:spacing w:beforeAutospacing="1" w:after="0"/>
              <w:ind w:left="0"/>
              <w:contextualSpacing/>
              <w:jc w:val="center"/>
              <w:rPr>
                <w:rFonts w:ascii="Arial" w:hAnsi="Arial" w:cs="Arial"/>
                <w:sz w:val="22"/>
                <w:szCs w:val="22"/>
              </w:rPr>
            </w:pPr>
            <w:r>
              <w:rPr>
                <w:rFonts w:cs="Arial" w:ascii="Arial" w:hAnsi="Arial"/>
                <w:kern w:val="0"/>
                <w:sz w:val="22"/>
                <w:szCs w:val="22"/>
                <w:lang w:val="pt-BR" w:bidi="ar-SA"/>
              </w:rPr>
              <w:t>01</w:t>
            </w:r>
          </w:p>
        </w:tc>
        <w:tc>
          <w:tcPr>
            <w:tcW w:w="4364" w:type="dxa"/>
            <w:tcBorders/>
            <w:vAlign w:val="center"/>
          </w:tcPr>
          <w:p>
            <w:pPr>
              <w:pStyle w:val="ListParagraph"/>
              <w:widowControl/>
              <w:suppressAutoHyphens w:val="true"/>
              <w:spacing w:beforeAutospacing="1" w:after="0"/>
              <w:ind w:left="0"/>
              <w:contextualSpacing/>
              <w:jc w:val="left"/>
              <w:rPr>
                <w:rFonts w:ascii="Arial" w:hAnsi="Arial" w:cs="Arial"/>
                <w:sz w:val="22"/>
                <w:szCs w:val="22"/>
              </w:rPr>
            </w:pPr>
            <w:r>
              <w:rPr>
                <w:rFonts w:cs="Arial" w:ascii="Arial" w:hAnsi="Arial"/>
                <w:kern w:val="0"/>
                <w:sz w:val="22"/>
                <w:szCs w:val="22"/>
                <w:lang w:val="pt-BR" w:bidi="ar-SA"/>
              </w:rPr>
              <w:t>RECUPERAÇÃO DE TRANSFORMADOR 300 KVA. SUBSTITUIÇÃO DO REGISTRO DE ESGOTAMENTO DE ÓLEO LUBRIFICANTE; ESGOTAMENTO, FILTRAGEM E REPOSIÇÃO DE ÓLEO ATRAVÉS DE BOMBA. FORNECIMENTO E COMPLEMENTO DE 10 LITROS DE ÓLEO BR AV-70</w:t>
            </w:r>
          </w:p>
        </w:tc>
        <w:tc>
          <w:tcPr>
            <w:tcW w:w="801" w:type="dxa"/>
            <w:tcBorders/>
            <w:vAlign w:val="center"/>
          </w:tcPr>
          <w:p>
            <w:pPr>
              <w:pStyle w:val="ListParagraph"/>
              <w:widowControl/>
              <w:suppressAutoHyphens w:val="true"/>
              <w:spacing w:beforeAutospacing="1" w:after="0"/>
              <w:ind w:left="0"/>
              <w:contextualSpacing/>
              <w:jc w:val="center"/>
              <w:rPr>
                <w:rFonts w:ascii="Arial" w:hAnsi="Arial" w:cs="Arial"/>
                <w:sz w:val="22"/>
                <w:szCs w:val="22"/>
              </w:rPr>
            </w:pPr>
            <w:r>
              <w:rPr>
                <w:rFonts w:cs="Arial" w:ascii="Arial" w:hAnsi="Arial"/>
                <w:kern w:val="0"/>
                <w:sz w:val="22"/>
                <w:szCs w:val="22"/>
                <w:lang w:val="pt-BR" w:bidi="ar-SA"/>
              </w:rPr>
              <w:t>UN</w:t>
            </w:r>
          </w:p>
        </w:tc>
        <w:tc>
          <w:tcPr>
            <w:tcW w:w="910" w:type="dxa"/>
            <w:tcBorders/>
            <w:vAlign w:val="center"/>
          </w:tcPr>
          <w:p>
            <w:pPr>
              <w:pStyle w:val="ListParagraph"/>
              <w:widowControl/>
              <w:suppressAutoHyphens w:val="true"/>
              <w:spacing w:beforeAutospacing="1" w:after="0"/>
              <w:ind w:left="0"/>
              <w:contextualSpacing/>
              <w:jc w:val="center"/>
              <w:rPr>
                <w:rFonts w:ascii="Arial" w:hAnsi="Arial" w:cs="Arial"/>
                <w:sz w:val="22"/>
                <w:szCs w:val="22"/>
              </w:rPr>
            </w:pPr>
            <w:r>
              <w:rPr>
                <w:rFonts w:cs="Arial" w:ascii="Arial" w:hAnsi="Arial"/>
                <w:kern w:val="0"/>
                <w:sz w:val="22"/>
                <w:szCs w:val="22"/>
                <w:lang w:val="pt-BR" w:bidi="ar-SA"/>
              </w:rPr>
              <w:t>1</w:t>
            </w:r>
          </w:p>
        </w:tc>
        <w:tc>
          <w:tcPr>
            <w:tcW w:w="1551" w:type="dxa"/>
            <w:tcBorders/>
            <w:vAlign w:val="center"/>
          </w:tcPr>
          <w:p>
            <w:pPr>
              <w:pStyle w:val="ListParagraph"/>
              <w:widowControl/>
              <w:suppressAutoHyphens w:val="true"/>
              <w:spacing w:beforeAutospacing="1" w:after="0"/>
              <w:ind w:left="0"/>
              <w:contextualSpacing/>
              <w:jc w:val="center"/>
              <w:rPr>
                <w:rFonts w:ascii="Arial" w:hAnsi="Arial" w:cs="Arial"/>
                <w:sz w:val="22"/>
                <w:szCs w:val="22"/>
              </w:rPr>
            </w:pPr>
            <w:r>
              <w:rPr>
                <w:rFonts w:cs="Arial" w:ascii="Arial" w:hAnsi="Arial"/>
                <w:kern w:val="0"/>
                <w:sz w:val="22"/>
                <w:szCs w:val="22"/>
                <w:lang w:val="pt-BR" w:bidi="ar-SA"/>
              </w:rPr>
              <w:t>R$ 6093,00</w:t>
            </w:r>
          </w:p>
        </w:tc>
        <w:tc>
          <w:tcPr>
            <w:tcW w:w="1538" w:type="dxa"/>
            <w:tcBorders/>
            <w:vAlign w:val="center"/>
          </w:tcPr>
          <w:p>
            <w:pPr>
              <w:pStyle w:val="ListParagraph"/>
              <w:widowControl/>
              <w:suppressAutoHyphens w:val="true"/>
              <w:spacing w:beforeAutospacing="1" w:after="0"/>
              <w:ind w:left="0"/>
              <w:contextualSpacing/>
              <w:jc w:val="center"/>
              <w:rPr>
                <w:rFonts w:ascii="Arial" w:hAnsi="Arial" w:cs="Arial"/>
                <w:sz w:val="22"/>
                <w:szCs w:val="22"/>
              </w:rPr>
            </w:pPr>
            <w:r>
              <w:rPr>
                <w:rFonts w:cs="Arial" w:ascii="Arial" w:hAnsi="Arial"/>
                <w:kern w:val="0"/>
                <w:sz w:val="22"/>
                <w:szCs w:val="22"/>
                <w:lang w:val="pt-BR" w:bidi="ar-SA"/>
              </w:rPr>
              <w:t>R$ 6093,00</w:t>
            </w:r>
          </w:p>
        </w:tc>
      </w:tr>
    </w:tbl>
    <w:p>
      <w:pPr>
        <w:pStyle w:val="Normal"/>
        <w:spacing w:beforeAutospacing="1" w:afterAutospacing="1"/>
        <w:jc w:val="both"/>
        <w:rPr>
          <w:rFonts w:ascii="Arial" w:hAnsi="Arial" w:cs="Arial"/>
          <w:sz w:val="24"/>
          <w:szCs w:val="24"/>
        </w:rPr>
      </w:pPr>
      <w:r>
        <w:rPr>
          <w:rFonts w:cs="Arial" w:ascii="Arial" w:hAnsi="Arial"/>
          <w:sz w:val="24"/>
          <w:szCs w:val="24"/>
        </w:rPr>
      </w:r>
    </w:p>
    <w:p>
      <w:pPr>
        <w:pStyle w:val="ListParagraph"/>
        <w:numPr>
          <w:ilvl w:val="1"/>
          <w:numId w:val="1"/>
        </w:numPr>
        <w:spacing w:beforeAutospacing="1" w:after="0"/>
        <w:contextualSpacing/>
        <w:jc w:val="both"/>
        <w:rPr>
          <w:rFonts w:ascii="Arial" w:hAnsi="Arial" w:cs="Arial"/>
          <w:sz w:val="24"/>
          <w:szCs w:val="24"/>
        </w:rPr>
      </w:pPr>
      <w:r>
        <w:rPr>
          <w:rFonts w:cs="Arial" w:ascii="Arial" w:hAnsi="Arial"/>
          <w:sz w:val="24"/>
          <w:szCs w:val="24"/>
        </w:rPr>
        <w:t xml:space="preserve">O objeto da licitação é a contratação de serviço técnico especializado para realizar a manutenção corretiva do transformador, que apresenta vazamento de óleo, comprometendo o fornecimento de energia para o tratamento e bombeamento de água. </w:t>
      </w:r>
    </w:p>
    <w:p>
      <w:pPr>
        <w:pStyle w:val="ListParagraph"/>
        <w:spacing w:beforeAutospacing="1" w:afterAutospacing="1"/>
        <w:ind w:left="792"/>
        <w:contextualSpacing/>
        <w:jc w:val="both"/>
        <w:rPr>
          <w:rFonts w:ascii="Arial" w:hAnsi="Arial" w:cs="Arial"/>
          <w:sz w:val="24"/>
          <w:szCs w:val="24"/>
        </w:rPr>
      </w:pPr>
      <w:r>
        <w:rPr>
          <w:rFonts w:cs="Arial" w:ascii="Arial" w:hAnsi="Arial"/>
          <w:sz w:val="24"/>
          <w:szCs w:val="24"/>
        </w:rPr>
      </w:r>
    </w:p>
    <w:p>
      <w:pPr>
        <w:pStyle w:val="ListParagraph"/>
        <w:spacing w:beforeAutospacing="1" w:afterAutospacing="1"/>
        <w:ind w:left="792"/>
        <w:contextualSpacing/>
        <w:jc w:val="both"/>
        <w:rPr>
          <w:rFonts w:ascii="Arial" w:hAnsi="Arial" w:cs="Arial"/>
          <w:sz w:val="24"/>
          <w:szCs w:val="24"/>
        </w:rPr>
      </w:pPr>
      <w:r>
        <w:rPr>
          <w:rFonts w:cs="Arial" w:ascii="Arial" w:hAnsi="Arial"/>
          <w:sz w:val="24"/>
          <w:szCs w:val="24"/>
        </w:rPr>
      </w:r>
    </w:p>
    <w:p>
      <w:pPr>
        <w:pStyle w:val="ListParagraph"/>
        <w:numPr>
          <w:ilvl w:val="0"/>
          <w:numId w:val="1"/>
        </w:numPr>
        <w:spacing w:beforeAutospacing="1" w:after="0"/>
        <w:contextualSpacing/>
        <w:jc w:val="both"/>
        <w:rPr>
          <w:rFonts w:ascii="Arial" w:hAnsi="Arial" w:cs="Arial"/>
          <w:sz w:val="24"/>
          <w:szCs w:val="24"/>
        </w:rPr>
      </w:pPr>
      <w:r>
        <w:rPr>
          <w:rFonts w:cs="Arial" w:ascii="Arial" w:hAnsi="Arial"/>
          <w:b/>
          <w:bCs/>
          <w:sz w:val="24"/>
          <w:szCs w:val="24"/>
        </w:rPr>
        <w:t>FUNDAMENTAÇÃO DA CONTRATAÇÃO</w:t>
      </w:r>
    </w:p>
    <w:p>
      <w:pPr>
        <w:pStyle w:val="ListParagraph"/>
        <w:numPr>
          <w:ilvl w:val="1"/>
          <w:numId w:val="1"/>
        </w:numPr>
        <w:spacing w:before="0" w:afterAutospacing="1"/>
        <w:contextualSpacing/>
        <w:jc w:val="both"/>
        <w:rPr>
          <w:rFonts w:ascii="Arial" w:hAnsi="Arial" w:cs="Arial"/>
          <w:sz w:val="24"/>
          <w:szCs w:val="24"/>
        </w:rPr>
      </w:pPr>
      <w:r>
        <w:rPr>
          <w:rFonts w:cs="Arial" w:ascii="Arial" w:hAnsi="Arial"/>
          <w:sz w:val="24"/>
          <w:szCs w:val="24"/>
        </w:rPr>
        <w:t xml:space="preserve">A fundamentação da contratação encontra-se pormenorizada no Estudo Técnico Preliminar anexo deste Termo de Referência. A necessidade de contratação emergencial é devido ao risco iminente de interrupção do abastecimento de água em toda a cidade, caso o transformador não seja reparado imediatamente. </w:t>
      </w:r>
    </w:p>
    <w:p>
      <w:pPr>
        <w:pStyle w:val="ListParagraph"/>
        <w:spacing w:beforeAutospacing="1" w:afterAutospacing="1"/>
        <w:ind w:left="792"/>
        <w:contextualSpacing/>
        <w:jc w:val="both"/>
        <w:rPr>
          <w:rFonts w:ascii="Arial" w:hAnsi="Arial" w:cs="Arial"/>
          <w:sz w:val="24"/>
          <w:szCs w:val="24"/>
        </w:rPr>
      </w:pPr>
      <w:r>
        <w:rPr>
          <w:rFonts w:cs="Arial" w:ascii="Arial" w:hAnsi="Arial"/>
          <w:sz w:val="24"/>
          <w:szCs w:val="24"/>
        </w:rPr>
      </w:r>
    </w:p>
    <w:p>
      <w:pPr>
        <w:pStyle w:val="ListParagraph"/>
        <w:spacing w:beforeAutospacing="1" w:afterAutospacing="1"/>
        <w:ind w:left="792"/>
        <w:contextualSpacing/>
        <w:jc w:val="both"/>
        <w:rPr>
          <w:rFonts w:ascii="Arial" w:hAnsi="Arial" w:cs="Arial"/>
          <w:sz w:val="24"/>
          <w:szCs w:val="24"/>
        </w:rPr>
      </w:pPr>
      <w:r>
        <w:rPr>
          <w:rFonts w:cs="Arial" w:ascii="Arial" w:hAnsi="Arial"/>
          <w:sz w:val="24"/>
          <w:szCs w:val="24"/>
        </w:rPr>
      </w:r>
    </w:p>
    <w:p>
      <w:pPr>
        <w:pStyle w:val="ListParagraph"/>
        <w:numPr>
          <w:ilvl w:val="0"/>
          <w:numId w:val="1"/>
        </w:numPr>
        <w:spacing w:beforeAutospacing="1" w:after="0"/>
        <w:contextualSpacing/>
        <w:jc w:val="both"/>
        <w:rPr>
          <w:rFonts w:ascii="Arial" w:hAnsi="Arial" w:cs="Arial"/>
          <w:sz w:val="24"/>
          <w:szCs w:val="24"/>
        </w:rPr>
      </w:pPr>
      <w:r>
        <w:rPr>
          <w:rFonts w:cs="Arial" w:ascii="Arial" w:hAnsi="Arial"/>
          <w:b/>
          <w:bCs/>
          <w:sz w:val="24"/>
          <w:szCs w:val="24"/>
        </w:rPr>
        <w:t>DA EXECUÇÃO DOS SERVIÇOS</w:t>
      </w:r>
    </w:p>
    <w:p>
      <w:pPr>
        <w:pStyle w:val="Heading4"/>
        <w:numPr>
          <w:ilvl w:val="0"/>
          <w:numId w:val="0"/>
        </w:numPr>
        <w:spacing w:before="0" w:after="0"/>
        <w:ind w:hanging="0" w:left="851"/>
        <w:contextualSpacing/>
        <w:jc w:val="both"/>
        <w:rPr>
          <w:rFonts w:ascii="Arial" w:hAnsi="Arial" w:cs="Arial"/>
          <w:sz w:val="24"/>
          <w:szCs w:val="24"/>
        </w:rPr>
      </w:pPr>
      <w:r>
        <w:rPr>
          <w:rFonts w:cs="Arial" w:ascii="Arial" w:hAnsi="Arial"/>
          <w:sz w:val="24"/>
          <w:szCs w:val="24"/>
        </w:rPr>
      </w:r>
    </w:p>
    <w:p>
      <w:pPr>
        <w:pStyle w:val="BodyText"/>
        <w:rPr/>
      </w:pPr>
      <w:r>
        <w:rPr>
          <w:rFonts w:ascii="Arial" w:hAnsi="Arial"/>
          <w:sz w:val="24"/>
          <w:szCs w:val="24"/>
        </w:rPr>
        <w:t xml:space="preserve">3.1. </w:t>
      </w:r>
      <w:r>
        <w:rPr>
          <w:rStyle w:val="Strong"/>
          <w:rFonts w:ascii="Arial" w:hAnsi="Arial"/>
          <w:sz w:val="24"/>
          <w:szCs w:val="24"/>
        </w:rPr>
        <w:t>Inspeção do Transformador</w:t>
      </w:r>
    </w:p>
    <w:p>
      <w:pPr>
        <w:pStyle w:val="BodyText"/>
        <w:numPr>
          <w:ilvl w:val="0"/>
          <w:numId w:val="2"/>
        </w:numPr>
        <w:tabs>
          <w:tab w:val="clear" w:pos="708"/>
          <w:tab w:val="left" w:pos="0" w:leader="none"/>
        </w:tabs>
        <w:ind w:hanging="283" w:left="709"/>
        <w:rPr>
          <w:rFonts w:ascii="Arial" w:hAnsi="Arial"/>
          <w:sz w:val="24"/>
          <w:szCs w:val="24"/>
        </w:rPr>
      </w:pPr>
      <w:r>
        <w:rPr>
          <w:rFonts w:ascii="Arial" w:hAnsi="Arial"/>
          <w:sz w:val="24"/>
          <w:szCs w:val="24"/>
        </w:rPr>
        <w:t>Realização de uma inspeção completa no transformador de 300 KVA para identificar todas as necessidades de manutenção.</w:t>
      </w:r>
    </w:p>
    <w:p>
      <w:pPr>
        <w:pStyle w:val="BodyText"/>
        <w:rPr/>
      </w:pPr>
      <w:r>
        <w:rPr>
          <w:rFonts w:ascii="Arial" w:hAnsi="Arial"/>
          <w:sz w:val="24"/>
          <w:szCs w:val="24"/>
        </w:rPr>
        <w:t xml:space="preserve">3.2. </w:t>
      </w:r>
      <w:r>
        <w:rPr>
          <w:rStyle w:val="Strong"/>
          <w:rFonts w:ascii="Arial" w:hAnsi="Arial"/>
          <w:sz w:val="24"/>
          <w:szCs w:val="24"/>
        </w:rPr>
        <w:t>Substituição do Registro de Esgotamento de Óleo Lubrificante</w:t>
      </w:r>
    </w:p>
    <w:p>
      <w:pPr>
        <w:pStyle w:val="BodyText"/>
        <w:numPr>
          <w:ilvl w:val="0"/>
          <w:numId w:val="3"/>
        </w:numPr>
        <w:tabs>
          <w:tab w:val="clear" w:pos="708"/>
          <w:tab w:val="left" w:pos="0" w:leader="none"/>
        </w:tabs>
        <w:spacing w:before="0" w:after="0"/>
        <w:ind w:hanging="283" w:left="709"/>
        <w:rPr>
          <w:rFonts w:ascii="Arial" w:hAnsi="Arial"/>
          <w:sz w:val="24"/>
          <w:szCs w:val="24"/>
        </w:rPr>
      </w:pPr>
      <w:r>
        <w:rPr>
          <w:rFonts w:ascii="Arial" w:hAnsi="Arial"/>
          <w:sz w:val="24"/>
          <w:szCs w:val="24"/>
        </w:rPr>
        <w:t>Remoção do registro de esgotamento defeituoso.</w:t>
      </w:r>
    </w:p>
    <w:p>
      <w:pPr>
        <w:pStyle w:val="BodyText"/>
        <w:numPr>
          <w:ilvl w:val="0"/>
          <w:numId w:val="3"/>
        </w:numPr>
        <w:tabs>
          <w:tab w:val="clear" w:pos="708"/>
          <w:tab w:val="left" w:pos="0" w:leader="none"/>
        </w:tabs>
        <w:ind w:hanging="283" w:left="709"/>
        <w:rPr>
          <w:rFonts w:ascii="Arial" w:hAnsi="Arial"/>
          <w:sz w:val="24"/>
          <w:szCs w:val="24"/>
        </w:rPr>
      </w:pPr>
      <w:r>
        <w:rPr>
          <w:rFonts w:ascii="Arial" w:hAnsi="Arial"/>
          <w:sz w:val="24"/>
          <w:szCs w:val="24"/>
        </w:rPr>
        <w:t>Instalação de um novo registro de esgotamento compatível com as especificações do transformador.</w:t>
      </w:r>
    </w:p>
    <w:p>
      <w:pPr>
        <w:pStyle w:val="BodyText"/>
        <w:rPr/>
      </w:pPr>
      <w:r>
        <w:rPr>
          <w:rFonts w:ascii="Arial" w:hAnsi="Arial"/>
          <w:sz w:val="24"/>
          <w:szCs w:val="24"/>
        </w:rPr>
        <w:t xml:space="preserve">3.3. </w:t>
      </w:r>
      <w:r>
        <w:rPr>
          <w:rStyle w:val="Strong"/>
          <w:rFonts w:ascii="Arial" w:hAnsi="Arial"/>
          <w:sz w:val="24"/>
          <w:szCs w:val="24"/>
        </w:rPr>
        <w:t>Esgotamento e Filtragem do Óleo</w:t>
      </w:r>
    </w:p>
    <w:p>
      <w:pPr>
        <w:pStyle w:val="BodyText"/>
        <w:numPr>
          <w:ilvl w:val="0"/>
          <w:numId w:val="4"/>
        </w:numPr>
        <w:tabs>
          <w:tab w:val="clear" w:pos="708"/>
          <w:tab w:val="left" w:pos="0" w:leader="none"/>
        </w:tabs>
        <w:spacing w:before="0" w:after="0"/>
        <w:ind w:hanging="283" w:left="709"/>
        <w:rPr>
          <w:rFonts w:ascii="Arial" w:hAnsi="Arial"/>
          <w:sz w:val="24"/>
          <w:szCs w:val="24"/>
        </w:rPr>
      </w:pPr>
      <w:r>
        <w:rPr>
          <w:rFonts w:ascii="Arial" w:hAnsi="Arial"/>
          <w:sz w:val="24"/>
          <w:szCs w:val="24"/>
        </w:rPr>
        <w:t>Esgotamento completo do óleo lubrificante do transformador.</w:t>
      </w:r>
    </w:p>
    <w:p>
      <w:pPr>
        <w:pStyle w:val="BodyText"/>
        <w:numPr>
          <w:ilvl w:val="0"/>
          <w:numId w:val="4"/>
        </w:numPr>
        <w:tabs>
          <w:tab w:val="clear" w:pos="708"/>
          <w:tab w:val="left" w:pos="0" w:leader="none"/>
        </w:tabs>
        <w:ind w:hanging="283" w:left="709"/>
        <w:rPr>
          <w:rFonts w:ascii="Arial" w:hAnsi="Arial"/>
          <w:sz w:val="24"/>
          <w:szCs w:val="24"/>
        </w:rPr>
      </w:pPr>
      <w:r>
        <w:rPr>
          <w:rFonts w:ascii="Arial" w:hAnsi="Arial"/>
          <w:sz w:val="24"/>
          <w:szCs w:val="24"/>
        </w:rPr>
        <w:t>Filtragem do óleo retirado para remover impurezas e contaminantes.</w:t>
      </w:r>
    </w:p>
    <w:p>
      <w:pPr>
        <w:pStyle w:val="BodyText"/>
        <w:rPr/>
      </w:pPr>
      <w:r>
        <w:rPr>
          <w:rFonts w:ascii="Arial" w:hAnsi="Arial"/>
          <w:sz w:val="24"/>
          <w:szCs w:val="24"/>
        </w:rPr>
        <w:t xml:space="preserve">3.4. </w:t>
      </w:r>
      <w:r>
        <w:rPr>
          <w:rStyle w:val="Strong"/>
          <w:rFonts w:ascii="Arial" w:hAnsi="Arial"/>
          <w:sz w:val="24"/>
          <w:szCs w:val="24"/>
        </w:rPr>
        <w:t>Reposição do Óleo Lubrificante</w:t>
      </w:r>
    </w:p>
    <w:p>
      <w:pPr>
        <w:pStyle w:val="BodyText"/>
        <w:numPr>
          <w:ilvl w:val="0"/>
          <w:numId w:val="5"/>
        </w:numPr>
        <w:tabs>
          <w:tab w:val="clear" w:pos="708"/>
          <w:tab w:val="left" w:pos="0" w:leader="none"/>
        </w:tabs>
        <w:spacing w:before="0" w:after="0"/>
        <w:ind w:hanging="283" w:left="709"/>
        <w:rPr>
          <w:rFonts w:ascii="Arial" w:hAnsi="Arial"/>
          <w:sz w:val="24"/>
          <w:szCs w:val="24"/>
        </w:rPr>
      </w:pPr>
      <w:r>
        <w:rPr>
          <w:rFonts w:ascii="Arial" w:hAnsi="Arial"/>
          <w:sz w:val="24"/>
          <w:szCs w:val="24"/>
        </w:rPr>
        <w:t>Reposição do óleo lubrificante filtrado no transformador utilizando bomba adequada para garantir a correta distribuição.</w:t>
      </w:r>
    </w:p>
    <w:p>
      <w:pPr>
        <w:pStyle w:val="BodyText"/>
        <w:numPr>
          <w:ilvl w:val="0"/>
          <w:numId w:val="5"/>
        </w:numPr>
        <w:tabs>
          <w:tab w:val="clear" w:pos="708"/>
          <w:tab w:val="left" w:pos="0" w:leader="none"/>
        </w:tabs>
        <w:ind w:hanging="283" w:left="709"/>
        <w:rPr>
          <w:rFonts w:ascii="Arial" w:hAnsi="Arial"/>
          <w:sz w:val="24"/>
          <w:szCs w:val="24"/>
        </w:rPr>
      </w:pPr>
      <w:r>
        <w:rPr>
          <w:rFonts w:ascii="Arial" w:hAnsi="Arial"/>
          <w:sz w:val="24"/>
          <w:szCs w:val="24"/>
        </w:rPr>
        <w:t>Fornecimento e complemento de 10 litros de óleo BR AV-70 para garantir o nível adequado de óleo no transformador.</w:t>
      </w:r>
    </w:p>
    <w:p>
      <w:pPr>
        <w:pStyle w:val="BodyText"/>
        <w:rPr/>
      </w:pPr>
      <w:r>
        <w:rPr>
          <w:rFonts w:ascii="Arial" w:hAnsi="Arial"/>
          <w:sz w:val="24"/>
          <w:szCs w:val="24"/>
        </w:rPr>
        <w:t xml:space="preserve">3.5. </w:t>
      </w:r>
      <w:r>
        <w:rPr>
          <w:rStyle w:val="Strong"/>
          <w:rFonts w:ascii="Arial" w:hAnsi="Arial"/>
          <w:sz w:val="24"/>
          <w:szCs w:val="24"/>
        </w:rPr>
        <w:t>Testes de Funcionamento</w:t>
      </w:r>
    </w:p>
    <w:p>
      <w:pPr>
        <w:pStyle w:val="BodyText"/>
        <w:numPr>
          <w:ilvl w:val="0"/>
          <w:numId w:val="6"/>
        </w:numPr>
        <w:tabs>
          <w:tab w:val="clear" w:pos="708"/>
          <w:tab w:val="left" w:pos="0" w:leader="none"/>
        </w:tabs>
        <w:spacing w:before="0" w:after="0"/>
        <w:ind w:hanging="283" w:left="709"/>
        <w:rPr>
          <w:rFonts w:ascii="Arial" w:hAnsi="Arial"/>
          <w:sz w:val="24"/>
          <w:szCs w:val="24"/>
        </w:rPr>
      </w:pPr>
      <w:r>
        <w:rPr>
          <w:rFonts w:ascii="Arial" w:hAnsi="Arial"/>
          <w:sz w:val="24"/>
          <w:szCs w:val="24"/>
        </w:rPr>
        <w:t>Realização de testes de funcionamento do transformador após a manutenção para garantir que todos os sistemas estão operando corretamente.</w:t>
      </w:r>
    </w:p>
    <w:p>
      <w:pPr>
        <w:pStyle w:val="BodyText"/>
        <w:numPr>
          <w:ilvl w:val="0"/>
          <w:numId w:val="6"/>
        </w:numPr>
        <w:tabs>
          <w:tab w:val="clear" w:pos="708"/>
          <w:tab w:val="left" w:pos="0" w:leader="none"/>
        </w:tabs>
        <w:ind w:hanging="283" w:left="709"/>
        <w:rPr>
          <w:rFonts w:ascii="Arial" w:hAnsi="Arial"/>
          <w:sz w:val="24"/>
          <w:szCs w:val="24"/>
        </w:rPr>
      </w:pPr>
      <w:r>
        <w:rPr>
          <w:rFonts w:ascii="Arial" w:hAnsi="Arial"/>
          <w:sz w:val="24"/>
          <w:szCs w:val="24"/>
        </w:rPr>
        <w:t>Verificação de ausência de vazamentos e funcionamento seguro do equipamento.</w:t>
      </w:r>
    </w:p>
    <w:p>
      <w:pPr>
        <w:pStyle w:val="BodyText"/>
        <w:rPr/>
      </w:pPr>
      <w:r>
        <w:rPr>
          <w:rFonts w:ascii="Arial" w:hAnsi="Arial"/>
          <w:sz w:val="24"/>
          <w:szCs w:val="24"/>
        </w:rPr>
        <w:t xml:space="preserve">3.6. </w:t>
      </w:r>
      <w:r>
        <w:rPr>
          <w:rStyle w:val="Strong"/>
          <w:rFonts w:ascii="Arial" w:hAnsi="Arial"/>
          <w:sz w:val="24"/>
          <w:szCs w:val="24"/>
        </w:rPr>
        <w:t>Relatório Detalhado</w:t>
      </w:r>
    </w:p>
    <w:p>
      <w:pPr>
        <w:pStyle w:val="BodyText"/>
        <w:numPr>
          <w:ilvl w:val="0"/>
          <w:numId w:val="7"/>
        </w:numPr>
        <w:tabs>
          <w:tab w:val="clear" w:pos="708"/>
          <w:tab w:val="left" w:pos="0" w:leader="none"/>
        </w:tabs>
        <w:ind w:hanging="283" w:left="709"/>
        <w:rPr>
          <w:rFonts w:ascii="Arial" w:hAnsi="Arial"/>
          <w:sz w:val="24"/>
          <w:szCs w:val="24"/>
        </w:rPr>
      </w:pPr>
      <w:r>
        <w:rPr>
          <w:rFonts w:ascii="Arial" w:hAnsi="Arial"/>
          <w:sz w:val="24"/>
          <w:szCs w:val="24"/>
        </w:rPr>
        <w:t>Fornecimento de um relatório detalhado contendo todas as ações realizadas, os resultados dos testes de funcionamento e recomendações para futuras manutenções preventivas.</w:t>
      </w:r>
    </w:p>
    <w:p>
      <w:pPr>
        <w:pStyle w:val="ListParagraph"/>
        <w:numPr>
          <w:ilvl w:val="0"/>
          <w:numId w:val="0"/>
        </w:numPr>
        <w:spacing w:before="0" w:after="0"/>
        <w:ind w:hanging="0" w:left="851"/>
        <w:contextualSpacing/>
        <w:jc w:val="both"/>
        <w:rPr>
          <w:rFonts w:ascii="Arial" w:hAnsi="Arial" w:cs="Arial"/>
          <w:sz w:val="24"/>
          <w:szCs w:val="24"/>
        </w:rPr>
      </w:pPr>
      <w:r>
        <w:rPr>
          <w:rFonts w:cs="Arial" w:ascii="Arial" w:hAnsi="Arial"/>
          <w:sz w:val="24"/>
          <w:szCs w:val="24"/>
        </w:rPr>
      </w:r>
    </w:p>
    <w:p>
      <w:pPr>
        <w:pStyle w:val="ListParagraph"/>
        <w:numPr>
          <w:ilvl w:val="0"/>
          <w:numId w:val="1"/>
        </w:numPr>
        <w:spacing w:beforeAutospacing="1" w:afterAutospacing="1"/>
        <w:contextualSpacing/>
        <w:jc w:val="both"/>
        <w:rPr>
          <w:rFonts w:ascii="Arial" w:hAnsi="Arial" w:cs="Arial"/>
          <w:sz w:val="24"/>
          <w:szCs w:val="24"/>
        </w:rPr>
      </w:pPr>
      <w:r>
        <w:rPr>
          <w:rFonts w:cs="Arial" w:ascii="Arial" w:hAnsi="Arial"/>
          <w:b/>
          <w:bCs/>
          <w:sz w:val="24"/>
          <w:szCs w:val="24"/>
        </w:rPr>
        <w:t>CRITÉRIOS DE HABILITAÇÃO.</w:t>
      </w:r>
    </w:p>
    <w:p>
      <w:pPr>
        <w:pStyle w:val="BodyText"/>
        <w:spacing w:beforeAutospacing="1" w:afterAutospacing="1"/>
        <w:ind w:left="360"/>
        <w:contextualSpacing/>
        <w:jc w:val="both"/>
        <w:rPr/>
      </w:pPr>
      <w:r>
        <w:rPr>
          <w:rFonts w:cs="Arial" w:ascii="Arial" w:hAnsi="Arial"/>
          <w:sz w:val="24"/>
          <w:szCs w:val="24"/>
        </w:rPr>
        <w:t xml:space="preserve">4.1. </w:t>
      </w:r>
      <w:r>
        <w:rPr>
          <w:rStyle w:val="Strong"/>
          <w:rFonts w:cs="Arial" w:ascii="Arial" w:hAnsi="Arial"/>
          <w:sz w:val="24"/>
          <w:szCs w:val="24"/>
        </w:rPr>
        <w:t>Habilitação Jurídica</w:t>
      </w:r>
      <w:r>
        <w:rPr>
          <w:rFonts w:cs="Arial" w:ascii="Arial" w:hAnsi="Arial"/>
          <w:sz w:val="24"/>
          <w:szCs w:val="24"/>
        </w:rPr>
        <w:t xml:space="preserve"> (art. 66 da Lei nº 14.133/2021)</w:t>
      </w:r>
    </w:p>
    <w:p>
      <w:pPr>
        <w:pStyle w:val="BodyText"/>
        <w:numPr>
          <w:ilvl w:val="0"/>
          <w:numId w:val="8"/>
        </w:numPr>
        <w:tabs>
          <w:tab w:val="clear" w:pos="708"/>
          <w:tab w:val="left" w:pos="0" w:leader="none"/>
        </w:tabs>
        <w:spacing w:before="0" w:after="0"/>
        <w:ind w:hanging="283" w:left="709"/>
        <w:rPr>
          <w:rFonts w:ascii="Arial" w:hAnsi="Arial"/>
          <w:sz w:val="24"/>
          <w:szCs w:val="24"/>
        </w:rPr>
      </w:pPr>
      <w:r>
        <w:rPr>
          <w:rFonts w:ascii="Arial" w:hAnsi="Arial"/>
          <w:sz w:val="24"/>
          <w:szCs w:val="24"/>
        </w:rPr>
        <w:t>Comprovação de inscrição no Cadastro Nacional de Pessoas Jurídicas do Ministério da Fazenda (CNPJ).</w:t>
      </w:r>
    </w:p>
    <w:p>
      <w:pPr>
        <w:pStyle w:val="BodyText"/>
        <w:numPr>
          <w:ilvl w:val="0"/>
          <w:numId w:val="8"/>
        </w:numPr>
        <w:tabs>
          <w:tab w:val="clear" w:pos="708"/>
          <w:tab w:val="left" w:pos="0" w:leader="none"/>
        </w:tabs>
        <w:spacing w:before="0" w:after="0"/>
        <w:ind w:hanging="283" w:left="709"/>
        <w:rPr>
          <w:rFonts w:ascii="Arial" w:hAnsi="Arial"/>
          <w:sz w:val="24"/>
          <w:szCs w:val="24"/>
        </w:rPr>
      </w:pPr>
      <w:r>
        <w:rPr>
          <w:rFonts w:ascii="Arial" w:hAnsi="Arial"/>
          <w:sz w:val="24"/>
          <w:szCs w:val="24"/>
        </w:rPr>
        <w:t>Prova de inscrição no cadastro de contribuintes estadual e/ou municipal, se houver, relativo ao domicílio ou sede da empresa, pertinente ao seu ramo de atividade e compatível com o objeto contratual.</w:t>
      </w:r>
    </w:p>
    <w:p>
      <w:pPr>
        <w:pStyle w:val="BodyText"/>
        <w:numPr>
          <w:ilvl w:val="0"/>
          <w:numId w:val="8"/>
        </w:numPr>
        <w:tabs>
          <w:tab w:val="clear" w:pos="708"/>
          <w:tab w:val="left" w:pos="0" w:leader="none"/>
        </w:tabs>
        <w:spacing w:before="0" w:after="0"/>
        <w:ind w:hanging="283" w:left="709"/>
        <w:rPr>
          <w:rFonts w:ascii="Arial" w:hAnsi="Arial"/>
          <w:sz w:val="24"/>
          <w:szCs w:val="24"/>
        </w:rPr>
      </w:pPr>
      <w:r>
        <w:rPr>
          <w:rFonts w:ascii="Arial" w:hAnsi="Arial"/>
          <w:sz w:val="24"/>
          <w:szCs w:val="24"/>
        </w:rPr>
        <w:t>Prova de regularidade para com as Fazendas Federal, Estadual e Municipal do domicílio ou sede da empresa, ou outra equivalente na forma da lei.</w:t>
      </w:r>
    </w:p>
    <w:p>
      <w:pPr>
        <w:pStyle w:val="BodyText"/>
        <w:numPr>
          <w:ilvl w:val="0"/>
          <w:numId w:val="8"/>
        </w:numPr>
        <w:tabs>
          <w:tab w:val="clear" w:pos="708"/>
          <w:tab w:val="left" w:pos="0" w:leader="none"/>
        </w:tabs>
        <w:spacing w:before="0" w:after="0"/>
        <w:ind w:hanging="283" w:left="709"/>
        <w:rPr>
          <w:rFonts w:ascii="Arial" w:hAnsi="Arial"/>
          <w:sz w:val="24"/>
          <w:szCs w:val="24"/>
        </w:rPr>
      </w:pPr>
      <w:r>
        <w:rPr>
          <w:rFonts w:ascii="Arial" w:hAnsi="Arial"/>
          <w:sz w:val="24"/>
          <w:szCs w:val="24"/>
        </w:rPr>
        <w:t>Prova de regularidade relativa à Seguridade Social e ao FGTS que demonstre cumprimento dos encargos sociais instituídos por lei.</w:t>
      </w:r>
    </w:p>
    <w:p>
      <w:pPr>
        <w:pStyle w:val="BodyText"/>
        <w:numPr>
          <w:ilvl w:val="0"/>
          <w:numId w:val="8"/>
        </w:numPr>
        <w:tabs>
          <w:tab w:val="clear" w:pos="708"/>
          <w:tab w:val="left" w:pos="0" w:leader="none"/>
        </w:tabs>
        <w:spacing w:before="0" w:after="0"/>
        <w:ind w:hanging="283" w:left="709"/>
        <w:rPr>
          <w:rFonts w:ascii="Arial" w:hAnsi="Arial"/>
          <w:sz w:val="24"/>
          <w:szCs w:val="24"/>
        </w:rPr>
      </w:pPr>
      <w:r>
        <w:rPr>
          <w:rFonts w:ascii="Arial" w:hAnsi="Arial"/>
          <w:sz w:val="24"/>
          <w:szCs w:val="24"/>
        </w:rPr>
        <w:t>Prova de regularidade perante a Justiça do Trabalho.</w:t>
      </w:r>
    </w:p>
    <w:p>
      <w:pPr>
        <w:pStyle w:val="BodyText"/>
        <w:numPr>
          <w:ilvl w:val="0"/>
          <w:numId w:val="8"/>
        </w:numPr>
        <w:tabs>
          <w:tab w:val="clear" w:pos="708"/>
          <w:tab w:val="left" w:pos="0" w:leader="none"/>
        </w:tabs>
        <w:ind w:hanging="283" w:left="709"/>
        <w:rPr>
          <w:rFonts w:ascii="Arial" w:hAnsi="Arial"/>
          <w:sz w:val="24"/>
          <w:szCs w:val="24"/>
        </w:rPr>
      </w:pPr>
      <w:r>
        <w:rPr>
          <w:rFonts w:ascii="Arial" w:hAnsi="Arial"/>
          <w:sz w:val="24"/>
          <w:szCs w:val="24"/>
        </w:rPr>
        <w:t>Prova de cumprimento ao inciso XXXIII do art. 7º da Constituição Federal.</w:t>
      </w:r>
    </w:p>
    <w:p>
      <w:pPr>
        <w:pStyle w:val="BodyText"/>
        <w:rPr/>
      </w:pPr>
      <w:r>
        <w:rPr>
          <w:rFonts w:ascii="Arial" w:hAnsi="Arial"/>
          <w:sz w:val="24"/>
          <w:szCs w:val="24"/>
        </w:rPr>
        <w:t xml:space="preserve"> </w:t>
      </w:r>
      <w:r>
        <w:rPr>
          <w:rFonts w:ascii="Arial" w:hAnsi="Arial"/>
          <w:sz w:val="24"/>
          <w:szCs w:val="24"/>
        </w:rPr>
        <w:t xml:space="preserve">4.2. </w:t>
      </w:r>
      <w:r>
        <w:rPr>
          <w:rStyle w:val="Strong"/>
          <w:rFonts w:ascii="Arial" w:hAnsi="Arial"/>
          <w:sz w:val="24"/>
          <w:szCs w:val="24"/>
        </w:rPr>
        <w:t>Habilitação Fiscal, Social e Trabalhista</w:t>
      </w:r>
      <w:r>
        <w:rPr>
          <w:rFonts w:ascii="Arial" w:hAnsi="Arial"/>
          <w:sz w:val="24"/>
          <w:szCs w:val="24"/>
        </w:rPr>
        <w:t xml:space="preserve"> (art. 68 da Lei nº 14.133/2021)</w:t>
      </w:r>
    </w:p>
    <w:p>
      <w:pPr>
        <w:pStyle w:val="BodyText"/>
        <w:numPr>
          <w:ilvl w:val="0"/>
          <w:numId w:val="9"/>
        </w:numPr>
        <w:tabs>
          <w:tab w:val="clear" w:pos="708"/>
          <w:tab w:val="left" w:pos="0" w:leader="none"/>
        </w:tabs>
        <w:spacing w:before="0" w:after="0"/>
        <w:ind w:hanging="283" w:left="709"/>
        <w:rPr>
          <w:rFonts w:ascii="Arial" w:hAnsi="Arial"/>
          <w:sz w:val="24"/>
          <w:szCs w:val="24"/>
        </w:rPr>
      </w:pPr>
      <w:r>
        <w:rPr>
          <w:rFonts w:ascii="Arial" w:hAnsi="Arial"/>
          <w:sz w:val="24"/>
          <w:szCs w:val="24"/>
        </w:rPr>
        <w:t>Prova de inscrição no Cadastro Nacional de Pessoas Jurídicas do Ministério da Fazenda (CNPJ).</w:t>
      </w:r>
    </w:p>
    <w:p>
      <w:pPr>
        <w:pStyle w:val="BodyText"/>
        <w:numPr>
          <w:ilvl w:val="0"/>
          <w:numId w:val="9"/>
        </w:numPr>
        <w:tabs>
          <w:tab w:val="clear" w:pos="708"/>
          <w:tab w:val="left" w:pos="0" w:leader="none"/>
        </w:tabs>
        <w:spacing w:before="0" w:after="0"/>
        <w:ind w:hanging="283" w:left="709"/>
        <w:rPr>
          <w:rFonts w:ascii="Arial" w:hAnsi="Arial"/>
          <w:sz w:val="24"/>
          <w:szCs w:val="24"/>
        </w:rPr>
      </w:pPr>
      <w:r>
        <w:rPr>
          <w:rFonts w:ascii="Arial" w:hAnsi="Arial"/>
          <w:sz w:val="24"/>
          <w:szCs w:val="24"/>
        </w:rPr>
        <w:t>Prova de inscrição no cadastro de contribuintes estadual e/ou municipal, se houver, relativo ao domicílio ou sede da empresa, pertinente ao seu ramo de atividade e compatível com o objeto contratual.</w:t>
      </w:r>
    </w:p>
    <w:p>
      <w:pPr>
        <w:pStyle w:val="BodyText"/>
        <w:numPr>
          <w:ilvl w:val="0"/>
          <w:numId w:val="9"/>
        </w:numPr>
        <w:tabs>
          <w:tab w:val="clear" w:pos="708"/>
          <w:tab w:val="left" w:pos="0" w:leader="none"/>
        </w:tabs>
        <w:spacing w:before="0" w:after="0"/>
        <w:ind w:hanging="283" w:left="709"/>
        <w:rPr>
          <w:rFonts w:ascii="Arial" w:hAnsi="Arial"/>
          <w:sz w:val="24"/>
          <w:szCs w:val="24"/>
        </w:rPr>
      </w:pPr>
      <w:r>
        <w:rPr>
          <w:rFonts w:ascii="Arial" w:hAnsi="Arial"/>
          <w:sz w:val="24"/>
          <w:szCs w:val="24"/>
        </w:rPr>
        <w:t>Prova de regularidade para com as Fazendas Federal, Estadual e Municipal do domicílio ou sede da empresa ou outra equivalente na forma da lei.</w:t>
      </w:r>
    </w:p>
    <w:p>
      <w:pPr>
        <w:pStyle w:val="BodyText"/>
        <w:numPr>
          <w:ilvl w:val="0"/>
          <w:numId w:val="9"/>
        </w:numPr>
        <w:tabs>
          <w:tab w:val="clear" w:pos="708"/>
          <w:tab w:val="left" w:pos="0" w:leader="none"/>
        </w:tabs>
        <w:spacing w:before="0" w:after="0"/>
        <w:ind w:hanging="283" w:left="709"/>
        <w:rPr>
          <w:rFonts w:ascii="Arial" w:hAnsi="Arial"/>
          <w:sz w:val="24"/>
          <w:szCs w:val="24"/>
        </w:rPr>
      </w:pPr>
      <w:r>
        <w:rPr>
          <w:rFonts w:ascii="Arial" w:hAnsi="Arial"/>
          <w:sz w:val="24"/>
          <w:szCs w:val="24"/>
        </w:rPr>
        <w:t>Prova de regularidade relativa à Seguridade Social e ao FGTS que demonstre cumprimento dos encargos sociais instituídos por lei.</w:t>
      </w:r>
    </w:p>
    <w:p>
      <w:pPr>
        <w:pStyle w:val="BodyText"/>
        <w:numPr>
          <w:ilvl w:val="0"/>
          <w:numId w:val="9"/>
        </w:numPr>
        <w:tabs>
          <w:tab w:val="clear" w:pos="708"/>
          <w:tab w:val="left" w:pos="0" w:leader="none"/>
        </w:tabs>
        <w:spacing w:before="0" w:after="0"/>
        <w:ind w:hanging="283" w:left="709"/>
        <w:rPr>
          <w:rFonts w:ascii="Arial" w:hAnsi="Arial"/>
          <w:sz w:val="24"/>
          <w:szCs w:val="24"/>
        </w:rPr>
      </w:pPr>
      <w:r>
        <w:rPr>
          <w:rFonts w:ascii="Arial" w:hAnsi="Arial"/>
          <w:sz w:val="24"/>
          <w:szCs w:val="24"/>
        </w:rPr>
        <w:t>Prova de regularidade perante a Justiça do Trabalho.</w:t>
      </w:r>
    </w:p>
    <w:p>
      <w:pPr>
        <w:pStyle w:val="BodyText"/>
        <w:numPr>
          <w:ilvl w:val="0"/>
          <w:numId w:val="9"/>
        </w:numPr>
        <w:tabs>
          <w:tab w:val="clear" w:pos="708"/>
          <w:tab w:val="left" w:pos="0" w:leader="none"/>
        </w:tabs>
        <w:ind w:hanging="283" w:left="709"/>
        <w:rPr>
          <w:rFonts w:ascii="Arial" w:hAnsi="Arial"/>
          <w:sz w:val="24"/>
          <w:szCs w:val="24"/>
        </w:rPr>
      </w:pPr>
      <w:r>
        <w:rPr>
          <w:rFonts w:ascii="Arial" w:hAnsi="Arial"/>
          <w:sz w:val="24"/>
          <w:szCs w:val="24"/>
        </w:rPr>
        <w:t>Prova de cumprimento ao inciso XXXIII do art. 7º da Constituição Federal.</w:t>
      </w:r>
    </w:p>
    <w:p>
      <w:pPr>
        <w:pStyle w:val="BodyText"/>
        <w:rPr/>
      </w:pPr>
      <w:r>
        <w:rPr>
          <w:rFonts w:ascii="Arial" w:hAnsi="Arial"/>
          <w:sz w:val="24"/>
          <w:szCs w:val="24"/>
        </w:rPr>
        <w:t xml:space="preserve">4.3. </w:t>
      </w:r>
      <w:r>
        <w:rPr>
          <w:rStyle w:val="Strong"/>
          <w:rFonts w:ascii="Arial" w:hAnsi="Arial"/>
          <w:sz w:val="24"/>
          <w:szCs w:val="24"/>
        </w:rPr>
        <w:t>Qualificação Técnica</w:t>
      </w:r>
      <w:r>
        <w:rPr>
          <w:rFonts w:ascii="Arial" w:hAnsi="Arial"/>
          <w:sz w:val="24"/>
          <w:szCs w:val="24"/>
        </w:rPr>
        <w:t xml:space="preserve"> (art. 67 da Lei nº 14.133/2021)</w:t>
      </w:r>
    </w:p>
    <w:p>
      <w:pPr>
        <w:pStyle w:val="BodyText"/>
        <w:numPr>
          <w:ilvl w:val="0"/>
          <w:numId w:val="10"/>
        </w:numPr>
        <w:tabs>
          <w:tab w:val="clear" w:pos="708"/>
          <w:tab w:val="left" w:pos="0" w:leader="none"/>
        </w:tabs>
        <w:spacing w:before="0" w:after="0"/>
        <w:ind w:hanging="283" w:left="709"/>
        <w:rPr>
          <w:rFonts w:ascii="Arial" w:hAnsi="Arial"/>
          <w:sz w:val="24"/>
          <w:szCs w:val="24"/>
        </w:rPr>
      </w:pPr>
      <w:r>
        <w:rPr>
          <w:rFonts w:ascii="Arial" w:hAnsi="Arial"/>
          <w:sz w:val="24"/>
          <w:szCs w:val="24"/>
        </w:rPr>
        <w:t>Comprovação de experiência comprovada em manutenção de transformadores de grande porte, com apresentação de atestados de capacidade técnica emitidos por pessoas jurídicas de direito público ou privado.</w:t>
      </w:r>
    </w:p>
    <w:p>
      <w:pPr>
        <w:pStyle w:val="BodyText"/>
        <w:numPr>
          <w:ilvl w:val="0"/>
          <w:numId w:val="10"/>
        </w:numPr>
        <w:tabs>
          <w:tab w:val="clear" w:pos="708"/>
          <w:tab w:val="left" w:pos="0" w:leader="none"/>
        </w:tabs>
        <w:spacing w:before="0" w:after="0"/>
        <w:ind w:hanging="283" w:left="709"/>
        <w:rPr>
          <w:rFonts w:ascii="Arial" w:hAnsi="Arial"/>
          <w:sz w:val="24"/>
          <w:szCs w:val="24"/>
        </w:rPr>
      </w:pPr>
      <w:r>
        <w:rPr>
          <w:rFonts w:ascii="Arial" w:hAnsi="Arial"/>
          <w:sz w:val="24"/>
          <w:szCs w:val="24"/>
        </w:rPr>
        <w:t>Comprovação de que a empresa possui equipe técnica qualificada, incluindo profissionais com experiência em manutenção de transformadores.</w:t>
      </w:r>
    </w:p>
    <w:p>
      <w:pPr>
        <w:pStyle w:val="BodyText"/>
        <w:numPr>
          <w:ilvl w:val="0"/>
          <w:numId w:val="10"/>
        </w:numPr>
        <w:tabs>
          <w:tab w:val="clear" w:pos="708"/>
          <w:tab w:val="left" w:pos="0" w:leader="none"/>
        </w:tabs>
        <w:ind w:hanging="283" w:left="709"/>
        <w:rPr>
          <w:rFonts w:ascii="Arial" w:hAnsi="Arial"/>
          <w:sz w:val="24"/>
          <w:szCs w:val="24"/>
        </w:rPr>
      </w:pPr>
      <w:r>
        <w:rPr>
          <w:rFonts w:ascii="Arial" w:hAnsi="Arial"/>
          <w:sz w:val="24"/>
          <w:szCs w:val="24"/>
        </w:rPr>
        <w:t>Apresentação de relatório detalhado dos serviços similares já realizados, demonstrando a capacidade técnica e operacional da empresa.</w:t>
      </w:r>
    </w:p>
    <w:p>
      <w:pPr>
        <w:pStyle w:val="BodyText"/>
        <w:rPr/>
      </w:pPr>
      <w:r>
        <w:rPr>
          <w:rFonts w:ascii="Arial" w:hAnsi="Arial"/>
          <w:sz w:val="24"/>
          <w:szCs w:val="24"/>
        </w:rPr>
        <w:t xml:space="preserve">4.4. </w:t>
      </w:r>
      <w:r>
        <w:rPr>
          <w:rStyle w:val="Strong"/>
          <w:rFonts w:ascii="Arial" w:hAnsi="Arial"/>
          <w:sz w:val="24"/>
          <w:szCs w:val="24"/>
        </w:rPr>
        <w:t>Qualificação Econômico-Financeira</w:t>
      </w:r>
      <w:r>
        <w:rPr>
          <w:rFonts w:ascii="Arial" w:hAnsi="Arial"/>
          <w:sz w:val="24"/>
          <w:szCs w:val="24"/>
        </w:rPr>
        <w:t xml:space="preserve"> (art. 69 da Lei nº 14.133/2021)</w:t>
      </w:r>
    </w:p>
    <w:p>
      <w:pPr>
        <w:pStyle w:val="BodyText"/>
        <w:numPr>
          <w:ilvl w:val="0"/>
          <w:numId w:val="11"/>
        </w:numPr>
        <w:tabs>
          <w:tab w:val="clear" w:pos="708"/>
          <w:tab w:val="left" w:pos="0" w:leader="none"/>
        </w:tabs>
        <w:ind w:hanging="283" w:left="709"/>
        <w:rPr>
          <w:rFonts w:ascii="Arial" w:hAnsi="Arial"/>
          <w:sz w:val="24"/>
          <w:szCs w:val="24"/>
        </w:rPr>
      </w:pPr>
      <w:r>
        <w:rPr>
          <w:rFonts w:ascii="Arial" w:hAnsi="Arial"/>
          <w:sz w:val="24"/>
          <w:szCs w:val="24"/>
        </w:rPr>
        <w:t>Certidão negativa de feitos sobre falência expedida pelo distribuidor da sede da empresa. Caso a empresa esteja em recuperação judicial ou extrajudicial, deverá ser comprovado o acolhimento do plano de recuperação judicial ou a homologação do plano de recuperação extrajudicial, conforme o caso. Referido Plano deverá ser apresentado junto da documentação de habilitação.</w:t>
      </w:r>
    </w:p>
    <w:p>
      <w:pPr>
        <w:pStyle w:val="ListParagraph"/>
        <w:numPr>
          <w:ilvl w:val="0"/>
          <w:numId w:val="0"/>
        </w:numPr>
        <w:ind w:hanging="0" w:left="792"/>
        <w:jc w:val="left"/>
        <w:rPr>
          <w:rFonts w:ascii="Arial" w:hAnsi="Arial" w:cs="Arial"/>
          <w:b/>
          <w:bCs/>
          <w:sz w:val="24"/>
          <w:szCs w:val="24"/>
        </w:rPr>
      </w:pPr>
      <w:r>
        <w:rPr>
          <w:rFonts w:cs="Arial" w:ascii="Arial" w:hAnsi="Arial"/>
          <w:b/>
          <w:bCs/>
          <w:sz w:val="24"/>
          <w:szCs w:val="24"/>
        </w:rPr>
      </w:r>
    </w:p>
    <w:p>
      <w:pPr>
        <w:pStyle w:val="ListParagraph"/>
        <w:numPr>
          <w:ilvl w:val="0"/>
          <w:numId w:val="0"/>
        </w:numPr>
        <w:ind w:hanging="0" w:left="792"/>
        <w:jc w:val="left"/>
        <w:rPr>
          <w:rFonts w:ascii="Arial" w:hAnsi="Arial" w:cs="Arial"/>
          <w:b/>
          <w:bCs/>
          <w:sz w:val="24"/>
          <w:szCs w:val="24"/>
        </w:rPr>
      </w:pPr>
      <w:r>
        <w:rPr>
          <w:rFonts w:cs="Arial" w:ascii="Arial" w:hAnsi="Arial"/>
          <w:b/>
          <w:bCs/>
          <w:sz w:val="24"/>
          <w:szCs w:val="24"/>
        </w:rPr>
        <w:t>4.5 Documentação complementar</w:t>
      </w:r>
    </w:p>
    <w:p>
      <w:pPr>
        <w:pStyle w:val="ListParagraph"/>
        <w:numPr>
          <w:ilvl w:val="0"/>
          <w:numId w:val="0"/>
        </w:numPr>
        <w:ind w:hanging="0" w:left="1224"/>
        <w:jc w:val="both"/>
        <w:rPr>
          <w:rFonts w:ascii="Arial" w:hAnsi="Arial" w:cs="Arial"/>
          <w:sz w:val="24"/>
          <w:szCs w:val="24"/>
        </w:rPr>
      </w:pPr>
      <w:r>
        <w:rPr>
          <w:rFonts w:cs="Arial" w:ascii="Arial" w:hAnsi="Arial"/>
          <w:sz w:val="24"/>
          <w:szCs w:val="24"/>
        </w:rPr>
        <w:t>4.5.1 Declaração, elaborada em papel timbrado e subscrita por seu representante legal de que, no exercício de suas atividades, não viola o disposto no inciso XXXIII do art. 7º da Constituição Federal - proibição de trabalho noturno, perigoso ou insalubre a menores de dezoito e de qualquer trabalho a menores de dezesseis anos, salvo na condição de aprendiz, a partir dos quatorze anos.</w:t>
      </w:r>
    </w:p>
    <w:p>
      <w:pPr>
        <w:pStyle w:val="ListParagraph"/>
        <w:ind w:left="1224"/>
        <w:jc w:val="both"/>
        <w:rPr>
          <w:rFonts w:ascii="Arial" w:hAnsi="Arial" w:cs="Arial"/>
          <w:sz w:val="24"/>
          <w:szCs w:val="24"/>
        </w:rPr>
      </w:pPr>
      <w:r>
        <w:rPr>
          <w:rFonts w:cs="Arial" w:ascii="Arial" w:hAnsi="Arial"/>
          <w:sz w:val="24"/>
          <w:szCs w:val="24"/>
        </w:rPr>
      </w:r>
    </w:p>
    <w:p>
      <w:pPr>
        <w:pStyle w:val="ListParagraph"/>
        <w:spacing w:beforeAutospacing="1" w:afterAutospacing="1"/>
        <w:ind w:left="1224"/>
        <w:contextualSpacing/>
        <w:jc w:val="both"/>
        <w:rPr>
          <w:rFonts w:ascii="Arial" w:hAnsi="Arial" w:cs="Arial"/>
          <w:sz w:val="24"/>
          <w:szCs w:val="24"/>
        </w:rPr>
      </w:pPr>
      <w:r>
        <w:rPr>
          <w:rFonts w:cs="Arial" w:ascii="Arial" w:hAnsi="Arial"/>
          <w:sz w:val="24"/>
          <w:szCs w:val="24"/>
        </w:rPr>
      </w:r>
    </w:p>
    <w:p>
      <w:pPr>
        <w:pStyle w:val="ListParagraph"/>
        <w:numPr>
          <w:ilvl w:val="0"/>
          <w:numId w:val="1"/>
        </w:numPr>
        <w:spacing w:beforeAutospacing="1" w:after="0"/>
        <w:contextualSpacing/>
        <w:jc w:val="both"/>
        <w:rPr>
          <w:rFonts w:ascii="Arial" w:hAnsi="Arial" w:cs="Arial"/>
          <w:b/>
          <w:bCs/>
          <w:sz w:val="24"/>
          <w:szCs w:val="24"/>
        </w:rPr>
      </w:pPr>
      <w:r>
        <w:rPr>
          <w:rFonts w:cs="Arial" w:ascii="Arial" w:hAnsi="Arial"/>
          <w:b/>
          <w:bCs/>
          <w:sz w:val="24"/>
          <w:szCs w:val="24"/>
        </w:rPr>
        <w:t>OBRIGAÇÕES DA CONTRATANTE</w:t>
      </w:r>
    </w:p>
    <w:p>
      <w:pPr>
        <w:pStyle w:val="BodyText"/>
        <w:numPr>
          <w:ilvl w:val="0"/>
          <w:numId w:val="0"/>
        </w:numPr>
        <w:spacing w:before="0" w:after="0"/>
        <w:ind w:hanging="0" w:left="792"/>
        <w:contextualSpacing/>
        <w:jc w:val="both"/>
        <w:rPr>
          <w:rFonts w:ascii="Arial" w:hAnsi="Arial"/>
          <w:sz w:val="24"/>
          <w:szCs w:val="24"/>
        </w:rPr>
      </w:pPr>
      <w:r>
        <w:rPr>
          <w:rFonts w:cs="Arial" w:ascii="Arial" w:hAnsi="Arial"/>
          <w:sz w:val="24"/>
          <w:szCs w:val="24"/>
        </w:rPr>
        <w:t>5.1. Disponibilizar todas as informações e dados necessários para a execução dos serviços.</w:t>
      </w:r>
    </w:p>
    <w:p>
      <w:pPr>
        <w:pStyle w:val="BodyText"/>
        <w:rPr>
          <w:rFonts w:ascii="Arial" w:hAnsi="Arial"/>
          <w:sz w:val="24"/>
          <w:szCs w:val="24"/>
        </w:rPr>
      </w:pPr>
      <w:r>
        <w:rPr>
          <w:rFonts w:ascii="Arial" w:hAnsi="Arial"/>
          <w:sz w:val="24"/>
          <w:szCs w:val="24"/>
        </w:rPr>
        <w:tab/>
        <w:t>5.2. Garantir acesso às instalações e equipamentos necessários.</w:t>
      </w:r>
    </w:p>
    <w:p>
      <w:pPr>
        <w:pStyle w:val="BodyText"/>
        <w:rPr>
          <w:rFonts w:ascii="Arial" w:hAnsi="Arial"/>
          <w:sz w:val="24"/>
          <w:szCs w:val="24"/>
        </w:rPr>
      </w:pPr>
      <w:r>
        <w:rPr>
          <w:rFonts w:ascii="Arial" w:hAnsi="Arial"/>
          <w:sz w:val="24"/>
          <w:szCs w:val="24"/>
        </w:rPr>
        <w:tab/>
        <w:t>5.3. Designar um responsável para acompanhar e fiscalizar a execução dos serviços.</w:t>
      </w:r>
    </w:p>
    <w:p>
      <w:pPr>
        <w:pStyle w:val="BodyText"/>
        <w:rPr>
          <w:rFonts w:ascii="Arial" w:hAnsi="Arial"/>
          <w:sz w:val="24"/>
          <w:szCs w:val="24"/>
        </w:rPr>
      </w:pPr>
      <w:r>
        <w:rPr>
          <w:rFonts w:ascii="Arial" w:hAnsi="Arial"/>
          <w:sz w:val="24"/>
          <w:szCs w:val="24"/>
        </w:rPr>
        <w:tab/>
        <w:t>5.4. Realizar os pagamentos de acordo com as condições estabelecidas no contrato.</w:t>
      </w:r>
    </w:p>
    <w:p>
      <w:pPr>
        <w:pStyle w:val="ListParagraph"/>
        <w:numPr>
          <w:ilvl w:val="0"/>
          <w:numId w:val="0"/>
        </w:numPr>
        <w:spacing w:before="0" w:after="0"/>
        <w:ind w:hanging="0" w:left="792"/>
        <w:contextualSpacing/>
        <w:jc w:val="both"/>
        <w:rPr>
          <w:rFonts w:ascii="Arial" w:hAnsi="Arial" w:cs="Arial"/>
          <w:sz w:val="24"/>
          <w:szCs w:val="24"/>
        </w:rPr>
      </w:pPr>
      <w:r>
        <w:rPr>
          <w:rFonts w:cs="Arial" w:ascii="Arial" w:hAnsi="Arial"/>
          <w:sz w:val="24"/>
          <w:szCs w:val="24"/>
        </w:rPr>
      </w:r>
    </w:p>
    <w:p>
      <w:pPr>
        <w:pStyle w:val="ListParagraph"/>
        <w:ind w:left="792"/>
        <w:rPr>
          <w:rFonts w:ascii="Arial" w:hAnsi="Arial" w:cs="Arial"/>
          <w:sz w:val="24"/>
          <w:szCs w:val="24"/>
        </w:rPr>
      </w:pPr>
      <w:r>
        <w:rPr>
          <w:rFonts w:cs="Arial" w:ascii="Arial" w:hAnsi="Arial"/>
          <w:sz w:val="24"/>
          <w:szCs w:val="24"/>
        </w:rPr>
      </w:r>
    </w:p>
    <w:p>
      <w:pPr>
        <w:pStyle w:val="ListParagraph"/>
        <w:spacing w:beforeAutospacing="1" w:afterAutospacing="1"/>
        <w:ind w:left="792"/>
        <w:contextualSpacing/>
        <w:jc w:val="both"/>
        <w:rPr>
          <w:rFonts w:ascii="Arial" w:hAnsi="Arial" w:cs="Arial"/>
          <w:sz w:val="24"/>
          <w:szCs w:val="24"/>
        </w:rPr>
      </w:pPr>
      <w:r>
        <w:rPr>
          <w:rFonts w:cs="Arial" w:ascii="Arial" w:hAnsi="Arial"/>
          <w:sz w:val="24"/>
          <w:szCs w:val="24"/>
        </w:rPr>
      </w:r>
    </w:p>
    <w:p>
      <w:pPr>
        <w:pStyle w:val="ListParagraph"/>
        <w:numPr>
          <w:ilvl w:val="0"/>
          <w:numId w:val="1"/>
        </w:numPr>
        <w:spacing w:beforeAutospacing="1" w:after="0"/>
        <w:contextualSpacing/>
        <w:jc w:val="both"/>
        <w:rPr>
          <w:rFonts w:ascii="Arial" w:hAnsi="Arial" w:cs="Arial"/>
          <w:b/>
          <w:bCs/>
          <w:sz w:val="24"/>
          <w:szCs w:val="24"/>
        </w:rPr>
      </w:pPr>
      <w:r>
        <w:rPr>
          <w:rFonts w:cs="Arial" w:ascii="Arial" w:hAnsi="Arial"/>
          <w:b/>
          <w:bCs/>
          <w:sz w:val="24"/>
          <w:szCs w:val="24"/>
        </w:rPr>
        <w:t>OBRIGAÇÕES DA CONTRATADA</w:t>
      </w:r>
    </w:p>
    <w:p>
      <w:pPr>
        <w:pStyle w:val="ListParagraph"/>
        <w:numPr>
          <w:ilvl w:val="0"/>
          <w:numId w:val="0"/>
        </w:numPr>
        <w:spacing w:beforeAutospacing="1" w:after="0"/>
        <w:ind w:hanging="0" w:left="360"/>
        <w:contextualSpacing/>
        <w:jc w:val="both"/>
        <w:rPr>
          <w:rFonts w:ascii="Arial" w:hAnsi="Arial" w:cs="Arial"/>
          <w:b/>
          <w:bCs/>
          <w:sz w:val="24"/>
          <w:szCs w:val="24"/>
        </w:rPr>
      </w:pPr>
      <w:r>
        <w:rPr>
          <w:rFonts w:cs="Arial" w:ascii="Arial" w:hAnsi="Arial"/>
          <w:b/>
          <w:bCs/>
          <w:sz w:val="24"/>
          <w:szCs w:val="24"/>
        </w:rPr>
        <w:t xml:space="preserve">6.1. </w:t>
      </w:r>
      <w:r>
        <w:rPr>
          <w:rFonts w:cs="Arial" w:ascii="Arial" w:hAnsi="Arial"/>
          <w:sz w:val="24"/>
          <w:szCs w:val="24"/>
        </w:rPr>
        <w:t>Executar os serviços conforme descrito neste Termo de Referência.</w:t>
      </w:r>
    </w:p>
    <w:p>
      <w:pPr>
        <w:pStyle w:val="BodyText"/>
        <w:rPr>
          <w:rFonts w:ascii="Arial" w:hAnsi="Arial"/>
          <w:sz w:val="24"/>
          <w:szCs w:val="24"/>
        </w:rPr>
      </w:pPr>
      <w:r>
        <w:rPr>
          <w:rFonts w:ascii="Arial" w:hAnsi="Arial"/>
          <w:sz w:val="24"/>
          <w:szCs w:val="24"/>
        </w:rPr>
        <w:t xml:space="preserve">    </w:t>
      </w:r>
      <w:r>
        <w:rPr>
          <w:rFonts w:ascii="Arial" w:hAnsi="Arial"/>
          <w:b/>
          <w:bCs/>
          <w:sz w:val="24"/>
          <w:szCs w:val="24"/>
        </w:rPr>
        <w:t xml:space="preserve"> </w:t>
      </w:r>
      <w:r>
        <w:rPr>
          <w:rFonts w:ascii="Arial" w:hAnsi="Arial"/>
          <w:b/>
          <w:bCs/>
          <w:sz w:val="24"/>
          <w:szCs w:val="24"/>
        </w:rPr>
        <w:t xml:space="preserve">6.2. </w:t>
      </w:r>
      <w:r>
        <w:rPr>
          <w:rFonts w:ascii="Arial" w:hAnsi="Arial"/>
          <w:sz w:val="24"/>
          <w:szCs w:val="24"/>
        </w:rPr>
        <w:t>Manter a compatibilidade com as obrigações assumidas durante toda a vigência do contrato.</w:t>
      </w:r>
    </w:p>
    <w:p>
      <w:pPr>
        <w:pStyle w:val="BodyText"/>
        <w:rPr>
          <w:rFonts w:ascii="Arial" w:hAnsi="Arial"/>
          <w:sz w:val="24"/>
          <w:szCs w:val="24"/>
        </w:rPr>
      </w:pPr>
      <w:r>
        <w:rPr>
          <w:rFonts w:ascii="Arial" w:hAnsi="Arial"/>
          <w:sz w:val="24"/>
          <w:szCs w:val="24"/>
        </w:rPr>
        <w:t xml:space="preserve">   </w:t>
      </w:r>
      <w:r>
        <w:rPr>
          <w:rFonts w:ascii="Arial" w:hAnsi="Arial"/>
          <w:b/>
          <w:bCs/>
          <w:sz w:val="24"/>
          <w:szCs w:val="24"/>
        </w:rPr>
        <w:t xml:space="preserve"> </w:t>
      </w:r>
      <w:r>
        <w:rPr>
          <w:rFonts w:ascii="Arial" w:hAnsi="Arial"/>
          <w:b/>
          <w:bCs/>
          <w:sz w:val="24"/>
          <w:szCs w:val="24"/>
        </w:rPr>
        <w:t>6.3.</w:t>
      </w:r>
      <w:r>
        <w:rPr>
          <w:rFonts w:ascii="Arial" w:hAnsi="Arial"/>
          <w:sz w:val="24"/>
          <w:szCs w:val="24"/>
        </w:rPr>
        <w:t xml:space="preserve"> Fornecer relatórios detalhados sobre cada etapa do processo.</w:t>
      </w:r>
    </w:p>
    <w:p>
      <w:pPr>
        <w:pStyle w:val="BodyText"/>
        <w:rPr>
          <w:rFonts w:ascii="Arial" w:hAnsi="Arial"/>
          <w:sz w:val="24"/>
          <w:szCs w:val="24"/>
        </w:rPr>
      </w:pPr>
      <w:r>
        <w:rPr>
          <w:rFonts w:ascii="Arial" w:hAnsi="Arial"/>
          <w:sz w:val="24"/>
          <w:szCs w:val="24"/>
        </w:rPr>
        <w:t xml:space="preserve">   </w:t>
      </w:r>
      <w:r>
        <w:rPr>
          <w:rFonts w:ascii="Arial" w:hAnsi="Arial"/>
          <w:b/>
          <w:bCs/>
          <w:sz w:val="24"/>
          <w:szCs w:val="24"/>
        </w:rPr>
        <w:t xml:space="preserve"> </w:t>
      </w:r>
      <w:r>
        <w:rPr>
          <w:rFonts w:ascii="Arial" w:hAnsi="Arial"/>
          <w:b/>
          <w:bCs/>
          <w:sz w:val="24"/>
          <w:szCs w:val="24"/>
        </w:rPr>
        <w:t>6.4.</w:t>
      </w:r>
      <w:r>
        <w:rPr>
          <w:rFonts w:ascii="Arial" w:hAnsi="Arial"/>
          <w:sz w:val="24"/>
          <w:szCs w:val="24"/>
        </w:rPr>
        <w:t xml:space="preserve"> Manter sigilo sobre todas as informações e dados fornecidos pela contratante.</w:t>
      </w:r>
    </w:p>
    <w:p>
      <w:pPr>
        <w:pStyle w:val="ListParagraph"/>
        <w:numPr>
          <w:ilvl w:val="0"/>
          <w:numId w:val="0"/>
        </w:numPr>
        <w:spacing w:before="0" w:after="0"/>
        <w:ind w:hanging="0" w:left="792"/>
        <w:contextualSpacing/>
        <w:jc w:val="both"/>
        <w:rPr>
          <w:rFonts w:ascii="Arial" w:hAnsi="Arial" w:cs="Arial"/>
          <w:sz w:val="24"/>
          <w:szCs w:val="24"/>
        </w:rPr>
      </w:pPr>
      <w:r>
        <w:rPr>
          <w:rFonts w:cs="Arial" w:ascii="Arial" w:hAnsi="Arial"/>
          <w:sz w:val="24"/>
          <w:szCs w:val="24"/>
        </w:rPr>
      </w:r>
    </w:p>
    <w:p>
      <w:pPr>
        <w:pStyle w:val="ListParagraph"/>
        <w:numPr>
          <w:ilvl w:val="0"/>
          <w:numId w:val="1"/>
        </w:numPr>
        <w:spacing w:beforeAutospacing="1" w:after="0"/>
        <w:contextualSpacing/>
        <w:jc w:val="both"/>
        <w:rPr>
          <w:rFonts w:ascii="Arial" w:hAnsi="Arial" w:cs="Arial"/>
          <w:sz w:val="24"/>
          <w:szCs w:val="24"/>
        </w:rPr>
      </w:pPr>
      <w:r>
        <w:rPr>
          <w:rFonts w:cs="Arial" w:ascii="Arial" w:hAnsi="Arial"/>
          <w:b/>
          <w:bCs/>
          <w:sz w:val="24"/>
          <w:szCs w:val="24"/>
        </w:rPr>
        <w:t>REQUISITOS DA CONTRATAÇÃO</w:t>
      </w:r>
    </w:p>
    <w:p>
      <w:pPr>
        <w:pStyle w:val="ListParagraph"/>
        <w:numPr>
          <w:ilvl w:val="1"/>
          <w:numId w:val="1"/>
        </w:numPr>
        <w:spacing w:before="0" w:afterAutospacing="1"/>
        <w:contextualSpacing/>
        <w:jc w:val="both"/>
        <w:rPr>
          <w:rFonts w:ascii="Arial" w:hAnsi="Arial" w:cs="Arial"/>
          <w:sz w:val="24"/>
          <w:szCs w:val="24"/>
        </w:rPr>
      </w:pPr>
      <w:r>
        <w:rPr>
          <w:rFonts w:cs="Arial" w:ascii="Arial" w:hAnsi="Arial"/>
          <w:sz w:val="24"/>
          <w:szCs w:val="24"/>
        </w:rPr>
        <w:t>Os Requisitos encontram-se pormenorizados em Tópico específico dos Estudos Técnicos Preliminares, anexo deste Termo de Referência.</w:t>
      </w:r>
    </w:p>
    <w:p>
      <w:pPr>
        <w:pStyle w:val="Normal"/>
        <w:spacing w:beforeAutospacing="1" w:afterAutospacing="1"/>
        <w:jc w:val="both"/>
        <w:rPr>
          <w:rFonts w:ascii="Arial" w:hAnsi="Arial" w:cs="Arial"/>
          <w:sz w:val="24"/>
          <w:szCs w:val="24"/>
        </w:rPr>
      </w:pPr>
      <w:r>
        <w:rPr>
          <w:rFonts w:cs="Arial" w:ascii="Arial" w:hAnsi="Arial"/>
          <w:sz w:val="24"/>
          <w:szCs w:val="24"/>
        </w:rPr>
      </w:r>
    </w:p>
    <w:p>
      <w:pPr>
        <w:pStyle w:val="ListParagraph"/>
        <w:numPr>
          <w:ilvl w:val="0"/>
          <w:numId w:val="1"/>
        </w:numPr>
        <w:spacing w:beforeAutospacing="1" w:after="0"/>
        <w:contextualSpacing/>
        <w:jc w:val="both"/>
        <w:rPr>
          <w:rFonts w:ascii="Arial" w:hAnsi="Arial" w:cs="Arial"/>
          <w:sz w:val="24"/>
          <w:szCs w:val="24"/>
        </w:rPr>
      </w:pPr>
      <w:r>
        <w:rPr>
          <w:rFonts w:cs="Arial" w:ascii="Arial" w:hAnsi="Arial"/>
          <w:b/>
          <w:bCs/>
          <w:sz w:val="24"/>
          <w:szCs w:val="24"/>
        </w:rPr>
        <w:t>CRITÉRIOS DE MEDIÇÃO E PAGAMENTO</w:t>
      </w:r>
    </w:p>
    <w:p>
      <w:pPr>
        <w:pStyle w:val="ListParagraph"/>
        <w:numPr>
          <w:ilvl w:val="1"/>
          <w:numId w:val="1"/>
        </w:numPr>
        <w:spacing w:before="0" w:after="0"/>
        <w:contextualSpacing/>
        <w:jc w:val="both"/>
        <w:rPr>
          <w:rFonts w:ascii="Arial" w:hAnsi="Arial" w:cs="Arial"/>
          <w:sz w:val="24"/>
          <w:szCs w:val="24"/>
        </w:rPr>
      </w:pPr>
      <w:r>
        <w:rPr>
          <w:rFonts w:cs="Arial" w:ascii="Arial" w:hAnsi="Arial"/>
          <w:sz w:val="24"/>
          <w:szCs w:val="24"/>
        </w:rPr>
        <w:t xml:space="preserve"> </w:t>
      </w:r>
      <w:r>
        <w:rPr>
          <w:rFonts w:cs="Arial" w:ascii="Arial" w:hAnsi="Arial"/>
          <w:sz w:val="24"/>
          <w:szCs w:val="24"/>
        </w:rPr>
        <w:t xml:space="preserve">O prazo para a realização dos serviços é de até 24 horas após a contratação. Os pagamentos serão realizados de acordo com a conclusão dos serviços mediante apresentação de relatórios de progresso e aceitação dos serviços realizados. </w:t>
      </w:r>
    </w:p>
    <w:p>
      <w:pPr>
        <w:pStyle w:val="ListParagraph"/>
        <w:numPr>
          <w:ilvl w:val="1"/>
          <w:numId w:val="1"/>
        </w:numPr>
        <w:spacing w:before="0" w:after="0"/>
        <w:contextualSpacing/>
        <w:jc w:val="both"/>
        <w:rPr>
          <w:rFonts w:ascii="Arial" w:hAnsi="Arial" w:cs="Arial"/>
          <w:sz w:val="24"/>
          <w:szCs w:val="24"/>
        </w:rPr>
      </w:pPr>
      <w:r>
        <w:rPr>
          <w:rFonts w:cs="Arial" w:ascii="Arial" w:hAnsi="Arial"/>
          <w:sz w:val="24"/>
          <w:szCs w:val="24"/>
        </w:rPr>
        <w:t xml:space="preserve">O pagamento será realizado no prazo máximo de até </w:t>
      </w:r>
      <w:r>
        <w:rPr>
          <w:rFonts w:cs="Arial" w:ascii="Arial" w:hAnsi="Arial"/>
          <w:color w:val="FF0000"/>
          <w:sz w:val="24"/>
          <w:szCs w:val="24"/>
        </w:rPr>
        <w:t>10 (dez)</w:t>
      </w:r>
      <w:r>
        <w:rPr>
          <w:rFonts w:cs="Arial" w:ascii="Arial" w:hAnsi="Arial"/>
          <w:sz w:val="24"/>
          <w:szCs w:val="24"/>
        </w:rPr>
        <w:t xml:space="preserve"> dias, contados a partir do recebimento da Nota Fiscal ou Fatura, através de ordem bancária, para crédito em banco, agência e conta corrente indicados pelo contratado.</w:t>
      </w:r>
    </w:p>
    <w:p>
      <w:pPr>
        <w:pStyle w:val="ListParagraph"/>
        <w:numPr>
          <w:ilvl w:val="1"/>
          <w:numId w:val="1"/>
        </w:numPr>
        <w:spacing w:before="0" w:after="0"/>
        <w:contextualSpacing/>
        <w:jc w:val="both"/>
        <w:rPr>
          <w:rFonts w:ascii="Arial" w:hAnsi="Arial" w:cs="Arial"/>
          <w:sz w:val="24"/>
          <w:szCs w:val="24"/>
        </w:rPr>
      </w:pPr>
      <w:r>
        <w:rPr>
          <w:rFonts w:cs="Arial" w:ascii="Arial" w:hAnsi="Arial"/>
          <w:sz w:val="24"/>
          <w:szCs w:val="24"/>
        </w:rPr>
        <w:t xml:space="preserve">A Nota Fiscal ou Fatura deverá ser obrigatoriamente acompanhada da comprovação da regularidade fiscal. </w:t>
      </w:r>
    </w:p>
    <w:p>
      <w:pPr>
        <w:pStyle w:val="ListParagraph"/>
        <w:numPr>
          <w:ilvl w:val="1"/>
          <w:numId w:val="1"/>
        </w:numPr>
        <w:spacing w:before="0" w:after="0"/>
        <w:contextualSpacing/>
        <w:jc w:val="both"/>
        <w:rPr>
          <w:rFonts w:ascii="Arial" w:hAnsi="Arial" w:cs="Arial"/>
          <w:sz w:val="24"/>
          <w:szCs w:val="24"/>
        </w:rPr>
      </w:pPr>
      <w:r>
        <w:rPr>
          <w:rFonts w:cs="Arial" w:ascii="Arial" w:hAnsi="Arial"/>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pPr>
        <w:pStyle w:val="ListParagraph"/>
        <w:numPr>
          <w:ilvl w:val="1"/>
          <w:numId w:val="1"/>
        </w:numPr>
        <w:spacing w:before="0" w:after="0"/>
        <w:contextualSpacing/>
        <w:jc w:val="both"/>
        <w:rPr>
          <w:rFonts w:ascii="Arial" w:hAnsi="Arial" w:cs="Arial"/>
          <w:sz w:val="24"/>
          <w:szCs w:val="24"/>
        </w:rPr>
      </w:pPr>
      <w:r>
        <w:rPr>
          <w:rFonts w:cs="Arial" w:ascii="Arial" w:hAnsi="Arial"/>
          <w:sz w:val="24"/>
          <w:szCs w:val="24"/>
        </w:rPr>
        <w:t>Será considerada data do pagamento o dia em que constar como emitida a ordem bancária para pagamento.</w:t>
      </w:r>
    </w:p>
    <w:p>
      <w:pPr>
        <w:pStyle w:val="ListParagraph"/>
        <w:numPr>
          <w:ilvl w:val="1"/>
          <w:numId w:val="1"/>
        </w:numPr>
        <w:spacing w:before="0" w:after="0"/>
        <w:contextualSpacing/>
        <w:jc w:val="both"/>
        <w:rPr>
          <w:rFonts w:ascii="Arial" w:hAnsi="Arial" w:cs="Arial"/>
          <w:sz w:val="24"/>
          <w:szCs w:val="24"/>
        </w:rPr>
      </w:pPr>
      <w:r>
        <w:rPr>
          <w:rFonts w:cs="Arial" w:ascii="Arial" w:hAnsi="Arial"/>
          <w:sz w:val="24"/>
          <w:szCs w:val="24"/>
        </w:rPr>
        <w:t>Quando do pagamento, será efetuada a retenção tributária prevista na legislação aplicável.</w:t>
      </w:r>
    </w:p>
    <w:p>
      <w:pPr>
        <w:pStyle w:val="ListParagraph"/>
        <w:numPr>
          <w:ilvl w:val="1"/>
          <w:numId w:val="1"/>
        </w:numPr>
        <w:spacing w:before="0" w:afterAutospacing="1"/>
        <w:contextualSpacing/>
        <w:jc w:val="both"/>
        <w:rPr>
          <w:rFonts w:ascii="Arial" w:hAnsi="Arial" w:cs="Arial"/>
          <w:sz w:val="24"/>
          <w:szCs w:val="24"/>
        </w:rPr>
      </w:pPr>
      <w:r>
        <w:rPr>
          <w:rFonts w:cs="Arial" w:ascii="Arial" w:hAnsi="Arial"/>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istParagraph"/>
        <w:spacing w:beforeAutospacing="1" w:afterAutospacing="1"/>
        <w:ind w:left="792"/>
        <w:contextualSpacing/>
        <w:jc w:val="both"/>
        <w:rPr>
          <w:rFonts w:ascii="Arial" w:hAnsi="Arial" w:cs="Arial"/>
          <w:sz w:val="24"/>
          <w:szCs w:val="24"/>
        </w:rPr>
      </w:pPr>
      <w:r>
        <w:rPr>
          <w:rFonts w:cs="Arial" w:ascii="Arial" w:hAnsi="Arial"/>
          <w:sz w:val="24"/>
          <w:szCs w:val="24"/>
        </w:rPr>
      </w:r>
    </w:p>
    <w:p>
      <w:pPr>
        <w:pStyle w:val="ListParagraph"/>
        <w:numPr>
          <w:ilvl w:val="0"/>
          <w:numId w:val="1"/>
        </w:numPr>
        <w:spacing w:beforeAutospacing="1" w:after="0"/>
        <w:contextualSpacing/>
        <w:jc w:val="both"/>
        <w:rPr>
          <w:rFonts w:ascii="Arial" w:hAnsi="Arial"/>
          <w:sz w:val="24"/>
          <w:szCs w:val="24"/>
        </w:rPr>
      </w:pPr>
      <w:bookmarkStart w:id="0" w:name="_Hlk169848250"/>
      <w:bookmarkEnd w:id="0"/>
      <w:r>
        <w:rPr>
          <w:rFonts w:cs="Arial" w:ascii="Arial" w:hAnsi="Arial"/>
          <w:b/>
          <w:bCs/>
          <w:sz w:val="24"/>
          <w:szCs w:val="24"/>
        </w:rPr>
        <w:t>FORMAS E CRITÉRIOS DE SELEÇÃO DO FORNECEDOR.</w:t>
      </w:r>
    </w:p>
    <w:p>
      <w:pPr>
        <w:pStyle w:val="BodyText"/>
        <w:numPr>
          <w:ilvl w:val="1"/>
          <w:numId w:val="1"/>
        </w:numPr>
        <w:spacing w:before="0" w:after="0"/>
        <w:contextualSpacing/>
        <w:jc w:val="both"/>
        <w:rPr>
          <w:rFonts w:ascii="Arial" w:hAnsi="Arial"/>
          <w:sz w:val="24"/>
          <w:szCs w:val="24"/>
        </w:rPr>
      </w:pPr>
      <w:bookmarkStart w:id="1" w:name="_Hlk169848250_Copia_1"/>
      <w:bookmarkEnd w:id="1"/>
      <w:r>
        <w:rPr>
          <w:rFonts w:cs="Arial" w:ascii="Arial" w:hAnsi="Arial"/>
          <w:sz w:val="24"/>
          <w:szCs w:val="24"/>
        </w:rPr>
        <w:t>A contratação será realizada com base no Art. 75, Inciso VIII da Lei nº 14.133/2021, que dispõe sobre a dispensa de licitação para situações emergenciais.</w:t>
      </w:r>
    </w:p>
    <w:p>
      <w:pPr>
        <w:pStyle w:val="BodyText"/>
        <w:rPr>
          <w:rFonts w:ascii="Arial" w:hAnsi="Arial"/>
          <w:sz w:val="24"/>
          <w:szCs w:val="24"/>
        </w:rPr>
      </w:pPr>
      <w:r>
        <w:rPr>
          <w:rFonts w:ascii="Arial" w:hAnsi="Arial"/>
          <w:sz w:val="24"/>
          <w:szCs w:val="24"/>
        </w:rPr>
      </w:r>
    </w:p>
    <w:p>
      <w:pPr>
        <w:pStyle w:val="BodyText"/>
        <w:numPr>
          <w:ilvl w:val="1"/>
          <w:numId w:val="1"/>
        </w:numPr>
        <w:rPr>
          <w:rFonts w:ascii="Arial" w:hAnsi="Arial"/>
          <w:sz w:val="24"/>
          <w:szCs w:val="24"/>
        </w:rPr>
      </w:pPr>
      <w:r>
        <w:rPr>
          <w:rFonts w:cs="Arial" w:ascii="Arial" w:hAnsi="Arial"/>
          <w:sz w:val="24"/>
          <w:szCs w:val="24"/>
        </w:rPr>
        <w:t>A identificação de potenciais fornecedores será feita através de pesquisa de mercado e consulta a empresas especializadas em manutenção de transformadores.</w:t>
      </w:r>
    </w:p>
    <w:p>
      <w:pPr>
        <w:pStyle w:val="ListParagraph"/>
        <w:spacing w:beforeAutospacing="1" w:afterAutospacing="1"/>
        <w:ind w:left="792"/>
        <w:contextualSpacing/>
        <w:jc w:val="both"/>
        <w:rPr>
          <w:rFonts w:ascii="Arial" w:hAnsi="Arial" w:cs="Arial"/>
          <w:sz w:val="24"/>
          <w:szCs w:val="24"/>
        </w:rPr>
      </w:pPr>
      <w:r>
        <w:rPr>
          <w:rFonts w:cs="Arial" w:ascii="Arial" w:hAnsi="Arial"/>
          <w:sz w:val="24"/>
          <w:szCs w:val="24"/>
        </w:rPr>
      </w:r>
    </w:p>
    <w:p>
      <w:pPr>
        <w:pStyle w:val="ListParagraph"/>
        <w:spacing w:beforeAutospacing="1" w:afterAutospacing="1"/>
        <w:ind w:left="792"/>
        <w:contextualSpacing/>
        <w:jc w:val="both"/>
        <w:rPr>
          <w:rFonts w:ascii="Arial" w:hAnsi="Arial" w:cs="Arial"/>
          <w:sz w:val="24"/>
          <w:szCs w:val="24"/>
        </w:rPr>
      </w:pPr>
      <w:r>
        <w:rPr>
          <w:rFonts w:cs="Arial" w:ascii="Arial" w:hAnsi="Arial"/>
          <w:sz w:val="24"/>
          <w:szCs w:val="24"/>
        </w:rPr>
      </w:r>
    </w:p>
    <w:p>
      <w:pPr>
        <w:pStyle w:val="ListParagraph"/>
        <w:numPr>
          <w:ilvl w:val="0"/>
          <w:numId w:val="1"/>
        </w:numPr>
        <w:spacing w:beforeAutospacing="1" w:after="0"/>
        <w:contextualSpacing/>
        <w:jc w:val="both"/>
        <w:rPr>
          <w:rFonts w:ascii="Arial" w:hAnsi="Arial" w:cs="Arial"/>
          <w:b/>
          <w:bCs/>
          <w:sz w:val="24"/>
          <w:szCs w:val="24"/>
        </w:rPr>
      </w:pPr>
      <w:r>
        <w:rPr>
          <w:rFonts w:cs="Arial" w:ascii="Arial" w:hAnsi="Arial"/>
          <w:b/>
          <w:bCs/>
          <w:sz w:val="24"/>
          <w:szCs w:val="24"/>
        </w:rPr>
        <w:t>MODELO DE GESTÃO DO CONTRATO</w:t>
      </w:r>
    </w:p>
    <w:p>
      <w:pPr>
        <w:pStyle w:val="ListParagraph"/>
        <w:numPr>
          <w:ilvl w:val="1"/>
          <w:numId w:val="1"/>
        </w:numPr>
        <w:spacing w:before="0" w:after="0"/>
        <w:contextualSpacing/>
        <w:jc w:val="both"/>
        <w:rPr>
          <w:rFonts w:ascii="Arial" w:hAnsi="Arial" w:cs="Arial"/>
          <w:b/>
          <w:bCs/>
          <w:sz w:val="24"/>
          <w:szCs w:val="24"/>
        </w:rPr>
      </w:pPr>
      <w:r>
        <w:rPr>
          <w:rFonts w:cs="Arial" w:ascii="Arial" w:hAnsi="Arial"/>
          <w:b/>
          <w:bCs/>
          <w:sz w:val="24"/>
          <w:szCs w:val="24"/>
        </w:rPr>
        <w:t>Equipe de Gestão do Contrato</w:t>
      </w:r>
    </w:p>
    <w:p>
      <w:pPr>
        <w:pStyle w:val="ListParagraph"/>
        <w:numPr>
          <w:ilvl w:val="2"/>
          <w:numId w:val="1"/>
        </w:numPr>
        <w:spacing w:before="0" w:after="0"/>
        <w:contextualSpacing/>
        <w:jc w:val="both"/>
        <w:rPr>
          <w:rFonts w:ascii="Arial" w:hAnsi="Arial" w:cs="Arial"/>
          <w:b/>
          <w:bCs/>
          <w:sz w:val="24"/>
          <w:szCs w:val="24"/>
        </w:rPr>
      </w:pPr>
      <w:r>
        <w:rPr>
          <w:rFonts w:cs="Arial" w:ascii="Arial" w:hAnsi="Arial"/>
          <w:sz w:val="24"/>
          <w:szCs w:val="24"/>
        </w:rPr>
        <w:t xml:space="preserve">A gestão do contrato será realizada pela servidora Nayara de Oliveira Lima, </w:t>
      </w:r>
    </w:p>
    <w:p>
      <w:pPr>
        <w:pStyle w:val="ListParagraph"/>
        <w:numPr>
          <w:ilvl w:val="0"/>
          <w:numId w:val="0"/>
        </w:numPr>
        <w:spacing w:before="0" w:afterAutospacing="1"/>
        <w:ind w:hanging="0" w:left="1224"/>
        <w:contextualSpacing/>
        <w:jc w:val="both"/>
        <w:rPr>
          <w:rFonts w:ascii="Arial" w:hAnsi="Arial" w:cs="Arial"/>
          <w:b/>
          <w:bCs/>
          <w:sz w:val="24"/>
          <w:szCs w:val="24"/>
        </w:rPr>
      </w:pPr>
      <w:r>
        <w:rPr/>
      </w:r>
    </w:p>
    <w:p>
      <w:pPr>
        <w:pStyle w:val="ListParagraph"/>
        <w:spacing w:beforeAutospacing="1" w:afterAutospacing="1"/>
        <w:ind w:left="1224"/>
        <w:contextualSpacing/>
        <w:jc w:val="both"/>
        <w:rPr>
          <w:rFonts w:ascii="Arial" w:hAnsi="Arial" w:cs="Arial"/>
          <w:b/>
          <w:bCs/>
          <w:sz w:val="24"/>
          <w:szCs w:val="24"/>
        </w:rPr>
      </w:pPr>
      <w:r>
        <w:rPr>
          <w:rFonts w:cs="Arial" w:ascii="Arial" w:hAnsi="Arial"/>
          <w:b/>
          <w:bCs/>
          <w:sz w:val="24"/>
          <w:szCs w:val="24"/>
        </w:rPr>
      </w:r>
    </w:p>
    <w:p>
      <w:pPr>
        <w:pStyle w:val="ListParagraph"/>
        <w:numPr>
          <w:ilvl w:val="1"/>
          <w:numId w:val="1"/>
        </w:numPr>
        <w:spacing w:beforeAutospacing="1" w:after="0"/>
        <w:contextualSpacing/>
        <w:jc w:val="both"/>
        <w:rPr>
          <w:rFonts w:ascii="Arial" w:hAnsi="Arial" w:cs="Arial"/>
          <w:b/>
          <w:bCs/>
          <w:sz w:val="24"/>
          <w:szCs w:val="24"/>
        </w:rPr>
      </w:pPr>
      <w:r>
        <w:rPr>
          <w:rFonts w:cs="Arial" w:ascii="Arial" w:hAnsi="Arial"/>
          <w:sz w:val="24"/>
          <w:szCs w:val="24"/>
        </w:rPr>
        <w:t xml:space="preserve"> </w:t>
      </w:r>
      <w:r>
        <w:rPr>
          <w:rFonts w:cs="Arial" w:ascii="Arial" w:hAnsi="Arial"/>
          <w:b/>
          <w:bCs/>
          <w:sz w:val="24"/>
          <w:szCs w:val="24"/>
        </w:rPr>
        <w:t>Acompanhamento e fiscalização</w:t>
      </w:r>
    </w:p>
    <w:p>
      <w:pPr>
        <w:pStyle w:val="ListParagraph"/>
        <w:numPr>
          <w:ilvl w:val="2"/>
          <w:numId w:val="1"/>
        </w:numPr>
        <w:spacing w:before="0" w:after="0"/>
        <w:contextualSpacing/>
        <w:jc w:val="both"/>
        <w:rPr>
          <w:rFonts w:ascii="Arial" w:hAnsi="Arial" w:cs="Arial"/>
          <w:sz w:val="24"/>
          <w:szCs w:val="24"/>
        </w:rPr>
      </w:pPr>
      <w:r>
        <w:rPr>
          <w:rFonts w:cs="Arial" w:ascii="Arial" w:hAnsi="Arial"/>
          <w:sz w:val="24"/>
          <w:szCs w:val="24"/>
        </w:rPr>
        <w:t>O contrato deverá ser executado fielmente pelas partes, de acordo com as cláusulas avençadas e as normas da Lei nº 14.133, de 2021, e cada parte responderá pelas consequências de sua inexecução total ou parcial.</w:t>
      </w:r>
    </w:p>
    <w:p>
      <w:pPr>
        <w:pStyle w:val="ListParagraph"/>
        <w:numPr>
          <w:ilvl w:val="2"/>
          <w:numId w:val="1"/>
        </w:numPr>
        <w:spacing w:before="0" w:after="0"/>
        <w:contextualSpacing/>
        <w:jc w:val="both"/>
        <w:rPr>
          <w:rFonts w:ascii="Arial" w:hAnsi="Arial" w:cs="Arial"/>
          <w:sz w:val="24"/>
          <w:szCs w:val="24"/>
        </w:rPr>
      </w:pPr>
      <w:r>
        <w:rPr>
          <w:rFonts w:cs="Arial" w:ascii="Arial" w:hAnsi="Arial"/>
          <w:sz w:val="24"/>
          <w:szCs w:val="24"/>
        </w:rPr>
        <w:t>A execução do contrato deverá ser acompanhada e fiscalizada pelo(s) fiscal(is) nomeado(s), ou pelos respectivos substitutos (Lei nº 14.133, de 2021, art. 117, caput).</w:t>
      </w:r>
    </w:p>
    <w:p>
      <w:pPr>
        <w:pStyle w:val="ListParagraph"/>
        <w:numPr>
          <w:ilvl w:val="2"/>
          <w:numId w:val="1"/>
        </w:numPr>
        <w:spacing w:before="0" w:after="0"/>
        <w:contextualSpacing/>
        <w:jc w:val="both"/>
        <w:rPr>
          <w:rFonts w:ascii="Arial" w:hAnsi="Arial" w:cs="Arial"/>
          <w:sz w:val="24"/>
          <w:szCs w:val="24"/>
        </w:rPr>
      </w:pPr>
      <w:r>
        <w:rPr>
          <w:rFonts w:cs="Arial" w:ascii="Arial" w:hAnsi="Arial"/>
          <w:sz w:val="24"/>
          <w:szCs w:val="24"/>
        </w:rPr>
        <w:t>O fiscal anotará no histórico de gerenciamento do contrato todas as ocorrências relacionadas à execução, do faturamento dos serviços, com a descrição do que for necessário para a regularização das faltas ou dos defeitos observados. (Lei nº 14.133, de 2021, art. 117, §1º, e Decreto nº 11.246, de 2022, art. 22, II);</w:t>
      </w:r>
    </w:p>
    <w:p>
      <w:pPr>
        <w:pStyle w:val="ListParagraph"/>
        <w:numPr>
          <w:ilvl w:val="2"/>
          <w:numId w:val="1"/>
        </w:numPr>
        <w:spacing w:before="0" w:after="0"/>
        <w:contextualSpacing/>
        <w:jc w:val="both"/>
        <w:rPr>
          <w:rFonts w:ascii="Arial" w:hAnsi="Arial" w:cs="Arial"/>
          <w:sz w:val="24"/>
          <w:szCs w:val="24"/>
        </w:rPr>
      </w:pPr>
      <w:r>
        <w:rPr>
          <w:rFonts w:cs="Arial" w:ascii="Arial" w:hAnsi="Arial"/>
          <w:sz w:val="24"/>
          <w:szCs w:val="24"/>
        </w:rPr>
        <w:t xml:space="preserve">Identificada qualquer inexatidão ou irregularidade, o fiscal emitirá notificações para a correção, determinando prazo para a mesma. (Decreto nº 11.246, de 2022, art. 22, III); </w:t>
      </w:r>
    </w:p>
    <w:p>
      <w:pPr>
        <w:pStyle w:val="ListParagraph"/>
        <w:numPr>
          <w:ilvl w:val="2"/>
          <w:numId w:val="1"/>
        </w:numPr>
        <w:spacing w:before="0" w:after="0"/>
        <w:contextualSpacing/>
        <w:jc w:val="both"/>
        <w:rPr>
          <w:rFonts w:ascii="Arial" w:hAnsi="Arial" w:cs="Arial"/>
          <w:sz w:val="24"/>
          <w:szCs w:val="24"/>
        </w:rPr>
      </w:pPr>
      <w:r>
        <w:rPr>
          <w:rFonts w:cs="Arial" w:ascii="Arial" w:hAnsi="Arial"/>
          <w:sz w:val="24"/>
          <w:szCs w:val="24"/>
        </w:rPr>
        <w:t>O fiscal informará à gestão do contrato, em tempo hábil, a situação que demandar decisão ou adoção de medidas que ultrapassem sua competência, para que adote as medidas necessárias e saneadoras, se for o caso. (Decreto nº 11.246, de 2022, art. 22, IV).</w:t>
      </w:r>
    </w:p>
    <w:p>
      <w:pPr>
        <w:pStyle w:val="ListParagraph"/>
        <w:numPr>
          <w:ilvl w:val="2"/>
          <w:numId w:val="1"/>
        </w:numPr>
        <w:spacing w:before="0" w:after="0"/>
        <w:contextualSpacing/>
        <w:jc w:val="both"/>
        <w:rPr>
          <w:rFonts w:ascii="Arial" w:hAnsi="Arial" w:cs="Arial"/>
          <w:sz w:val="24"/>
          <w:szCs w:val="24"/>
        </w:rPr>
      </w:pPr>
      <w:r>
        <w:rPr>
          <w:rFonts w:cs="Arial" w:ascii="Arial" w:hAnsi="Arial"/>
          <w:sz w:val="24"/>
          <w:szCs w:val="24"/>
        </w:rPr>
        <w:t>6.7.3. No caso de ocorrências que possam inviabilizar a execução do contrato nas datas aprazadas, o fiscal comunicará o fato à gestão do contrato. (Decreto nº 11.246, de 2022, art. 22, V).</w:t>
      </w:r>
    </w:p>
    <w:p>
      <w:pPr>
        <w:pStyle w:val="ListParagraph"/>
        <w:numPr>
          <w:ilvl w:val="2"/>
          <w:numId w:val="1"/>
        </w:numPr>
        <w:spacing w:before="0" w:after="0"/>
        <w:contextualSpacing/>
        <w:jc w:val="both"/>
        <w:rPr>
          <w:rFonts w:ascii="Arial" w:hAnsi="Arial" w:cs="Arial"/>
          <w:sz w:val="24"/>
          <w:szCs w:val="24"/>
        </w:rPr>
      </w:pPr>
      <w:r>
        <w:rPr>
          <w:rFonts w:cs="Arial" w:ascii="Arial" w:hAnsi="Arial"/>
          <w:sz w:val="24"/>
          <w:szCs w:val="24"/>
        </w:rPr>
        <w:t>O fiscal verificará a manutenção das condições de habilitação da contratada, acompanhará o empenho, o pagamento, as garantias e a formalização de apostilamento e termos aditivos, solicitando quaisquer documentos comprobatórios pertinentes, caso necessário (Art. 23, I e II, do Decreto nº 11.246, de 2022).</w:t>
      </w:r>
    </w:p>
    <w:p>
      <w:pPr>
        <w:pStyle w:val="ListParagraph"/>
        <w:numPr>
          <w:ilvl w:val="2"/>
          <w:numId w:val="1"/>
        </w:numPr>
        <w:spacing w:before="0" w:after="0"/>
        <w:contextualSpacing/>
        <w:jc w:val="both"/>
        <w:rPr>
          <w:rFonts w:ascii="Arial" w:hAnsi="Arial" w:cs="Arial"/>
          <w:sz w:val="24"/>
          <w:szCs w:val="24"/>
        </w:rPr>
      </w:pPr>
      <w:r>
        <w:rPr>
          <w:rFonts w:cs="Arial" w:ascii="Arial" w:hAnsi="Arial"/>
          <w:sz w:val="24"/>
          <w:szCs w:val="24"/>
        </w:rPr>
        <w:t>Caso ocorram descumprimento das obrigações contratuais, o fiscal atuará tempestivamente na solução do problema, reportando à diretoria do setor de arrecadação e fiscalização para que tome as providências cabíveis, quando ultrapassar a sua competência; (Decreto nº 11.246, de 2022, art. 23, IV).</w:t>
      </w:r>
    </w:p>
    <w:p>
      <w:pPr>
        <w:pStyle w:val="ListParagraph"/>
        <w:numPr>
          <w:ilvl w:val="1"/>
          <w:numId w:val="1"/>
        </w:numPr>
        <w:spacing w:before="0" w:after="0"/>
        <w:contextualSpacing/>
        <w:jc w:val="both"/>
        <w:rPr>
          <w:rFonts w:ascii="Arial" w:hAnsi="Arial" w:cs="Arial"/>
          <w:sz w:val="24"/>
          <w:szCs w:val="24"/>
        </w:rPr>
      </w:pPr>
      <w:r>
        <w:rPr>
          <w:rFonts w:cs="Arial" w:ascii="Arial" w:hAnsi="Arial"/>
          <w:sz w:val="24"/>
          <w:szCs w:val="24"/>
        </w:rPr>
        <w:t>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ListParagraph"/>
        <w:numPr>
          <w:ilvl w:val="1"/>
          <w:numId w:val="1"/>
        </w:numPr>
        <w:spacing w:before="0" w:after="0"/>
        <w:contextualSpacing/>
        <w:jc w:val="both"/>
        <w:rPr>
          <w:rFonts w:ascii="Arial" w:hAnsi="Arial" w:cs="Arial"/>
          <w:sz w:val="24"/>
          <w:szCs w:val="24"/>
        </w:rPr>
      </w:pPr>
      <w:r>
        <w:rPr>
          <w:rFonts w:cs="Arial" w:ascii="Arial" w:hAnsi="Arial"/>
          <w:sz w:val="24"/>
          <w:szCs w:val="24"/>
        </w:rPr>
        <w:t>A gestão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pPr>
        <w:pStyle w:val="ListParagraph"/>
        <w:numPr>
          <w:ilvl w:val="1"/>
          <w:numId w:val="1"/>
        </w:numPr>
        <w:spacing w:before="0" w:after="0"/>
        <w:contextualSpacing/>
        <w:jc w:val="both"/>
        <w:rPr>
          <w:rFonts w:ascii="Arial" w:hAnsi="Arial" w:cs="Arial"/>
          <w:sz w:val="24"/>
          <w:szCs w:val="24"/>
        </w:rPr>
      </w:pPr>
      <w:r>
        <w:rPr>
          <w:rFonts w:cs="Arial" w:ascii="Arial" w:hAnsi="Arial"/>
          <w:sz w:val="24"/>
          <w:szCs w:val="24"/>
        </w:rPr>
        <w:t>A gestão do contrato acompanhará os registros realizados pelo(s) fiscal(is) do contrato, de todas as ocorrências relacionadas à execução do contrato e as medidas adotadas, informando, se for o caso, à autoridade superior àquelas que ultrapassarem a sua competência. (Decreto nº 11.246, de 2022, art. 21, II).</w:t>
      </w:r>
    </w:p>
    <w:p>
      <w:pPr>
        <w:pStyle w:val="ListParagraph"/>
        <w:numPr>
          <w:ilvl w:val="1"/>
          <w:numId w:val="1"/>
        </w:numPr>
        <w:spacing w:before="0" w:after="0"/>
        <w:contextualSpacing/>
        <w:jc w:val="both"/>
        <w:rPr>
          <w:rFonts w:ascii="Arial" w:hAnsi="Arial" w:cs="Arial"/>
          <w:sz w:val="24"/>
          <w:szCs w:val="24"/>
        </w:rPr>
      </w:pPr>
      <w:r>
        <w:rPr>
          <w:rFonts w:cs="Arial" w:ascii="Arial" w:hAnsi="Arial"/>
          <w:sz w:val="24"/>
          <w:szCs w:val="24"/>
        </w:rPr>
        <w:t>A gestão do contrato emitirá documento comprobatório da avaliação realizada pelo(s) fiscal(is)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pPr>
        <w:pStyle w:val="ListParagraph"/>
        <w:numPr>
          <w:ilvl w:val="1"/>
          <w:numId w:val="1"/>
        </w:numPr>
        <w:spacing w:before="0" w:after="0"/>
        <w:contextualSpacing/>
        <w:jc w:val="both"/>
        <w:rPr>
          <w:rFonts w:ascii="Arial" w:hAnsi="Arial" w:cs="Arial"/>
          <w:sz w:val="24"/>
          <w:szCs w:val="24"/>
        </w:rPr>
      </w:pPr>
      <w:r>
        <w:rPr>
          <w:rFonts w:cs="Arial" w:ascii="Arial" w:hAnsi="Arial"/>
          <w:sz w:val="24"/>
          <w:szCs w:val="24"/>
        </w:rPr>
        <w:t>A gestão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pPr>
        <w:pStyle w:val="ListParagraph"/>
        <w:numPr>
          <w:ilvl w:val="1"/>
          <w:numId w:val="1"/>
        </w:numPr>
        <w:spacing w:before="0" w:afterAutospacing="1"/>
        <w:contextualSpacing/>
        <w:jc w:val="both"/>
        <w:rPr>
          <w:rFonts w:ascii="Arial" w:hAnsi="Arial" w:cs="Arial"/>
          <w:sz w:val="24"/>
          <w:szCs w:val="24"/>
        </w:rPr>
      </w:pPr>
      <w:r>
        <w:rPr>
          <w:rFonts w:cs="Arial" w:ascii="Arial" w:hAnsi="Arial"/>
          <w:sz w:val="24"/>
          <w:szCs w:val="24"/>
        </w:rPr>
        <w:t>A gestão do contrato elaborará relatório final com informações sobre a consecução dos objetivos que tenham justificado a contratação e eventuais condutas a serem adotadas para o aprimoramento das atividades da Administração. (Decreto nº 11.246, de 2022, art. 21, VI).</w:t>
      </w:r>
    </w:p>
    <w:p>
      <w:pPr>
        <w:pStyle w:val="Normal"/>
        <w:spacing w:beforeAutospacing="1" w:afterAutospacing="1"/>
        <w:jc w:val="both"/>
        <w:rPr>
          <w:rFonts w:ascii="Arial" w:hAnsi="Arial" w:cs="Arial"/>
          <w:b/>
          <w:bCs/>
          <w:sz w:val="24"/>
          <w:szCs w:val="24"/>
        </w:rPr>
      </w:pPr>
      <w:r>
        <w:rPr>
          <w:rFonts w:cs="Arial" w:ascii="Arial" w:hAnsi="Arial"/>
          <w:b/>
          <w:bCs/>
          <w:sz w:val="24"/>
          <w:szCs w:val="24"/>
        </w:rPr>
      </w:r>
    </w:p>
    <w:p>
      <w:pPr>
        <w:pStyle w:val="ListParagraph"/>
        <w:numPr>
          <w:ilvl w:val="0"/>
          <w:numId w:val="1"/>
        </w:numPr>
        <w:spacing w:beforeAutospacing="1" w:after="0"/>
        <w:contextualSpacing/>
        <w:jc w:val="both"/>
        <w:rPr>
          <w:rFonts w:ascii="Arial" w:hAnsi="Arial" w:cs="Arial"/>
          <w:sz w:val="24"/>
          <w:szCs w:val="24"/>
        </w:rPr>
      </w:pPr>
      <w:r>
        <w:rPr>
          <w:rFonts w:cs="Arial" w:ascii="Arial" w:hAnsi="Arial"/>
          <w:b/>
          <w:bCs/>
          <w:sz w:val="24"/>
          <w:szCs w:val="24"/>
        </w:rPr>
        <w:t>DAS SANÇÕES ADMINISTRATIVAS</w:t>
      </w:r>
    </w:p>
    <w:p>
      <w:pPr>
        <w:pStyle w:val="ListParagraph"/>
        <w:numPr>
          <w:ilvl w:val="1"/>
          <w:numId w:val="1"/>
        </w:numPr>
        <w:spacing w:before="0" w:afterAutospacing="1"/>
        <w:contextualSpacing/>
        <w:jc w:val="both"/>
        <w:rPr>
          <w:rFonts w:ascii="Arial" w:hAnsi="Arial" w:cs="Arial"/>
          <w:sz w:val="24"/>
          <w:szCs w:val="24"/>
        </w:rPr>
      </w:pPr>
      <w:r>
        <w:rPr>
          <w:rFonts w:cs="Arial" w:ascii="Arial" w:hAnsi="Arial"/>
          <w:sz w:val="24"/>
          <w:szCs w:val="24"/>
        </w:rPr>
        <w:t xml:space="preserve">A CONTRATADA estará sujeita às penalidades por inexecução contratual de acordo com os dispositivos na </w:t>
      </w:r>
      <w:bookmarkStart w:id="2" w:name="_Hlk159835075"/>
      <w:r>
        <w:rPr>
          <w:rFonts w:cs="Arial" w:ascii="Arial" w:hAnsi="Arial"/>
          <w:sz w:val="24"/>
          <w:szCs w:val="24"/>
        </w:rPr>
        <w:t>Lei nº 14.133/2021</w:t>
      </w:r>
      <w:bookmarkEnd w:id="2"/>
      <w:r>
        <w:rPr>
          <w:rFonts w:cs="Arial" w:ascii="Arial" w:hAnsi="Arial"/>
          <w:sz w:val="24"/>
          <w:szCs w:val="24"/>
        </w:rPr>
        <w:t>.</w:t>
      </w:r>
    </w:p>
    <w:p>
      <w:pPr>
        <w:pStyle w:val="ListParagraph"/>
        <w:spacing w:beforeAutospacing="1" w:afterAutospacing="1"/>
        <w:ind w:left="792"/>
        <w:contextualSpacing/>
        <w:jc w:val="both"/>
        <w:rPr>
          <w:rFonts w:ascii="Arial" w:hAnsi="Arial" w:cs="Arial"/>
          <w:sz w:val="24"/>
          <w:szCs w:val="24"/>
        </w:rPr>
      </w:pPr>
      <w:r>
        <w:rPr>
          <w:rFonts w:cs="Arial" w:ascii="Arial" w:hAnsi="Arial"/>
          <w:sz w:val="24"/>
          <w:szCs w:val="24"/>
        </w:rPr>
      </w:r>
    </w:p>
    <w:p>
      <w:pPr>
        <w:pStyle w:val="ListParagraph"/>
        <w:numPr>
          <w:ilvl w:val="0"/>
          <w:numId w:val="1"/>
        </w:numPr>
        <w:spacing w:lineRule="auto" w:line="276"/>
        <w:jc w:val="both"/>
        <w:rPr>
          <w:rFonts w:ascii="Arial" w:hAnsi="Arial" w:eastAsia="Arial Unicode MS" w:cs="Arial"/>
          <w:b/>
          <w:bCs/>
          <w:sz w:val="24"/>
          <w:szCs w:val="24"/>
        </w:rPr>
      </w:pPr>
      <w:r>
        <w:rPr>
          <w:rFonts w:eastAsia="Arial Unicode MS" w:cs="Arial" w:ascii="Arial" w:hAnsi="Arial"/>
          <w:b/>
          <w:bCs/>
          <w:sz w:val="24"/>
          <w:szCs w:val="24"/>
        </w:rPr>
        <w:t>ADEQUAÇÃO ORÇAMENTÁRIA</w:t>
      </w:r>
    </w:p>
    <w:p>
      <w:pPr>
        <w:pStyle w:val="ListParagraph"/>
        <w:numPr>
          <w:ilvl w:val="1"/>
          <w:numId w:val="1"/>
        </w:numPr>
        <w:spacing w:lineRule="auto" w:line="276"/>
        <w:jc w:val="both"/>
        <w:rPr>
          <w:rFonts w:ascii="Arial" w:hAnsi="Arial" w:eastAsia="Arial Unicode MS" w:cs="Arial"/>
          <w:sz w:val="24"/>
          <w:szCs w:val="24"/>
        </w:rPr>
      </w:pPr>
      <w:r>
        <w:rPr>
          <w:rFonts w:eastAsia="Arial Unicode MS" w:cs="Arial" w:ascii="Arial" w:hAnsi="Arial"/>
          <w:sz w:val="24"/>
          <w:szCs w:val="24"/>
        </w:rPr>
        <w:t xml:space="preserve">As despesas decorrentes da presente contratação serão atendidas pela seguinte dotação: </w:t>
      </w:r>
    </w:p>
    <w:p>
      <w:pPr>
        <w:pStyle w:val="ListParagraph"/>
        <w:spacing w:lineRule="auto" w:line="276"/>
        <w:ind w:left="792"/>
        <w:jc w:val="both"/>
        <w:rPr>
          <w:rFonts w:ascii="Arial" w:hAnsi="Arial" w:eastAsia="Arial Unicode MS" w:cs="Arial"/>
          <w:sz w:val="24"/>
          <w:szCs w:val="24"/>
        </w:rPr>
      </w:pPr>
      <w:r>
        <w:rPr>
          <w:rFonts w:eastAsia="Arial Unicode MS" w:cs="Arial" w:ascii="Arial" w:hAnsi="Arial"/>
          <w:b/>
          <w:bCs/>
          <w:sz w:val="24"/>
          <w:szCs w:val="24"/>
          <w:highlight w:val="yellow"/>
        </w:rPr>
        <w:t xml:space="preserve">30.001.17.512.0008.6022.3.3.90.39.00. F/56 – Manutenção do Setor Elétrico – </w:t>
      </w:r>
      <w:r>
        <w:rPr>
          <w:rFonts w:eastAsia="Arial Unicode MS" w:cs="Arial" w:ascii="Arial" w:hAnsi="Arial"/>
          <w:sz w:val="24"/>
          <w:szCs w:val="24"/>
          <w:highlight w:val="yellow"/>
        </w:rPr>
        <w:t>Outros Serviços de Terceiros – Pessoa Jurídica.</w:t>
      </w:r>
    </w:p>
    <w:p>
      <w:pPr>
        <w:pStyle w:val="ListParagraph"/>
        <w:spacing w:lineRule="auto" w:line="276"/>
        <w:ind w:left="792"/>
        <w:jc w:val="both"/>
        <w:rPr>
          <w:rFonts w:ascii="Arial" w:hAnsi="Arial" w:eastAsia="Arial Unicode MS" w:cs="Arial"/>
          <w:b/>
          <w:bCs/>
          <w:sz w:val="24"/>
          <w:szCs w:val="24"/>
        </w:rPr>
      </w:pPr>
      <w:r>
        <w:rPr>
          <w:rFonts w:eastAsia="Arial Unicode MS" w:cs="Arial" w:ascii="Arial" w:hAnsi="Arial"/>
          <w:b/>
          <w:bCs/>
          <w:sz w:val="24"/>
          <w:szCs w:val="24"/>
        </w:rPr>
      </w:r>
    </w:p>
    <w:p>
      <w:pPr>
        <w:pStyle w:val="ListParagraph"/>
        <w:numPr>
          <w:ilvl w:val="0"/>
          <w:numId w:val="1"/>
        </w:numPr>
        <w:spacing w:beforeAutospacing="1" w:after="0"/>
        <w:contextualSpacing/>
        <w:jc w:val="both"/>
        <w:rPr>
          <w:rFonts w:ascii="Arial" w:hAnsi="Arial" w:cs="Arial"/>
          <w:sz w:val="24"/>
          <w:szCs w:val="24"/>
        </w:rPr>
      </w:pPr>
      <w:r>
        <w:rPr>
          <w:rFonts w:cs="Arial" w:ascii="Arial" w:hAnsi="Arial"/>
          <w:b/>
          <w:bCs/>
          <w:sz w:val="24"/>
          <w:szCs w:val="24"/>
        </w:rPr>
        <w:t>ANEXOS</w:t>
      </w:r>
    </w:p>
    <w:p>
      <w:pPr>
        <w:pStyle w:val="ListParagraph"/>
        <w:numPr>
          <w:ilvl w:val="1"/>
          <w:numId w:val="1"/>
        </w:numPr>
        <w:spacing w:before="0" w:afterAutospacing="1"/>
        <w:contextualSpacing/>
        <w:jc w:val="both"/>
        <w:rPr>
          <w:rFonts w:ascii="Arial" w:hAnsi="Arial" w:cs="Arial"/>
          <w:sz w:val="24"/>
          <w:szCs w:val="24"/>
        </w:rPr>
      </w:pPr>
      <w:r>
        <w:rPr>
          <w:rFonts w:cs="Arial" w:ascii="Arial" w:hAnsi="Arial"/>
          <w:sz w:val="24"/>
          <w:szCs w:val="24"/>
        </w:rPr>
        <w:t>Anexo I - Estudo Técnico Preliminar </w:t>
      </w:r>
    </w:p>
    <w:p>
      <w:pPr>
        <w:pStyle w:val="Normal"/>
        <w:spacing w:lineRule="auto" w:line="259" w:before="0" w:after="160"/>
        <w:rPr>
          <w:rFonts w:ascii="Calibri" w:hAnsi="Calibri" w:eastAsia="Calibri"/>
          <w:kern w:val="2"/>
          <w:sz w:val="22"/>
          <w:szCs w:val="22"/>
          <w:lang w:eastAsia="en-US"/>
          <w14:ligatures w14:val="standardContextual"/>
        </w:rPr>
      </w:pPr>
      <w:r>
        <w:rPr>
          <w:rFonts w:eastAsia="Calibri" w:ascii="Calibri" w:hAnsi="Calibri"/>
          <w:kern w:val="2"/>
          <w:sz w:val="22"/>
          <w:szCs w:val="22"/>
          <w:lang w:eastAsia="en-US"/>
          <w14:ligatures w14:val="standardContextual"/>
        </w:rPr>
      </w:r>
    </w:p>
    <w:p>
      <w:pPr>
        <w:pStyle w:val="Normal"/>
        <w:spacing w:lineRule="auto" w:line="276"/>
        <w:jc w:val="right"/>
        <w:rPr>
          <w:rFonts w:ascii="Arial" w:hAnsi="Arial" w:eastAsia="Arial Unicode MS" w:cs="Arial"/>
          <w:sz w:val="24"/>
          <w:szCs w:val="24"/>
        </w:rPr>
      </w:pPr>
      <w:r>
        <w:rPr>
          <w:rFonts w:eastAsia="Arial Unicode MS" w:cs="Arial" w:ascii="Arial" w:hAnsi="Arial"/>
          <w:sz w:val="24"/>
          <w:szCs w:val="24"/>
        </w:rPr>
        <w:t xml:space="preserve">Formiga, </w:t>
      </w:r>
      <w:r>
        <w:rPr>
          <w:rFonts w:eastAsia="Arial Unicode MS" w:cs="Arial" w:ascii="Arial" w:hAnsi="Arial"/>
          <w:sz w:val="24"/>
          <w:szCs w:val="24"/>
        </w:rPr>
        <w:t>18</w:t>
      </w:r>
      <w:r>
        <w:rPr>
          <w:rFonts w:eastAsia="Arial Unicode MS" w:cs="Arial" w:ascii="Arial" w:hAnsi="Arial"/>
          <w:sz w:val="24"/>
          <w:szCs w:val="24"/>
        </w:rPr>
        <w:t xml:space="preserve"> de junho de 2024</w:t>
      </w:r>
    </w:p>
    <w:p>
      <w:pPr>
        <w:pStyle w:val="Normal"/>
        <w:spacing w:lineRule="auto" w:line="276"/>
        <w:jc w:val="right"/>
        <w:rPr>
          <w:rFonts w:ascii="Arial" w:hAnsi="Arial" w:eastAsia="Arial Unicode MS" w:cs="Arial"/>
          <w:sz w:val="24"/>
          <w:szCs w:val="24"/>
        </w:rPr>
      </w:pPr>
      <w:r>
        <w:rPr>
          <w:rFonts w:eastAsia="Arial Unicode MS" w:cs="Arial" w:ascii="Arial" w:hAnsi="Arial"/>
          <w:sz w:val="24"/>
          <w:szCs w:val="24"/>
        </w:rPr>
      </w:r>
    </w:p>
    <w:p>
      <w:pPr>
        <w:pStyle w:val="Normal"/>
        <w:spacing w:lineRule="auto" w:line="276"/>
        <w:jc w:val="both"/>
        <w:rPr>
          <w:rFonts w:ascii="Arial" w:hAnsi="Arial" w:eastAsia="Arial Unicode MS" w:cs="Arial"/>
          <w:sz w:val="24"/>
          <w:szCs w:val="24"/>
        </w:rPr>
      </w:pPr>
      <w:r>
        <w:rPr>
          <w:rFonts w:cs="Arial" w:ascii="Arial" w:hAnsi="Arial"/>
          <w:b/>
          <w:color w:val="000000"/>
          <w:sz w:val="24"/>
          <w:szCs w:val="24"/>
        </w:rPr>
        <w:t>Termo de Referência elaborado por:</w:t>
      </w:r>
    </w:p>
    <w:p>
      <w:pPr>
        <w:pStyle w:val="Normal"/>
        <w:spacing w:before="0" w:after="160"/>
        <w:jc w:val="both"/>
        <w:rPr>
          <w:rFonts w:ascii="Arial" w:hAnsi="Arial" w:cs="Arial"/>
          <w:b/>
          <w:color w:val="000000"/>
          <w:sz w:val="24"/>
          <w:szCs w:val="24"/>
        </w:rPr>
      </w:pPr>
      <w:r>
        <w:rPr>
          <w:rFonts w:cs="Arial" w:ascii="Arial" w:hAnsi="Arial"/>
          <w:b/>
          <w:color w:val="000000"/>
          <w:sz w:val="24"/>
          <w:szCs w:val="24"/>
        </w:rPr>
      </w:r>
    </w:p>
    <w:p>
      <w:pPr>
        <w:pStyle w:val="Normal"/>
        <w:spacing w:before="0" w:after="160"/>
        <w:jc w:val="both"/>
        <w:rPr>
          <w:rFonts w:ascii="Arial" w:hAnsi="Arial" w:cs="Arial"/>
          <w:b/>
          <w:color w:val="000000"/>
          <w:sz w:val="24"/>
          <w:szCs w:val="24"/>
        </w:rPr>
      </w:pPr>
      <w:r>
        <w:rPr>
          <w:rFonts w:cs="Arial" w:ascii="Arial" w:hAnsi="Arial"/>
          <w:b/>
          <w:color w:val="000000"/>
          <w:sz w:val="24"/>
          <w:szCs w:val="24"/>
        </w:rPr>
      </w:r>
    </w:p>
    <w:p>
      <w:pPr>
        <w:pStyle w:val="Normal"/>
        <w:spacing w:lineRule="auto" w:line="276"/>
        <w:jc w:val="center"/>
        <w:rPr>
          <w:rFonts w:ascii="Arial" w:hAnsi="Arial" w:eastAsia="Arial Unicode MS" w:cs="Arial"/>
          <w:sz w:val="24"/>
          <w:szCs w:val="24"/>
        </w:rPr>
      </w:pPr>
      <w:r>
        <w:rPr>
          <w:rFonts w:eastAsia="Arial Unicode MS" w:cs="Arial" w:ascii="Arial" w:hAnsi="Arial"/>
          <w:sz w:val="24"/>
          <w:szCs w:val="24"/>
        </w:rPr>
        <w:t>___________________________________</w:t>
      </w:r>
    </w:p>
    <w:p>
      <w:pPr>
        <w:pStyle w:val="Normal"/>
        <w:spacing w:lineRule="auto" w:line="276"/>
        <w:jc w:val="center"/>
        <w:rPr>
          <w:rFonts w:ascii="Arial" w:hAnsi="Arial" w:eastAsia="Arial Unicode MS" w:cs="Arial"/>
          <w:sz w:val="24"/>
          <w:szCs w:val="24"/>
        </w:rPr>
      </w:pPr>
      <w:r>
        <w:rPr>
          <w:rFonts w:eastAsia="Arial Unicode MS" w:cs="Arial" w:ascii="Arial" w:hAnsi="Arial"/>
          <w:sz w:val="24"/>
          <w:szCs w:val="24"/>
        </w:rPr>
        <w:t>ALTAIR CORDEIRO</w:t>
      </w:r>
    </w:p>
    <w:p>
      <w:pPr>
        <w:pStyle w:val="Normal"/>
        <w:spacing w:lineRule="auto" w:line="276"/>
        <w:jc w:val="center"/>
        <w:rPr>
          <w:rFonts w:ascii="Arial" w:hAnsi="Arial" w:eastAsia="Arial Unicode MS" w:cs="Arial"/>
          <w:sz w:val="24"/>
          <w:szCs w:val="24"/>
        </w:rPr>
      </w:pPr>
      <w:r>
        <w:rPr>
          <w:rFonts w:eastAsia="Arial Unicode MS" w:cs="Arial" w:ascii="Arial" w:hAnsi="Arial"/>
          <w:sz w:val="24"/>
          <w:szCs w:val="24"/>
        </w:rPr>
        <w:t>ASSESSOR DE MANUTENÇÃO ELÉTRICA</w:t>
      </w:r>
    </w:p>
    <w:p>
      <w:pPr>
        <w:pStyle w:val="Normal"/>
        <w:spacing w:before="0" w:after="160"/>
        <w:jc w:val="both"/>
        <w:rPr>
          <w:rFonts w:ascii="Arial" w:hAnsi="Arial" w:cs="Arial"/>
          <w:b/>
          <w:color w:val="000000"/>
          <w:sz w:val="24"/>
          <w:szCs w:val="24"/>
        </w:rPr>
      </w:pPr>
      <w:r>
        <w:rPr>
          <w:rFonts w:cs="Arial" w:ascii="Arial" w:hAnsi="Arial"/>
          <w:b/>
          <w:color w:val="000000"/>
          <w:sz w:val="24"/>
          <w:szCs w:val="24"/>
        </w:rPr>
      </w:r>
    </w:p>
    <w:p>
      <w:pPr>
        <w:pStyle w:val="Normal"/>
        <w:spacing w:before="0" w:after="160"/>
        <w:jc w:val="center"/>
        <w:rPr>
          <w:rFonts w:ascii="Arial" w:hAnsi="Arial" w:cs="Arial"/>
          <w:b/>
          <w:color w:val="000000"/>
          <w:sz w:val="24"/>
          <w:szCs w:val="24"/>
        </w:rPr>
      </w:pPr>
      <w:r>
        <w:rPr>
          <w:rFonts w:cs="Arial" w:ascii="Arial" w:hAnsi="Arial"/>
          <w:b/>
          <w:color w:val="000000"/>
          <w:sz w:val="24"/>
          <w:szCs w:val="24"/>
        </w:rPr>
      </w:r>
    </w:p>
    <w:p>
      <w:pPr>
        <w:pStyle w:val="Normal"/>
        <w:spacing w:lineRule="auto" w:line="276" w:before="0" w:after="200"/>
        <w:rPr>
          <w:rFonts w:ascii="Arial" w:hAnsi="Arial" w:cs="Arial"/>
          <w:b/>
          <w:color w:val="000000"/>
          <w:sz w:val="24"/>
          <w:szCs w:val="24"/>
        </w:rPr>
      </w:pPr>
      <w:r>
        <w:rPr>
          <w:rFonts w:cs="Arial" w:ascii="Arial" w:hAnsi="Arial"/>
          <w:b/>
          <w:color w:val="000000"/>
          <w:sz w:val="24"/>
          <w:szCs w:val="24"/>
        </w:rPr>
      </w:r>
    </w:p>
    <w:sectPr>
      <w:headerReference w:type="default" r:id="rId2"/>
      <w:type w:val="nextPage"/>
      <w:pgSz w:w="11906" w:h="16838"/>
      <w:pgMar w:left="1418" w:right="709" w:gutter="0" w:header="1134" w:top="1985" w:footer="0"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firstLine="2410"/>
      <w:jc w:val="center"/>
      <w:rPr>
        <w:rFonts w:ascii="Arial" w:hAnsi="Arial"/>
        <w:b/>
        <w:sz w:val="28"/>
        <w:szCs w:val="28"/>
      </w:rPr>
    </w:pPr>
    <w:r>
      <mc:AlternateContent>
        <mc:Choice Requires="wps">
          <w:drawing>
            <wp:anchor behindDoc="1" distT="0" distB="8890" distL="0" distR="0" simplePos="0" locked="0" layoutInCell="1" allowOverlap="1" relativeHeight="14" wp14:anchorId="1681E371">
              <wp:simplePos x="0" y="0"/>
              <wp:positionH relativeFrom="column">
                <wp:posOffset>-149225</wp:posOffset>
              </wp:positionH>
              <wp:positionV relativeFrom="paragraph">
                <wp:posOffset>-47625</wp:posOffset>
              </wp:positionV>
              <wp:extent cx="1697990" cy="753110"/>
              <wp:effectExtent l="0" t="0" r="0" b="8890"/>
              <wp:wrapNone/>
              <wp:docPr id="1" name="Caixa de texto 3"/>
              <a:graphic xmlns:a="http://schemas.openxmlformats.org/drawingml/2006/main">
                <a:graphicData uri="http://schemas.microsoft.com/office/word/2010/wordprocessingShape">
                  <wps:wsp>
                    <wps:cNvSpPr/>
                    <wps:spPr>
                      <a:xfrm>
                        <a:off x="0" y="0"/>
                        <a:ext cx="1698120" cy="753120"/>
                      </a:xfrm>
                      <a:prstGeom prst="rect">
                        <a:avLst/>
                      </a:prstGeom>
                      <a:noFill/>
                      <a:ln w="0">
                        <a:noFill/>
                      </a:ln>
                    </wps:spPr>
                    <wps:style>
                      <a:lnRef idx="0"/>
                      <a:fillRef idx="0"/>
                      <a:effectRef idx="0"/>
                      <a:fontRef idx="minor"/>
                    </wps:style>
                    <wps:txbx>
                      <w:txbxContent>
                        <w:p>
                          <w:pPr>
                            <w:pStyle w:val="Contedodoquadro"/>
                            <w:rPr>
                              <w:color w:val="000000"/>
                            </w:rPr>
                          </w:pPr>
                          <w:r>
                            <w:rPr>
                              <w:color w:val="000000"/>
                            </w:rPr>
                            <w:drawing>
                              <wp:inline distT="0" distB="0" distL="0" distR="0">
                                <wp:extent cx="1514475" cy="658495"/>
                                <wp:effectExtent l="0" t="0" r="0" b="0"/>
                                <wp:docPr id="3" name="Imagem 2054536108" descr="Logo - SA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054536108" descr="Logo - SAAE"/>
                                        <pic:cNvPicPr>
                                          <a:picLocks noChangeAspect="1" noChangeArrowheads="1"/>
                                        </pic:cNvPicPr>
                                      </pic:nvPicPr>
                                      <pic:blipFill>
                                        <a:blip r:embed="rId1"/>
                                        <a:stretch>
                                          <a:fillRect/>
                                        </a:stretch>
                                      </pic:blipFill>
                                      <pic:spPr bwMode="auto">
                                        <a:xfrm>
                                          <a:off x="0" y="0"/>
                                          <a:ext cx="1514475" cy="658495"/>
                                        </a:xfrm>
                                        <a:prstGeom prst="rect">
                                          <a:avLst/>
                                        </a:prstGeom>
                                      </pic:spPr>
                                    </pic:pic>
                                  </a:graphicData>
                                </a:graphic>
                              </wp:inline>
                            </w:drawing>
                          </w:r>
                        </w:p>
                      </w:txbxContent>
                    </wps:txbx>
                    <wps:bodyPr anchor="t" upright="1">
                      <a:noAutofit/>
                    </wps:bodyPr>
                  </wps:wsp>
                </a:graphicData>
              </a:graphic>
            </wp:anchor>
          </w:drawing>
        </mc:Choice>
        <mc:Fallback>
          <w:pict>
            <v:rect id="shape_0" ID="Caixa de texto 3" path="m0,0l-2147483645,0l-2147483645,-2147483646l0,-2147483646xe" stroked="f" o:allowincell="f" style="position:absolute;margin-left:-11.75pt;margin-top:-3.75pt;width:133.65pt;height:59.25pt;mso-wrap-style:none;v-text-anchor:middle" wp14:anchorId="1681E371">
              <v:fill o:detectmouseclick="t" on="false"/>
              <v:stroke color="#3465a4" joinstyle="round" endcap="flat"/>
              <v:textbox>
                <w:txbxContent>
                  <w:p>
                    <w:pPr>
                      <w:pStyle w:val="Contedodoquadro"/>
                      <w:rPr>
                        <w:color w:val="000000"/>
                      </w:rPr>
                    </w:pPr>
                    <w:r>
                      <w:rPr>
                        <w:color w:val="000000"/>
                      </w:rPr>
                      <w:drawing>
                        <wp:inline distT="0" distB="0" distL="0" distR="0">
                          <wp:extent cx="1514475" cy="658495"/>
                          <wp:effectExtent l="0" t="0" r="0" b="0"/>
                          <wp:docPr id="4" name="Imagem 2054536108" descr="Logo - SA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054536108" descr="Logo - SAAE"/>
                                  <pic:cNvPicPr>
                                    <a:picLocks noChangeAspect="1" noChangeArrowheads="1"/>
                                  </pic:cNvPicPr>
                                </pic:nvPicPr>
                                <pic:blipFill>
                                  <a:blip r:embed="rId2"/>
                                  <a:stretch>
                                    <a:fillRect/>
                                  </a:stretch>
                                </pic:blipFill>
                                <pic:spPr bwMode="auto">
                                  <a:xfrm>
                                    <a:off x="0" y="0"/>
                                    <a:ext cx="1514475" cy="658495"/>
                                  </a:xfrm>
                                  <a:prstGeom prst="rect">
                                    <a:avLst/>
                                  </a:prstGeom>
                                </pic:spPr>
                              </pic:pic>
                            </a:graphicData>
                          </a:graphic>
                        </wp:inline>
                      </w:drawing>
                    </w:r>
                  </w:p>
                </w:txbxContent>
              </v:textbox>
              <w10:wrap type="none"/>
            </v:rect>
          </w:pict>
        </mc:Fallback>
      </mc:AlternateContent>
    </w:r>
    <w:r>
      <w:rPr>
        <w:rFonts w:ascii="Arial" w:hAnsi="Arial"/>
        <w:b/>
        <w:sz w:val="28"/>
        <w:szCs w:val="28"/>
      </w:rPr>
      <w:t>SAAE – SERVIÇO AUTÔNOMO DE ÁGUA ESGOTO</w:t>
    </w:r>
  </w:p>
  <w:p>
    <w:pPr>
      <w:pStyle w:val="Normal"/>
      <w:ind w:firstLine="2410"/>
      <w:jc w:val="center"/>
      <w:rPr>
        <w:rFonts w:ascii="Arial" w:hAnsi="Arial"/>
      </w:rPr>
    </w:pPr>
    <w:r>
      <w:rPr>
        <w:rFonts w:ascii="Arial" w:hAnsi="Arial"/>
      </w:rPr>
      <w:t>Rua Antônio José Barbosa, 723– Bairro Santa Luzia  –  Formiga / MG</w:t>
    </w:r>
  </w:p>
  <w:p>
    <w:pPr>
      <w:pStyle w:val="Normal"/>
      <w:ind w:firstLine="2410"/>
      <w:jc w:val="center"/>
      <w:rPr>
        <w:rFonts w:ascii="Arial" w:hAnsi="Arial"/>
        <w:lang w:val="en-US"/>
      </w:rPr>
    </w:pPr>
    <w:r>
      <w:rPr>
        <w:rFonts w:ascii="Arial" w:hAnsi="Arial"/>
        <w:lang w:val="en-US"/>
      </w:rPr>
      <w:t>CNPJ: 16.782.211/0001-63 –  (37) 3329-2750 –  CEP: 35570-660</w:t>
    </w:r>
  </w:p>
  <w:p>
    <w:pPr>
      <w:pStyle w:val="Normal"/>
      <w:ind w:firstLine="2410"/>
      <w:jc w:val="center"/>
      <w:rPr>
        <w:rFonts w:ascii="Arial" w:hAnsi="Arial"/>
        <w:lang w:val="en-US"/>
      </w:rPr>
    </w:pPr>
    <w:hyperlink r:id="rId3">
      <w:r>
        <w:rPr>
          <w:rStyle w:val="Hyperlink"/>
          <w:rFonts w:ascii="Arial" w:hAnsi="Arial"/>
          <w:lang w:val="en-US"/>
        </w:rPr>
        <w:t>www.saaeformiga.com.br</w:t>
      </w:r>
    </w:hyperlink>
    <w:r>
      <w:rPr>
        <w:rFonts w:ascii="Arial" w:hAnsi="Arial"/>
        <w:lang w:val="en-US"/>
      </w:rPr>
      <w:t xml:space="preserve">–   </w:t>
    </w:r>
    <w:hyperlink r:id="rId4">
      <w:r>
        <w:rPr>
          <w:rStyle w:val="Hyperlink"/>
          <w:rFonts w:ascii="Arial" w:hAnsi="Arial"/>
          <w:lang w:val="en-US"/>
        </w:rPr>
        <w:t>saaeformiga@hotmail.com</w:t>
      </w:r>
    </w:hyperlink>
  </w:p>
  <w:p>
    <w:pPr>
      <w:pStyle w:val="Normal"/>
      <w:ind w:firstLine="2410"/>
      <w:rPr>
        <w:rFonts w:ascii="Courier New" w:hAnsi="Courier New"/>
        <w:sz w:val="18"/>
        <w:lang w:val="en-US"/>
      </w:rPr>
    </w:pPr>
    <w:r>
      <w:rPr>
        <w:rFonts w:ascii="Courier New" w:hAnsi="Courier New"/>
        <w:sz w:val="18"/>
        <w:lang w:val="en-US"/>
      </w:rPr>
    </w:r>
  </w:p>
  <w:p>
    <w:pPr>
      <w:pStyle w:val="Header"/>
      <w:rPr>
        <w:lang w:val="en-US"/>
      </w:rPr>
    </w:pPr>
    <w:r>
      <w:rPr>
        <w:lang w:val="en-US"/>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suff w:val="space"/>
      <w:lvlText w:val="%1.%2."/>
      <w:lvlJc w:val="left"/>
      <w:pPr>
        <w:tabs>
          <w:tab w:val="num" w:pos="0"/>
        </w:tabs>
        <w:ind w:left="792" w:hanging="432"/>
      </w:pPr>
      <w:rPr>
        <w:b/>
        <w:bCs/>
      </w:rPr>
    </w:lvl>
    <w:lvl w:ilvl="2">
      <w:start w:val="1"/>
      <w:numFmt w:val="decimal"/>
      <w:suff w:val="space"/>
      <w:lvlText w:val="%1.%2.%3."/>
      <w:lvlJc w:val="left"/>
      <w:pPr>
        <w:tabs>
          <w:tab w:val="num" w:pos="0"/>
        </w:tabs>
        <w:ind w:left="1224" w:hanging="504"/>
      </w:pPr>
      <w:rPr>
        <w:b w:val="false"/>
        <w:bCs/>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21e3"/>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pt-BR" w:eastAsia="pt-BR" w:bidi="ar-SA"/>
    </w:rPr>
  </w:style>
  <w:style w:type="paragraph" w:styleId="Heading1">
    <w:name w:val="Heading 1"/>
    <w:basedOn w:val="Normal"/>
    <w:link w:val="Ttulo1Char"/>
    <w:uiPriority w:val="9"/>
    <w:qFormat/>
    <w:rsid w:val="007e3e57"/>
    <w:pPr>
      <w:spacing w:beforeAutospacing="1" w:afterAutospacing="1"/>
      <w:outlineLvl w:val="0"/>
    </w:pPr>
    <w:rPr>
      <w:b/>
      <w:bCs/>
      <w:kern w:val="2"/>
      <w:sz w:val="48"/>
      <w:szCs w:val="48"/>
    </w:rPr>
  </w:style>
  <w:style w:type="paragraph" w:styleId="Heading2">
    <w:name w:val="Heading 2"/>
    <w:basedOn w:val="Normal"/>
    <w:next w:val="Normal"/>
    <w:link w:val="Ttulo2Char"/>
    <w:uiPriority w:val="9"/>
    <w:semiHidden/>
    <w:unhideWhenUsed/>
    <w:qFormat/>
    <w:rsid w:val="00ad1b89"/>
    <w:pPr>
      <w:keepNext w:val="true"/>
      <w:keepLines/>
      <w:spacing w:before="200" w:after="0"/>
      <w:outlineLvl w:val="1"/>
    </w:pPr>
    <w:rPr>
      <w:rFonts w:ascii="Cambria" w:hAnsi="Cambria" w:eastAsia="" w:cs="" w:asciiTheme="majorHAnsi" w:cstheme="majorBidi" w:eastAsiaTheme="majorEastAsia" w:hAnsiTheme="majorHAnsi"/>
      <w:b/>
      <w:bCs/>
      <w:color w:themeColor="accent1" w:val="4F81BD"/>
      <w:sz w:val="26"/>
      <w:szCs w:val="26"/>
    </w:rPr>
  </w:style>
  <w:style w:type="paragraph" w:styleId="Heading4">
    <w:name w:val="Heading 4"/>
    <w:basedOn w:val="Normal"/>
    <w:next w:val="Normal"/>
    <w:link w:val="Ttulo4Char"/>
    <w:uiPriority w:val="9"/>
    <w:unhideWhenUsed/>
    <w:qFormat/>
    <w:rsid w:val="00120435"/>
    <w:pPr>
      <w:keepNext w:val="true"/>
      <w:keepLines/>
      <w:spacing w:before="40" w:after="0"/>
      <w:outlineLvl w:val="3"/>
    </w:pPr>
    <w:rPr>
      <w:rFonts w:ascii="Cambria" w:hAnsi="Cambria" w:eastAsia="" w:cs="" w:asciiTheme="majorHAnsi" w:cstheme="majorBidi" w:eastAsiaTheme="majorEastAsia" w:hAnsiTheme="majorHAnsi"/>
      <w:i/>
      <w:iCs/>
      <w:color w:themeColor="accent1" w:themeShade="bf" w:val="365F9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535d3d"/>
    <w:rPr>
      <w:rFonts w:ascii="Times New Roman" w:hAnsi="Times New Roman" w:eastAsia="Times New Roman" w:cs="Times New Roman"/>
      <w:sz w:val="20"/>
      <w:szCs w:val="20"/>
      <w:lang w:eastAsia="pt-BR"/>
    </w:rPr>
  </w:style>
  <w:style w:type="character" w:styleId="Hyperlink">
    <w:name w:val="Hyperlink"/>
    <w:rsid w:val="00535d3d"/>
    <w:rPr>
      <w:color w:val="0000FF"/>
      <w:u w:val="single"/>
    </w:rPr>
  </w:style>
  <w:style w:type="character" w:styleId="TextodebaloChar" w:customStyle="1">
    <w:name w:val="Texto de balão Char"/>
    <w:basedOn w:val="DefaultParagraphFont"/>
    <w:link w:val="BalloonText"/>
    <w:uiPriority w:val="99"/>
    <w:semiHidden/>
    <w:qFormat/>
    <w:rsid w:val="00535d3d"/>
    <w:rPr>
      <w:rFonts w:ascii="Tahoma" w:hAnsi="Tahoma" w:eastAsia="Times New Roman" w:cs="Tahoma"/>
      <w:sz w:val="16"/>
      <w:szCs w:val="16"/>
      <w:lang w:eastAsia="pt-BR"/>
    </w:rPr>
  </w:style>
  <w:style w:type="character" w:styleId="RodapChar" w:customStyle="1">
    <w:name w:val="Rodapé Char"/>
    <w:basedOn w:val="DefaultParagraphFont"/>
    <w:uiPriority w:val="99"/>
    <w:qFormat/>
    <w:rsid w:val="002e27f2"/>
    <w:rPr>
      <w:rFonts w:ascii="Times New Roman" w:hAnsi="Times New Roman" w:eastAsia="Times New Roman" w:cs="Times New Roman"/>
      <w:sz w:val="20"/>
      <w:szCs w:val="20"/>
      <w:lang w:eastAsia="pt-BR"/>
    </w:rPr>
  </w:style>
  <w:style w:type="character" w:styleId="Ttulo1Char" w:customStyle="1">
    <w:name w:val="Título 1 Char"/>
    <w:basedOn w:val="DefaultParagraphFont"/>
    <w:uiPriority w:val="9"/>
    <w:qFormat/>
    <w:rsid w:val="007e3e57"/>
    <w:rPr>
      <w:rFonts w:ascii="Times New Roman" w:hAnsi="Times New Roman" w:eastAsia="Times New Roman" w:cs="Times New Roman"/>
      <w:b/>
      <w:bCs/>
      <w:kern w:val="2"/>
      <w:sz w:val="48"/>
      <w:szCs w:val="48"/>
      <w:lang w:eastAsia="pt-BR"/>
    </w:rPr>
  </w:style>
  <w:style w:type="character" w:styleId="Ttulo2Char" w:customStyle="1">
    <w:name w:val="Título 2 Char"/>
    <w:basedOn w:val="DefaultParagraphFont"/>
    <w:uiPriority w:val="9"/>
    <w:semiHidden/>
    <w:qFormat/>
    <w:rsid w:val="00ad1b89"/>
    <w:rPr>
      <w:rFonts w:ascii="Cambria" w:hAnsi="Cambria" w:eastAsia="" w:cs="" w:asciiTheme="majorHAnsi" w:cstheme="majorBidi" w:eastAsiaTheme="majorEastAsia" w:hAnsiTheme="majorHAnsi"/>
      <w:b/>
      <w:bCs/>
      <w:color w:themeColor="accent1" w:val="4F81BD"/>
      <w:sz w:val="26"/>
      <w:szCs w:val="26"/>
      <w:lang w:eastAsia="pt-BR"/>
    </w:rPr>
  </w:style>
  <w:style w:type="character" w:styleId="Pr-formataoHTMLChar" w:customStyle="1">
    <w:name w:val="Pré-formatação HTML Char"/>
    <w:basedOn w:val="DefaultParagraphFont"/>
    <w:link w:val="HTMLPreformatted"/>
    <w:uiPriority w:val="99"/>
    <w:qFormat/>
    <w:rsid w:val="00324dfb"/>
    <w:rPr>
      <w:rFonts w:ascii="Courier New" w:hAnsi="Courier New" w:eastAsia="Times New Roman" w:cs="Courier New"/>
      <w:sz w:val="20"/>
      <w:szCs w:val="20"/>
      <w:lang w:eastAsia="pt-BR"/>
    </w:rPr>
  </w:style>
  <w:style w:type="character" w:styleId="Ttulo4Char" w:customStyle="1">
    <w:name w:val="Título 4 Char"/>
    <w:basedOn w:val="DefaultParagraphFont"/>
    <w:uiPriority w:val="9"/>
    <w:qFormat/>
    <w:rsid w:val="00120435"/>
    <w:rPr>
      <w:rFonts w:ascii="Cambria" w:hAnsi="Cambria" w:eastAsia="" w:cs="" w:asciiTheme="majorHAnsi" w:cstheme="majorBidi" w:eastAsiaTheme="majorEastAsia" w:hAnsiTheme="majorHAnsi"/>
      <w:i/>
      <w:iCs/>
      <w:color w:themeColor="accent1" w:themeShade="bf" w:val="365F91"/>
      <w:sz w:val="20"/>
      <w:szCs w:val="20"/>
      <w:lang w:eastAsia="pt-BR"/>
    </w:rPr>
  </w:style>
  <w:style w:type="character" w:styleId="UnresolvedMention">
    <w:name w:val="Unresolved Mention"/>
    <w:basedOn w:val="DefaultParagraphFont"/>
    <w:uiPriority w:val="99"/>
    <w:semiHidden/>
    <w:unhideWhenUsed/>
    <w:qFormat/>
    <w:rsid w:val="00950922"/>
    <w:rPr>
      <w:color w:val="605E5C"/>
      <w:shd w:fill="E1DFDD" w:val="clear"/>
    </w:rPr>
  </w:style>
  <w:style w:type="character" w:styleId="Strong">
    <w:name w:val="Strong"/>
    <w:qFormat/>
    <w:rPr>
      <w:b/>
      <w:bCs/>
    </w:rPr>
  </w:style>
  <w:style w:type="character" w:styleId="Marcadores">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Header">
    <w:name w:val="Header"/>
    <w:basedOn w:val="Normal"/>
    <w:link w:val="CabealhoChar"/>
    <w:uiPriority w:val="99"/>
    <w:rsid w:val="00535d3d"/>
    <w:pPr>
      <w:tabs>
        <w:tab w:val="clear" w:pos="708"/>
        <w:tab w:val="center" w:pos="4419" w:leader="none"/>
        <w:tab w:val="right" w:pos="8838" w:leader="none"/>
      </w:tabs>
    </w:pPr>
    <w:rPr/>
  </w:style>
  <w:style w:type="paragraph" w:styleId="BalloonText">
    <w:name w:val="Balloon Text"/>
    <w:basedOn w:val="Normal"/>
    <w:link w:val="TextodebaloChar"/>
    <w:uiPriority w:val="99"/>
    <w:semiHidden/>
    <w:unhideWhenUsed/>
    <w:qFormat/>
    <w:rsid w:val="00535d3d"/>
    <w:pPr/>
    <w:rPr>
      <w:rFonts w:ascii="Tahoma" w:hAnsi="Tahoma" w:cs="Tahoma"/>
      <w:sz w:val="16"/>
      <w:szCs w:val="16"/>
    </w:rPr>
  </w:style>
  <w:style w:type="paragraph" w:styleId="Footer">
    <w:name w:val="Footer"/>
    <w:basedOn w:val="Normal"/>
    <w:link w:val="RodapChar"/>
    <w:uiPriority w:val="99"/>
    <w:unhideWhenUsed/>
    <w:rsid w:val="002e27f2"/>
    <w:pPr>
      <w:tabs>
        <w:tab w:val="clear" w:pos="708"/>
        <w:tab w:val="center" w:pos="4252" w:leader="none"/>
        <w:tab w:val="right" w:pos="8504" w:leader="none"/>
      </w:tabs>
    </w:pPr>
    <w:rPr/>
  </w:style>
  <w:style w:type="paragraph" w:styleId="ListParagraph">
    <w:name w:val="List Paragraph"/>
    <w:basedOn w:val="Normal"/>
    <w:uiPriority w:val="34"/>
    <w:qFormat/>
    <w:rsid w:val="00817777"/>
    <w:pPr>
      <w:spacing w:before="0" w:after="0"/>
      <w:ind w:left="720"/>
      <w:contextualSpacing/>
    </w:pPr>
    <w:rPr/>
  </w:style>
  <w:style w:type="paragraph" w:styleId="NormalWeb">
    <w:name w:val="Normal (Web)"/>
    <w:basedOn w:val="Normal"/>
    <w:uiPriority w:val="99"/>
    <w:semiHidden/>
    <w:unhideWhenUsed/>
    <w:qFormat/>
    <w:rsid w:val="0089273b"/>
    <w:pPr>
      <w:spacing w:beforeAutospacing="1" w:afterAutospacing="1"/>
    </w:pPr>
    <w:rPr>
      <w:sz w:val="24"/>
      <w:szCs w:val="24"/>
    </w:rPr>
  </w:style>
  <w:style w:type="paragraph" w:styleId="HTMLPreformatted">
    <w:name w:val="HTML Preformatted"/>
    <w:basedOn w:val="Normal"/>
    <w:link w:val="Pr-formataoHTMLChar"/>
    <w:uiPriority w:val="99"/>
    <w:unhideWhenUsed/>
    <w:qFormat/>
    <w:rsid w:val="00324df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rPr>
  </w:style>
  <w:style w:type="paragraph" w:styleId="Default" w:customStyle="1">
    <w:name w:val="Default"/>
    <w:qFormat/>
    <w:rsid w:val="00683e07"/>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pt-BR" w:eastAsia="en-US" w:bidi="ar-SA"/>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53312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Relationship Id="rId3" Type="http://schemas.openxmlformats.org/officeDocument/2006/relationships/hyperlink" Target="http://www.saaeformiga.com.br/" TargetMode="External"/><Relationship Id="rId4" Type="http://schemas.openxmlformats.org/officeDocument/2006/relationships/hyperlink" Target="mailto:saaeformiga@hotmail.com" TargetMode="External"/>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7FF70-9231-4A06-8DE8-04C64C724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Application>LibreOffice/7.6.2.1$Windows_X86_64 LibreOffice_project/56f7684011345957bbf33a7ee678afaf4d2ba333</Application>
  <AppVersion>15.0000</AppVersion>
  <Pages>7</Pages>
  <Words>2000</Words>
  <Characters>11451</Characters>
  <CharactersWithSpaces>13305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2024-02-16T18:34:00Z</dcterms:created>
  <dc:creator>pc</dc:creator>
  <dc:description/>
  <dc:language>pt-BR</dc:language>
  <cp:lastModifiedBy/>
  <cp:lastPrinted>2024-02-26T13:29:00Z</cp:lastPrinted>
  <dcterms:modified xsi:type="dcterms:W3CDTF">2024-07-03T14:59:19Z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