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4C194441" w:rsidR="005E08F0" w:rsidRPr="005E08F0" w:rsidRDefault="00C8467D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RAZÃO DA ESCOLHA DO FORNECEDOR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3DEB98D7" w:rsidR="00F2245B" w:rsidRPr="00F2245B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INTRODUÇÃO</w:t>
      </w:r>
    </w:p>
    <w:p w14:paraId="6010265A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97B1A85" w14:textId="267BD30E" w:rsidR="00627CA8" w:rsidRPr="00627CA8" w:rsidRDefault="00C8467D" w:rsidP="00C8467D">
      <w:pPr>
        <w:pStyle w:val="PargrafodaLista"/>
        <w:spacing w:before="100" w:beforeAutospacing="1"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Este documento apresenta a justificativa para a escolha d</w:t>
      </w:r>
      <w:r w:rsidR="003C1238">
        <w:rPr>
          <w:rFonts w:ascii="Arial" w:hAnsi="Arial" w:cs="Arial"/>
          <w:sz w:val="24"/>
          <w:szCs w:val="24"/>
        </w:rPr>
        <w:t xml:space="preserve">o fornecedor selecionado para a </w:t>
      </w:r>
      <w:r w:rsidR="003C1238" w:rsidRPr="00C8467D">
        <w:rPr>
          <w:rFonts w:ascii="Arial" w:hAnsi="Arial" w:cs="Arial"/>
          <w:sz w:val="24"/>
          <w:szCs w:val="24"/>
        </w:rPr>
        <w:t xml:space="preserve">prestação de serviços técnicos especializados na área de Engenharia, necessários para a </w:t>
      </w:r>
      <w:r w:rsidR="003C1238">
        <w:rPr>
          <w:rFonts w:ascii="Arial" w:hAnsi="Arial" w:cs="Arial"/>
          <w:sz w:val="24"/>
          <w:szCs w:val="24"/>
        </w:rPr>
        <w:t>realização de estudo que determine a mancha de inundação do curso d’água do Rio Formiga e a interferência no aumento do nível da água nas estruturas da ETE (Estação de Tratamento de Esgoto)</w:t>
      </w:r>
      <w:r w:rsidRPr="00C8467D">
        <w:rPr>
          <w:rFonts w:ascii="Arial" w:hAnsi="Arial" w:cs="Arial"/>
          <w:sz w:val="24"/>
          <w:szCs w:val="24"/>
        </w:rPr>
        <w:t>. A contratação se dará por inexigibilidade de licitação, conforme previsto na Lei nº 14.133/21.</w:t>
      </w: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2AB87A95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FUNDAMENTAÇÃO </w:t>
      </w:r>
      <w:r w:rsidR="00627CA8">
        <w:rPr>
          <w:rFonts w:ascii="Arial" w:hAnsi="Arial" w:cs="Arial"/>
          <w:b/>
          <w:bCs/>
          <w:sz w:val="24"/>
          <w:szCs w:val="24"/>
        </w:rPr>
        <w:t xml:space="preserve">LEGAL </w:t>
      </w:r>
      <w:r>
        <w:rPr>
          <w:rFonts w:ascii="Arial" w:hAnsi="Arial" w:cs="Arial"/>
          <w:b/>
          <w:bCs/>
          <w:sz w:val="24"/>
          <w:szCs w:val="24"/>
        </w:rPr>
        <w:t>DA CONTRATAÇÃO</w:t>
      </w:r>
    </w:p>
    <w:p w14:paraId="6EFC4D01" w14:textId="2D92F2DA" w:rsidR="00C8467D" w:rsidRPr="00627CA8" w:rsidRDefault="00C8467D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A escolha do fornecedor foi fundamentada no Art. 74 da Lei nº 14.133/21, que permite a inexigibilidade de licitação para serviços técnicos especializados de natureza singular com profissionais ou empresas de notória especialização.</w:t>
      </w: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95523F6" w14:textId="28035F80" w:rsidR="00C8467D" w:rsidRPr="00C8467D" w:rsidRDefault="00C8467D" w:rsidP="00C8467D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CRITÉRIOS DE ESCOLHA DO FORNECEDOR</w:t>
      </w:r>
    </w:p>
    <w:p w14:paraId="52517C5E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A seleção do fornecedor foi baseada nos seguintes critérios:</w:t>
      </w:r>
    </w:p>
    <w:p w14:paraId="1B1D007C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42A862D3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Notória Especialização</w:t>
      </w:r>
    </w:p>
    <w:p w14:paraId="50E400F5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Experiência e Histórico de Sucesso</w:t>
      </w:r>
    </w:p>
    <w:p w14:paraId="56059BB5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Capacidade Técnica e Operacional</w:t>
      </w:r>
    </w:p>
    <w:p w14:paraId="30334D64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Proposta de Valor</w:t>
      </w:r>
    </w:p>
    <w:p w14:paraId="3B2CB89D" w14:textId="77777777" w:rsid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Referências e Reputação</w:t>
      </w:r>
    </w:p>
    <w:p w14:paraId="486655A1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3DB33D38" w14:textId="4450BC1A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 xml:space="preserve"> </w:t>
      </w:r>
      <w:r w:rsidRPr="00C8467D">
        <w:rPr>
          <w:rFonts w:ascii="Arial" w:hAnsi="Arial" w:cs="Arial"/>
          <w:b/>
          <w:bCs/>
          <w:sz w:val="24"/>
          <w:szCs w:val="24"/>
        </w:rPr>
        <w:t>Notória Especialização</w:t>
      </w:r>
    </w:p>
    <w:p w14:paraId="0BF9E4C0" w14:textId="2065E275" w:rsidR="00493314" w:rsidRPr="00493314" w:rsidRDefault="00C8467D" w:rsidP="0050338A">
      <w:pPr>
        <w:pStyle w:val="PargrafodaLista"/>
        <w:numPr>
          <w:ilvl w:val="2"/>
          <w:numId w:val="20"/>
        </w:numPr>
        <w:spacing w:before="100" w:beforeAutospacing="1" w:after="100" w:afterAutospacing="1"/>
        <w:ind w:left="720"/>
        <w:jc w:val="both"/>
        <w:rPr>
          <w:rFonts w:ascii="Arial" w:hAnsi="Arial" w:cs="Arial"/>
          <w:sz w:val="24"/>
          <w:szCs w:val="24"/>
        </w:rPr>
      </w:pPr>
      <w:r w:rsidRPr="00493314">
        <w:rPr>
          <w:rFonts w:ascii="Arial" w:hAnsi="Arial" w:cs="Arial"/>
          <w:sz w:val="24"/>
          <w:szCs w:val="24"/>
        </w:rPr>
        <w:t xml:space="preserve">O fornecedor selecionado </w:t>
      </w:r>
      <w:r w:rsidR="00303490" w:rsidRPr="00493314">
        <w:rPr>
          <w:rFonts w:ascii="Arial" w:hAnsi="Arial" w:cs="Arial"/>
          <w:sz w:val="24"/>
          <w:szCs w:val="24"/>
        </w:rPr>
        <w:t>demonstrou possuir uma especialização reconhecida na área, com expertise comprovada em</w:t>
      </w:r>
      <w:r w:rsidR="00493314" w:rsidRPr="00493314">
        <w:rPr>
          <w:rFonts w:ascii="Arial" w:hAnsi="Arial" w:cs="Arial"/>
          <w:sz w:val="24"/>
          <w:szCs w:val="24"/>
        </w:rPr>
        <w:t xml:space="preserve"> Licenciamento ambiental • Avaliação de impactos ambientais • Licenças ambientais (LP, LI, LO, renovações e ampliações) • Gestão de projetos ambientais, tais como EIA/RIMA, RCA, PCA, RADA, PECF, PGRS, PAFEM, Espeleologia, IPHAN, PEA, PAS, dentre outros • Atendimento de condicionantes, requisitos e prazos legais • Monitoramentos ambientais de fauna, flora, qualidade do ar, da água, do solo e socioeconomia • Uso da água (outorgas e cadastros de usos insignificantes) • Intervenções ambientais • Compensações ambientais • Restauração de áreas degradadas • Due diligences • Gerenciamento e gestão de pessoas e equipes multidisciplinares • Relacionamento com stakeholders • Relacionamento com órgãos ambientais • Liderança • Análise crítica • Elaboração de orçamentos, CAPEX e OPEX • Gestão administrativa • Gestão de empresas terceirizadas • Geoprocessamento, análise de dados e produção de mapas • Imageamento com RPAS (drone) • Plataformas digitais: SEI, SLA, ANM, dentre outras.</w:t>
      </w:r>
    </w:p>
    <w:p w14:paraId="6F62F0BB" w14:textId="77777777" w:rsidR="00303490" w:rsidRPr="00493314" w:rsidRDefault="00303490" w:rsidP="00303490">
      <w:pPr>
        <w:pStyle w:val="PargrafodaLista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5FE8E8E1" w14:textId="77777777" w:rsidR="00303490" w:rsidRPr="00C8467D" w:rsidRDefault="00303490" w:rsidP="00303490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09BE2553" w14:textId="1DB6526A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Experiência e Histórico de Sucesso</w:t>
      </w:r>
    </w:p>
    <w:p w14:paraId="16101FAE" w14:textId="7B53D79B" w:rsidR="00493314" w:rsidRPr="001A0327" w:rsidRDefault="00C8467D" w:rsidP="004122B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A0327">
        <w:rPr>
          <w:rFonts w:ascii="Arial" w:hAnsi="Arial" w:cs="Arial"/>
          <w:sz w:val="24"/>
          <w:szCs w:val="24"/>
        </w:rPr>
        <w:t xml:space="preserve">Projetos Anteriores: </w:t>
      </w:r>
      <w:r w:rsidR="00493314" w:rsidRPr="001A0327">
        <w:rPr>
          <w:rFonts w:ascii="Arial" w:hAnsi="Arial" w:cs="Arial"/>
          <w:sz w:val="24"/>
          <w:szCs w:val="24"/>
        </w:rPr>
        <w:t xml:space="preserve">O fornecedor possui um histórico sólido de sucesso em projetos similares, evidenciado por trabalhos anteriores bem-sucedidos. Isso inclui a capacidade de lidar com desafios técnicos específicos relacionados à </w:t>
      </w:r>
      <w:r w:rsidR="001A0327" w:rsidRPr="001A0327">
        <w:rPr>
          <w:rFonts w:ascii="Arial" w:hAnsi="Arial" w:cs="Arial"/>
          <w:sz w:val="24"/>
          <w:szCs w:val="24"/>
        </w:rPr>
        <w:t>estudos</w:t>
      </w:r>
      <w:r w:rsidR="00493314" w:rsidRPr="001A0327">
        <w:rPr>
          <w:rFonts w:ascii="Arial" w:hAnsi="Arial" w:cs="Arial"/>
          <w:sz w:val="24"/>
          <w:szCs w:val="24"/>
        </w:rPr>
        <w:t>.</w:t>
      </w:r>
    </w:p>
    <w:p w14:paraId="0ABA0E00" w14:textId="0CA17834" w:rsidR="00C8467D" w:rsidRDefault="00C8467D" w:rsidP="00C8467D">
      <w:pPr>
        <w:pStyle w:val="PargrafodaLista"/>
        <w:spacing w:before="100" w:beforeAutospacing="1" w:after="100" w:afterAutospacing="1"/>
        <w:ind w:left="1224"/>
        <w:jc w:val="both"/>
      </w:pPr>
    </w:p>
    <w:p w14:paraId="298D256E" w14:textId="77777777" w:rsidR="00493314" w:rsidRPr="00C8467D" w:rsidRDefault="00493314" w:rsidP="00C8467D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529FAE53" w14:textId="77777777" w:rsid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Capacidade Técnica e Operacional</w:t>
      </w:r>
    </w:p>
    <w:p w14:paraId="7C25FC6F" w14:textId="3098C992" w:rsidR="001A0327" w:rsidRPr="001A0327" w:rsidRDefault="001A0327" w:rsidP="001A0327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1A0327">
        <w:rPr>
          <w:rFonts w:ascii="Arial" w:hAnsi="Arial" w:cs="Arial"/>
          <w:sz w:val="24"/>
          <w:szCs w:val="24"/>
        </w:rPr>
        <w:t>A capacidade técnica e operacional do fornecedor é altamente qualificada, garantindo que possuem os recursos necessários, como equipamentos de medição, softwares avançados de modelagem hidráulica e uma equipe qualificada de engenheiros com profissionais registrados no Conselho Regional de Engenharia e Agronomia (CREA) e certificações relevantes. A experiência acumulada em projetos semelhantes garante a capacidade de execução dos serviços com excelência. Esses recursos são essenciais para a execução detalhada e precisa do estudo pretendido.</w:t>
      </w:r>
    </w:p>
    <w:p w14:paraId="632D1DD3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54DE1AD1" w14:textId="5FEE0026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Proposta de Valor</w:t>
      </w:r>
    </w:p>
    <w:p w14:paraId="6F3256BC" w14:textId="7170FCAA" w:rsidR="00F27099" w:rsidRDefault="00F27099" w:rsidP="00F2709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27099">
        <w:rPr>
          <w:rFonts w:ascii="Arial" w:hAnsi="Arial" w:cs="Arial"/>
          <w:sz w:val="24"/>
          <w:szCs w:val="24"/>
        </w:rPr>
        <w:t>A proposta do fornecedor foi avaliada não apenas pelo custo financeiro, mas pela relação custo-benefício oferecida. Isso incluiu considerar a profundidade da análise proposta, a abordagem metodológica, a clareza na definição de entregáveis e a compatibilidade com as necessidades específicas do projeto.</w:t>
      </w:r>
    </w:p>
    <w:p w14:paraId="1699EA9D" w14:textId="4D2C4DC4" w:rsidR="00DF4A87" w:rsidRPr="00DF4A87" w:rsidRDefault="00DF4A87" w:rsidP="00DF4A87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  <w:r w:rsidRPr="00DF4A87">
        <w:rPr>
          <w:rFonts w:ascii="Arial" w:hAnsi="Arial" w:cs="Arial"/>
          <w:sz w:val="24"/>
          <w:szCs w:val="24"/>
        </w:rPr>
        <w:t>Inclusive o custo proposto pelo fornecedor é o de menor valor em relação outras propostas ficando vantajosa para a contratante.</w:t>
      </w:r>
    </w:p>
    <w:p w14:paraId="229C1DA2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0BB4CA59" w14:textId="77777777" w:rsidR="00032572" w:rsidRDefault="00C8467D" w:rsidP="0003257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Referências e Reputação</w:t>
      </w:r>
    </w:p>
    <w:p w14:paraId="34DF0AC7" w14:textId="11B7AA64" w:rsidR="00032572" w:rsidRPr="00F27099" w:rsidRDefault="00F27099" w:rsidP="00F27099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27099">
        <w:rPr>
          <w:rFonts w:ascii="Arial" w:hAnsi="Arial" w:cs="Arial"/>
          <w:sz w:val="24"/>
          <w:szCs w:val="24"/>
        </w:rPr>
        <w:t xml:space="preserve"> O fornecedor foi selecionado com base em referências positivas de clientes anteriores, que destacaram a confiabilidade, a capacidade de entrega dentro dos prazos estabelecidos e a qualidade técnica dos serviços prestados. A reputação positiva foi um indicador crucial de sua competência e comprometimento.</w:t>
      </w:r>
    </w:p>
    <w:p w14:paraId="4E1081EA" w14:textId="77777777" w:rsidR="00F27099" w:rsidRDefault="00F27099" w:rsidP="00F27099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17588D9A" w14:textId="77777777" w:rsidR="00DD21D4" w:rsidRPr="00C8467D" w:rsidRDefault="00DD21D4" w:rsidP="00F27099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6BA3C11C" w14:textId="77777777" w:rsidR="00032572" w:rsidRPr="00032572" w:rsidRDefault="00032572" w:rsidP="00032572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032572">
        <w:rPr>
          <w:rFonts w:ascii="Arial" w:hAnsi="Arial" w:cs="Arial"/>
          <w:b/>
          <w:bCs/>
          <w:sz w:val="24"/>
          <w:szCs w:val="24"/>
        </w:rPr>
        <w:t>CONCLUSÃO</w:t>
      </w:r>
    </w:p>
    <w:p w14:paraId="00767D07" w14:textId="77777777" w:rsidR="00F27099" w:rsidRDefault="00C8467D" w:rsidP="00F27099">
      <w:pPr>
        <w:jc w:val="both"/>
        <w:rPr>
          <w:rFonts w:ascii="Arial" w:hAnsi="Arial" w:cs="Arial"/>
          <w:sz w:val="24"/>
          <w:szCs w:val="24"/>
        </w:rPr>
      </w:pPr>
      <w:r w:rsidRPr="00613C0C">
        <w:rPr>
          <w:rFonts w:ascii="Arial" w:hAnsi="Arial" w:cs="Arial"/>
          <w:sz w:val="24"/>
          <w:szCs w:val="24"/>
        </w:rPr>
        <w:t xml:space="preserve">Com base nos critérios de notória especialização, experiência e histórico de sucesso, capacidade técnica e operacional, proposta de valor, e referências e reputação, a escolha do fornecedor se justifica plenamente. A contratação por inexigibilidade de licitação é a opção mais adequada para garantir a qualidade e a eficiência dos serviços necessários para </w:t>
      </w:r>
      <w:r w:rsidR="00613C0C" w:rsidRPr="00613C0C">
        <w:rPr>
          <w:rFonts w:ascii="Arial" w:hAnsi="Arial" w:cs="Arial"/>
          <w:sz w:val="24"/>
          <w:szCs w:val="24"/>
        </w:rPr>
        <w:t>fornecer resultados precisos e úteis para a gestão e mitigação de riscos associados às cheias no curso d’água do Rio Formiga e às estruturas da ETE.</w:t>
      </w:r>
    </w:p>
    <w:p w14:paraId="28B6E47B" w14:textId="77777777" w:rsidR="003735FD" w:rsidRDefault="003735FD" w:rsidP="00F27099">
      <w:pPr>
        <w:jc w:val="both"/>
        <w:rPr>
          <w:rFonts w:ascii="Arial" w:hAnsi="Arial" w:cs="Arial"/>
          <w:sz w:val="24"/>
          <w:szCs w:val="24"/>
        </w:rPr>
      </w:pPr>
    </w:p>
    <w:p w14:paraId="2D268DD7" w14:textId="77777777" w:rsidR="00DD21D4" w:rsidRDefault="00DD21D4" w:rsidP="00F27099">
      <w:pPr>
        <w:jc w:val="both"/>
        <w:rPr>
          <w:rFonts w:ascii="Arial" w:hAnsi="Arial" w:cs="Arial"/>
          <w:sz w:val="24"/>
          <w:szCs w:val="24"/>
        </w:rPr>
      </w:pPr>
    </w:p>
    <w:p w14:paraId="25EEAA55" w14:textId="1930CEB4" w:rsidR="00613C0C" w:rsidRPr="00613C0C" w:rsidRDefault="00613C0C" w:rsidP="00F27099">
      <w:pPr>
        <w:jc w:val="both"/>
        <w:rPr>
          <w:rFonts w:ascii="Arial" w:hAnsi="Arial" w:cs="Arial"/>
          <w:sz w:val="24"/>
          <w:szCs w:val="24"/>
        </w:rPr>
      </w:pPr>
      <w:r w:rsidRPr="00613C0C">
        <w:rPr>
          <w:rFonts w:ascii="Arial" w:hAnsi="Arial" w:cs="Arial"/>
          <w:vanish/>
          <w:sz w:val="16"/>
          <w:szCs w:val="16"/>
        </w:rPr>
        <w:t>Parte superior do formulário</w:t>
      </w:r>
    </w:p>
    <w:p w14:paraId="500955DF" w14:textId="77777777" w:rsidR="00613C0C" w:rsidRPr="00613C0C" w:rsidRDefault="00613C0C" w:rsidP="00613C0C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613C0C">
        <w:rPr>
          <w:rFonts w:ascii="Arial" w:hAnsi="Arial" w:cs="Arial"/>
          <w:vanish/>
          <w:sz w:val="16"/>
          <w:szCs w:val="16"/>
        </w:rPr>
        <w:lastRenderedPageBreak/>
        <w:t>Parte inferior do formulário</w:t>
      </w:r>
    </w:p>
    <w:p w14:paraId="1BBE62E7" w14:textId="45E7496F" w:rsidR="005E08F0" w:rsidRDefault="00BC77A2" w:rsidP="00F27099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3C7738">
        <w:rPr>
          <w:rFonts w:ascii="Arial" w:eastAsia="Arial Unicode MS" w:hAnsi="Arial" w:cs="Arial"/>
          <w:sz w:val="24"/>
          <w:szCs w:val="24"/>
        </w:rPr>
        <w:t>2</w:t>
      </w:r>
      <w:r w:rsidR="00DD21D4">
        <w:rPr>
          <w:rFonts w:ascii="Arial" w:eastAsia="Arial Unicode MS" w:hAnsi="Arial" w:cs="Arial"/>
          <w:sz w:val="24"/>
          <w:szCs w:val="24"/>
        </w:rPr>
        <w:t>6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5AC0DD59" w14:textId="77777777" w:rsidR="003735FD" w:rsidRPr="00032572" w:rsidRDefault="003735FD" w:rsidP="00F27099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1592A0CA" w:rsidR="00BC77A2" w:rsidRPr="00BD642A" w:rsidRDefault="00702DA3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Tainara Silveira Leal Chicri</w:t>
      </w:r>
    </w:p>
    <w:p w14:paraId="4C56F39F" w14:textId="077095F4" w:rsidR="00BC77A2" w:rsidRPr="00BD642A" w:rsidRDefault="00702DA3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Assessora de Engenharia Ambiental e Sanitária</w:t>
      </w:r>
      <w:r w:rsidR="00BC77A2" w:rsidRPr="00BD642A">
        <w:rPr>
          <w:rFonts w:ascii="Arial" w:eastAsia="Arial Unicode MS" w:hAnsi="Arial" w:cs="Arial"/>
          <w:sz w:val="24"/>
          <w:szCs w:val="24"/>
        </w:rPr>
        <w:t xml:space="preserve"> do SAAE</w:t>
      </w:r>
    </w:p>
    <w:p w14:paraId="0010115B" w14:textId="77777777" w:rsidR="00785965" w:rsidRDefault="00785965" w:rsidP="00032572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6099A" w14:textId="77777777" w:rsidR="00863A79" w:rsidRDefault="00863A79" w:rsidP="002E27F2">
      <w:r>
        <w:separator/>
      </w:r>
    </w:p>
  </w:endnote>
  <w:endnote w:type="continuationSeparator" w:id="0">
    <w:p w14:paraId="40F75398" w14:textId="77777777" w:rsidR="00863A79" w:rsidRDefault="00863A79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664E7" w14:textId="77777777" w:rsidR="00863A79" w:rsidRDefault="00863A79" w:rsidP="002E27F2">
      <w:r>
        <w:separator/>
      </w:r>
    </w:p>
  </w:footnote>
  <w:footnote w:type="continuationSeparator" w:id="0">
    <w:p w14:paraId="1E4300B3" w14:textId="77777777" w:rsidR="00863A79" w:rsidRDefault="00863A79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>Rua Antônio José Barbosa, 723– Bairro Santa Luzia  –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(37)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3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4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Pr="003C1238" w:rsidRDefault="00785965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E42AA5"/>
    <w:multiLevelType w:val="multilevel"/>
    <w:tmpl w:val="5134A196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16E34CD"/>
    <w:multiLevelType w:val="hybridMultilevel"/>
    <w:tmpl w:val="79EA8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9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C06036"/>
    <w:multiLevelType w:val="multilevel"/>
    <w:tmpl w:val="69B4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4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2F40F44"/>
    <w:multiLevelType w:val="hybridMultilevel"/>
    <w:tmpl w:val="9C0CEE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87F2921"/>
    <w:multiLevelType w:val="hybridMultilevel"/>
    <w:tmpl w:val="41D4D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264869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244923507">
    <w:abstractNumId w:val="17"/>
  </w:num>
  <w:num w:numId="3" w16cid:durableId="1480540298">
    <w:abstractNumId w:val="7"/>
  </w:num>
  <w:num w:numId="4" w16cid:durableId="889347524">
    <w:abstractNumId w:val="27"/>
  </w:num>
  <w:num w:numId="5" w16cid:durableId="1392458686">
    <w:abstractNumId w:val="21"/>
  </w:num>
  <w:num w:numId="6" w16cid:durableId="2021661618">
    <w:abstractNumId w:val="35"/>
  </w:num>
  <w:num w:numId="7" w16cid:durableId="1421104335">
    <w:abstractNumId w:val="10"/>
  </w:num>
  <w:num w:numId="8" w16cid:durableId="1762415001">
    <w:abstractNumId w:val="5"/>
  </w:num>
  <w:num w:numId="9" w16cid:durableId="168952879">
    <w:abstractNumId w:val="14"/>
  </w:num>
  <w:num w:numId="10" w16cid:durableId="924268409">
    <w:abstractNumId w:val="25"/>
  </w:num>
  <w:num w:numId="11" w16cid:durableId="1594316183">
    <w:abstractNumId w:val="3"/>
  </w:num>
  <w:num w:numId="12" w16cid:durableId="1526598228">
    <w:abstractNumId w:val="22"/>
  </w:num>
  <w:num w:numId="13" w16cid:durableId="1031540411">
    <w:abstractNumId w:val="1"/>
  </w:num>
  <w:num w:numId="14" w16cid:durableId="442001630">
    <w:abstractNumId w:val="19"/>
  </w:num>
  <w:num w:numId="15" w16cid:durableId="13674818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6881509">
    <w:abstractNumId w:val="29"/>
  </w:num>
  <w:num w:numId="17" w16cid:durableId="1550267151">
    <w:abstractNumId w:val="32"/>
  </w:num>
  <w:num w:numId="18" w16cid:durableId="704141215">
    <w:abstractNumId w:val="16"/>
  </w:num>
  <w:num w:numId="19" w16cid:durableId="2076658776">
    <w:abstractNumId w:val="11"/>
  </w:num>
  <w:num w:numId="20" w16cid:durableId="1080298915">
    <w:abstractNumId w:val="38"/>
  </w:num>
  <w:num w:numId="21" w16cid:durableId="1386837643">
    <w:abstractNumId w:val="15"/>
  </w:num>
  <w:num w:numId="22" w16cid:durableId="1184519983">
    <w:abstractNumId w:val="8"/>
  </w:num>
  <w:num w:numId="23" w16cid:durableId="573010062">
    <w:abstractNumId w:val="0"/>
  </w:num>
  <w:num w:numId="24" w16cid:durableId="1554539038">
    <w:abstractNumId w:val="34"/>
  </w:num>
  <w:num w:numId="25" w16cid:durableId="1083376705">
    <w:abstractNumId w:val="12"/>
  </w:num>
  <w:num w:numId="26" w16cid:durableId="1136870920">
    <w:abstractNumId w:val="30"/>
  </w:num>
  <w:num w:numId="27" w16cid:durableId="886646374">
    <w:abstractNumId w:val="31"/>
  </w:num>
  <w:num w:numId="28" w16cid:durableId="435366451">
    <w:abstractNumId w:val="39"/>
  </w:num>
  <w:num w:numId="29" w16cid:durableId="1609578785">
    <w:abstractNumId w:val="36"/>
  </w:num>
  <w:num w:numId="30" w16cid:durableId="1769698419">
    <w:abstractNumId w:val="6"/>
  </w:num>
  <w:num w:numId="31" w16cid:durableId="2082170851">
    <w:abstractNumId w:val="28"/>
  </w:num>
  <w:num w:numId="32" w16cid:durableId="1130628762">
    <w:abstractNumId w:val="4"/>
  </w:num>
  <w:num w:numId="33" w16cid:durableId="764306229">
    <w:abstractNumId w:val="37"/>
  </w:num>
  <w:num w:numId="34" w16cid:durableId="759791310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3202040">
    <w:abstractNumId w:val="24"/>
  </w:num>
  <w:num w:numId="36" w16cid:durableId="743264529">
    <w:abstractNumId w:val="20"/>
  </w:num>
  <w:num w:numId="37" w16cid:durableId="1493791207">
    <w:abstractNumId w:val="2"/>
  </w:num>
  <w:num w:numId="38" w16cid:durableId="1397627934">
    <w:abstractNumId w:val="13"/>
  </w:num>
  <w:num w:numId="39" w16cid:durableId="286815743">
    <w:abstractNumId w:val="33"/>
  </w:num>
  <w:num w:numId="40" w16cid:durableId="65202295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2572"/>
    <w:rsid w:val="00033485"/>
    <w:rsid w:val="000372A4"/>
    <w:rsid w:val="00042517"/>
    <w:rsid w:val="00043317"/>
    <w:rsid w:val="000456AA"/>
    <w:rsid w:val="00046E38"/>
    <w:rsid w:val="000473D9"/>
    <w:rsid w:val="000534C4"/>
    <w:rsid w:val="00056637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86EB8"/>
    <w:rsid w:val="0009191B"/>
    <w:rsid w:val="000A20EE"/>
    <w:rsid w:val="000A34EC"/>
    <w:rsid w:val="000A4C84"/>
    <w:rsid w:val="000A67CC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63E"/>
    <w:rsid w:val="000D0435"/>
    <w:rsid w:val="000D27FB"/>
    <w:rsid w:val="000D3712"/>
    <w:rsid w:val="000D6834"/>
    <w:rsid w:val="000D7956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662"/>
    <w:rsid w:val="00150A83"/>
    <w:rsid w:val="00151791"/>
    <w:rsid w:val="001518B4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95CEC"/>
    <w:rsid w:val="0019740B"/>
    <w:rsid w:val="001A0327"/>
    <w:rsid w:val="001A1CE3"/>
    <w:rsid w:val="001B52E0"/>
    <w:rsid w:val="001C2E17"/>
    <w:rsid w:val="001C5FD8"/>
    <w:rsid w:val="001D2A2E"/>
    <w:rsid w:val="001D2BBC"/>
    <w:rsid w:val="001E50C7"/>
    <w:rsid w:val="001F0661"/>
    <w:rsid w:val="001F3BCB"/>
    <w:rsid w:val="002008C8"/>
    <w:rsid w:val="0020421B"/>
    <w:rsid w:val="002056AC"/>
    <w:rsid w:val="00206917"/>
    <w:rsid w:val="00207A28"/>
    <w:rsid w:val="0021078E"/>
    <w:rsid w:val="00211019"/>
    <w:rsid w:val="00212CBC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5F81"/>
    <w:rsid w:val="00296A1F"/>
    <w:rsid w:val="002A0EF1"/>
    <w:rsid w:val="002A310E"/>
    <w:rsid w:val="002A33BA"/>
    <w:rsid w:val="002A4823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3490"/>
    <w:rsid w:val="00304814"/>
    <w:rsid w:val="00307F16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35FD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1238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3314"/>
    <w:rsid w:val="00495919"/>
    <w:rsid w:val="00495AC2"/>
    <w:rsid w:val="004A0885"/>
    <w:rsid w:val="004A59A6"/>
    <w:rsid w:val="004A6E40"/>
    <w:rsid w:val="004B18EE"/>
    <w:rsid w:val="004B50CA"/>
    <w:rsid w:val="004D6A14"/>
    <w:rsid w:val="004E2B62"/>
    <w:rsid w:val="004E2EAE"/>
    <w:rsid w:val="004F0C08"/>
    <w:rsid w:val="004F5F1A"/>
    <w:rsid w:val="00503220"/>
    <w:rsid w:val="005061EF"/>
    <w:rsid w:val="005079DB"/>
    <w:rsid w:val="00516C61"/>
    <w:rsid w:val="00521D7D"/>
    <w:rsid w:val="00522EA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78BE"/>
    <w:rsid w:val="005E08F0"/>
    <w:rsid w:val="005E12A5"/>
    <w:rsid w:val="005E5691"/>
    <w:rsid w:val="005F1078"/>
    <w:rsid w:val="005F1EF0"/>
    <w:rsid w:val="005F21D2"/>
    <w:rsid w:val="005F3D5D"/>
    <w:rsid w:val="005F6D8C"/>
    <w:rsid w:val="00602BEF"/>
    <w:rsid w:val="00607EF1"/>
    <w:rsid w:val="00610942"/>
    <w:rsid w:val="00613C0C"/>
    <w:rsid w:val="00615D17"/>
    <w:rsid w:val="00615D33"/>
    <w:rsid w:val="00620267"/>
    <w:rsid w:val="0062164D"/>
    <w:rsid w:val="00621B46"/>
    <w:rsid w:val="00623E9F"/>
    <w:rsid w:val="00627CA8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2DA3"/>
    <w:rsid w:val="00703AC3"/>
    <w:rsid w:val="00706D3A"/>
    <w:rsid w:val="00707156"/>
    <w:rsid w:val="00720D2B"/>
    <w:rsid w:val="007225EC"/>
    <w:rsid w:val="00722C8C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77B23"/>
    <w:rsid w:val="00783CD0"/>
    <w:rsid w:val="00785462"/>
    <w:rsid w:val="00785965"/>
    <w:rsid w:val="007942D6"/>
    <w:rsid w:val="007A21F6"/>
    <w:rsid w:val="007A525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5AF0"/>
    <w:rsid w:val="00863A79"/>
    <w:rsid w:val="00880615"/>
    <w:rsid w:val="00881160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8F7D68"/>
    <w:rsid w:val="00906391"/>
    <w:rsid w:val="00912BE5"/>
    <w:rsid w:val="00920BE4"/>
    <w:rsid w:val="00920C4E"/>
    <w:rsid w:val="00925A5A"/>
    <w:rsid w:val="00926345"/>
    <w:rsid w:val="00932ABA"/>
    <w:rsid w:val="00934612"/>
    <w:rsid w:val="009346D4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17DB0"/>
    <w:rsid w:val="00A2775C"/>
    <w:rsid w:val="00A31F5E"/>
    <w:rsid w:val="00A372BB"/>
    <w:rsid w:val="00A42654"/>
    <w:rsid w:val="00A4407F"/>
    <w:rsid w:val="00A51276"/>
    <w:rsid w:val="00A568D3"/>
    <w:rsid w:val="00A60D49"/>
    <w:rsid w:val="00A678B8"/>
    <w:rsid w:val="00A73EDA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3E8D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E4F60"/>
    <w:rsid w:val="00AF0FC8"/>
    <w:rsid w:val="00AF10C9"/>
    <w:rsid w:val="00AF161C"/>
    <w:rsid w:val="00AF2AC1"/>
    <w:rsid w:val="00AF4625"/>
    <w:rsid w:val="00AF48DA"/>
    <w:rsid w:val="00AF6FA4"/>
    <w:rsid w:val="00B019F3"/>
    <w:rsid w:val="00B02E73"/>
    <w:rsid w:val="00B03E8E"/>
    <w:rsid w:val="00B045FF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22DE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7468"/>
    <w:rsid w:val="00B70D32"/>
    <w:rsid w:val="00B75A37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467D"/>
    <w:rsid w:val="00C86EDD"/>
    <w:rsid w:val="00C870A5"/>
    <w:rsid w:val="00C903B8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4E94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D21D4"/>
    <w:rsid w:val="00DE2308"/>
    <w:rsid w:val="00DE246C"/>
    <w:rsid w:val="00DE496F"/>
    <w:rsid w:val="00DE4996"/>
    <w:rsid w:val="00DE6916"/>
    <w:rsid w:val="00DF068F"/>
    <w:rsid w:val="00DF13F2"/>
    <w:rsid w:val="00DF25C3"/>
    <w:rsid w:val="00DF4397"/>
    <w:rsid w:val="00DF4A87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362D"/>
    <w:rsid w:val="00E3382D"/>
    <w:rsid w:val="00E35F64"/>
    <w:rsid w:val="00E370E4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B1274"/>
    <w:rsid w:val="00EB279B"/>
    <w:rsid w:val="00EB3136"/>
    <w:rsid w:val="00EC36E5"/>
    <w:rsid w:val="00EC4C2E"/>
    <w:rsid w:val="00ED2512"/>
    <w:rsid w:val="00ED2C9C"/>
    <w:rsid w:val="00ED3A56"/>
    <w:rsid w:val="00ED6EFC"/>
    <w:rsid w:val="00ED7FDA"/>
    <w:rsid w:val="00EE45AC"/>
    <w:rsid w:val="00EF309E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2146E"/>
    <w:rsid w:val="00F2245B"/>
    <w:rsid w:val="00F27099"/>
    <w:rsid w:val="00F279B8"/>
    <w:rsid w:val="00F306E1"/>
    <w:rsid w:val="00F3188C"/>
    <w:rsid w:val="00F321E3"/>
    <w:rsid w:val="00F33A5B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184B"/>
    <w:rsid w:val="00FD397F"/>
    <w:rsid w:val="00FD7D83"/>
    <w:rsid w:val="00FE404D"/>
    <w:rsid w:val="00FE439A"/>
    <w:rsid w:val="00FE5555"/>
    <w:rsid w:val="00FE5F58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627CA8"/>
    <w:rPr>
      <w:b/>
      <w:b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613C0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613C0C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613C0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613C0C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9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1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26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1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84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02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123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9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490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10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6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aeformiga.com.br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mailto:saaeformig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8C6EE-E91A-4496-8802-401418EEC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701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9</cp:revision>
  <cp:lastPrinted>2024-07-01T17:18:00Z</cp:lastPrinted>
  <dcterms:created xsi:type="dcterms:W3CDTF">2024-06-24T11:45:00Z</dcterms:created>
  <dcterms:modified xsi:type="dcterms:W3CDTF">2024-07-01T18:04:00Z</dcterms:modified>
</cp:coreProperties>
</file>