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708" w:leader="none"/>
        </w:tabs>
        <w:bidi w:val="0"/>
        <w:jc w:val="left"/>
        <w:rPr>
          <w:szCs w:val="20"/>
        </w:rPr>
      </w:pPr>
      <w:r>
        <w:rPr>
          <w:szCs w:val="20"/>
        </w:rPr>
      </w:r>
    </w:p>
    <w:tbl>
      <w:tblPr>
        <w:tblW w:w="10740" w:type="dxa"/>
        <w:jc w:val="left"/>
        <w:tblInd w:w="-1010" w:type="dxa"/>
        <w:tblLayout w:type="fixed"/>
        <w:tblCellMar>
          <w:top w:w="55" w:type="dxa"/>
          <w:left w:w="55" w:type="dxa"/>
          <w:bottom w:w="55" w:type="dxa"/>
          <w:right w:w="55" w:type="dxa"/>
        </w:tblCellMar>
        <w:tblLook w:firstRow="0" w:noVBand="0" w:lastRow="0" w:firstColumn="0" w:lastColumn="0" w:noHBand="0" w:val="0000"/>
      </w:tblPr>
      <w:tblGrid>
        <w:gridCol w:w="689"/>
        <w:gridCol w:w="552"/>
        <w:gridCol w:w="754"/>
        <w:gridCol w:w="1976"/>
        <w:gridCol w:w="2030"/>
        <w:gridCol w:w="1408"/>
        <w:gridCol w:w="43"/>
        <w:gridCol w:w="709"/>
        <w:gridCol w:w="1180"/>
        <w:gridCol w:w="560"/>
        <w:gridCol w:w="838"/>
      </w:tblGrid>
      <w:tr>
        <w:trPr>
          <w:trHeight w:val="432" w:hRule="atLeast"/>
          <w:cantSplit w:val="true"/>
        </w:trPr>
        <w:tc>
          <w:tcPr>
            <w:tcW w:w="10739" w:type="dxa"/>
            <w:gridSpan w:val="11"/>
            <w:tcBorders>
              <w:top w:val="single" w:sz="4" w:space="0" w:color="000000"/>
              <w:left w:val="single" w:sz="4" w:space="0" w:color="000000"/>
              <w:bottom w:val="single" w:sz="4" w:space="0" w:color="000000"/>
              <w:right w:val="single" w:sz="4" w:space="0" w:color="000000"/>
            </w:tcBorders>
            <w:vAlign w:val="center"/>
          </w:tcPr>
          <w:p>
            <w:pPr>
              <w:pStyle w:val="BodyText"/>
              <w:widowControl w:val="false"/>
              <w:bidi w:val="0"/>
              <w:spacing w:before="0" w:after="140"/>
              <w:jc w:val="center"/>
              <w:rPr>
                <w:sz w:val="24"/>
              </w:rPr>
            </w:pPr>
            <w:r>
              <w:rPr>
                <w:b/>
                <w:bCs/>
                <w:szCs w:val="20"/>
              </w:rPr>
              <w:t>PROPOSTA COMERCIAL – PREGÃO ELETRÔNICO Nº 081/2025</w:t>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Razão Social</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CNPJ</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trHeight w:val="374" w:hRule="atLeast"/>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Endereço da empresa</w:t>
            </w:r>
          </w:p>
        </w:tc>
        <w:tc>
          <w:tcPr>
            <w:tcW w:w="3438" w:type="dxa"/>
            <w:gridSpan w:val="2"/>
            <w:tcBorders>
              <w:left w:val="single" w:sz="4" w:space="0" w:color="000000"/>
              <w:bottom w:val="single" w:sz="4" w:space="0" w:color="000000"/>
            </w:tcBorders>
            <w:vAlign w:val="center"/>
          </w:tcPr>
          <w:p>
            <w:pPr>
              <w:pStyle w:val="BodyText"/>
              <w:widowControl w:val="false"/>
              <w:bidi w:val="0"/>
              <w:spacing w:before="0" w:after="140"/>
              <w:jc w:val="left"/>
              <w:rPr>
                <w:szCs w:val="20"/>
              </w:rPr>
            </w:pPr>
            <w:r>
              <w:rPr>
                <w:szCs w:val="20"/>
              </w:rPr>
            </w:r>
          </w:p>
        </w:tc>
        <w:tc>
          <w:tcPr>
            <w:tcW w:w="3330" w:type="dxa"/>
            <w:gridSpan w:val="5"/>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 w:val="24"/>
              </w:rPr>
            </w:pPr>
            <w:r>
              <w:rPr>
                <w:szCs w:val="20"/>
              </w:rPr>
              <w:t>CEP:</w:t>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Telefone da empresa</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E-mail da empresa</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Conta bancária da empresa na qual os pagamentos serão depositados</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Nome do Representante Legal</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Endereço do Representante Legal</w:t>
            </w:r>
          </w:p>
        </w:tc>
        <w:tc>
          <w:tcPr>
            <w:tcW w:w="3481" w:type="dxa"/>
            <w:gridSpan w:val="3"/>
            <w:tcBorders>
              <w:left w:val="single" w:sz="4" w:space="0" w:color="000000"/>
              <w:bottom w:val="single" w:sz="4" w:space="0" w:color="000000"/>
            </w:tcBorders>
            <w:vAlign w:val="center"/>
          </w:tcPr>
          <w:p>
            <w:pPr>
              <w:pStyle w:val="BodyText"/>
              <w:widowControl w:val="false"/>
              <w:bidi w:val="0"/>
              <w:spacing w:before="0" w:after="140"/>
              <w:jc w:val="left"/>
              <w:rPr>
                <w:szCs w:val="20"/>
              </w:rPr>
            </w:pPr>
            <w:r>
              <w:rPr>
                <w:szCs w:val="20"/>
              </w:rPr>
            </w:r>
          </w:p>
        </w:tc>
        <w:tc>
          <w:tcPr>
            <w:tcW w:w="3287" w:type="dxa"/>
            <w:gridSpan w:val="4"/>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 w:val="24"/>
              </w:rPr>
            </w:pPr>
            <w:r>
              <w:rPr>
                <w:szCs w:val="20"/>
              </w:rPr>
              <w:t>CEP:</w:t>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Identidade do Representante Legal</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CPF do Representante Legal</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Telefone do representante legal</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3971" w:type="dxa"/>
            <w:gridSpan w:val="4"/>
            <w:tcBorders>
              <w:left w:val="single" w:sz="4" w:space="0" w:color="000000"/>
              <w:bottom w:val="single" w:sz="4" w:space="0" w:color="000000"/>
            </w:tcBorders>
            <w:vAlign w:val="center"/>
          </w:tcPr>
          <w:p>
            <w:pPr>
              <w:pStyle w:val="BodyText"/>
              <w:widowControl w:val="false"/>
              <w:bidi w:val="0"/>
              <w:spacing w:before="0" w:after="140"/>
              <w:jc w:val="left"/>
              <w:rPr>
                <w:sz w:val="24"/>
              </w:rPr>
            </w:pPr>
            <w:r>
              <w:rPr>
                <w:szCs w:val="20"/>
              </w:rPr>
              <w:t>E-mail do representante legal</w:t>
            </w:r>
          </w:p>
        </w:tc>
        <w:tc>
          <w:tcPr>
            <w:tcW w:w="6768" w:type="dxa"/>
            <w:gridSpan w:val="7"/>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Cs w:val="20"/>
              </w:rPr>
            </w:pPr>
            <w:r>
              <w:rPr>
                <w:szCs w:val="20"/>
              </w:rPr>
            </w:r>
          </w:p>
        </w:tc>
      </w:tr>
      <w:tr>
        <w:trPr>
          <w:cantSplit w:val="true"/>
        </w:trPr>
        <w:tc>
          <w:tcPr>
            <w:tcW w:w="689" w:type="dxa"/>
            <w:tcBorders>
              <w:top w:val="single" w:sz="4" w:space="0" w:color="000000"/>
              <w:lef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Item</w:t>
            </w:r>
          </w:p>
        </w:tc>
        <w:tc>
          <w:tcPr>
            <w:tcW w:w="552" w:type="dxa"/>
            <w:tcBorders>
              <w:top w:val="single" w:sz="4" w:space="0" w:color="000000"/>
              <w:lef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Qtd.</w:t>
            </w:r>
          </w:p>
        </w:tc>
        <w:tc>
          <w:tcPr>
            <w:tcW w:w="754" w:type="dxa"/>
            <w:tcBorders>
              <w:top w:val="single" w:sz="4" w:space="0" w:color="000000"/>
              <w:lef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Unid.</w:t>
            </w:r>
          </w:p>
        </w:tc>
        <w:tc>
          <w:tcPr>
            <w:tcW w:w="6166" w:type="dxa"/>
            <w:gridSpan w:val="5"/>
            <w:tcBorders>
              <w:top w:val="single" w:sz="4" w:space="0" w:color="000000"/>
              <w:left w:val="single" w:sz="4" w:space="0" w:color="000000"/>
              <w:bottom w:val="single" w:sz="4" w:space="0" w:color="000000"/>
            </w:tcBorders>
            <w:vAlign w:val="center"/>
          </w:tcPr>
          <w:p>
            <w:pPr>
              <w:pStyle w:val="TOC1"/>
              <w:bidi w:val="0"/>
              <w:rPr/>
            </w:pPr>
            <w:r>
              <w:rPr>
                <w:bCs/>
                <w:sz w:val="18"/>
                <w:szCs w:val="18"/>
              </w:rPr>
              <w:t>Descrição do objeto</w:t>
            </w:r>
          </w:p>
        </w:tc>
        <w:tc>
          <w:tcPr>
            <w:tcW w:w="1180" w:type="dxa"/>
            <w:tcBorders>
              <w:top w:val="single" w:sz="4" w:space="0" w:color="000000"/>
              <w:lef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Marca/Fabricante</w:t>
            </w:r>
          </w:p>
        </w:tc>
        <w:tc>
          <w:tcPr>
            <w:tcW w:w="560" w:type="dxa"/>
            <w:tcBorders>
              <w:top w:val="single" w:sz="4" w:space="0" w:color="000000"/>
              <w:lef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Vlr.</w:t>
            </w:r>
          </w:p>
          <w:p>
            <w:pPr>
              <w:pStyle w:val="Normal"/>
              <w:widowControl w:val="false"/>
              <w:bidi w:val="0"/>
              <w:jc w:val="center"/>
              <w:rPr/>
            </w:pPr>
            <w:r>
              <w:rPr>
                <w:rFonts w:cs="Tahoma" w:ascii="Tahoma" w:hAnsi="Tahoma"/>
                <w:b/>
                <w:bCs/>
                <w:sz w:val="18"/>
                <w:szCs w:val="18"/>
              </w:rPr>
              <w:t>Unit.</w:t>
            </w:r>
          </w:p>
        </w:tc>
        <w:tc>
          <w:tcPr>
            <w:tcW w:w="8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jc w:val="center"/>
              <w:rPr/>
            </w:pPr>
            <w:r>
              <w:rPr>
                <w:rFonts w:cs="Tahoma" w:ascii="Tahoma" w:hAnsi="Tahoma"/>
                <w:b/>
                <w:bCs/>
                <w:sz w:val="18"/>
                <w:szCs w:val="18"/>
              </w:rPr>
              <w:t>Vlr. Total</w:t>
            </w:r>
          </w:p>
        </w:tc>
      </w:tr>
      <w:tr>
        <w:trPr>
          <w:trHeight w:val="14910" w:hRule="atLeast"/>
          <w:cantSplit w:val="true"/>
        </w:trPr>
        <w:tc>
          <w:tcPr>
            <w:tcW w:w="689" w:type="dxa"/>
            <w:tcBorders>
              <w:lef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01</w:t>
            </w:r>
          </w:p>
        </w:tc>
        <w:tc>
          <w:tcPr>
            <w:tcW w:w="552"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2</w:t>
            </w:r>
          </w:p>
        </w:tc>
        <w:tc>
          <w:tcPr>
            <w:tcW w:w="754"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CAMINHÃO EQUIPADO COM TANQUE</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PARA DISTRIBUIÇÃO DE ÁGUA E SERVIÇOS DE SANEAMENTO E INFRAESTRUTURA CAMINHÃO EQUIPADO COM TANQUE PIPA. CAMINHÃO ZERO KM, NA COR BRANCA, ANO/MODELO: NO MÍNIMO 26/26 TRAÇÃO 6X2, COM SUSPENSOR PNEUMÁTICO DO EIXO AUXILIAR, EQUIPADO COM AR CONDICIONADO, TACÓGRAFO DIGITAL PARA 24 HORAS OU SEMANAL, RADIO AM/FM CD, BANCO DO MOTORISTA COM SUSPENSÃO PNEUMÁTICA, COLUNA DE DIREÇÃO AJUSTÁVEL, REVESTIMENTO TERMO ACÚSTICO, PARA-SOL EXTERNO AERODINÂMICO NA COR DO VEÍCULO E PILOTO AUTOMÁTICO. MOTOR DIESEL, 6 CILINDROS EM LINHA, 24 VÁLVULAS, CABEÇOTES INDIVIDUAIS, POTÊNCIA MÍNIMA DE 270 CV, MÍNIMO DE 2200 RPM, SISTEMA DE INJEÇÃO COMMON RAIL, EMBREAGEM COM ACIONAMENTO HIDRÁULICO. CAIXA MANUAL DE MUDANÇAS MÍNIMA DE 06 MARCHAS SINCRONIZADAS À FRENTE, DIREÇÃO HIDRÁULICA, TANQUE DE COMBUSTÍVEL COM CAPACIDADE MÍNIMA DE 275 LITROS, FREIOS DE SERVIÇO PNEUMÁTICO COM AJUSTADORES AUTOMÁTICOS, FREIO DE ESTACIONAMENTO PNEUMÁTICO COM MOLAS ACUMULADORAS NAS RODAS TRASEIRAS, ABS, PBT MÍNIMO 23.000 KGS, RODA E PNEU SOBRESSALENTE, CHAVE DE RODA, MACACO COMPLETO, TRIÂNGULO, EXTINTOR DE INCÊNDIO, CATÁLOGO DE PEÇAS, OPERAÇÃO E MANUTENÇÃO E ENTREGA TÉCNICA EQUIPADO COM TANQUE PIPA COM CAPACIDADE DE 15.000 LTS SENDO DEVIDAMENTE LICENCIADO, CERTIFICADO DE REGISTRO DE VEÍCULO CRV E COM PRIMEIRO CERTIFICADO DE REGISTRO E LICENCIAMENTO DE VEÍCULO NO ESTADO DE MINAS GERAIS, SEGURO DPVAT DO EXERCÍCIO ATUAL PAGOS, FORNECIMENTO DO MANUAL DO PROPRIETÁRIO, TERMOS DE GARANTIA E EMPLACADO NO MUNICÍPIO DE CURVELO/MG, EM NOME DO MUNICÍPIO DE CURVELO, GARANTIA: 01 (UM) ANO DE GARANTIA, SEM LIMITE DE QUILOMETRAGEM, O QUE OCORRER PRIMEIRO (PESSOA JURÍDICA), VEÍCULO ESTAR EM CONFORMIDADE COM AS NORMAS DE TRÂNSITO E LEGISLAÇÕES VIGENTES, ESTAR DE ACORDO COM AS NORMAS TÉCNICAS DA ABNT, E HOMOLOGADOS PELO PROCONVE/IBAMA. ATENDER OS LIMITES MÁXIMOS DE RUÍDOS FIXADOS NAS RESOLUÇÕES CONAMA Nº 01, DE 11/02/1993, E Nº 272, DE 14/09/2000, E LEGISLAÇÃO CORRELATA. IMPLEMENTADO COM PIPA COR BRANCA(PINTURA EXTERNA EM 02 DEMÃO DE ESMALTE PU NA COR BRANCA) DE 15.000 LITROS, CONFECCIONADO EM PERFIS DE CHAPA DE AÇO 3/16 POLEGADAS, 1010/1020 REFORÇO NA BASE EM PERFIL U DE 3/16 POLEGADAS CANTOS SEXTAVADOS NO MODELO ELÍPTICO QUEBRA-ONDAS INTERNO BOCA DE VISITAS NA PARTE SUPERIOR, COM 500MM DE DIÂMETRO E TAMPA DE ALUMÍNIO COM TRAVA DE ENGATE RÁPIDO PLATAFORMA COM GUARDA-CORPO LATERAIS E ESCADA DE ACESSO SUPORTE DE IÇAMENTO COM CABO 02 PARA-LAMAS EM POLÍMERO DE ALTA RESISTÊNCIA E LAMEIROS DE BORRACHA SISTEMA DE LANTERNAS LATERAIS FAIXAS REFLETIVAS LATERAIS DE SEGURANÇA LIMPEZA DAS CHAPAS COM JATO ABRASIVO APLICAÇÃO DE FUNDO ANTIFERRUGEM ACABAMENTO COM TINTA AUTOMOTIVA NA COR DESEJADA PINTURA COM ESMALTE DE BASE EPÓXI ATÓXICO NA PARTE INTERNA CAPACIDADE:15.000 LTS, SENDO 300-900 LTS PARA A REFRIGERAÇÃO DA BOMBA, RESTANTE (ENTRE 14.100 / 14.700 LITROS) PARA DESTINAÇÃO DO VOLUME ÚTIL DE ÁGUA DO IMPLEMENTO OU MÉTODO EQUIVALENTE. ESPECIFICAÇÃO: BOMBA CENTRÍFUGA (BOMBA DE PRESSÃO) +POLIA+CHAVE REVERSORA MÍNIMO 4 VIAS (1 UNIDADE) CAPACIDADE: TANQUES DE NO MÍNIMO 15M³ (15000 LITROS) ROTAÇÃO: MÍNIMA DE 1100RPM (+/- 100RPM) POTÊNCIA MÍNIMA: 25CV PESO MÍNIMO: 300 KG VÁCUO MÍNIMO: 700MMHG DESLOCAMENTO DE AR MÍNIMO: 13, 0M³/MIN (780M³/H) EIXO: SAE 1045 COM OS COLOS DE RETENTORES TRATADOS COM CROMO DURO OU EQUIVALENTE RETENTORES: NO MÍNIMO 4 RETENTORES NA CÂMARA DE VÁCUO, NO MÍNIMO 1 RETENTOR TAMPA DIANTEIRA DO MANCAL, NO MÍNIMO 1 RETENTOR TAMPA TRASEIRA DO MANCAL. ROLAMENTOS: 6315 OU EQUIVALENTE DIANTEIRO E 6317 TRASEIRO OU EQUIVALENTE COR: PADRÃO DO FABRICANTE ROTOR: FERRO FUNDIDO NODULAR GG40 BALANCEADO ELETRONICAMENTE. CORPO DA BOMBA: FERRO FUNDIDO CINZENTO GG20 OU EQUIVALENTE POLIA MOVIDA: FERRO FUNDIDO NODULAR GG40 OU EQUIVALENTE 5 CANAIS B 150MM CHAVE REVERSORA 4 VIAS FERRO FUNDIDO NODULAR GG40 COM FIXAÇÃO PARAFUSO PORCA PARLOCK OU EQUIVALENTE FLUÍDO DE TRABALHO: ÓLEO 15W40 AUTOMOTIVO. OS VEÍCULOS OU EQUIVALENTE ESPECIFICADOS DEVERÃO ATENDER AS ESPECIFICAÇÕES DAS RESOLUÇÃO CONAMA 490/2018 (PROCONVE P8) E RESOLUÇÃO ANP 968/2024. CAIXA DE FERRAMENTAS, EM POLIURETANO, COM FECHADURA. RESOLUÇÃO Nº 593, DE 24 DE MAIO DE 2016 RESOLUÇÃO 953/22 CONTRAN.</w:t>
            </w:r>
          </w:p>
        </w:tc>
        <w:tc>
          <w:tcPr>
            <w:tcW w:w="118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02</w:t>
            </w:r>
          </w:p>
        </w:tc>
        <w:tc>
          <w:tcPr>
            <w:tcW w:w="552"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2</w:t>
            </w:r>
          </w:p>
        </w:tc>
        <w:tc>
          <w:tcPr>
            <w:tcW w:w="754"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CAMINHÃO EQUIPADO COM TANQUE, PARA LIMPEZA DE FOSSAS SÉPTICAS</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QUE ESTÃO LOCALIZADAS NOS DISTRITOS DA ZONA RURAL DO MUNICÍPIO DE CURVELO CAMINHÃO NOVO 0 (ZERO)KM, COR BRANCA, - FABRICAÇÃO NACIONAL - NA COR BRANCA, ANO/MODELO: NO MÍNIMO 26/26 - CABINE AVANÇADA EM AÇO, AR CONDICIONADO - DIREÇÃO HIDRÁULICA, MOTOR COM POTÊNCIA MÍNIMA D E 2 5 0 C V, 06 CILINDROS, 06 MARCHAS A FRENTE E 01 A RÉ - SUSPENSÃO DIANTEIRA E TRASEIRA COM MOLAS, SISTEMA DE FREIOS COM ABS, 4 X 2 - TANQUE DE COMBUSTÍVEL MÍNIMO DE 265 LITROS, PBT MÍNIMO DE 16.000 KG, ENTRE EIXOS, MELHOR ADEQUADO PARA O IMPLEMENTO A SER INSTALADO, CHAVE DE RODA, MACACO HIDRÁULICO, RODA E PNEU/SOBRESSALENTE - GARANTIA MÍNIMA DE 12(DOZE)MESES. CARACTERÍSTICAS DO TANQUE: - FORMATO REDONDO CAPACIDADE: 9.000 LTS, SENDO 800 LTS PARA A REFRIGERAÇÃO DA BOMBA, RESTANTE (8.200 LITROS) PARA DETRITOS, OU MÉTODO EQUIVALENTE - TAMPO DIANTEIRO FIXO E TRASEIRO ARTICULADO, COM FUNÇÃO DE FACILITAR SEU LIVRE ACESSO AO SEU INTERIOR - FECHOS ATRAVÉS DE 04 PINOS BORBOLETAS - GRAMPOS PARA FIXAÇÃO DO EQUIPAMENTO, MANGUEIRAS PARA LIGAÇÃO DO SISTEMA, 01 REGISTRO DE ESFERA 4 POLEGAS PARA CARGA E DESCARGA LOCALIZADO NA TAMPA TRASEIRA E 01 NA LATERAL 4 POLEGADAS, 01 VÁLVULA DE RETENÇÃO DE 2 POLEGADAS . - PINTURA INTERNA EM EPÓXI, PINTURA EXTERNA EM 02 DEMÃO DE ESMALTE PU NA COR BRANCA - CHAPA EMPREGADA: SAE 1020 4,75MM(3/16). SISTEMA DE SUCÇÃO BOMBA DE VÁCUO: - BOMBA DE VÁCUO ANEL LÍQUIDO COM DESLOCAMENTO DE AR MÍNIMO DE 13,0M3/, VÁCUO MÍNIMO DE 700 MM.HG (9,5M.C.A. E PRESSÃO DE 1.5 KGF/CM2 INTERLIGADA AO COMPARTIMENTO DE DETRITOS ATRAVÉS DE CHAVE DIRECIONADORA DE FLUXO TRÊS VIAS PARA ALTERNÂNCIA DE VÁCUO OU PRESSÃO E MANGOTES DE PVC. SISTEMA DE ACIONAMENTO: - ACIONAMENTO DA BOMBA DE VÁCUO ATRAVÉS DE POLIAS E CORREIAS COM SISTEMA DE TRANSMISSÃO A PARTIR DE TOMADA DE FORÇA PNEUMÁTICA INSTALADA NA CAIXA DE CÂMBIO DO PRÓPRIO CAMINHÃO COM EIXO CARDAN AUTOMOTIVO REFORÇADO EIXO DE TRANSMISSÃO E MANCAIS. SISTEMA DE INTERLIGAÇÃO: - CHAVE DIRECIONADORA DE FLUXO (CHAVE 03 VIAS) PARA ALTERNÂNCIA DE VÁCUO OU PRESSÃO, INTERLIGADA À BOMBA, RESERVATÓRIO DE ÁGUA E TANQUE ATRAVÉS DE MANGOTES FLEXÍVEIS DE PVC. CAIXA DE FERRAMENTAS, EM POLIURETANO, COM FECHADURA.</w:t>
            </w:r>
          </w:p>
        </w:tc>
        <w:tc>
          <w:tcPr>
            <w:tcW w:w="118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03</w:t>
            </w:r>
          </w:p>
        </w:tc>
        <w:tc>
          <w:tcPr>
            <w:tcW w:w="552"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2</w:t>
            </w:r>
          </w:p>
        </w:tc>
        <w:tc>
          <w:tcPr>
            <w:tcW w:w="754"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CAMINHÃO 6X2</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EQUIPADO COM CAÇAMBA COLETORA COMPACTADORA DE LIXO, CAPACIDADE DE 21 M³, NOVO, ZERO QUILÔMETRO, COM AS SEGUINTES ESPECIFICAÇÕES: ANO/MODELO: MÍNIMO 2026/2026 TRAÇÃO: 6X2 (COM TERCEIRO EIXO TIPO DROP JÁ INSTALADO OU SISTEMA EQUIVALENTE) TIPO DE MARCHA: MANUAL PESO BRUTO TOTAL (PBT): MÍNIMO DE 23.000 KG CAPACIDADE MÁXIMA DE TRAÇÃO (CMT): ENTRE 33.000 KG E 45.000 KG INJEÇÃO ELETRÔNICA: COMMON RAIL OU SISTEMA EQUIVALENTE MOTOR: 6 CILINDROS POTÊNCIA MÁXIMA: ENTRE 255 E 293 CV DIÂMETRO DA EMBREAGEM: MÍNIMO 380 MM COR: BRANCA LICENCIADO NO ESTADO DE MINAS GERAIS, EMPLACADO NO MUNICÍPIO DE CURVELO/MG, COM CERTIFICADO DE REGISTRO DE VEÍCULO (CRV) E PRIMEIRO CRLV EMITIDO EM NOME DO MUNICÍPIO DE CURVELO/MG SEGURO DPVAT VIGENTE, MANUAL DO PROPRIETÁRIO, TERMO DE GARANTIA GARANTIA MÍNIMA DE 01 (UM) ANO, SEM LIMITE DE QUILOMETRAGEM, O QUE OCORRER PRIMEIRO (PARA PESSOA JURÍDICA) VEÍCULO EM CONFORMIDADE COM AS NORMAS DO CONTRAN, ABNT, PROCONVE/IBAMA E RESOLUÇÕES CONAMA Nº 17/1995, Nº 242/1998 E Nº 272/2000 IMPLEMENTO COMPACTADOR DE LIXO DE 21M³ (CAÇAMBA COLETORA COMPACTADORA DE LIXO): VOLUME DA CAIXA COMPACTADORA: 21,0 M³ PRAÇA DE CARGA MÍNIMA: 2,15 M³ CALHA DE CHORUME: CAPACIDADE MÍNIMA DE 100 LITROS ILUMINAÇÃO TRASEIRA INTERNA PARA OPERAÇÃO NOTURNA TRAVAMENTO MANUAL DA PORTA TRASEIRA TRAVAS DE SEGURANÇA PARA MANUTENÇÃO ALARME SONORO DE MARCHA A RÉ ATENDE INTEGRALMENTE ÀS EXIGÊNCIAS DO CONTRAN: LANTERNAS TRASEIRAS, LUZ DE FREIO, FAROLETES E LUZ DE RÉ COM PROTEÇÃO METÁLICA SINALIZADOR ROTATIVO (GIROFLEX EM LED) COM PROTEÇÃO METÁLICA ESTRIBO TRASEIRO EM AÇO ANTIDERRAPANTE, COM PONTAS ARREDONDADAS, CORRIMÃOS LATERAIS E CENTRAL PARA APOIO DE GARIS PARALAMAS COM PARABARROS CÂMERA DE RÉ COM MONITOR EM CABINE.</w:t>
            </w:r>
          </w:p>
        </w:tc>
        <w:tc>
          <w:tcPr>
            <w:tcW w:w="118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04</w:t>
            </w:r>
          </w:p>
        </w:tc>
        <w:tc>
          <w:tcPr>
            <w:tcW w:w="552"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1</w:t>
            </w:r>
          </w:p>
        </w:tc>
        <w:tc>
          <w:tcPr>
            <w:tcW w:w="754"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CAMINHÃO NOVO, ZERO QUILÔMETRO</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TRAÇÃO 4X2 (TOCO), ANO/MODELO MÍNIMO 26/26, DESTINADO A COLETA DE RESÍDUOS SÓLIDOS, COM COMPATIBILIDADE TÉCNICA PLENA PARA INSTALAÇÃO E OPERAÇÃO DE IMPLEMENTO COMPACTADOR TRASEIRO DE 15 M³. POTÊNCIA LÍQUIDA MÍNIMA DE 277 CV E TORQUE LÍQUIDO MÍNIMO DE 900 NM, MOTOR COM NO MÍNIMO 6 CILINDROS (EM LINHA OU EM V), SISTEMA DE INJEÇÃO ELETRÔNICA DO TIPO COMMON RAIL COM CONTROLE ELETRÔNICO DE COMBUSTÍVEL PARA MAIOR EFICIÊNCIA ENERGÉTICA, MENOR EMISSÃO DE POLUENTES E MELHOR DESEMPENHO, EM CONFORMIDADE COM O PROCONVE VIGENTE. TRANSMISSÃO MANUAL COM NO MÍNIMO 6 MARCHAS À FRENTE E 1 À RÉ. PESO BRUTO TOTAL (PBT) IGUAL OU SUPERIOR A 16.000 KG, CONFORME HOMOLOGAÇÃO NO RENAVAM, COM TARA MÁXIMA QUE GARANTA CAPACIDADE LÍQUIDA MÍNIMA DE CARGA COMPATÍVEL COM A OPERAÇÃO DO COMPACTADOR E TRANSPORTE DE RESÍDUOS, MANTENDO-SE DENTRO DOS LIMITES LEGAIS POR EIXO. SUSPENSÃO DIANTEIRA E TRASEIRA CONFORME PROJETO ORIGINAL DO FABRICANTE, DIMENSIONADA PARA O PBT DO VEÍCULO. SISTEMA DE FREIOS PNEUMÁTICO COM ABS OBRIGATÓRIO, COMPATÍVEL COM O PBT, COM FREIO DE ESTACIONAMENTO. CABINE SIMPLES EM AÇO, ORIGINAL DE FÁBRICA, EQUIPADA COM AR-CONDICIONADO ORIGINAL, CINTOS DE SEGURANÇA, ILUMINAÇÃO, SINALIZAÇÃO, BUZINA E DEMAIS ITENS OBRIGATÓRIOS PELO CTB. SISTEMA ELÉTRICO DIMENSIONADO PARA SUPORTAR A ALIMENTAÇÃO SIMULTÂNEA DOS SISTEMAS ORIGINAIS DO VEÍCULO E DO IMPLEMENTO INSTALADO, COM PROTEÇÃO CONTRA SOBRECARGA. O CAMINHÃO DEVERÁ SAIR DE FÁBRICA COM TOMADA DE FORÇA (PTO) INSTALADA E COMPATÍVEL COM O IMPLEMENTO, ACOMPANHADA DE DECLARAÇÃO DO FABRICANTE DO CHASSI OU DO INTEGRADOR, DEVENDO APRESENTAR POTÊNCIA HIDRÁULICA MÍNIMA (VAZÃO E PRESSÃO) COMPATÍVEL COM A OPERAÇÃO EFICIENTE DO COMPACTADOR. A ENTREGA DEVERÁ SER ACOMPANHADA DE MANUAL DO PROPRIETÁRIO, PLANO DE MANUTENÇÃO PREVENTIVA, CHAVE RESERVA, KIT DE FERRAMENTAS ORIGINAIS, COMPROVANTE DE GARANTIA MÍNIMA DE 12 MESES, SEM LIMITE DE QUILOMETRAGEM, ABRANGENDO TODOS OS COMPONENTES ESTRUTURAIS, MECÂNICOS E ELÉTRICOS. IMPLEMENTO COMPACTADOR DE RESÍDUOS SÓLIDOS, NOVO, DO TIPO CARGA TRASEIRA, (CAÇAMBA COLETORA COMPACTADORA DE LIXO) COM CAPACIDADE VOLUMÉTRICA MÍNIMA E MÁXIMA DE 15 M³ DE RESÍDUOS COMPACTADOS: PROJETADO PARA OPERAÇÃO EM CAMINHÃO 4X2 (TOCO) COM PBT IGUAL OU SUPERIOR A 16.000 KG, GARANTINDO COMPATIBILIDADE TÉCNICA E DESEMPENHO PLENO NAS OPERAÇÕES DE COLETA DE LIXO. O EQUIPAMENTO DEVERÁ ATENDER AO CÓDIGO DE TRÂNSITO BRASILEIRO, RESOLUÇÕES DO CONTRAN, NR-12 (SEGURANÇA NO TRABALHO EM MÁQUINAS E EQUIPAMENTOS), ABNT NBR 16699-1 OU EQUIVALENTE E DEMAIS NORMAS TÉCNICAS APLICÁVEIS. ESTRUTURA EM AÇO CARBONO DE ALTA RESISTÊNCIA, PAREDES E FUNDO DA CAIXA COMPACTADORA COM ESPESSURA MÍNIMA DE 3 MM, PLACA COMPACTADORA COM ESPESSURA MÍNIMA DE 6 MM, COM PRÉ-TRATAMENTO E TRATAMENTO ANTICORROSIVO INTERNO E EXTERNO, PINTURA EPÓXI BICOMPONENTE OU EQUIVALENTE. SISTEMA DE COMPACTAÇÃO POR PLACAS ARTICULADAS OU TECNOLOGIA EQUIVALENTE DE DESEMPENHO COMPROVADO, ACIONADO HIDRAULICAMENTE POR PTO DO CAMINHÃO, COM BOMBA DE VAZÃO E PRESSÃO COMPATÍVEIS, RESERVATÓRIO DE ÓLEO MÍNIMO DE 80 LITROS, VISOR DE NÍVEL, FILTRO E RESPIRO, VÁLVULAS DIRECIONAIS PROTEGIDAS E MANGUEIRAS DE ALTA PRESSÃO. CICLO DE COMPACTAÇÃO MÁXIMO DE 30 SEGUNDOS, TAXA MÍNIMA DE COMPACTAÇÃO DE 2:1, OPERAÇÃO COM RESÍDUOS DE DENSIDADE ENTRE 350 E 500 KG/M³. TAMPA TRASEIRA COM ABERTURA E FECHAMENTO HIDRÁULICOS, TRAVAMENTO SEGURO E VEDAÇÃO EFICIENTE. SISTEMA DE COLETA DE CHORUME COM TANQUE E DRENO. DISPOSITIVO DE ELEVAÇÃO COMPATÍVEL COM CONTENTORES DE 120 A 1.000 LITROS. COMANDOS LATERAIS ERGONÔMICOS, COM BLOQUEIO CONTRA ACIONAMENTO ACIDENTAL E BOTÃO DE PARADA DE EMERGÊNCIA, COM GRAU DE PROTEÇÃO MÍNIMO IP ADEQUADO PARA GARANTIR ESTANQUEIDADE CONTRA POEIRA E UMIDADE. ILUMINAÇÃO E SINALIZAÇÃO CONFORME CONTRAN E INMETRO, PROTETORES LATERAIS E TRASEIROS, FAIXAS REFLETIVAS, ADESIVOS DE ADVERTÊNCIA, ESTRIBO TRASEIRO EM AÇO ANTIDERRAPANTE, COM PONTAS ARREDONDADAS, CORRIMÃOS LATERAIS E CENTRAL PARA APOIO DE GARIS PARALAMAS COM PARA-BARROS CÂMERA DE RÉ COM MONITOR EM CABINE. DISPOSITIVOS DE PROTEÇÃO EM PARTES MÓVEIS, ALARME DE RÉ. O IMPLEMENTO DEVERÁ SER ENTREGUE MONTADO, TESTADO E EM PLENO FUNCIONAMENTO, MANUAL DE OPERAÇÃO, CATÁLOGO DE PEÇAS E PLANO DE MANUTENÇÃO PREVENTIVA. GARANTIA MÍNIMA DE 12 (DOZE) MESES, SEM LIMITE DE QUILOMETRAGEM, PARA TODOS OS COMPONENTES ESTRUTURAIS, HIDRÁULICOS E ELÉTRICOS.</w:t>
            </w:r>
          </w:p>
        </w:tc>
        <w:tc>
          <w:tcPr>
            <w:tcW w:w="118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cantSplit w:val="true"/>
        </w:trPr>
        <w:tc>
          <w:tcPr>
            <w:tcW w:w="689" w:type="dxa"/>
            <w:tcBorders>
              <w:lef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sz w:val="18"/>
              </w:rPr>
              <w:t>05</w:t>
            </w:r>
          </w:p>
        </w:tc>
        <w:tc>
          <w:tcPr>
            <w:tcW w:w="552"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rPr>
              <w:t>1</w:t>
            </w:r>
          </w:p>
        </w:tc>
        <w:tc>
          <w:tcPr>
            <w:tcW w:w="754" w:type="dxa"/>
            <w:tcBorders>
              <w:lef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rPr>
              <w:t>UN</w:t>
            </w:r>
          </w:p>
        </w:tc>
        <w:tc>
          <w:tcPr>
            <w:tcW w:w="6166" w:type="dxa"/>
            <w:gridSpan w:val="5"/>
            <w:tcBorders>
              <w:lef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rPr>
            </w:pPr>
            <w:r>
              <w:rPr>
                <w:rFonts w:ascii="Tahoma" w:hAnsi="Tahoma"/>
                <w:color w:val="000000"/>
                <w:sz w:val="18"/>
              </w:rPr>
              <w:t>CAMINHÃO 4X2 TOCO:</w:t>
            </w:r>
          </w:p>
          <w:p>
            <w:pPr>
              <w:pStyle w:val="Normal"/>
              <w:widowControl w:val="false"/>
              <w:tabs>
                <w:tab w:val="clear" w:pos="709"/>
                <w:tab w:val="left" w:pos="770" w:leader="none"/>
              </w:tabs>
              <w:bidi w:val="0"/>
              <w:jc w:val="both"/>
              <w:rPr>
                <w:rFonts w:ascii="Tahoma" w:hAnsi="Tahoma"/>
                <w:sz w:val="18"/>
              </w:rPr>
            </w:pPr>
            <w:r>
              <w:rPr>
                <w:rFonts w:ascii="Tahoma" w:hAnsi="Tahoma"/>
                <w:color w:val="000000"/>
                <w:sz w:val="18"/>
              </w:rPr>
              <w:t>NOVO ZERO QUILÔMETRO DE FABRICAÇÃO NACIONAL ANO E MODELO MÍNIMO 2026/2026 NA COR BRANCA MOTOR DIESEL DE NO MÍNIMO 6 CILINDROS, POTÊNCIA MÍNIMA DE 260 CV, CILINDRADA MÍNIMA DE 6,7 LITROS, COM SISTEMA ARLA, MELHOR OU EQUIVALENTE DE ACORDO COM A LEGISLAÇAO PROCONVE VIGENTE, TRANSMISSÃO MANUAL COM NO MÍNIMO: 6 MARCHAS À FRENTE E 1 À RÉ, SUSPENSÃO DIANTEIRA E TRASEIRA CONFORME LINHA DE PRODUÇÃO DO FABRICANTE, PBT HOMOLOGADO DE NO MÍNIMO 16.000 QUILOGRAMAS, CABINE EM AÇO EQUIPADA COM AR CONDICIONADO. EQUIPADO COM VARREDEIRA MECÂNICA DE SUCÇÃO ZERO HORA, CAÇAMBA DE DEPÓSITO EM AÇO INOX DE ALTA RESISTÊNCIA À CORROSÃO ATMOSFÉRICA, COM CAPACIDADE DE 6 METROS CÚBICOS, BASCULAMENTO TRASEIRO AO NÍVEL DO SOLO COM ÂNGULO MÍNIMO DE 50 GRAUS, ESCOVAS LATERAIS E ESCOVA CENTRAL CONFECCIONADAS EM CERDAS DE NYLON DE ALTA RESISTÊNCIA E DURABILIDADE, ADEQUADAS À VARREÇÃO URBANA, DEMAIS COMPONENTES DO SISTEMA DE VARREÇÃO EM PLENO FUNCIONAMENTO, CONFORME PADRÃO DO FABRICANTE. GARANTIA E REDE DE ASSISTÊNCIA TÉCNICA DISPONÍVEIS EM TODO O TERRITÓRIO NACIONAL.</w:t>
            </w:r>
          </w:p>
        </w:tc>
        <w:tc>
          <w:tcPr>
            <w:tcW w:w="118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0" w:type="dxa"/>
            <w:tcBorders>
              <w:lef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8" w:type="dxa"/>
            <w:tcBorders>
              <w:left w:val="single" w:sz="4" w:space="0" w:color="000000"/>
              <w:bottom w:val="single" w:sz="4" w:space="0" w:color="000000"/>
              <w:right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trHeight w:val="341" w:hRule="atLeast"/>
          <w:cantSplit w:val="true"/>
        </w:trPr>
        <w:tc>
          <w:tcPr>
            <w:tcW w:w="6001" w:type="dxa"/>
            <w:gridSpan w:val="5"/>
            <w:tcBorders>
              <w:top w:val="single" w:sz="4" w:space="0" w:color="000000"/>
              <w:left w:val="single" w:sz="4" w:space="0" w:color="000000"/>
              <w:bottom w:val="single" w:sz="4" w:space="0" w:color="000000"/>
            </w:tcBorders>
            <w:vAlign w:val="center"/>
          </w:tcPr>
          <w:p>
            <w:pPr>
              <w:pStyle w:val="BodyText"/>
              <w:widowControl w:val="false"/>
              <w:bidi w:val="0"/>
              <w:spacing w:before="0" w:after="140"/>
              <w:jc w:val="left"/>
              <w:rPr>
                <w:sz w:val="24"/>
              </w:rPr>
            </w:pPr>
            <w:r>
              <w:rPr>
                <w:b/>
                <w:bCs/>
                <w:szCs w:val="20"/>
              </w:rPr>
              <w:t>Prazo de validade da proposta</w:t>
            </w:r>
          </w:p>
        </w:tc>
        <w:tc>
          <w:tcPr>
            <w:tcW w:w="4738"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Conforme edital.</w:t>
            </w:r>
          </w:p>
        </w:tc>
      </w:tr>
      <w:tr>
        <w:trPr>
          <w:cantSplit w:val="true"/>
        </w:trPr>
        <w:tc>
          <w:tcPr>
            <w:tcW w:w="6001" w:type="dxa"/>
            <w:gridSpan w:val="5"/>
            <w:tcBorders>
              <w:left w:val="single" w:sz="4" w:space="0" w:color="000000"/>
              <w:bottom w:val="single" w:sz="4" w:space="0" w:color="000000"/>
            </w:tcBorders>
            <w:vAlign w:val="center"/>
          </w:tcPr>
          <w:p>
            <w:pPr>
              <w:pStyle w:val="BodyText"/>
              <w:widowControl w:val="false"/>
              <w:bidi w:val="0"/>
              <w:spacing w:before="0" w:after="140"/>
              <w:jc w:val="left"/>
              <w:rPr>
                <w:sz w:val="24"/>
              </w:rPr>
            </w:pPr>
            <w:r>
              <w:rPr>
                <w:b/>
                <w:bCs/>
                <w:szCs w:val="20"/>
              </w:rPr>
              <w:t>Forma e prazo do fornecimento do objeto</w:t>
            </w:r>
          </w:p>
        </w:tc>
        <w:tc>
          <w:tcPr>
            <w:tcW w:w="4738" w:type="dxa"/>
            <w:gridSpan w:val="6"/>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 w:val="18"/>
                <w:szCs w:val="18"/>
              </w:rPr>
            </w:pPr>
            <w:r>
              <w:rPr>
                <w:sz w:val="18"/>
                <w:szCs w:val="18"/>
              </w:rPr>
              <w:t>Conforme edital.</w:t>
            </w:r>
          </w:p>
        </w:tc>
      </w:tr>
      <w:tr>
        <w:trPr>
          <w:cantSplit w:val="true"/>
        </w:trPr>
        <w:tc>
          <w:tcPr>
            <w:tcW w:w="6001" w:type="dxa"/>
            <w:gridSpan w:val="5"/>
            <w:tcBorders>
              <w:left w:val="single" w:sz="4" w:space="0" w:color="000000"/>
              <w:bottom w:val="single" w:sz="4" w:space="0" w:color="000000"/>
            </w:tcBorders>
            <w:vAlign w:val="center"/>
          </w:tcPr>
          <w:p>
            <w:pPr>
              <w:pStyle w:val="BodyText"/>
              <w:widowControl w:val="false"/>
              <w:bidi w:val="0"/>
              <w:spacing w:before="0" w:after="140"/>
              <w:jc w:val="left"/>
              <w:rPr>
                <w:sz w:val="24"/>
              </w:rPr>
            </w:pPr>
            <w:r>
              <w:rPr>
                <w:b/>
                <w:bCs/>
                <w:szCs w:val="20"/>
              </w:rPr>
              <w:t>Vigência Contratual</w:t>
            </w:r>
          </w:p>
        </w:tc>
        <w:tc>
          <w:tcPr>
            <w:tcW w:w="4738" w:type="dxa"/>
            <w:gridSpan w:val="6"/>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 w:val="18"/>
                <w:szCs w:val="18"/>
              </w:rPr>
            </w:pPr>
            <w:r>
              <w:rPr>
                <w:sz w:val="18"/>
                <w:szCs w:val="18"/>
              </w:rPr>
              <w:t>Conforme edital.</w:t>
            </w:r>
          </w:p>
        </w:tc>
      </w:tr>
      <w:tr>
        <w:trPr>
          <w:cantSplit w:val="true"/>
        </w:trPr>
        <w:tc>
          <w:tcPr>
            <w:tcW w:w="6001" w:type="dxa"/>
            <w:gridSpan w:val="5"/>
            <w:tcBorders>
              <w:left w:val="single" w:sz="4" w:space="0" w:color="000000"/>
              <w:bottom w:val="single" w:sz="4" w:space="0" w:color="000000"/>
            </w:tcBorders>
            <w:vAlign w:val="center"/>
          </w:tcPr>
          <w:p>
            <w:pPr>
              <w:pStyle w:val="BodyText"/>
              <w:widowControl w:val="false"/>
              <w:bidi w:val="0"/>
              <w:spacing w:before="0" w:after="140"/>
              <w:jc w:val="left"/>
              <w:rPr>
                <w:sz w:val="24"/>
              </w:rPr>
            </w:pPr>
            <w:r>
              <w:rPr>
                <w:b/>
                <w:bCs/>
                <w:szCs w:val="20"/>
              </w:rPr>
              <w:t>Local de entrega do objeto e das Notas Fiscais</w:t>
            </w:r>
          </w:p>
        </w:tc>
        <w:tc>
          <w:tcPr>
            <w:tcW w:w="4738" w:type="dxa"/>
            <w:gridSpan w:val="6"/>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sz w:val="18"/>
                <w:szCs w:val="18"/>
              </w:rPr>
            </w:pPr>
            <w:r>
              <w:rPr>
                <w:sz w:val="18"/>
                <w:szCs w:val="18"/>
              </w:rPr>
              <w:t>Conforme edital.</w:t>
            </w:r>
          </w:p>
        </w:tc>
      </w:tr>
      <w:tr>
        <w:trPr>
          <w:cantSplit w:val="true"/>
        </w:trPr>
        <w:tc>
          <w:tcPr>
            <w:tcW w:w="10739" w:type="dxa"/>
            <w:gridSpan w:val="11"/>
            <w:tcBorders>
              <w:left w:val="single" w:sz="4" w:space="0" w:color="000000"/>
              <w:bottom w:val="single" w:sz="4" w:space="0" w:color="000000"/>
              <w:right w:val="single" w:sz="4" w:space="0" w:color="000000"/>
            </w:tcBorders>
            <w:vAlign w:val="center"/>
          </w:tcPr>
          <w:p>
            <w:pPr>
              <w:pStyle w:val="BodyText"/>
              <w:widowControl w:val="false"/>
              <w:bidi w:val="0"/>
              <w:spacing w:before="0" w:after="140"/>
              <w:jc w:val="left"/>
              <w:rPr>
                <w:b/>
                <w:bCs/>
                <w:sz w:val="18"/>
                <w:szCs w:val="18"/>
              </w:rPr>
            </w:pPr>
            <w:r>
              <w:rPr>
                <w:b/>
                <w:bCs/>
                <w:sz w:val="18"/>
                <w:szCs w:val="18"/>
              </w:rPr>
              <w:t>*A proposta de preços reajustada, preferencialmente, será assinada digitalmente pelo proponente.</w:t>
            </w:r>
          </w:p>
        </w:tc>
      </w:tr>
    </w:tbl>
    <w:p>
      <w:pPr>
        <w:pStyle w:val="Normal"/>
        <w:bidi w:val="0"/>
        <w:jc w:val="left"/>
        <w:rPr>
          <w:rFonts w:ascii="Tahoma" w:hAnsi="Tahoma" w:cs="Tahoma"/>
          <w:sz w:val="20"/>
          <w:szCs w:val="20"/>
        </w:rPr>
      </w:pPr>
      <w:r>
        <w:rPr>
          <w:rFonts w:cs="Tahoma" w:ascii="Tahoma" w:hAnsi="Tahoma"/>
          <w:sz w:val="20"/>
          <w:szCs w:val="20"/>
        </w:rPr>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roman"/>
    <w:pitch w:val="variable"/>
  </w:font>
</w:fonts>
</file>

<file path=word/settings.xml><?xml version="1.0" encoding="utf-8"?>
<w:settings xmlns:w="http://schemas.openxmlformats.org/wordprocessingml/2006/main">
  <w:zoom w:percent="80"/>
  <w:defaultTabStop w:val="709"/>
  <w:autoHyphenation w:val="true"/>
  <w:compat>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Arial"/>
      <w:color w:val="auto"/>
      <w:kern w:val="2"/>
      <w:sz w:val="24"/>
      <w:szCs w:val="24"/>
      <w:lang w:val="pt-BR" w:eastAsia="zh-CN" w:bidi="hi-IN"/>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OC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LibreOffice/7.6.4.1$Windows_X86_64 LibreOffice_project/e19e193f88cd6c0525a17fb7a176ed8e6a3e2aa1</Application>
  <AppVersion>15.0000</AppVersion>
  <Pages>6</Pages>
  <Words>2192</Words>
  <Characters>12140</Characters>
  <CharactersWithSpaces>14261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2026-06-19T11:10:09Z</dcterms:created>
  <dc:creator/>
  <dc:description/>
  <dc:language>pt-BR</dc:language>
  <cp:lastModifiedBy/>
  <dcterms:modified xsi:type="dcterms:W3CDTF">2026-06-19T11:11:12Z</dcterms:modified>
  <cp:revision>1</cp:revision>
  <dc:subject/>
  <dc:title/>
</cp:coreProperties>
</file>