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tabs>
          <w:tab w:val="clear" w:pos="709"/>
          <w:tab w:val="left" w:pos="708" w:leader="none"/>
        </w:tabs>
        <w:bidi w:val="0"/>
        <w:rPr/>
      </w:pPr>
      <w:r>
        <w:rPr>
          <w:szCs w:val="20"/>
        </w:rPr>
        <w:t>ANEXO III – MODELO DE PROPOSTA COMERCIAL</w:t>
      </w:r>
    </w:p>
    <w:p>
      <w:pPr>
        <w:pStyle w:val="Normal"/>
        <w:tabs>
          <w:tab w:val="clear" w:pos="709"/>
          <w:tab w:val="left" w:pos="708" w:leader="none"/>
        </w:tabs>
        <w:bidi w:val="0"/>
        <w:jc w:val="start"/>
        <w:rPr>
          <w:szCs w:val="20"/>
        </w:rPr>
      </w:pPr>
      <w:r>
        <w:rPr>
          <w:szCs w:val="20"/>
        </w:rPr>
      </w:r>
    </w:p>
    <w:tbl>
      <w:tblPr>
        <w:tblW w:w="9913" w:type="dxa"/>
        <w:jc w:val="start"/>
        <w:tblInd w:w="-176" w:type="dxa"/>
        <w:tblLayout w:type="fixed"/>
        <w:tblCellMar>
          <w:top w:w="55" w:type="dxa"/>
          <w:start w:w="55" w:type="dxa"/>
          <w:bottom w:w="55" w:type="dxa"/>
          <w:end w:w="55" w:type="dxa"/>
        </w:tblCellMar>
        <w:tblLook w:firstRow="0" w:noVBand="0" w:lastRow="0" w:firstColumn="0" w:lastColumn="0" w:noHBand="0" w:val="0000"/>
      </w:tblPr>
      <w:tblGrid>
        <w:gridCol w:w="669"/>
        <w:gridCol w:w="627"/>
        <w:gridCol w:w="746"/>
        <w:gridCol w:w="1587"/>
        <w:gridCol w:w="1522"/>
        <w:gridCol w:w="1421"/>
        <w:gridCol w:w="36"/>
        <w:gridCol w:w="1693"/>
        <w:gridCol w:w="791"/>
        <w:gridCol w:w="820"/>
      </w:tblGrid>
      <w:tr>
        <w:trPr>
          <w:trHeight w:val="432" w:hRule="atLeast"/>
        </w:trPr>
        <w:tc>
          <w:tcPr>
            <w:tcW w:w="9912" w:type="dxa"/>
            <w:gridSpan w:val="10"/>
            <w:tcBorders>
              <w:top w:val="single" w:sz="4" w:space="0" w:color="000000"/>
              <w:start w:val="single" w:sz="4" w:space="0" w:color="000000"/>
              <w:bottom w:val="single" w:sz="4" w:space="0" w:color="000000"/>
              <w:end w:val="single" w:sz="4" w:space="0" w:color="000000"/>
            </w:tcBorders>
            <w:vAlign w:val="center"/>
          </w:tcPr>
          <w:p>
            <w:pPr>
              <w:pStyle w:val="Corpodotexto"/>
              <w:widowControl w:val="false"/>
              <w:bidi w:val="0"/>
              <w:spacing w:before="0" w:after="140"/>
              <w:jc w:val="center"/>
              <w:rPr/>
            </w:pPr>
            <w:r>
              <w:rPr>
                <w:b/>
                <w:bCs/>
                <w:szCs w:val="20"/>
              </w:rPr>
              <w:t>PROPOSTA COMERCIAL – PREGÃO ELETRÔNICO Nº 005-</w:t>
            </w:r>
            <w:r>
              <w:rPr>
                <w:b/>
                <w:bCs/>
                <w:szCs w:val="20"/>
              </w:rPr>
              <w:t>A</w:t>
            </w:r>
            <w:r>
              <w:rPr>
                <w:b/>
                <w:bCs/>
                <w:szCs w:val="20"/>
              </w:rPr>
              <w:t>/2026</w:t>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Razão Social</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CNPJ</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rHeight w:val="374" w:hRule="atLeast"/>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Endereço da empresa</w:t>
            </w:r>
          </w:p>
        </w:tc>
        <w:tc>
          <w:tcPr>
            <w:tcW w:w="2943" w:type="dxa"/>
            <w:gridSpan w:val="2"/>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340" w:type="dxa"/>
            <w:gridSpan w:val="4"/>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CEP:</w:t>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Telefone da empresa</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E-mail da empresa</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Conta bancária da empresa na qual os pagamentos serão depositados</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Nome do Representante Legal</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Endereço do Representante Legal</w:t>
            </w:r>
          </w:p>
        </w:tc>
        <w:tc>
          <w:tcPr>
            <w:tcW w:w="2979"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304" w:type="dxa"/>
            <w:gridSpan w:val="3"/>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CEP:</w:t>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Identidade do Representante Legal</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CPF do Representante Legal</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Telefone do representante legal</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62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E-mail do representante legal</w:t>
            </w:r>
          </w:p>
        </w:tc>
        <w:tc>
          <w:tcPr>
            <w:tcW w:w="628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669" w:type="dxa"/>
            <w:tcBorders>
              <w:start w:val="single" w:sz="4" w:space="0" w:color="000000"/>
              <w:bottom w:val="single" w:sz="4" w:space="0" w:color="000000"/>
            </w:tcBorders>
            <w:shd w:color="auto" w:fill="auto" w:val="clear"/>
            <w:vAlign w:val="center"/>
          </w:tcPr>
          <w:p>
            <w:pPr>
              <w:pStyle w:val="Normal"/>
              <w:widowControl w:val="false"/>
              <w:bidi w:val="0"/>
              <w:jc w:val="center"/>
              <w:rPr/>
            </w:pPr>
            <w:r>
              <w:rPr>
                <w:rFonts w:cs="Tahoma" w:ascii="Tahoma" w:hAnsi="Tahoma"/>
                <w:b/>
                <w:bCs/>
                <w:sz w:val="18"/>
                <w:szCs w:val="18"/>
              </w:rPr>
              <w:t>Item</w:t>
            </w:r>
          </w:p>
        </w:tc>
        <w:tc>
          <w:tcPr>
            <w:tcW w:w="627" w:type="dxa"/>
            <w:tcBorders>
              <w:start w:val="single" w:sz="4" w:space="0" w:color="000000"/>
              <w:bottom w:val="single" w:sz="4" w:space="0" w:color="000000"/>
            </w:tcBorders>
            <w:shd w:color="auto" w:fill="auto" w:val="clear"/>
            <w:vAlign w:val="center"/>
          </w:tcPr>
          <w:p>
            <w:pPr>
              <w:pStyle w:val="Normal"/>
              <w:widowControl w:val="false"/>
              <w:bidi w:val="0"/>
              <w:jc w:val="center"/>
              <w:rPr/>
            </w:pPr>
            <w:r>
              <w:rPr>
                <w:rFonts w:cs="Tahoma" w:ascii="Tahoma" w:hAnsi="Tahoma"/>
                <w:b/>
                <w:bCs/>
                <w:sz w:val="18"/>
                <w:szCs w:val="18"/>
              </w:rPr>
              <w:t>Qtd.</w:t>
            </w:r>
          </w:p>
        </w:tc>
        <w:tc>
          <w:tcPr>
            <w:tcW w:w="746" w:type="dxa"/>
            <w:tcBorders>
              <w:start w:val="single" w:sz="4" w:space="0" w:color="000000"/>
              <w:bottom w:val="single" w:sz="4" w:space="0" w:color="000000"/>
            </w:tcBorders>
            <w:shd w:color="auto" w:fill="auto" w:val="clear"/>
            <w:vAlign w:val="center"/>
          </w:tcPr>
          <w:p>
            <w:pPr>
              <w:pStyle w:val="Normal"/>
              <w:widowControl w:val="false"/>
              <w:bidi w:val="0"/>
              <w:jc w:val="center"/>
              <w:rPr/>
            </w:pPr>
            <w:r>
              <w:rPr>
                <w:rFonts w:cs="Tahoma" w:ascii="Tahoma" w:hAnsi="Tahoma"/>
                <w:b/>
                <w:bCs/>
                <w:sz w:val="18"/>
                <w:szCs w:val="18"/>
              </w:rPr>
              <w:t>Unid.</w:t>
            </w:r>
          </w:p>
        </w:tc>
        <w:tc>
          <w:tcPr>
            <w:tcW w:w="6259" w:type="dxa"/>
            <w:gridSpan w:val="5"/>
            <w:tcBorders>
              <w:start w:val="single" w:sz="4" w:space="0" w:color="000000"/>
              <w:bottom w:val="single" w:sz="4" w:space="0" w:color="000000"/>
            </w:tcBorders>
            <w:shd w:color="auto" w:fill="auto" w:val="clear"/>
            <w:vAlign w:val="center"/>
          </w:tcPr>
          <w:p>
            <w:pPr>
              <w:pStyle w:val="Sumrio1"/>
              <w:widowControl w:val="false"/>
              <w:bidi w:val="0"/>
              <w:rPr/>
            </w:pPr>
            <w:r>
              <w:rPr>
                <w:bCs/>
                <w:sz w:val="18"/>
                <w:szCs w:val="18"/>
              </w:rPr>
              <w:t>Descrição do Serviço</w:t>
            </w:r>
          </w:p>
        </w:tc>
        <w:tc>
          <w:tcPr>
            <w:tcW w:w="791" w:type="dxa"/>
            <w:tcBorders>
              <w:start w:val="single" w:sz="4" w:space="0" w:color="000000"/>
              <w:bottom w:val="single" w:sz="4" w:space="0" w:color="000000"/>
            </w:tcBorders>
            <w:shd w:color="auto" w:fill="auto" w:val="clear"/>
            <w:vAlign w:val="center"/>
          </w:tcPr>
          <w:p>
            <w:pPr>
              <w:pStyle w:val="Normal"/>
              <w:widowControl w:val="false"/>
              <w:bidi w:val="0"/>
              <w:jc w:val="center"/>
              <w:rPr/>
            </w:pPr>
            <w:r>
              <w:rPr>
                <w:rFonts w:cs="Tahoma" w:ascii="Tahoma" w:hAnsi="Tahoma"/>
                <w:b/>
                <w:bCs/>
                <w:sz w:val="18"/>
                <w:szCs w:val="18"/>
              </w:rPr>
              <w:t>Vlr.</w:t>
            </w:r>
          </w:p>
          <w:p>
            <w:pPr>
              <w:pStyle w:val="Normal"/>
              <w:widowControl w:val="false"/>
              <w:bidi w:val="0"/>
              <w:jc w:val="center"/>
              <w:rPr/>
            </w:pPr>
            <w:r>
              <w:rPr>
                <w:rFonts w:cs="Tahoma" w:ascii="Tahoma" w:hAnsi="Tahoma"/>
                <w:b/>
                <w:bCs/>
                <w:sz w:val="18"/>
                <w:szCs w:val="18"/>
              </w:rPr>
              <w:t>Unit.</w:t>
            </w:r>
          </w:p>
        </w:tc>
        <w:tc>
          <w:tcPr>
            <w:tcW w:w="82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widowControl w:val="false"/>
              <w:bidi w:val="0"/>
              <w:jc w:val="center"/>
              <w:rPr/>
            </w:pPr>
            <w:r>
              <w:rPr>
                <w:rFonts w:cs="Tahoma" w:ascii="Tahoma" w:hAnsi="Tahoma"/>
                <w:b/>
                <w:bCs/>
                <w:sz w:val="18"/>
                <w:szCs w:val="18"/>
              </w:rPr>
              <w:t>Vlr. Total</w:t>
            </w:r>
          </w:p>
        </w:tc>
      </w:tr>
      <w:tr>
        <w:trPr/>
        <w:tc>
          <w:tcPr>
            <w:tcW w:w="669" w:type="dxa"/>
            <w:tcBorders>
              <w:start w:val="single" w:sz="4" w:space="0" w:color="000000"/>
              <w:bottom w:val="single" w:sz="4" w:space="0" w:color="000000"/>
            </w:tcBorders>
            <w:shd w:color="auto" w:fill="auto" w:val="clear"/>
            <w:vAlign w:val="center"/>
          </w:tcPr>
          <w:p>
            <w:pPr>
              <w:pStyle w:val="Normal"/>
              <w:widowControl w:val="false"/>
              <w:bidi w:val="0"/>
              <w:jc w:val="center"/>
              <w:rPr/>
            </w:pPr>
            <w:r>
              <w:rPr>
                <w:rFonts w:cs="Tahoma" w:ascii="Tahoma" w:hAnsi="Tahoma"/>
                <w:b/>
                <w:bCs/>
                <w:sz w:val="18"/>
                <w:szCs w:val="18"/>
              </w:rPr>
              <w:t>01</w:t>
            </w:r>
          </w:p>
        </w:tc>
        <w:tc>
          <w:tcPr>
            <w:tcW w:w="627" w:type="dxa"/>
            <w:tcBorders>
              <w:start w:val="single" w:sz="4" w:space="0" w:color="000000"/>
              <w:bottom w:val="single" w:sz="4" w:space="0" w:color="000000"/>
            </w:tcBorders>
            <w:shd w:color="auto" w:fill="auto" w:val="clear"/>
            <w:vAlign w:val="center"/>
          </w:tcPr>
          <w:p>
            <w:pPr>
              <w:pStyle w:val="Normal"/>
              <w:widowControl w:val="false"/>
              <w:bidi w:val="0"/>
              <w:jc w:val="center"/>
              <w:rPr/>
            </w:pPr>
            <w:r>
              <w:rPr>
                <w:rFonts w:cs="Tahoma" w:ascii="Tahoma" w:hAnsi="Tahoma"/>
                <w:sz w:val="18"/>
                <w:szCs w:val="18"/>
              </w:rPr>
              <w:t>12</w:t>
            </w:r>
          </w:p>
        </w:tc>
        <w:tc>
          <w:tcPr>
            <w:tcW w:w="746" w:type="dxa"/>
            <w:tcBorders>
              <w:start w:val="single" w:sz="4" w:space="0" w:color="000000"/>
              <w:bottom w:val="single" w:sz="4" w:space="0" w:color="000000"/>
            </w:tcBorders>
            <w:shd w:color="auto" w:fill="auto" w:val="clear"/>
            <w:vAlign w:val="center"/>
          </w:tcPr>
          <w:p>
            <w:pPr>
              <w:pStyle w:val="Normal"/>
              <w:widowControl w:val="false"/>
              <w:bidi w:val="0"/>
              <w:jc w:val="center"/>
              <w:rPr/>
            </w:pPr>
            <w:r>
              <w:rPr>
                <w:rFonts w:cs="Tahoma" w:ascii="Tahoma" w:hAnsi="Tahoma"/>
                <w:sz w:val="18"/>
                <w:szCs w:val="18"/>
              </w:rPr>
              <w:t>SV</w:t>
            </w:r>
          </w:p>
        </w:tc>
        <w:tc>
          <w:tcPr>
            <w:tcW w:w="6259" w:type="dxa"/>
            <w:gridSpan w:val="5"/>
            <w:tcBorders>
              <w:start w:val="single" w:sz="4" w:space="0" w:color="000000"/>
              <w:bottom w:val="single" w:sz="4" w:space="0" w:color="000000"/>
            </w:tcBorders>
            <w:shd w:color="auto" w:fill="auto" w:val="clear"/>
            <w:vAlign w:val="center"/>
          </w:tcPr>
          <w:p>
            <w:pPr>
              <w:pStyle w:val="Normal"/>
              <w:widowControl w:val="false"/>
              <w:tabs>
                <w:tab w:val="clear" w:pos="709"/>
                <w:tab w:val="left" w:pos="770" w:leader="none"/>
              </w:tabs>
              <w:bidi w:val="0"/>
              <w:jc w:val="both"/>
              <w:rPr>
                <w:rFonts w:ascii="Tahoma" w:hAnsi="Tahoma" w:cs="Tahoma"/>
                <w:color w:val="080000"/>
                <w:sz w:val="18"/>
                <w:szCs w:val="18"/>
              </w:rPr>
            </w:pPr>
            <w:r>
              <w:rPr>
                <w:rFonts w:cs="Tahoma" w:ascii="Tahoma" w:hAnsi="Tahoma"/>
                <w:color w:val="080000"/>
                <w:sz w:val="18"/>
                <w:szCs w:val="18"/>
              </w:rPr>
              <w:t>CONTRATAÇÃO DE EMPRESA PARA PRESTAÇÃO DOS SERVIÇOS DE OPERAÇÃO,</w:t>
            </w:r>
          </w:p>
          <w:p>
            <w:pPr>
              <w:pStyle w:val="Normal"/>
              <w:widowControl w:val="false"/>
              <w:tabs>
                <w:tab w:val="clear" w:pos="709"/>
                <w:tab w:val="left" w:pos="770" w:leader="none"/>
              </w:tabs>
              <w:bidi w:val="0"/>
              <w:jc w:val="both"/>
              <w:rPr>
                <w:rFonts w:ascii="Tahoma" w:hAnsi="Tahoma" w:cs="Tahoma"/>
                <w:color w:val="080000"/>
                <w:sz w:val="18"/>
                <w:szCs w:val="18"/>
              </w:rPr>
            </w:pPr>
            <w:r>
              <w:rPr>
                <w:rFonts w:cs="Tahoma" w:ascii="Tahoma" w:hAnsi="Tahoma"/>
                <w:color w:val="080000"/>
                <w:sz w:val="18"/>
                <w:szCs w:val="18"/>
              </w:rPr>
            </w:r>
          </w:p>
          <w:p>
            <w:pPr>
              <w:pStyle w:val="Normal"/>
              <w:widowControl w:val="false"/>
              <w:tabs>
                <w:tab w:val="clear" w:pos="709"/>
                <w:tab w:val="left" w:pos="770" w:leader="none"/>
              </w:tabs>
              <w:bidi w:val="0"/>
              <w:jc w:val="both"/>
              <w:rPr/>
            </w:pPr>
            <w:r>
              <w:rPr>
                <w:rFonts w:cs="Tahoma" w:ascii="Tahoma" w:hAnsi="Tahoma"/>
                <w:color w:val="080000"/>
                <w:sz w:val="18"/>
                <w:szCs w:val="18"/>
              </w:rPr>
              <w:t xml:space="preserve">MANUTENÇÃO PREVENTIVA, CORRETIVA E DE SEGURANÇA PATRIMONIAL DO COMPLEXO FOTOVOLTAICO BENTO VELHO, LOCALIZADO NA FAZENDA REUNIDAS MINAS GERAIS – GLEBA 08, NO MUNICÍPIO DE CORDISBURGO/MG, DE PROPRIEDADE DO MUNICÍPIO DE CURVELO/MG, COMPREENDENDO: OPERAÇÃO: 1.1 ANÁLISE DIÁRIA DOS DADOS DE PRODUÇÃO DE ENERGIA E COMPARAÇÃO COM AS PREVISÕES DE GERAÇÃO 1.2 EMISSÃO DE RELATÓRIOS MENSAIS E SEMANAIS, INCLUINDO A PRODUÇÃO DE ENERGIA, ALERTAS E EVENTOS CRÍTICOS 1.3 MONITORAMENTO DE CFTV E ALARMES VIA CENTRAL 24 HORAS TODOS OS DIAS DA SEMANA. (INCLUSOS RONDAS VIRTUAIS DE TEMPOS EM TEMPOS PELO SETOR). MANUTENÇÃO - 2.1 MANUTENÇÃO PREVENTIVA: 2.1.1 DISPONIBILIZAÇÃO DE UM MANTENEDOR PARA ATENDIMENTO EM HORÁRIO COMERCIAL (SEG A QUINTA DAS 07H ÀS 17H E SEXTA-FEIRA DAS 07H ÀS 16H) 2.1.1.1 LIMPEZA DE MÓDULOS FOTOVOLTAICOS A CADA 3 MESES 2.1.1.2 SUPRESSÃO VEGETAL A CADA 3 MESES 2.1.1.3 VERIFICAÇÃO QUINZENAL DAS CONDIÇÕES DO CERCAMENTO DA USINA 2.1.1.4 VERIFICAÇÃO QUINZENAL DO ALARME E DO SISTEMA DE CFTV, VALIDANDO A ATUAÇÃO DOS SENSORES DE PRESENÇA 2.1.1.5 VERIFICAÇÃO QUINZENAL DAS LÂMPADAS DA USINA PARA VERIFICAR SE POSSUI ALGUMA QUEIMADA 2.1.1.6 VERIFICAÇÃO QUINZENAL DAS CONDIÇÕES DAS CANALETAS DE DRENAGEM DA USINA 2.1.2 MÓDULOS FOTOVOLTAICOS E ESTRUTURA DE FIXAÇÃO: 2.1.2.1 INSPEÇÃO VISUAL DOS MÓDULOS FOTOVOLTAICOS: AVALIAÇÃO VISUAL DA SUJIDADE AVALIAÇÃO VISUAL DE TRINCAS OU MÓDULOS DANIFICADOS AVALIAÇÃO VISUAL DA FIXAÇÃO DOS MÓDULOS E) INSPEÇÃO DOS CONECTORES MC4 (AMOSTRAGEM DE 10%) 2.1.2.2 INSPEÇÃO VISUAL DA ESTRUTURA DE FIXAÇÃO DOS MÓDULOS: AVALIAÇÃO VISUAL DA FIXAÇÃO DA ESTRUTURA AVALIAÇÃO VISUAL DA INTEGRIDADE DA ESTRUTURA: CORROSÃO, FERRUGEM E BASE DE FIXAÇÃO 2.1.3 INVERSORES 2.1.3.1 MEDIÇÃO DE TENSÃO CC E CA 2.1.3.2 MEDIÇÃO DE CORRENTE CC E CA 2.1.3.3 INSPEÇÃO VISUAL DO SISTEMA DE VENTILAÇÃO DO INVERSOR 2.1.3.4 INSPEÇÃO DOS CONECTORES MC4 2.1.3.5 TERMOGRAFIA DOS CONECTORES MC4 DOS INVERSORES E DOS CONECTORES CA DE BAIXA TENSÃO 2.1.3.6 INSPEÇÃO TERMOGRÁFICA DOS TERMINAIS DOS CABOS DE BAIXA TENSÃO CC E CA (STRING/COMBAINER BOX/INVERSOR) 2.1.4 QGBT 2.1.4.1 MEDIÇÃO DE TENSÃO E CORRENTE DOS TERMINAIS CA DOS INVERSORES E DAS CHAVES FUSÍVEIS/DISJUNTORES DO QGBT 2.1.4.2 VERIFICAÇÃO DOS DISPOSITIVOS DE PROTEÇÃO: DISJUNTORES, FUSÍVEIS E DPS 2.1.4.3 VERIFICAÇÃO DO SISTEMA DE VENTILAÇÃO DO QGBT 2.1.4.4 INSPEÇÃO TERMOGRÁFICA DOS COMPONENTES DO QGBT 2.1.5 ESTAÇÃO SOLARIMÉTRICA (SE HOUVER): 2.1.5.1. INSPEÇÃO VISUAL DA ESTAÇÃO 2.1.5.2. INSPEÇÃO DA ESTRUTURA 2.1.5.3 VERIFICAÇÃO DO SISTEMA DE PROTEÇÃO E COMUNICAÇÃO 2.1.6 INSPEÇÃO GERAL DA USINA, SISTEMA DE CFTV E DE MONITORAMENTO: 2.1.6.1. INSPEÇÃO VISUAL DO SISTEMA DE CFTV E DO SISTEMA DE MONITORAMENTO 2.1.6.2 INSPEÇÃO DA INTEGRIDADE DA INFRAESTRUTURA DE CFTV (POSTES, CÂMERAS E DISPOSITIVOS DE COMUNICAÇÃO) 2.1.6.3 VERIFICAÇÃO DA INTEGRIDADE DOS DISPOSITIVOS DE CONEXÃO COM A INTERNET 2.1.6.4 TESTES DOS SENSORES E ALARMES DA UFV 2.1.6.5 VERIFICAÇÃO DOS EQUIPAMENTOS DE COMBATE A INCÊNDIO 2.2 MANUTENÇÃO PREVENTIVA TRIMESTRAL: 2.2.1 MÓDULOS FOTOVOLTAICOS E ESTRUTURA DE FIXAÇÃO: 2.2.1.1. TERMOGRAFIA DOS CONECTORES MC4 DOS MÓDULOS (AMOSTRAGEM DE 10%). 2.2.2 INSPEÇÃO DOS EQUIPAMENTOS DA SUBESTAÇÃO DE MÉDIA TENSÃO 2.2.2.1. INSPEÇÃO VISUAL DO RELÉ DE PROTEÇÃO. 2.3 MANUTENÇÃO PREVENTIVA SEMESTRAL: 2.3.1 MÓDULOS FOTOVOLTAICOS E ESTRUTURA DE FIXAÇÃO: 2.3.1.1 TERMOGRAFIA MANUAL DOS MÓDULOS (AMOSTRAGEM DE 10%). 2.3.1.2 VERIFICAÇÃO DO TORQUE DAS ESTRUTURAS DE FIXAÇÃO (AMOSTRAGEM DE 10%) 2.3.2 INVERSORES 2.3.2.1 MEDIÇÃO DE CORRENTE E TENSÃO </w:t>
            </w:r>
            <w:r>
              <w:rPr>
                <w:rFonts w:eastAsia="Calibri" w:cs="Tahoma" w:ascii="Tahoma" w:hAnsi="Tahoma"/>
                <w:color w:val="080000"/>
                <w:kern w:val="0"/>
                <w:sz w:val="18"/>
                <w:szCs w:val="18"/>
                <w:lang w:val="pt-BR" w:eastAsia="zh-CN" w:bidi="ar-SA"/>
              </w:rPr>
              <w:t>DE TODAS AS STRINGS DE TODOS OS INVERSORES 2.3.3 INSPEÇÃO DOS EQUIPAMENTOS DA SUBESTAÇÃO DE MÉDIA TENSÃO 2.3.3.1 TERMOGRAFIA DO TRANSFORMADOR E DE SEUS COMPONENTES 2.4 MANUTENÇÃO PREVENTIVA ANUAL: A. VERIFICAÇÃO COMPLETA DO ATERRAMENTO B. TESTE DE RESISTÊNCIA DE ISOLAMENTO C. TERMOGRAFIA COM DRONE DOS MÓDULOS FOTOVOLTAICOS D. ESTUDO DA CURVA IXV DAS PLACAS FOTOVOLTAICAS E. LIMPEZA DA SUBESTAÇÃO DE MÉDIA TENSÃO. 2.5 MANUTENÇÃO CORRETIVA: 2.5.1 RESPOSTA A FALHAS: ATUAÇÃO IMEDIATA EM CASO DE FALHAS DETECTADAS, COM TEMPO DE RESPOSTA DE ATÉ 24H PARA RECONHECIMENTO E DE 48H PARA APRESENTAÇÃO DE UM PLANO DE AÇÃO, QUE COMEÇA A SER CONTABILIZADO APÓS O RECONHECIMENTO DO PROBLEMA. O PLANO DE AÇÃO SÓ SERÁ INICIADO APÓS APROVAÇÃO DO PLANO ENVIADO À CONTRATANTE. 2.5.2 SUBSTITUIÇÃO DE COMPONENTES: SUBSTITUIÇÃO DE COMPONENTES DEFEITUOSOS, CONFORME NECESSÁRIO, SEGUINDO AS ESPECIFICAÇÕES TÉCNICAS DO FABRICANTE. 3. SEGURANÇA PATRIMONIAL: 3.1. DISPONIBILIZAÇÃO DE VIGIA NOTURNO, DE SEGUNDA A SEXTA-FEIRA, EM ESCALA DE 12X36. 3.2. DISPONIBILIZAÇÃO DE VIGIA AOS SÁBADOS, DOMINGOS E FERIADOS DURANTE AS 24H DO DIA 3.3 MONITORAMENTO DE CFTV E ALARMES VIA CENTRAL 24 HORAS TODOS OS DIAS DA SEMANA. (INCLUSOS RONDAS VIRTUAIS DE TEMPOS EM TEMPOS PELO SETOR) 3.4 FORNECIMENTO DE INTERNET COM VELOCIDADE ADEQUADA, PARA OS DEVIDOS MONITORAMENTOS.</w:t>
            </w:r>
          </w:p>
        </w:tc>
        <w:tc>
          <w:tcPr>
            <w:tcW w:w="791" w:type="dxa"/>
            <w:tcBorders>
              <w:start w:val="single" w:sz="4" w:space="0" w:color="000000"/>
              <w:bottom w:val="single" w:sz="4" w:space="0" w:color="000000"/>
            </w:tcBorders>
            <w:shd w:color="auto" w:fill="auto" w:val="clear"/>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20" w:type="dxa"/>
            <w:tcBorders>
              <w:start w:val="single" w:sz="4" w:space="0" w:color="000000"/>
              <w:bottom w:val="single" w:sz="4" w:space="0" w:color="000000"/>
              <w:end w:val="single" w:sz="4" w:space="0" w:color="000000"/>
            </w:tcBorders>
            <w:shd w:color="auto" w:fill="auto" w:val="clear"/>
          </w:tcPr>
          <w:p>
            <w:pPr>
              <w:pStyle w:val="Normal"/>
              <w:widowControl w:val="false"/>
              <w:bidi w:val="0"/>
              <w:jc w:val="center"/>
              <w:rPr>
                <w:rFonts w:ascii="Tahoma" w:hAnsi="Tahoma" w:cs="Tahoma"/>
                <w:sz w:val="18"/>
                <w:szCs w:val="18"/>
              </w:rPr>
            </w:pPr>
            <w:r>
              <w:rPr>
                <w:rFonts w:cs="Tahoma" w:ascii="Tahoma" w:hAnsi="Tahoma"/>
                <w:sz w:val="18"/>
                <w:szCs w:val="18"/>
              </w:rPr>
            </w:r>
          </w:p>
        </w:tc>
      </w:tr>
      <w:tr>
        <w:trPr>
          <w:trHeight w:val="341" w:hRule="atLeast"/>
        </w:trPr>
        <w:tc>
          <w:tcPr>
            <w:tcW w:w="5151" w:type="dxa"/>
            <w:gridSpan w:val="5"/>
            <w:tcBorders>
              <w:top w:val="single" w:sz="4" w:space="0" w:color="000000"/>
              <w:start w:val="single" w:sz="4" w:space="0" w:color="000000"/>
              <w:bottom w:val="single" w:sz="4" w:space="0" w:color="000000"/>
            </w:tcBorders>
            <w:vAlign w:val="center"/>
          </w:tcPr>
          <w:p>
            <w:pPr>
              <w:pStyle w:val="Corpodotexto"/>
              <w:widowControl w:val="false"/>
              <w:bidi w:val="0"/>
              <w:spacing w:before="0" w:after="140"/>
              <w:jc w:val="start"/>
              <w:rPr/>
            </w:pPr>
            <w:r>
              <w:rPr>
                <w:b/>
                <w:bCs/>
                <w:szCs w:val="20"/>
              </w:rPr>
              <w:t>Forma e prazo da prestação dos serviços</w:t>
            </w:r>
          </w:p>
        </w:tc>
        <w:tc>
          <w:tcPr>
            <w:tcW w:w="4761" w:type="dxa"/>
            <w:gridSpan w:val="5"/>
            <w:tcBorders>
              <w:top w:val="single" w:sz="4" w:space="0" w:color="000000"/>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Conforme edital.</w:t>
            </w:r>
          </w:p>
        </w:tc>
      </w:tr>
      <w:tr>
        <w:trPr/>
        <w:tc>
          <w:tcPr>
            <w:tcW w:w="5151"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Cs w:val="20"/>
              </w:rPr>
              <w:t>Prazo de validade da proposta</w:t>
            </w:r>
          </w:p>
        </w:tc>
        <w:tc>
          <w:tcPr>
            <w:tcW w:w="4761"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Conforme edital.</w:t>
            </w:r>
          </w:p>
        </w:tc>
      </w:tr>
      <w:tr>
        <w:trPr/>
        <w:tc>
          <w:tcPr>
            <w:tcW w:w="5151"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Cs w:val="20"/>
              </w:rPr>
              <w:t>Vigência Contratual</w:t>
            </w:r>
          </w:p>
        </w:tc>
        <w:tc>
          <w:tcPr>
            <w:tcW w:w="4761"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Conforme edital.</w:t>
            </w:r>
          </w:p>
        </w:tc>
      </w:tr>
      <w:tr>
        <w:trPr/>
        <w:tc>
          <w:tcPr>
            <w:tcW w:w="5151"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Cs w:val="20"/>
              </w:rPr>
              <w:t>Local de prestação dos serviços e de entrega das Notas Fiscais</w:t>
            </w:r>
          </w:p>
        </w:tc>
        <w:tc>
          <w:tcPr>
            <w:tcW w:w="4761"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Conforme edital.</w:t>
            </w:r>
          </w:p>
        </w:tc>
      </w:tr>
      <w:tr>
        <w:trPr/>
        <w:tc>
          <w:tcPr>
            <w:tcW w:w="9912" w:type="dxa"/>
            <w:gridSpan w:val="10"/>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b/>
                <w:bCs/>
                <w:sz w:val="18"/>
                <w:szCs w:val="18"/>
              </w:rPr>
              <w:t>*A proposta de preços reajustada, preferencialmente, será assinada digitalmente pelo proponente.</w:t>
            </w:r>
          </w:p>
        </w:tc>
      </w:tr>
    </w:tbl>
    <w:p>
      <w:pPr>
        <w:pStyle w:val="Normal"/>
        <w:bidi w:val="0"/>
        <w:jc w:val="start"/>
        <w:rPr>
          <w:rFonts w:ascii="Tahoma" w:hAnsi="Tahoma" w:cs="Tahoma"/>
          <w:sz w:val="20"/>
          <w:szCs w:val="20"/>
        </w:rPr>
      </w:pPr>
      <w:r>
        <w:rPr>
          <w:rFonts w:cs="Tahoma" w:ascii="Tahoma" w:hAnsi="Tahoma"/>
          <w:sz w:val="20"/>
          <w:szCs w:val="20"/>
        </w:rPr>
      </w:r>
    </w:p>
    <w:p>
      <w:pPr>
        <w:pStyle w:val="Normal"/>
        <w:bidi w:val="0"/>
        <w:jc w:val="start"/>
        <w:rPr>
          <w:rFonts w:ascii="Tahoma" w:hAnsi="Tahoma" w:cs="Tahoma"/>
          <w:sz w:val="20"/>
          <w:szCs w:val="20"/>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roman"/>
    <w:pitch w:val="variable"/>
  </w:font>
</w:fonts>
</file>

<file path=word/settings.xml><?xml version="1.0" encoding="utf-8"?>
<w:settings xmlns:w="http://schemas.openxmlformats.org/wordprocessingml/2006/main">
  <w:zoom w:percent="8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SimSun" w:cs="Arial"/>
      <w:color w:val="auto"/>
      <w:kern w:val="2"/>
      <w:sz w:val="24"/>
      <w:szCs w:val="24"/>
      <w:lang w:val="pt-BR" w:eastAsia="zh-CN" w:bidi="hi-IN"/>
    </w:rPr>
  </w:style>
  <w:style w:type="paragraph" w:styleId="Ttulo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Sumrio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LibreOffice/7.1.2.2$Windows_X86_64 LibreOffice_project/8a45595d069ef5570103caea1b71cc9d82b2aae4</Application>
  <AppVersion>15.0000</AppVersion>
  <Pages>3</Pages>
  <Words>837</Words>
  <Characters>4879</Characters>
  <CharactersWithSpaces>5682</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2026-03-12T18:01:09Z</dcterms:created>
  <dc:creator/>
  <dc:description/>
  <dc:language>pt-BR</dc:language>
  <cp:lastModifiedBy/>
  <dcterms:modified xsi:type="dcterms:W3CDTF">2026-05-21T10:47:24Z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