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AB6BF" w14:textId="13AA9754" w:rsidR="00A470D7" w:rsidRPr="0012169B" w:rsidRDefault="00A470D7" w:rsidP="00A470D7">
      <w:pPr>
        <w:spacing w:before="90" w:after="0" w:line="240" w:lineRule="auto"/>
        <w:ind w:left="120" w:right="12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Torna-se público que o Município de Goiânia, por meio da Secretaria Municipa</w:t>
      </w:r>
      <w:r w:rsidR="00F21E70" w:rsidRPr="0012169B">
        <w:rPr>
          <w:rFonts w:ascii="Calibri" w:eastAsia="Times New Roman" w:hAnsi="Calibri" w:cs="Calibri"/>
          <w:color w:val="000000"/>
          <w:kern w:val="0"/>
          <w:sz w:val="24"/>
          <w:szCs w:val="24"/>
          <w:lang w:eastAsia="pt-BR"/>
          <w14:ligatures w14:val="none"/>
        </w:rPr>
        <w:t>l de Engenharia de Trânsito</w:t>
      </w:r>
      <w:r w:rsidRPr="0012169B">
        <w:rPr>
          <w:rFonts w:ascii="Calibri" w:eastAsia="Times New Roman" w:hAnsi="Calibri" w:cs="Calibri"/>
          <w:color w:val="000000"/>
          <w:kern w:val="0"/>
          <w:sz w:val="24"/>
          <w:szCs w:val="24"/>
          <w:lang w:eastAsia="pt-BR"/>
          <w14:ligatures w14:val="none"/>
        </w:rPr>
        <w:t>, realizará Dispensa Eletrônica, com critério de julgamento de menor preço, na hipótese do art.75, inciso II, nos termos da Lei nº 14.133, de 1º de abril de 2021.</w:t>
      </w:r>
    </w:p>
    <w:p w14:paraId="69F180F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70EDA426" w14:textId="7940F17B"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xml:space="preserve">Data da sessão: </w:t>
      </w:r>
      <w:r w:rsidR="00283926">
        <w:rPr>
          <w:rFonts w:ascii="Calibri" w:eastAsia="Times New Roman" w:hAnsi="Calibri" w:cs="Calibri"/>
          <w:color w:val="000000"/>
          <w:kern w:val="0"/>
          <w:sz w:val="24"/>
          <w:szCs w:val="24"/>
          <w:lang w:eastAsia="pt-BR"/>
          <w14:ligatures w14:val="none"/>
        </w:rPr>
        <w:t>10</w:t>
      </w:r>
      <w:r w:rsidRPr="0012169B">
        <w:rPr>
          <w:rFonts w:ascii="Calibri" w:eastAsia="Times New Roman" w:hAnsi="Calibri" w:cs="Calibri"/>
          <w:color w:val="000000"/>
          <w:kern w:val="0"/>
          <w:sz w:val="24"/>
          <w:szCs w:val="24"/>
          <w:lang w:eastAsia="pt-BR"/>
          <w14:ligatures w14:val="none"/>
        </w:rPr>
        <w:t>/</w:t>
      </w:r>
      <w:r w:rsidR="00E9506B">
        <w:rPr>
          <w:rFonts w:ascii="Calibri" w:eastAsia="Times New Roman" w:hAnsi="Calibri" w:cs="Calibri"/>
          <w:color w:val="000000"/>
          <w:kern w:val="0"/>
          <w:sz w:val="24"/>
          <w:szCs w:val="24"/>
          <w:lang w:eastAsia="pt-BR"/>
          <w14:ligatures w14:val="none"/>
        </w:rPr>
        <w:t>0</w:t>
      </w:r>
      <w:r w:rsidR="00564931">
        <w:rPr>
          <w:rFonts w:ascii="Calibri" w:eastAsia="Times New Roman" w:hAnsi="Calibri" w:cs="Calibri"/>
          <w:color w:val="000000"/>
          <w:kern w:val="0"/>
          <w:sz w:val="24"/>
          <w:szCs w:val="24"/>
          <w:lang w:eastAsia="pt-BR"/>
          <w14:ligatures w14:val="none"/>
        </w:rPr>
        <w:t>2</w:t>
      </w:r>
      <w:r w:rsidRPr="0012169B">
        <w:rPr>
          <w:rFonts w:ascii="Calibri" w:eastAsia="Times New Roman" w:hAnsi="Calibri" w:cs="Calibri"/>
          <w:color w:val="000000"/>
          <w:kern w:val="0"/>
          <w:sz w:val="24"/>
          <w:szCs w:val="24"/>
          <w:lang w:eastAsia="pt-BR"/>
          <w14:ligatures w14:val="none"/>
        </w:rPr>
        <w:t>/202</w:t>
      </w:r>
      <w:r w:rsidR="00565164">
        <w:rPr>
          <w:rFonts w:ascii="Calibri" w:eastAsia="Times New Roman" w:hAnsi="Calibri" w:cs="Calibri"/>
          <w:color w:val="000000"/>
          <w:kern w:val="0"/>
          <w:sz w:val="24"/>
          <w:szCs w:val="24"/>
          <w:lang w:eastAsia="pt-BR"/>
          <w14:ligatures w14:val="none"/>
        </w:rPr>
        <w:t>6</w:t>
      </w:r>
    </w:p>
    <w:p w14:paraId="67BF41E2" w14:textId="7A646B98"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Link:</w:t>
      </w:r>
      <w:hyperlink r:id="rId4" w:tgtFrame="_blank" w:history="1">
        <w:r w:rsidRPr="0012169B">
          <w:rPr>
            <w:rFonts w:ascii="Calibri" w:eastAsia="Times New Roman" w:hAnsi="Calibri" w:cs="Calibri"/>
            <w:color w:val="0000FF"/>
            <w:kern w:val="0"/>
            <w:sz w:val="24"/>
            <w:szCs w:val="24"/>
            <w:u w:val="single"/>
            <w:lang w:eastAsia="pt-BR"/>
            <w14:ligatures w14:val="none"/>
          </w:rPr>
          <w:t>&lt;https://www</w:t>
        </w:r>
      </w:hyperlink>
      <w:r w:rsidR="00B8231A" w:rsidRPr="0012169B">
        <w:rPr>
          <w:rFonts w:ascii="Calibri" w:eastAsia="Times New Roman" w:hAnsi="Calibri" w:cs="Calibri"/>
          <w:color w:val="0000FF"/>
          <w:kern w:val="0"/>
          <w:sz w:val="24"/>
          <w:szCs w:val="24"/>
          <w:u w:val="single"/>
          <w:lang w:eastAsia="pt-BR"/>
          <w14:ligatures w14:val="none"/>
        </w:rPr>
        <w:t>.comprasnet.gov.br</w:t>
      </w:r>
    </w:p>
    <w:p w14:paraId="2F4F7383" w14:textId="04529748"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Horário da Fase de Lances: 8h às 1</w:t>
      </w:r>
      <w:r w:rsidR="00565164">
        <w:rPr>
          <w:rFonts w:ascii="Calibri" w:eastAsia="Times New Roman" w:hAnsi="Calibri" w:cs="Calibri"/>
          <w:color w:val="000000"/>
          <w:kern w:val="0"/>
          <w:sz w:val="24"/>
          <w:szCs w:val="24"/>
          <w:lang w:eastAsia="pt-BR"/>
          <w14:ligatures w14:val="none"/>
        </w:rPr>
        <w:t>4</w:t>
      </w:r>
      <w:r w:rsidRPr="0012169B">
        <w:rPr>
          <w:rFonts w:ascii="Calibri" w:eastAsia="Times New Roman" w:hAnsi="Calibri" w:cs="Calibri"/>
          <w:color w:val="000000"/>
          <w:kern w:val="0"/>
          <w:sz w:val="24"/>
          <w:szCs w:val="24"/>
          <w:lang w:eastAsia="pt-BR"/>
          <w14:ligatures w14:val="none"/>
        </w:rPr>
        <w:t>h</w:t>
      </w:r>
    </w:p>
    <w:p w14:paraId="160F3E76"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61DBEE7C"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1. OBJETO DA CONTRATAÇÃO DIRETA</w:t>
      </w:r>
    </w:p>
    <w:p w14:paraId="4D58FF09" w14:textId="58EC3F2F"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1.1. Contratação de empresa especializada no fornecimento de</w:t>
      </w:r>
      <w:r w:rsidR="00F21E70" w:rsidRPr="0012169B">
        <w:rPr>
          <w:rFonts w:ascii="Calibri" w:eastAsia="Times New Roman" w:hAnsi="Calibri" w:cs="Calibri"/>
          <w:color w:val="000000"/>
          <w:kern w:val="0"/>
          <w:sz w:val="24"/>
          <w:szCs w:val="24"/>
          <w:lang w:eastAsia="pt-BR"/>
          <w14:ligatures w14:val="none"/>
        </w:rPr>
        <w:t xml:space="preserve"> </w:t>
      </w:r>
      <w:r w:rsidR="00564931">
        <w:rPr>
          <w:rFonts w:ascii="Calibri" w:eastAsia="Times New Roman" w:hAnsi="Calibri" w:cs="Calibri"/>
          <w:color w:val="000000"/>
          <w:kern w:val="0"/>
          <w:sz w:val="24"/>
          <w:szCs w:val="24"/>
          <w:lang w:eastAsia="pt-BR"/>
          <w14:ligatures w14:val="none"/>
        </w:rPr>
        <w:t>materiais de serralheria e hidráulicos</w:t>
      </w:r>
      <w:r w:rsidR="00F21E70" w:rsidRPr="0012169B">
        <w:rPr>
          <w:rFonts w:ascii="Calibri" w:eastAsia="Times New Roman" w:hAnsi="Calibri" w:cs="Calibri"/>
          <w:color w:val="000000"/>
          <w:kern w:val="0"/>
          <w:sz w:val="24"/>
          <w:szCs w:val="24"/>
          <w:lang w:eastAsia="pt-BR"/>
          <w14:ligatures w14:val="none"/>
        </w:rPr>
        <w:t>,</w:t>
      </w:r>
      <w:r w:rsidR="00FF450A" w:rsidRPr="0012169B">
        <w:rPr>
          <w:rFonts w:ascii="Calibri" w:eastAsia="Times New Roman" w:hAnsi="Calibri" w:cs="Calibri"/>
          <w:color w:val="000000"/>
          <w:kern w:val="0"/>
          <w:sz w:val="24"/>
          <w:szCs w:val="24"/>
          <w:lang w:eastAsia="pt-BR"/>
          <w14:ligatures w14:val="none"/>
        </w:rPr>
        <w:t xml:space="preserve"> através de compra direta</w:t>
      </w:r>
      <w:r w:rsidRPr="0012169B">
        <w:rPr>
          <w:rFonts w:ascii="Calibri" w:eastAsia="Times New Roman" w:hAnsi="Calibri" w:cs="Calibri"/>
          <w:color w:val="000000"/>
          <w:kern w:val="0"/>
          <w:sz w:val="24"/>
          <w:szCs w:val="24"/>
          <w:lang w:eastAsia="pt-BR"/>
          <w14:ligatures w14:val="none"/>
        </w:rPr>
        <w:t xml:space="preserve">, para atender as demandas da Secretaria Municipal de </w:t>
      </w:r>
      <w:r w:rsidR="00F21E70" w:rsidRPr="0012169B">
        <w:rPr>
          <w:rFonts w:ascii="Calibri" w:eastAsia="Times New Roman" w:hAnsi="Calibri" w:cs="Calibri"/>
          <w:color w:val="000000"/>
          <w:kern w:val="0"/>
          <w:sz w:val="24"/>
          <w:szCs w:val="24"/>
          <w:lang w:eastAsia="pt-BR"/>
          <w14:ligatures w14:val="none"/>
        </w:rPr>
        <w:t>Engenharia de Trânsito</w:t>
      </w:r>
      <w:r w:rsidRPr="0012169B">
        <w:rPr>
          <w:rFonts w:ascii="Calibri" w:eastAsia="Times New Roman" w:hAnsi="Calibri" w:cs="Calibri"/>
          <w:color w:val="000000"/>
          <w:kern w:val="0"/>
          <w:sz w:val="24"/>
          <w:szCs w:val="24"/>
          <w:lang w:eastAsia="pt-BR"/>
          <w14:ligatures w14:val="none"/>
        </w:rPr>
        <w:t xml:space="preserve"> - </w:t>
      </w:r>
      <w:r w:rsidR="00F21E70" w:rsidRPr="0012169B">
        <w:rPr>
          <w:rFonts w:ascii="Calibri" w:eastAsia="Times New Roman" w:hAnsi="Calibri" w:cs="Calibri"/>
          <w:color w:val="000000"/>
          <w:kern w:val="0"/>
          <w:sz w:val="24"/>
          <w:szCs w:val="24"/>
          <w:lang w:eastAsia="pt-BR"/>
          <w14:ligatures w14:val="none"/>
        </w:rPr>
        <w:t>SET</w:t>
      </w:r>
      <w:r w:rsidRPr="0012169B">
        <w:rPr>
          <w:rFonts w:ascii="Calibri" w:eastAsia="Times New Roman" w:hAnsi="Calibri" w:cs="Calibri"/>
          <w:color w:val="000000"/>
          <w:kern w:val="0"/>
          <w:sz w:val="24"/>
          <w:szCs w:val="24"/>
          <w:lang w:eastAsia="pt-BR"/>
          <w14:ligatures w14:val="none"/>
        </w:rPr>
        <w:t>, quantidades e exigências estabelecidas neste Aviso de Contratação Direta e seus anexos.</w:t>
      </w:r>
    </w:p>
    <w:p w14:paraId="6A3CDD0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1.2. A contratação será dividida em itens</w:t>
      </w:r>
      <w:r w:rsidRPr="0012169B">
        <w:rPr>
          <w:rFonts w:ascii="Calibri" w:eastAsia="Times New Roman" w:hAnsi="Calibri" w:cs="Calibri"/>
          <w:b/>
          <w:bCs/>
          <w:color w:val="000000"/>
          <w:kern w:val="0"/>
          <w:sz w:val="24"/>
          <w:szCs w:val="24"/>
          <w:lang w:eastAsia="pt-BR"/>
          <w14:ligatures w14:val="none"/>
        </w:rPr>
        <w:t>, </w:t>
      </w:r>
      <w:r w:rsidRPr="0012169B">
        <w:rPr>
          <w:rFonts w:ascii="Calibri" w:eastAsia="Times New Roman" w:hAnsi="Calibri" w:cs="Calibri"/>
          <w:color w:val="000000"/>
          <w:kern w:val="0"/>
          <w:sz w:val="24"/>
          <w:szCs w:val="24"/>
          <w:lang w:eastAsia="pt-BR"/>
          <w14:ligatures w14:val="none"/>
        </w:rPr>
        <w:t>conforme tabela constante abaixo</w:t>
      </w:r>
      <w:r w:rsidRPr="0012169B">
        <w:rPr>
          <w:rFonts w:ascii="Calibri" w:eastAsia="Times New Roman" w:hAnsi="Calibri" w:cs="Calibri"/>
          <w:i/>
          <w:iCs/>
          <w:color w:val="000000"/>
          <w:kern w:val="0"/>
          <w:sz w:val="24"/>
          <w:szCs w:val="24"/>
          <w:lang w:eastAsia="pt-BR"/>
          <w14:ligatures w14:val="none"/>
        </w:rPr>
        <w:t>.</w:t>
      </w:r>
    </w:p>
    <w:p w14:paraId="4C64464C" w14:textId="77777777" w:rsidR="006F7121" w:rsidRDefault="006F7121" w:rsidP="00564931">
      <w:pPr>
        <w:spacing w:before="15" w:after="0"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ab/>
      </w:r>
    </w:p>
    <w:tbl>
      <w:tblPr>
        <w:tblW w:w="8400" w:type="dxa"/>
        <w:tblCellMar>
          <w:left w:w="70" w:type="dxa"/>
          <w:right w:w="70" w:type="dxa"/>
        </w:tblCellMar>
        <w:tblLook w:val="04A0" w:firstRow="1" w:lastRow="0" w:firstColumn="1" w:lastColumn="0" w:noHBand="0" w:noVBand="1"/>
      </w:tblPr>
      <w:tblGrid>
        <w:gridCol w:w="700"/>
        <w:gridCol w:w="2701"/>
        <w:gridCol w:w="1300"/>
        <w:gridCol w:w="679"/>
        <w:gridCol w:w="880"/>
        <w:gridCol w:w="960"/>
        <w:gridCol w:w="1180"/>
      </w:tblGrid>
      <w:tr w:rsidR="006F7121" w:rsidRPr="006F7121" w14:paraId="59266E46" w14:textId="77777777" w:rsidTr="006F7121">
        <w:trPr>
          <w:trHeight w:val="615"/>
        </w:trPr>
        <w:tc>
          <w:tcPr>
            <w:tcW w:w="700" w:type="dxa"/>
            <w:tcBorders>
              <w:top w:val="single" w:sz="4" w:space="0" w:color="000000"/>
              <w:left w:val="single" w:sz="4" w:space="0" w:color="000000"/>
              <w:bottom w:val="single" w:sz="8" w:space="0" w:color="000000"/>
              <w:right w:val="single" w:sz="8" w:space="0" w:color="000000"/>
            </w:tcBorders>
            <w:vAlign w:val="center"/>
            <w:hideMark/>
          </w:tcPr>
          <w:p w14:paraId="3DE9B38B" w14:textId="77777777" w:rsidR="006F7121" w:rsidRPr="006F7121" w:rsidRDefault="006F7121" w:rsidP="006F7121">
            <w:pPr>
              <w:spacing w:after="0" w:line="240" w:lineRule="auto"/>
              <w:jc w:val="center"/>
              <w:rPr>
                <w:rFonts w:ascii="Calibri" w:eastAsia="Times New Roman" w:hAnsi="Calibri" w:cs="Calibri"/>
                <w:b/>
                <w:bCs/>
                <w:color w:val="000000"/>
                <w:kern w:val="0"/>
                <w:lang w:eastAsia="pt-BR"/>
                <w14:ligatures w14:val="none"/>
              </w:rPr>
            </w:pPr>
            <w:r w:rsidRPr="006F7121">
              <w:rPr>
                <w:rFonts w:ascii="Calibri" w:eastAsia="Times New Roman" w:hAnsi="Calibri" w:cs="Calibri"/>
                <w:b/>
                <w:bCs/>
                <w:color w:val="000000"/>
                <w:kern w:val="0"/>
                <w:lang w:eastAsia="pt-BR"/>
                <w14:ligatures w14:val="none"/>
              </w:rPr>
              <w:t>TEM</w:t>
            </w:r>
          </w:p>
        </w:tc>
        <w:tc>
          <w:tcPr>
            <w:tcW w:w="2680" w:type="dxa"/>
            <w:tcBorders>
              <w:top w:val="single" w:sz="4" w:space="0" w:color="000000"/>
              <w:left w:val="nil"/>
              <w:bottom w:val="single" w:sz="8" w:space="0" w:color="000000"/>
              <w:right w:val="single" w:sz="8" w:space="0" w:color="000000"/>
            </w:tcBorders>
            <w:vAlign w:val="center"/>
            <w:hideMark/>
          </w:tcPr>
          <w:p w14:paraId="49999E7B" w14:textId="77777777" w:rsidR="006F7121" w:rsidRPr="006F7121" w:rsidRDefault="006F7121" w:rsidP="006F7121">
            <w:pPr>
              <w:spacing w:after="0" w:line="240" w:lineRule="auto"/>
              <w:jc w:val="center"/>
              <w:rPr>
                <w:rFonts w:ascii="Calibri" w:eastAsia="Times New Roman" w:hAnsi="Calibri" w:cs="Calibri"/>
                <w:b/>
                <w:bCs/>
                <w:color w:val="000000"/>
                <w:kern w:val="0"/>
                <w:lang w:eastAsia="pt-BR"/>
                <w14:ligatures w14:val="none"/>
              </w:rPr>
            </w:pPr>
            <w:r w:rsidRPr="006F7121">
              <w:rPr>
                <w:rFonts w:ascii="Calibri" w:eastAsia="Times New Roman" w:hAnsi="Calibri" w:cs="Calibri"/>
                <w:b/>
                <w:bCs/>
                <w:color w:val="000000"/>
                <w:kern w:val="0"/>
                <w:lang w:eastAsia="pt-BR"/>
                <w14:ligatures w14:val="none"/>
              </w:rPr>
              <w:t>DESCRIÇÃO/ESPECIFICAÇÃO</w:t>
            </w:r>
          </w:p>
        </w:tc>
        <w:tc>
          <w:tcPr>
            <w:tcW w:w="1300" w:type="dxa"/>
            <w:tcBorders>
              <w:top w:val="single" w:sz="4" w:space="0" w:color="000000"/>
              <w:left w:val="nil"/>
              <w:bottom w:val="single" w:sz="8" w:space="0" w:color="000000"/>
              <w:right w:val="single" w:sz="8" w:space="0" w:color="000000"/>
            </w:tcBorders>
            <w:vAlign w:val="center"/>
            <w:hideMark/>
          </w:tcPr>
          <w:p w14:paraId="2561BD5C" w14:textId="77777777" w:rsidR="006F7121" w:rsidRPr="006F7121" w:rsidRDefault="006F7121" w:rsidP="006F7121">
            <w:pPr>
              <w:spacing w:after="0" w:line="240" w:lineRule="auto"/>
              <w:jc w:val="center"/>
              <w:rPr>
                <w:rFonts w:ascii="Calibri" w:eastAsia="Times New Roman" w:hAnsi="Calibri" w:cs="Calibri"/>
                <w:b/>
                <w:bCs/>
                <w:color w:val="000000"/>
                <w:kern w:val="0"/>
                <w:lang w:eastAsia="pt-BR"/>
                <w14:ligatures w14:val="none"/>
              </w:rPr>
            </w:pPr>
            <w:r w:rsidRPr="006F7121">
              <w:rPr>
                <w:rFonts w:ascii="Calibri" w:eastAsia="Times New Roman" w:hAnsi="Calibri" w:cs="Calibri"/>
                <w:b/>
                <w:bCs/>
                <w:color w:val="000000"/>
                <w:kern w:val="0"/>
                <w:lang w:eastAsia="pt-BR"/>
                <w14:ligatures w14:val="none"/>
              </w:rPr>
              <w:t>MARCA REFERÊNCIA</w:t>
            </w:r>
          </w:p>
        </w:tc>
        <w:tc>
          <w:tcPr>
            <w:tcW w:w="700" w:type="dxa"/>
            <w:tcBorders>
              <w:top w:val="single" w:sz="4" w:space="0" w:color="000000"/>
              <w:left w:val="nil"/>
              <w:bottom w:val="single" w:sz="8" w:space="0" w:color="000000"/>
              <w:right w:val="single" w:sz="8" w:space="0" w:color="000000"/>
            </w:tcBorders>
            <w:vAlign w:val="center"/>
            <w:hideMark/>
          </w:tcPr>
          <w:p w14:paraId="31AA42BF" w14:textId="77777777" w:rsidR="006F7121" w:rsidRPr="006F7121" w:rsidRDefault="006F7121" w:rsidP="006F7121">
            <w:pPr>
              <w:spacing w:after="0" w:line="240" w:lineRule="auto"/>
              <w:jc w:val="center"/>
              <w:rPr>
                <w:rFonts w:ascii="Calibri" w:eastAsia="Times New Roman" w:hAnsi="Calibri" w:cs="Calibri"/>
                <w:b/>
                <w:bCs/>
                <w:color w:val="000000"/>
                <w:kern w:val="0"/>
                <w:lang w:eastAsia="pt-BR"/>
                <w14:ligatures w14:val="none"/>
              </w:rPr>
            </w:pPr>
            <w:r w:rsidRPr="006F7121">
              <w:rPr>
                <w:rFonts w:ascii="Calibri" w:eastAsia="Times New Roman" w:hAnsi="Calibri" w:cs="Calibri"/>
                <w:b/>
                <w:bCs/>
                <w:color w:val="000000"/>
                <w:kern w:val="0"/>
                <w:lang w:eastAsia="pt-BR"/>
                <w14:ligatures w14:val="none"/>
              </w:rPr>
              <w:t>UN</w:t>
            </w:r>
          </w:p>
        </w:tc>
        <w:tc>
          <w:tcPr>
            <w:tcW w:w="880" w:type="dxa"/>
            <w:tcBorders>
              <w:top w:val="single" w:sz="4" w:space="0" w:color="000000"/>
              <w:left w:val="nil"/>
              <w:bottom w:val="single" w:sz="8" w:space="0" w:color="000000"/>
              <w:right w:val="single" w:sz="8" w:space="0" w:color="000000"/>
            </w:tcBorders>
            <w:vAlign w:val="center"/>
            <w:hideMark/>
          </w:tcPr>
          <w:p w14:paraId="6BCF686F" w14:textId="77777777" w:rsidR="006F7121" w:rsidRPr="006F7121" w:rsidRDefault="006F7121" w:rsidP="006F7121">
            <w:pPr>
              <w:spacing w:after="0" w:line="240" w:lineRule="auto"/>
              <w:jc w:val="center"/>
              <w:rPr>
                <w:rFonts w:ascii="Calibri" w:eastAsia="Times New Roman" w:hAnsi="Calibri" w:cs="Calibri"/>
                <w:b/>
                <w:bCs/>
                <w:color w:val="000000"/>
                <w:kern w:val="0"/>
                <w:lang w:eastAsia="pt-BR"/>
                <w14:ligatures w14:val="none"/>
              </w:rPr>
            </w:pPr>
            <w:r w:rsidRPr="006F7121">
              <w:rPr>
                <w:rFonts w:ascii="Calibri" w:eastAsia="Times New Roman" w:hAnsi="Calibri" w:cs="Calibri"/>
                <w:b/>
                <w:bCs/>
                <w:color w:val="000000"/>
                <w:kern w:val="0"/>
                <w:lang w:eastAsia="pt-BR"/>
                <w14:ligatures w14:val="none"/>
              </w:rPr>
              <w:t>QUANT</w:t>
            </w:r>
          </w:p>
        </w:tc>
        <w:tc>
          <w:tcPr>
            <w:tcW w:w="960" w:type="dxa"/>
            <w:tcBorders>
              <w:top w:val="single" w:sz="4" w:space="0" w:color="000000"/>
              <w:left w:val="nil"/>
              <w:bottom w:val="single" w:sz="8" w:space="0" w:color="000000"/>
              <w:right w:val="single" w:sz="8" w:space="0" w:color="000000"/>
            </w:tcBorders>
            <w:vAlign w:val="center"/>
            <w:hideMark/>
          </w:tcPr>
          <w:p w14:paraId="0EE65C5E" w14:textId="77777777" w:rsidR="006F7121" w:rsidRPr="006F7121" w:rsidRDefault="006F7121" w:rsidP="006F7121">
            <w:pPr>
              <w:spacing w:after="0" w:line="240" w:lineRule="auto"/>
              <w:jc w:val="center"/>
              <w:rPr>
                <w:rFonts w:ascii="Calibri" w:eastAsia="Times New Roman" w:hAnsi="Calibri" w:cs="Calibri"/>
                <w:b/>
                <w:bCs/>
                <w:color w:val="000000"/>
                <w:kern w:val="0"/>
                <w:lang w:eastAsia="pt-BR"/>
                <w14:ligatures w14:val="none"/>
              </w:rPr>
            </w:pPr>
            <w:r w:rsidRPr="006F7121">
              <w:rPr>
                <w:rFonts w:ascii="Calibri" w:eastAsia="Times New Roman" w:hAnsi="Calibri" w:cs="Calibri"/>
                <w:b/>
                <w:bCs/>
                <w:color w:val="000000"/>
                <w:kern w:val="0"/>
                <w:lang w:eastAsia="pt-BR"/>
                <w14:ligatures w14:val="none"/>
              </w:rPr>
              <w:t>VL. UNIT (R$)</w:t>
            </w:r>
          </w:p>
        </w:tc>
        <w:tc>
          <w:tcPr>
            <w:tcW w:w="1180" w:type="dxa"/>
            <w:tcBorders>
              <w:top w:val="single" w:sz="4" w:space="0" w:color="000000"/>
              <w:left w:val="nil"/>
              <w:bottom w:val="single" w:sz="8" w:space="0" w:color="000000"/>
              <w:right w:val="single" w:sz="4" w:space="0" w:color="000000"/>
            </w:tcBorders>
            <w:vAlign w:val="center"/>
            <w:hideMark/>
          </w:tcPr>
          <w:p w14:paraId="3672474F" w14:textId="77777777" w:rsidR="006F7121" w:rsidRPr="006F7121" w:rsidRDefault="006F7121" w:rsidP="006F7121">
            <w:pPr>
              <w:spacing w:after="0" w:line="240" w:lineRule="auto"/>
              <w:jc w:val="center"/>
              <w:rPr>
                <w:rFonts w:ascii="Calibri" w:eastAsia="Times New Roman" w:hAnsi="Calibri" w:cs="Calibri"/>
                <w:b/>
                <w:bCs/>
                <w:color w:val="000000"/>
                <w:kern w:val="0"/>
                <w:lang w:eastAsia="pt-BR"/>
                <w14:ligatures w14:val="none"/>
              </w:rPr>
            </w:pPr>
            <w:r w:rsidRPr="006F7121">
              <w:rPr>
                <w:rFonts w:ascii="Calibri" w:eastAsia="Times New Roman" w:hAnsi="Calibri" w:cs="Calibri"/>
                <w:b/>
                <w:bCs/>
                <w:color w:val="000000"/>
                <w:kern w:val="0"/>
                <w:lang w:eastAsia="pt-BR"/>
                <w14:ligatures w14:val="none"/>
              </w:rPr>
              <w:t>VL. TOTAL (R$)</w:t>
            </w:r>
          </w:p>
        </w:tc>
      </w:tr>
      <w:tr w:rsidR="006F7121" w:rsidRPr="006F7121" w14:paraId="36806DE4" w14:textId="77777777" w:rsidTr="006F7121">
        <w:trPr>
          <w:trHeight w:val="915"/>
        </w:trPr>
        <w:tc>
          <w:tcPr>
            <w:tcW w:w="700" w:type="dxa"/>
            <w:tcBorders>
              <w:top w:val="nil"/>
              <w:left w:val="single" w:sz="4" w:space="0" w:color="000000"/>
              <w:bottom w:val="single" w:sz="8" w:space="0" w:color="000000"/>
              <w:right w:val="single" w:sz="8" w:space="0" w:color="000000"/>
            </w:tcBorders>
            <w:vAlign w:val="center"/>
            <w:hideMark/>
          </w:tcPr>
          <w:p w14:paraId="326165B2"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w:t>
            </w:r>
          </w:p>
        </w:tc>
        <w:tc>
          <w:tcPr>
            <w:tcW w:w="2680" w:type="dxa"/>
            <w:tcBorders>
              <w:top w:val="nil"/>
              <w:left w:val="nil"/>
              <w:bottom w:val="single" w:sz="8" w:space="0" w:color="000000"/>
              <w:right w:val="single" w:sz="8" w:space="0" w:color="000000"/>
            </w:tcBorders>
            <w:vAlign w:val="center"/>
            <w:hideMark/>
          </w:tcPr>
          <w:p w14:paraId="5D873794"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Furadeira de Impacto 13 mm 1000 w 220 v mandril de aperto rápido</w:t>
            </w:r>
          </w:p>
        </w:tc>
        <w:tc>
          <w:tcPr>
            <w:tcW w:w="1300" w:type="dxa"/>
            <w:tcBorders>
              <w:top w:val="nil"/>
              <w:left w:val="nil"/>
              <w:bottom w:val="single" w:sz="8" w:space="0" w:color="000000"/>
              <w:right w:val="single" w:sz="8" w:space="0" w:color="000000"/>
            </w:tcBorders>
            <w:vAlign w:val="center"/>
            <w:hideMark/>
          </w:tcPr>
          <w:p w14:paraId="276C016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WESCO</w:t>
            </w:r>
          </w:p>
        </w:tc>
        <w:tc>
          <w:tcPr>
            <w:tcW w:w="700" w:type="dxa"/>
            <w:tcBorders>
              <w:top w:val="nil"/>
              <w:left w:val="nil"/>
              <w:bottom w:val="single" w:sz="8" w:space="0" w:color="000000"/>
              <w:right w:val="single" w:sz="8" w:space="0" w:color="000000"/>
            </w:tcBorders>
            <w:vAlign w:val="center"/>
            <w:hideMark/>
          </w:tcPr>
          <w:p w14:paraId="757EC80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1BCD6953"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w:t>
            </w:r>
          </w:p>
        </w:tc>
        <w:tc>
          <w:tcPr>
            <w:tcW w:w="960" w:type="dxa"/>
            <w:tcBorders>
              <w:top w:val="nil"/>
              <w:left w:val="nil"/>
              <w:bottom w:val="single" w:sz="8" w:space="0" w:color="000000"/>
              <w:right w:val="single" w:sz="8" w:space="0" w:color="000000"/>
            </w:tcBorders>
            <w:vAlign w:val="center"/>
            <w:hideMark/>
          </w:tcPr>
          <w:p w14:paraId="324E5D76"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430,17</w:t>
            </w:r>
          </w:p>
        </w:tc>
        <w:tc>
          <w:tcPr>
            <w:tcW w:w="1180" w:type="dxa"/>
            <w:tcBorders>
              <w:top w:val="nil"/>
              <w:left w:val="nil"/>
              <w:bottom w:val="single" w:sz="8" w:space="0" w:color="000000"/>
              <w:right w:val="single" w:sz="4" w:space="0" w:color="000000"/>
            </w:tcBorders>
            <w:vAlign w:val="center"/>
            <w:hideMark/>
          </w:tcPr>
          <w:p w14:paraId="03643636"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860,34</w:t>
            </w:r>
          </w:p>
        </w:tc>
      </w:tr>
      <w:tr w:rsidR="006F7121" w:rsidRPr="006F7121" w14:paraId="5E70D27C"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7804871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w:t>
            </w:r>
          </w:p>
        </w:tc>
        <w:tc>
          <w:tcPr>
            <w:tcW w:w="2680" w:type="dxa"/>
            <w:tcBorders>
              <w:top w:val="nil"/>
              <w:left w:val="nil"/>
              <w:bottom w:val="single" w:sz="8" w:space="0" w:color="000000"/>
              <w:right w:val="single" w:sz="8" w:space="0" w:color="000000"/>
            </w:tcBorders>
            <w:vAlign w:val="center"/>
            <w:hideMark/>
          </w:tcPr>
          <w:p w14:paraId="60C041B8"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Broca de Wídea 12 x 150 mm para concreto</w:t>
            </w:r>
          </w:p>
        </w:tc>
        <w:tc>
          <w:tcPr>
            <w:tcW w:w="1300" w:type="dxa"/>
            <w:tcBorders>
              <w:top w:val="nil"/>
              <w:left w:val="nil"/>
              <w:bottom w:val="single" w:sz="8" w:space="0" w:color="000000"/>
              <w:right w:val="single" w:sz="8" w:space="0" w:color="000000"/>
            </w:tcBorders>
            <w:vAlign w:val="center"/>
            <w:hideMark/>
          </w:tcPr>
          <w:p w14:paraId="4AA6161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MTX</w:t>
            </w:r>
          </w:p>
        </w:tc>
        <w:tc>
          <w:tcPr>
            <w:tcW w:w="700" w:type="dxa"/>
            <w:tcBorders>
              <w:top w:val="nil"/>
              <w:left w:val="nil"/>
              <w:bottom w:val="single" w:sz="8" w:space="0" w:color="000000"/>
              <w:right w:val="single" w:sz="8" w:space="0" w:color="000000"/>
            </w:tcBorders>
            <w:vAlign w:val="center"/>
            <w:hideMark/>
          </w:tcPr>
          <w:p w14:paraId="60AB7AC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2D920421"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40</w:t>
            </w:r>
          </w:p>
        </w:tc>
        <w:tc>
          <w:tcPr>
            <w:tcW w:w="960" w:type="dxa"/>
            <w:tcBorders>
              <w:top w:val="nil"/>
              <w:left w:val="nil"/>
              <w:bottom w:val="single" w:sz="8" w:space="0" w:color="000000"/>
              <w:right w:val="single" w:sz="8" w:space="0" w:color="000000"/>
            </w:tcBorders>
            <w:vAlign w:val="center"/>
            <w:hideMark/>
          </w:tcPr>
          <w:p w14:paraId="55B525AD"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8,64</w:t>
            </w:r>
          </w:p>
        </w:tc>
        <w:tc>
          <w:tcPr>
            <w:tcW w:w="1180" w:type="dxa"/>
            <w:tcBorders>
              <w:top w:val="nil"/>
              <w:left w:val="nil"/>
              <w:bottom w:val="single" w:sz="8" w:space="0" w:color="000000"/>
              <w:right w:val="single" w:sz="4" w:space="0" w:color="000000"/>
            </w:tcBorders>
            <w:vAlign w:val="center"/>
            <w:hideMark/>
          </w:tcPr>
          <w:p w14:paraId="217346D3"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345,60</w:t>
            </w:r>
          </w:p>
        </w:tc>
      </w:tr>
      <w:tr w:rsidR="006F7121" w:rsidRPr="006F7121" w14:paraId="10705DA6" w14:textId="77777777" w:rsidTr="006F7121">
        <w:trPr>
          <w:trHeight w:val="1215"/>
        </w:trPr>
        <w:tc>
          <w:tcPr>
            <w:tcW w:w="700" w:type="dxa"/>
            <w:tcBorders>
              <w:top w:val="nil"/>
              <w:left w:val="single" w:sz="4" w:space="0" w:color="000000"/>
              <w:bottom w:val="single" w:sz="8" w:space="0" w:color="000000"/>
              <w:right w:val="single" w:sz="8" w:space="0" w:color="000000"/>
            </w:tcBorders>
            <w:vAlign w:val="center"/>
            <w:hideMark/>
          </w:tcPr>
          <w:p w14:paraId="2947C3FA"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w:t>
            </w:r>
          </w:p>
        </w:tc>
        <w:tc>
          <w:tcPr>
            <w:tcW w:w="2680" w:type="dxa"/>
            <w:tcBorders>
              <w:top w:val="nil"/>
              <w:left w:val="nil"/>
              <w:bottom w:val="single" w:sz="8" w:space="0" w:color="000000"/>
              <w:right w:val="single" w:sz="8" w:space="0" w:color="000000"/>
            </w:tcBorders>
            <w:vAlign w:val="center"/>
            <w:hideMark/>
          </w:tcPr>
          <w:p w14:paraId="41361AFF"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Máquina de cintar poste com catraca FL 100 Fusimec para fita de aço inox cabo injetado</w:t>
            </w:r>
          </w:p>
        </w:tc>
        <w:tc>
          <w:tcPr>
            <w:tcW w:w="1300" w:type="dxa"/>
            <w:tcBorders>
              <w:top w:val="nil"/>
              <w:left w:val="nil"/>
              <w:bottom w:val="single" w:sz="8" w:space="0" w:color="000000"/>
              <w:right w:val="single" w:sz="8" w:space="0" w:color="000000"/>
            </w:tcBorders>
            <w:vAlign w:val="center"/>
            <w:hideMark/>
          </w:tcPr>
          <w:p w14:paraId="53B685E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FLENNOR</w:t>
            </w:r>
          </w:p>
        </w:tc>
        <w:tc>
          <w:tcPr>
            <w:tcW w:w="700" w:type="dxa"/>
            <w:tcBorders>
              <w:top w:val="nil"/>
              <w:left w:val="nil"/>
              <w:bottom w:val="single" w:sz="8" w:space="0" w:color="000000"/>
              <w:right w:val="single" w:sz="8" w:space="0" w:color="000000"/>
            </w:tcBorders>
            <w:vAlign w:val="center"/>
            <w:hideMark/>
          </w:tcPr>
          <w:p w14:paraId="1C3C8E0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5A2217A2"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w:t>
            </w:r>
          </w:p>
        </w:tc>
        <w:tc>
          <w:tcPr>
            <w:tcW w:w="960" w:type="dxa"/>
            <w:tcBorders>
              <w:top w:val="nil"/>
              <w:left w:val="nil"/>
              <w:bottom w:val="single" w:sz="8" w:space="0" w:color="000000"/>
              <w:right w:val="single" w:sz="8" w:space="0" w:color="000000"/>
            </w:tcBorders>
            <w:vAlign w:val="center"/>
            <w:hideMark/>
          </w:tcPr>
          <w:p w14:paraId="68F1814F"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390,88</w:t>
            </w:r>
          </w:p>
        </w:tc>
        <w:tc>
          <w:tcPr>
            <w:tcW w:w="1180" w:type="dxa"/>
            <w:tcBorders>
              <w:top w:val="nil"/>
              <w:left w:val="nil"/>
              <w:bottom w:val="single" w:sz="8" w:space="0" w:color="000000"/>
              <w:right w:val="single" w:sz="4" w:space="0" w:color="000000"/>
            </w:tcBorders>
            <w:vAlign w:val="center"/>
            <w:hideMark/>
          </w:tcPr>
          <w:p w14:paraId="13FA9D47"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1954,40</w:t>
            </w:r>
          </w:p>
        </w:tc>
      </w:tr>
      <w:tr w:rsidR="006F7121" w:rsidRPr="006F7121" w14:paraId="028186CA"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41C56D44"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4</w:t>
            </w:r>
          </w:p>
        </w:tc>
        <w:tc>
          <w:tcPr>
            <w:tcW w:w="2680" w:type="dxa"/>
            <w:tcBorders>
              <w:top w:val="nil"/>
              <w:left w:val="nil"/>
              <w:bottom w:val="single" w:sz="8" w:space="0" w:color="000000"/>
              <w:right w:val="single" w:sz="8" w:space="0" w:color="000000"/>
            </w:tcBorders>
            <w:vAlign w:val="center"/>
            <w:hideMark/>
          </w:tcPr>
          <w:p w14:paraId="4DFD99E0"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Alavanca lisa maciça em ferro ¾ - 1,50m</w:t>
            </w:r>
          </w:p>
        </w:tc>
        <w:tc>
          <w:tcPr>
            <w:tcW w:w="1300" w:type="dxa"/>
            <w:tcBorders>
              <w:top w:val="nil"/>
              <w:left w:val="nil"/>
              <w:bottom w:val="single" w:sz="8" w:space="0" w:color="000000"/>
              <w:right w:val="single" w:sz="8" w:space="0" w:color="000000"/>
            </w:tcBorders>
            <w:vAlign w:val="center"/>
            <w:hideMark/>
          </w:tcPr>
          <w:p w14:paraId="15050DDB"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7DF1381D"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2A029B29"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960" w:type="dxa"/>
            <w:tcBorders>
              <w:top w:val="nil"/>
              <w:left w:val="nil"/>
              <w:bottom w:val="single" w:sz="8" w:space="0" w:color="000000"/>
              <w:right w:val="single" w:sz="8" w:space="0" w:color="000000"/>
            </w:tcBorders>
            <w:vAlign w:val="center"/>
            <w:hideMark/>
          </w:tcPr>
          <w:p w14:paraId="410739A7"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226,53</w:t>
            </w:r>
          </w:p>
        </w:tc>
        <w:tc>
          <w:tcPr>
            <w:tcW w:w="1180" w:type="dxa"/>
            <w:tcBorders>
              <w:top w:val="nil"/>
              <w:left w:val="nil"/>
              <w:bottom w:val="single" w:sz="8" w:space="0" w:color="000000"/>
              <w:right w:val="single" w:sz="4" w:space="0" w:color="000000"/>
            </w:tcBorders>
            <w:vAlign w:val="center"/>
            <w:hideMark/>
          </w:tcPr>
          <w:p w14:paraId="4D3B99A1"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2265,30</w:t>
            </w:r>
          </w:p>
        </w:tc>
      </w:tr>
      <w:tr w:rsidR="006F7121" w:rsidRPr="006F7121" w14:paraId="528D86F2" w14:textId="77777777" w:rsidTr="006F7121">
        <w:trPr>
          <w:trHeight w:val="915"/>
        </w:trPr>
        <w:tc>
          <w:tcPr>
            <w:tcW w:w="700" w:type="dxa"/>
            <w:tcBorders>
              <w:top w:val="nil"/>
              <w:left w:val="single" w:sz="4" w:space="0" w:color="000000"/>
              <w:bottom w:val="single" w:sz="8" w:space="0" w:color="000000"/>
              <w:right w:val="single" w:sz="8" w:space="0" w:color="000000"/>
            </w:tcBorders>
            <w:vAlign w:val="center"/>
            <w:hideMark/>
          </w:tcPr>
          <w:p w14:paraId="3E1CA9E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w:t>
            </w:r>
          </w:p>
        </w:tc>
        <w:tc>
          <w:tcPr>
            <w:tcW w:w="2680" w:type="dxa"/>
            <w:tcBorders>
              <w:top w:val="nil"/>
              <w:left w:val="nil"/>
              <w:bottom w:val="single" w:sz="8" w:space="0" w:color="000000"/>
              <w:right w:val="single" w:sz="8" w:space="0" w:color="000000"/>
            </w:tcBorders>
            <w:vAlign w:val="center"/>
            <w:hideMark/>
          </w:tcPr>
          <w:p w14:paraId="6CAFF24B"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Cavadeira articulada com cabo de madeira de 170 cm (média)</w:t>
            </w:r>
          </w:p>
        </w:tc>
        <w:tc>
          <w:tcPr>
            <w:tcW w:w="1300" w:type="dxa"/>
            <w:tcBorders>
              <w:top w:val="nil"/>
              <w:left w:val="nil"/>
              <w:bottom w:val="single" w:sz="8" w:space="0" w:color="000000"/>
              <w:right w:val="single" w:sz="8" w:space="0" w:color="000000"/>
            </w:tcBorders>
            <w:vAlign w:val="center"/>
            <w:hideMark/>
          </w:tcPr>
          <w:p w14:paraId="34EF0821"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MOMFORT</w:t>
            </w:r>
          </w:p>
        </w:tc>
        <w:tc>
          <w:tcPr>
            <w:tcW w:w="700" w:type="dxa"/>
            <w:tcBorders>
              <w:top w:val="nil"/>
              <w:left w:val="nil"/>
              <w:bottom w:val="single" w:sz="8" w:space="0" w:color="000000"/>
              <w:right w:val="single" w:sz="8" w:space="0" w:color="000000"/>
            </w:tcBorders>
            <w:vAlign w:val="center"/>
            <w:hideMark/>
          </w:tcPr>
          <w:p w14:paraId="5117AE95"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149166B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20</w:t>
            </w:r>
          </w:p>
        </w:tc>
        <w:tc>
          <w:tcPr>
            <w:tcW w:w="960" w:type="dxa"/>
            <w:tcBorders>
              <w:top w:val="nil"/>
              <w:left w:val="nil"/>
              <w:bottom w:val="single" w:sz="8" w:space="0" w:color="000000"/>
              <w:right w:val="single" w:sz="8" w:space="0" w:color="000000"/>
            </w:tcBorders>
            <w:vAlign w:val="center"/>
            <w:hideMark/>
          </w:tcPr>
          <w:p w14:paraId="291F4DFB"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57,92</w:t>
            </w:r>
          </w:p>
        </w:tc>
        <w:tc>
          <w:tcPr>
            <w:tcW w:w="1180" w:type="dxa"/>
            <w:tcBorders>
              <w:top w:val="nil"/>
              <w:left w:val="nil"/>
              <w:bottom w:val="single" w:sz="8" w:space="0" w:color="000000"/>
              <w:right w:val="single" w:sz="4" w:space="0" w:color="000000"/>
            </w:tcBorders>
            <w:vAlign w:val="center"/>
            <w:hideMark/>
          </w:tcPr>
          <w:p w14:paraId="30FF708C"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1158,40</w:t>
            </w:r>
          </w:p>
        </w:tc>
      </w:tr>
      <w:tr w:rsidR="006F7121" w:rsidRPr="006F7121" w14:paraId="6B202EEE" w14:textId="77777777" w:rsidTr="006F7121">
        <w:trPr>
          <w:trHeight w:val="915"/>
        </w:trPr>
        <w:tc>
          <w:tcPr>
            <w:tcW w:w="700" w:type="dxa"/>
            <w:tcBorders>
              <w:top w:val="nil"/>
              <w:left w:val="single" w:sz="4" w:space="0" w:color="000000"/>
              <w:bottom w:val="single" w:sz="8" w:space="0" w:color="000000"/>
              <w:right w:val="single" w:sz="8" w:space="0" w:color="000000"/>
            </w:tcBorders>
            <w:vAlign w:val="center"/>
            <w:hideMark/>
          </w:tcPr>
          <w:p w14:paraId="1A7ED4D2"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6</w:t>
            </w:r>
          </w:p>
        </w:tc>
        <w:tc>
          <w:tcPr>
            <w:tcW w:w="2680" w:type="dxa"/>
            <w:tcBorders>
              <w:top w:val="nil"/>
              <w:left w:val="nil"/>
              <w:bottom w:val="single" w:sz="8" w:space="0" w:color="000000"/>
              <w:right w:val="single" w:sz="8" w:space="0" w:color="000000"/>
            </w:tcBorders>
            <w:vAlign w:val="center"/>
            <w:hideMark/>
          </w:tcPr>
          <w:p w14:paraId="0EB74D24"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Disco de corte de 4 ½ polegadas para aço inox. (lixadeira manual)</w:t>
            </w:r>
          </w:p>
        </w:tc>
        <w:tc>
          <w:tcPr>
            <w:tcW w:w="1300" w:type="dxa"/>
            <w:tcBorders>
              <w:top w:val="nil"/>
              <w:left w:val="nil"/>
              <w:bottom w:val="single" w:sz="8" w:space="0" w:color="000000"/>
              <w:right w:val="single" w:sz="8" w:space="0" w:color="000000"/>
            </w:tcBorders>
            <w:vAlign w:val="center"/>
            <w:hideMark/>
          </w:tcPr>
          <w:p w14:paraId="2917112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STARRET</w:t>
            </w:r>
          </w:p>
        </w:tc>
        <w:tc>
          <w:tcPr>
            <w:tcW w:w="700" w:type="dxa"/>
            <w:tcBorders>
              <w:top w:val="nil"/>
              <w:left w:val="nil"/>
              <w:bottom w:val="single" w:sz="8" w:space="0" w:color="000000"/>
              <w:right w:val="single" w:sz="8" w:space="0" w:color="000000"/>
            </w:tcBorders>
            <w:vAlign w:val="center"/>
            <w:hideMark/>
          </w:tcPr>
          <w:p w14:paraId="74FAE6E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587919E9"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100</w:t>
            </w:r>
          </w:p>
        </w:tc>
        <w:tc>
          <w:tcPr>
            <w:tcW w:w="960" w:type="dxa"/>
            <w:tcBorders>
              <w:top w:val="nil"/>
              <w:left w:val="nil"/>
              <w:bottom w:val="single" w:sz="8" w:space="0" w:color="000000"/>
              <w:right w:val="single" w:sz="8" w:space="0" w:color="000000"/>
            </w:tcBorders>
            <w:vAlign w:val="center"/>
            <w:hideMark/>
          </w:tcPr>
          <w:p w14:paraId="38E3F25C"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2,92</w:t>
            </w:r>
          </w:p>
        </w:tc>
        <w:tc>
          <w:tcPr>
            <w:tcW w:w="1180" w:type="dxa"/>
            <w:tcBorders>
              <w:top w:val="nil"/>
              <w:left w:val="nil"/>
              <w:bottom w:val="single" w:sz="8" w:space="0" w:color="000000"/>
              <w:right w:val="single" w:sz="4" w:space="0" w:color="000000"/>
            </w:tcBorders>
            <w:vAlign w:val="center"/>
            <w:hideMark/>
          </w:tcPr>
          <w:p w14:paraId="1BD590C9"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292,00</w:t>
            </w:r>
          </w:p>
        </w:tc>
      </w:tr>
      <w:tr w:rsidR="006F7121" w:rsidRPr="006F7121" w14:paraId="15BFA0BD" w14:textId="77777777" w:rsidTr="006F7121">
        <w:trPr>
          <w:trHeight w:val="315"/>
        </w:trPr>
        <w:tc>
          <w:tcPr>
            <w:tcW w:w="700" w:type="dxa"/>
            <w:tcBorders>
              <w:top w:val="nil"/>
              <w:left w:val="single" w:sz="4" w:space="0" w:color="000000"/>
              <w:bottom w:val="single" w:sz="8" w:space="0" w:color="000000"/>
              <w:right w:val="single" w:sz="8" w:space="0" w:color="000000"/>
            </w:tcBorders>
            <w:vAlign w:val="center"/>
            <w:hideMark/>
          </w:tcPr>
          <w:p w14:paraId="4CB55E5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7</w:t>
            </w:r>
          </w:p>
        </w:tc>
        <w:tc>
          <w:tcPr>
            <w:tcW w:w="2680" w:type="dxa"/>
            <w:tcBorders>
              <w:top w:val="nil"/>
              <w:left w:val="nil"/>
              <w:bottom w:val="single" w:sz="8" w:space="0" w:color="000000"/>
              <w:right w:val="single" w:sz="8" w:space="0" w:color="000000"/>
            </w:tcBorders>
            <w:vAlign w:val="center"/>
            <w:hideMark/>
          </w:tcPr>
          <w:p w14:paraId="64F10F70"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Eletrodo AWS E6013 2,5mm</w:t>
            </w:r>
          </w:p>
        </w:tc>
        <w:tc>
          <w:tcPr>
            <w:tcW w:w="1300" w:type="dxa"/>
            <w:tcBorders>
              <w:top w:val="nil"/>
              <w:left w:val="nil"/>
              <w:bottom w:val="single" w:sz="8" w:space="0" w:color="000000"/>
              <w:right w:val="single" w:sz="8" w:space="0" w:color="000000"/>
            </w:tcBorders>
            <w:vAlign w:val="center"/>
            <w:hideMark/>
          </w:tcPr>
          <w:p w14:paraId="0EEA21B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MAGMA</w:t>
            </w:r>
          </w:p>
        </w:tc>
        <w:tc>
          <w:tcPr>
            <w:tcW w:w="700" w:type="dxa"/>
            <w:tcBorders>
              <w:top w:val="nil"/>
              <w:left w:val="nil"/>
              <w:bottom w:val="single" w:sz="8" w:space="0" w:color="000000"/>
              <w:right w:val="single" w:sz="8" w:space="0" w:color="000000"/>
            </w:tcBorders>
            <w:vAlign w:val="center"/>
            <w:hideMark/>
          </w:tcPr>
          <w:p w14:paraId="471D38A2"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KG</w:t>
            </w:r>
          </w:p>
        </w:tc>
        <w:tc>
          <w:tcPr>
            <w:tcW w:w="880" w:type="dxa"/>
            <w:tcBorders>
              <w:top w:val="nil"/>
              <w:left w:val="nil"/>
              <w:bottom w:val="single" w:sz="8" w:space="0" w:color="000000"/>
              <w:right w:val="single" w:sz="8" w:space="0" w:color="000000"/>
            </w:tcBorders>
            <w:vAlign w:val="center"/>
            <w:hideMark/>
          </w:tcPr>
          <w:p w14:paraId="47128B0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20</w:t>
            </w:r>
          </w:p>
        </w:tc>
        <w:tc>
          <w:tcPr>
            <w:tcW w:w="960" w:type="dxa"/>
            <w:tcBorders>
              <w:top w:val="nil"/>
              <w:left w:val="nil"/>
              <w:bottom w:val="single" w:sz="8" w:space="0" w:color="000000"/>
              <w:right w:val="single" w:sz="8" w:space="0" w:color="000000"/>
            </w:tcBorders>
            <w:vAlign w:val="center"/>
            <w:hideMark/>
          </w:tcPr>
          <w:p w14:paraId="2D6D304A"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30,32</w:t>
            </w:r>
          </w:p>
        </w:tc>
        <w:tc>
          <w:tcPr>
            <w:tcW w:w="1180" w:type="dxa"/>
            <w:tcBorders>
              <w:top w:val="nil"/>
              <w:left w:val="nil"/>
              <w:bottom w:val="single" w:sz="8" w:space="0" w:color="000000"/>
              <w:right w:val="single" w:sz="4" w:space="0" w:color="000000"/>
            </w:tcBorders>
            <w:vAlign w:val="center"/>
            <w:hideMark/>
          </w:tcPr>
          <w:p w14:paraId="50E2540F"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606,40</w:t>
            </w:r>
          </w:p>
        </w:tc>
      </w:tr>
      <w:tr w:rsidR="006F7121" w:rsidRPr="006F7121" w14:paraId="1CB584F1" w14:textId="77777777" w:rsidTr="006F7121">
        <w:trPr>
          <w:trHeight w:val="915"/>
        </w:trPr>
        <w:tc>
          <w:tcPr>
            <w:tcW w:w="700" w:type="dxa"/>
            <w:tcBorders>
              <w:top w:val="nil"/>
              <w:left w:val="single" w:sz="4" w:space="0" w:color="000000"/>
              <w:bottom w:val="single" w:sz="8" w:space="0" w:color="000000"/>
              <w:right w:val="single" w:sz="8" w:space="0" w:color="000000"/>
            </w:tcBorders>
            <w:vAlign w:val="center"/>
            <w:hideMark/>
          </w:tcPr>
          <w:p w14:paraId="73862B9A"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8</w:t>
            </w:r>
          </w:p>
        </w:tc>
        <w:tc>
          <w:tcPr>
            <w:tcW w:w="2680" w:type="dxa"/>
            <w:tcBorders>
              <w:top w:val="nil"/>
              <w:left w:val="nil"/>
              <w:bottom w:val="single" w:sz="8" w:space="0" w:color="000000"/>
              <w:right w:val="single" w:sz="8" w:space="0" w:color="000000"/>
            </w:tcBorders>
            <w:vAlign w:val="center"/>
            <w:hideMark/>
          </w:tcPr>
          <w:p w14:paraId="7D43B4F1"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Martelo Unha de 27 mm cabeça magnética com cabo de fibra de vidro</w:t>
            </w:r>
          </w:p>
        </w:tc>
        <w:tc>
          <w:tcPr>
            <w:tcW w:w="1300" w:type="dxa"/>
            <w:tcBorders>
              <w:top w:val="nil"/>
              <w:left w:val="nil"/>
              <w:bottom w:val="single" w:sz="8" w:space="0" w:color="000000"/>
              <w:right w:val="single" w:sz="8" w:space="0" w:color="000000"/>
            </w:tcBorders>
            <w:vAlign w:val="center"/>
            <w:hideMark/>
          </w:tcPr>
          <w:p w14:paraId="29818773"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MTX</w:t>
            </w:r>
          </w:p>
        </w:tc>
        <w:tc>
          <w:tcPr>
            <w:tcW w:w="700" w:type="dxa"/>
            <w:tcBorders>
              <w:top w:val="nil"/>
              <w:left w:val="nil"/>
              <w:bottom w:val="single" w:sz="8" w:space="0" w:color="000000"/>
              <w:right w:val="single" w:sz="8" w:space="0" w:color="000000"/>
            </w:tcBorders>
            <w:vAlign w:val="center"/>
            <w:hideMark/>
          </w:tcPr>
          <w:p w14:paraId="6936110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5A3839F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960" w:type="dxa"/>
            <w:tcBorders>
              <w:top w:val="nil"/>
              <w:left w:val="nil"/>
              <w:bottom w:val="single" w:sz="8" w:space="0" w:color="000000"/>
              <w:right w:val="single" w:sz="8" w:space="0" w:color="000000"/>
            </w:tcBorders>
            <w:vAlign w:val="center"/>
            <w:hideMark/>
          </w:tcPr>
          <w:p w14:paraId="3A14C5AC"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33,02</w:t>
            </w:r>
          </w:p>
        </w:tc>
        <w:tc>
          <w:tcPr>
            <w:tcW w:w="1180" w:type="dxa"/>
            <w:tcBorders>
              <w:top w:val="nil"/>
              <w:left w:val="nil"/>
              <w:bottom w:val="single" w:sz="8" w:space="0" w:color="000000"/>
              <w:right w:val="single" w:sz="4" w:space="0" w:color="000000"/>
            </w:tcBorders>
            <w:vAlign w:val="center"/>
            <w:hideMark/>
          </w:tcPr>
          <w:p w14:paraId="49F02483"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330,20</w:t>
            </w:r>
          </w:p>
        </w:tc>
      </w:tr>
      <w:tr w:rsidR="006F7121" w:rsidRPr="006F7121" w14:paraId="405BC9B5"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7AB9D2B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lastRenderedPageBreak/>
              <w:t>9</w:t>
            </w:r>
          </w:p>
        </w:tc>
        <w:tc>
          <w:tcPr>
            <w:tcW w:w="2680" w:type="dxa"/>
            <w:tcBorders>
              <w:top w:val="nil"/>
              <w:left w:val="nil"/>
              <w:bottom w:val="single" w:sz="8" w:space="0" w:color="000000"/>
              <w:right w:val="single" w:sz="8" w:space="0" w:color="000000"/>
            </w:tcBorders>
            <w:vAlign w:val="center"/>
            <w:hideMark/>
          </w:tcPr>
          <w:p w14:paraId="45D6778C"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Chave combinada de 11 mm</w:t>
            </w:r>
          </w:p>
        </w:tc>
        <w:tc>
          <w:tcPr>
            <w:tcW w:w="1300" w:type="dxa"/>
            <w:tcBorders>
              <w:top w:val="nil"/>
              <w:left w:val="nil"/>
              <w:bottom w:val="single" w:sz="8" w:space="0" w:color="000000"/>
              <w:right w:val="single" w:sz="8" w:space="0" w:color="000000"/>
            </w:tcBorders>
            <w:vAlign w:val="center"/>
            <w:hideMark/>
          </w:tcPr>
          <w:p w14:paraId="4FB51C70"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GERODE RED</w:t>
            </w:r>
          </w:p>
        </w:tc>
        <w:tc>
          <w:tcPr>
            <w:tcW w:w="700" w:type="dxa"/>
            <w:tcBorders>
              <w:top w:val="nil"/>
              <w:left w:val="nil"/>
              <w:bottom w:val="single" w:sz="8" w:space="0" w:color="000000"/>
              <w:right w:val="single" w:sz="8" w:space="0" w:color="000000"/>
            </w:tcBorders>
            <w:vAlign w:val="center"/>
            <w:hideMark/>
          </w:tcPr>
          <w:p w14:paraId="7210C1B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07E458D5"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960" w:type="dxa"/>
            <w:tcBorders>
              <w:top w:val="nil"/>
              <w:left w:val="nil"/>
              <w:bottom w:val="single" w:sz="8" w:space="0" w:color="000000"/>
              <w:right w:val="single" w:sz="8" w:space="0" w:color="000000"/>
            </w:tcBorders>
            <w:vAlign w:val="center"/>
            <w:hideMark/>
          </w:tcPr>
          <w:p w14:paraId="5E30A4A4"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13,95</w:t>
            </w:r>
          </w:p>
        </w:tc>
        <w:tc>
          <w:tcPr>
            <w:tcW w:w="1180" w:type="dxa"/>
            <w:tcBorders>
              <w:top w:val="nil"/>
              <w:left w:val="nil"/>
              <w:bottom w:val="single" w:sz="8" w:space="0" w:color="000000"/>
              <w:right w:val="single" w:sz="4" w:space="0" w:color="000000"/>
            </w:tcBorders>
            <w:vAlign w:val="center"/>
            <w:hideMark/>
          </w:tcPr>
          <w:p w14:paraId="0B290970"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139,50</w:t>
            </w:r>
          </w:p>
        </w:tc>
      </w:tr>
      <w:tr w:rsidR="006F7121" w:rsidRPr="006F7121" w14:paraId="6CFF54FE"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1C55EB30"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2680" w:type="dxa"/>
            <w:tcBorders>
              <w:top w:val="nil"/>
              <w:left w:val="nil"/>
              <w:bottom w:val="single" w:sz="8" w:space="0" w:color="000000"/>
              <w:right w:val="single" w:sz="8" w:space="0" w:color="000000"/>
            </w:tcBorders>
            <w:vAlign w:val="center"/>
            <w:hideMark/>
          </w:tcPr>
          <w:p w14:paraId="272C6063"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Chave combinada de 12 mm</w:t>
            </w:r>
          </w:p>
        </w:tc>
        <w:tc>
          <w:tcPr>
            <w:tcW w:w="1300" w:type="dxa"/>
            <w:tcBorders>
              <w:top w:val="nil"/>
              <w:left w:val="nil"/>
              <w:bottom w:val="single" w:sz="8" w:space="0" w:color="000000"/>
              <w:right w:val="single" w:sz="8" w:space="0" w:color="000000"/>
            </w:tcBorders>
            <w:vAlign w:val="center"/>
            <w:hideMark/>
          </w:tcPr>
          <w:p w14:paraId="6C7A8889"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GERODE RED</w:t>
            </w:r>
          </w:p>
        </w:tc>
        <w:tc>
          <w:tcPr>
            <w:tcW w:w="700" w:type="dxa"/>
            <w:tcBorders>
              <w:top w:val="nil"/>
              <w:left w:val="nil"/>
              <w:bottom w:val="single" w:sz="8" w:space="0" w:color="000000"/>
              <w:right w:val="single" w:sz="8" w:space="0" w:color="000000"/>
            </w:tcBorders>
            <w:vAlign w:val="center"/>
            <w:hideMark/>
          </w:tcPr>
          <w:p w14:paraId="33D4D00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063E6C4D"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960" w:type="dxa"/>
            <w:tcBorders>
              <w:top w:val="nil"/>
              <w:left w:val="nil"/>
              <w:bottom w:val="single" w:sz="8" w:space="0" w:color="000000"/>
              <w:right w:val="single" w:sz="8" w:space="0" w:color="000000"/>
            </w:tcBorders>
            <w:vAlign w:val="center"/>
            <w:hideMark/>
          </w:tcPr>
          <w:p w14:paraId="23CD76D4"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15,08</w:t>
            </w:r>
          </w:p>
        </w:tc>
        <w:tc>
          <w:tcPr>
            <w:tcW w:w="1180" w:type="dxa"/>
            <w:tcBorders>
              <w:top w:val="nil"/>
              <w:left w:val="nil"/>
              <w:bottom w:val="single" w:sz="8" w:space="0" w:color="000000"/>
              <w:right w:val="single" w:sz="4" w:space="0" w:color="000000"/>
            </w:tcBorders>
            <w:vAlign w:val="center"/>
            <w:hideMark/>
          </w:tcPr>
          <w:p w14:paraId="1C5466FA"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150,80</w:t>
            </w:r>
          </w:p>
        </w:tc>
      </w:tr>
      <w:tr w:rsidR="006F7121" w:rsidRPr="006F7121" w14:paraId="6316ACB9"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1A6C7BC1"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11</w:t>
            </w:r>
          </w:p>
        </w:tc>
        <w:tc>
          <w:tcPr>
            <w:tcW w:w="2680" w:type="dxa"/>
            <w:tcBorders>
              <w:top w:val="nil"/>
              <w:left w:val="nil"/>
              <w:bottom w:val="single" w:sz="8" w:space="0" w:color="000000"/>
              <w:right w:val="single" w:sz="8" w:space="0" w:color="000000"/>
            </w:tcBorders>
            <w:vAlign w:val="center"/>
            <w:hideMark/>
          </w:tcPr>
          <w:p w14:paraId="4ED448BE"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Chave combinada de 13 mm</w:t>
            </w:r>
          </w:p>
        </w:tc>
        <w:tc>
          <w:tcPr>
            <w:tcW w:w="1300" w:type="dxa"/>
            <w:tcBorders>
              <w:top w:val="nil"/>
              <w:left w:val="nil"/>
              <w:bottom w:val="single" w:sz="8" w:space="0" w:color="000000"/>
              <w:right w:val="single" w:sz="8" w:space="0" w:color="000000"/>
            </w:tcBorders>
            <w:vAlign w:val="center"/>
            <w:hideMark/>
          </w:tcPr>
          <w:p w14:paraId="40F7929D"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GERODE RED</w:t>
            </w:r>
          </w:p>
        </w:tc>
        <w:tc>
          <w:tcPr>
            <w:tcW w:w="700" w:type="dxa"/>
            <w:tcBorders>
              <w:top w:val="nil"/>
              <w:left w:val="nil"/>
              <w:bottom w:val="single" w:sz="8" w:space="0" w:color="000000"/>
              <w:right w:val="single" w:sz="8" w:space="0" w:color="000000"/>
            </w:tcBorders>
            <w:vAlign w:val="center"/>
            <w:hideMark/>
          </w:tcPr>
          <w:p w14:paraId="74C078F5"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16ED4CBD"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960" w:type="dxa"/>
            <w:tcBorders>
              <w:top w:val="nil"/>
              <w:left w:val="nil"/>
              <w:bottom w:val="single" w:sz="8" w:space="0" w:color="000000"/>
              <w:right w:val="single" w:sz="8" w:space="0" w:color="000000"/>
            </w:tcBorders>
            <w:vAlign w:val="center"/>
            <w:hideMark/>
          </w:tcPr>
          <w:p w14:paraId="28A59A58"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15,93</w:t>
            </w:r>
          </w:p>
        </w:tc>
        <w:tc>
          <w:tcPr>
            <w:tcW w:w="1180" w:type="dxa"/>
            <w:tcBorders>
              <w:top w:val="nil"/>
              <w:left w:val="nil"/>
              <w:bottom w:val="single" w:sz="8" w:space="0" w:color="000000"/>
              <w:right w:val="single" w:sz="4" w:space="0" w:color="000000"/>
            </w:tcBorders>
            <w:vAlign w:val="center"/>
            <w:hideMark/>
          </w:tcPr>
          <w:p w14:paraId="741EF7D5"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159,30</w:t>
            </w:r>
          </w:p>
        </w:tc>
      </w:tr>
      <w:tr w:rsidR="006F7121" w:rsidRPr="006F7121" w14:paraId="697593F0"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77ED2945"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12</w:t>
            </w:r>
          </w:p>
        </w:tc>
        <w:tc>
          <w:tcPr>
            <w:tcW w:w="2680" w:type="dxa"/>
            <w:tcBorders>
              <w:top w:val="nil"/>
              <w:left w:val="nil"/>
              <w:bottom w:val="single" w:sz="8" w:space="0" w:color="000000"/>
              <w:right w:val="single" w:sz="8" w:space="0" w:color="000000"/>
            </w:tcBorders>
            <w:vAlign w:val="center"/>
            <w:hideMark/>
          </w:tcPr>
          <w:p w14:paraId="605523C4"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Chave combinada de 14 mm</w:t>
            </w:r>
          </w:p>
        </w:tc>
        <w:tc>
          <w:tcPr>
            <w:tcW w:w="1300" w:type="dxa"/>
            <w:tcBorders>
              <w:top w:val="nil"/>
              <w:left w:val="nil"/>
              <w:bottom w:val="single" w:sz="8" w:space="0" w:color="000000"/>
              <w:right w:val="single" w:sz="8" w:space="0" w:color="000000"/>
            </w:tcBorders>
            <w:vAlign w:val="center"/>
            <w:hideMark/>
          </w:tcPr>
          <w:p w14:paraId="3D49FF0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GERODE RED</w:t>
            </w:r>
          </w:p>
        </w:tc>
        <w:tc>
          <w:tcPr>
            <w:tcW w:w="700" w:type="dxa"/>
            <w:tcBorders>
              <w:top w:val="nil"/>
              <w:left w:val="nil"/>
              <w:bottom w:val="single" w:sz="8" w:space="0" w:color="000000"/>
              <w:right w:val="single" w:sz="8" w:space="0" w:color="000000"/>
            </w:tcBorders>
            <w:vAlign w:val="center"/>
            <w:hideMark/>
          </w:tcPr>
          <w:p w14:paraId="5AC98DCD"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0151DEA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960" w:type="dxa"/>
            <w:tcBorders>
              <w:top w:val="nil"/>
              <w:left w:val="nil"/>
              <w:bottom w:val="single" w:sz="8" w:space="0" w:color="000000"/>
              <w:right w:val="single" w:sz="8" w:space="0" w:color="000000"/>
            </w:tcBorders>
            <w:vAlign w:val="center"/>
            <w:hideMark/>
          </w:tcPr>
          <w:p w14:paraId="3CD72C5E"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16,99</w:t>
            </w:r>
          </w:p>
        </w:tc>
        <w:tc>
          <w:tcPr>
            <w:tcW w:w="1180" w:type="dxa"/>
            <w:tcBorders>
              <w:top w:val="nil"/>
              <w:left w:val="nil"/>
              <w:bottom w:val="single" w:sz="8" w:space="0" w:color="000000"/>
              <w:right w:val="single" w:sz="4" w:space="0" w:color="000000"/>
            </w:tcBorders>
            <w:vAlign w:val="center"/>
            <w:hideMark/>
          </w:tcPr>
          <w:p w14:paraId="25CDF67B"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169,90</w:t>
            </w:r>
          </w:p>
        </w:tc>
      </w:tr>
      <w:tr w:rsidR="006F7121" w:rsidRPr="006F7121" w14:paraId="0A23D0B6"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5EB9546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13</w:t>
            </w:r>
          </w:p>
        </w:tc>
        <w:tc>
          <w:tcPr>
            <w:tcW w:w="2680" w:type="dxa"/>
            <w:tcBorders>
              <w:top w:val="nil"/>
              <w:left w:val="nil"/>
              <w:bottom w:val="single" w:sz="8" w:space="0" w:color="000000"/>
              <w:right w:val="single" w:sz="8" w:space="0" w:color="000000"/>
            </w:tcBorders>
            <w:vAlign w:val="center"/>
            <w:hideMark/>
          </w:tcPr>
          <w:p w14:paraId="06E8A534"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Broca de aço rápido polido HSS para metal 10 mm</w:t>
            </w:r>
          </w:p>
        </w:tc>
        <w:tc>
          <w:tcPr>
            <w:tcW w:w="1300" w:type="dxa"/>
            <w:tcBorders>
              <w:top w:val="nil"/>
              <w:left w:val="nil"/>
              <w:bottom w:val="single" w:sz="8" w:space="0" w:color="000000"/>
              <w:right w:val="single" w:sz="8" w:space="0" w:color="000000"/>
            </w:tcBorders>
            <w:vAlign w:val="center"/>
            <w:hideMark/>
          </w:tcPr>
          <w:p w14:paraId="261679E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MTX</w:t>
            </w:r>
          </w:p>
        </w:tc>
        <w:tc>
          <w:tcPr>
            <w:tcW w:w="700" w:type="dxa"/>
            <w:tcBorders>
              <w:top w:val="nil"/>
              <w:left w:val="nil"/>
              <w:bottom w:val="single" w:sz="8" w:space="0" w:color="000000"/>
              <w:right w:val="single" w:sz="8" w:space="0" w:color="000000"/>
            </w:tcBorders>
            <w:vAlign w:val="center"/>
            <w:hideMark/>
          </w:tcPr>
          <w:p w14:paraId="4750889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7794B642"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20</w:t>
            </w:r>
          </w:p>
        </w:tc>
        <w:tc>
          <w:tcPr>
            <w:tcW w:w="960" w:type="dxa"/>
            <w:tcBorders>
              <w:top w:val="nil"/>
              <w:left w:val="nil"/>
              <w:bottom w:val="single" w:sz="8" w:space="0" w:color="000000"/>
              <w:right w:val="single" w:sz="8" w:space="0" w:color="000000"/>
            </w:tcBorders>
            <w:vAlign w:val="center"/>
            <w:hideMark/>
          </w:tcPr>
          <w:p w14:paraId="1F210507"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6,80</w:t>
            </w:r>
          </w:p>
        </w:tc>
        <w:tc>
          <w:tcPr>
            <w:tcW w:w="1180" w:type="dxa"/>
            <w:tcBorders>
              <w:top w:val="nil"/>
              <w:left w:val="nil"/>
              <w:bottom w:val="single" w:sz="8" w:space="0" w:color="000000"/>
              <w:right w:val="single" w:sz="4" w:space="0" w:color="000000"/>
            </w:tcBorders>
            <w:vAlign w:val="center"/>
            <w:hideMark/>
          </w:tcPr>
          <w:p w14:paraId="50CAAB8B"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136,00</w:t>
            </w:r>
          </w:p>
        </w:tc>
      </w:tr>
      <w:tr w:rsidR="006F7121" w:rsidRPr="006F7121" w14:paraId="1FAAB3C9"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1B0A8819"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14</w:t>
            </w:r>
          </w:p>
        </w:tc>
        <w:tc>
          <w:tcPr>
            <w:tcW w:w="2680" w:type="dxa"/>
            <w:tcBorders>
              <w:top w:val="nil"/>
              <w:left w:val="nil"/>
              <w:bottom w:val="single" w:sz="8" w:space="0" w:color="000000"/>
              <w:right w:val="single" w:sz="8" w:space="0" w:color="000000"/>
            </w:tcBorders>
            <w:vAlign w:val="center"/>
            <w:hideMark/>
          </w:tcPr>
          <w:p w14:paraId="7E13E079"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Metalon 30x20 mm chapa 18 barra com 6 metros</w:t>
            </w:r>
          </w:p>
        </w:tc>
        <w:tc>
          <w:tcPr>
            <w:tcW w:w="1300" w:type="dxa"/>
            <w:tcBorders>
              <w:top w:val="nil"/>
              <w:left w:val="nil"/>
              <w:bottom w:val="single" w:sz="8" w:space="0" w:color="000000"/>
              <w:right w:val="single" w:sz="8" w:space="0" w:color="000000"/>
            </w:tcBorders>
            <w:vAlign w:val="center"/>
            <w:hideMark/>
          </w:tcPr>
          <w:p w14:paraId="5B97876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5F32679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2BBCD849"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90</w:t>
            </w:r>
          </w:p>
        </w:tc>
        <w:tc>
          <w:tcPr>
            <w:tcW w:w="960" w:type="dxa"/>
            <w:tcBorders>
              <w:top w:val="nil"/>
              <w:left w:val="nil"/>
              <w:bottom w:val="single" w:sz="8" w:space="0" w:color="000000"/>
              <w:right w:val="single" w:sz="8" w:space="0" w:color="000000"/>
            </w:tcBorders>
            <w:vAlign w:val="center"/>
            <w:hideMark/>
          </w:tcPr>
          <w:p w14:paraId="06C2267D"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55,60</w:t>
            </w:r>
          </w:p>
        </w:tc>
        <w:tc>
          <w:tcPr>
            <w:tcW w:w="1180" w:type="dxa"/>
            <w:tcBorders>
              <w:top w:val="nil"/>
              <w:left w:val="nil"/>
              <w:bottom w:val="single" w:sz="8" w:space="0" w:color="000000"/>
              <w:right w:val="single" w:sz="4" w:space="0" w:color="000000"/>
            </w:tcBorders>
            <w:vAlign w:val="center"/>
            <w:hideMark/>
          </w:tcPr>
          <w:p w14:paraId="614B4534"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5004,00</w:t>
            </w:r>
          </w:p>
        </w:tc>
      </w:tr>
      <w:tr w:rsidR="006F7121" w:rsidRPr="006F7121" w14:paraId="03B6C332" w14:textId="77777777" w:rsidTr="006F7121">
        <w:trPr>
          <w:trHeight w:val="315"/>
        </w:trPr>
        <w:tc>
          <w:tcPr>
            <w:tcW w:w="700" w:type="dxa"/>
            <w:tcBorders>
              <w:top w:val="nil"/>
              <w:left w:val="single" w:sz="4" w:space="0" w:color="000000"/>
              <w:bottom w:val="single" w:sz="8" w:space="0" w:color="000000"/>
              <w:right w:val="single" w:sz="8" w:space="0" w:color="000000"/>
            </w:tcBorders>
            <w:vAlign w:val="center"/>
            <w:hideMark/>
          </w:tcPr>
          <w:p w14:paraId="72BFDBF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15</w:t>
            </w:r>
          </w:p>
        </w:tc>
        <w:tc>
          <w:tcPr>
            <w:tcW w:w="2680" w:type="dxa"/>
            <w:tcBorders>
              <w:top w:val="nil"/>
              <w:left w:val="nil"/>
              <w:bottom w:val="single" w:sz="8" w:space="0" w:color="000000"/>
              <w:right w:val="single" w:sz="8" w:space="0" w:color="000000"/>
            </w:tcBorders>
            <w:vAlign w:val="center"/>
            <w:hideMark/>
          </w:tcPr>
          <w:p w14:paraId="45668A8A"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Ferro 5/16 CA-50 8 mm</w:t>
            </w:r>
          </w:p>
        </w:tc>
        <w:tc>
          <w:tcPr>
            <w:tcW w:w="1300" w:type="dxa"/>
            <w:tcBorders>
              <w:top w:val="nil"/>
              <w:left w:val="nil"/>
              <w:bottom w:val="single" w:sz="8" w:space="0" w:color="000000"/>
              <w:right w:val="single" w:sz="8" w:space="0" w:color="000000"/>
            </w:tcBorders>
            <w:vAlign w:val="center"/>
            <w:hideMark/>
          </w:tcPr>
          <w:p w14:paraId="09DDBB0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1A5DE9A5"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1FD92574"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w:t>
            </w:r>
          </w:p>
        </w:tc>
        <w:tc>
          <w:tcPr>
            <w:tcW w:w="960" w:type="dxa"/>
            <w:tcBorders>
              <w:top w:val="nil"/>
              <w:left w:val="nil"/>
              <w:bottom w:val="single" w:sz="8" w:space="0" w:color="000000"/>
              <w:right w:val="single" w:sz="8" w:space="0" w:color="000000"/>
            </w:tcBorders>
            <w:vAlign w:val="center"/>
            <w:hideMark/>
          </w:tcPr>
          <w:p w14:paraId="687E83B1"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33,55</w:t>
            </w:r>
          </w:p>
        </w:tc>
        <w:tc>
          <w:tcPr>
            <w:tcW w:w="1180" w:type="dxa"/>
            <w:tcBorders>
              <w:top w:val="nil"/>
              <w:left w:val="nil"/>
              <w:bottom w:val="single" w:sz="8" w:space="0" w:color="000000"/>
              <w:right w:val="single" w:sz="4" w:space="0" w:color="000000"/>
            </w:tcBorders>
            <w:vAlign w:val="center"/>
            <w:hideMark/>
          </w:tcPr>
          <w:p w14:paraId="588F121D"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335,50</w:t>
            </w:r>
          </w:p>
        </w:tc>
      </w:tr>
      <w:tr w:rsidR="006F7121" w:rsidRPr="006F7121" w14:paraId="394DEC67" w14:textId="77777777" w:rsidTr="006F7121">
        <w:trPr>
          <w:trHeight w:val="1215"/>
        </w:trPr>
        <w:tc>
          <w:tcPr>
            <w:tcW w:w="700" w:type="dxa"/>
            <w:tcBorders>
              <w:top w:val="nil"/>
              <w:left w:val="single" w:sz="4" w:space="0" w:color="000000"/>
              <w:bottom w:val="single" w:sz="8" w:space="0" w:color="000000"/>
              <w:right w:val="single" w:sz="8" w:space="0" w:color="000000"/>
            </w:tcBorders>
            <w:vAlign w:val="center"/>
            <w:hideMark/>
          </w:tcPr>
          <w:p w14:paraId="156B14C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16</w:t>
            </w:r>
          </w:p>
        </w:tc>
        <w:tc>
          <w:tcPr>
            <w:tcW w:w="2680" w:type="dxa"/>
            <w:tcBorders>
              <w:top w:val="nil"/>
              <w:left w:val="nil"/>
              <w:bottom w:val="single" w:sz="8" w:space="0" w:color="000000"/>
              <w:right w:val="single" w:sz="8" w:space="0" w:color="000000"/>
            </w:tcBorders>
            <w:vAlign w:val="center"/>
            <w:hideMark/>
          </w:tcPr>
          <w:p w14:paraId="4808F84D"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Esmerilhadeira Angular LCM-9002 4.1/2 pol. 700 w 200 v com capa protetora e punho auxiliar</w:t>
            </w:r>
          </w:p>
        </w:tc>
        <w:tc>
          <w:tcPr>
            <w:tcW w:w="1300" w:type="dxa"/>
            <w:tcBorders>
              <w:top w:val="nil"/>
              <w:left w:val="nil"/>
              <w:bottom w:val="single" w:sz="8" w:space="0" w:color="000000"/>
              <w:right w:val="single" w:sz="8" w:space="0" w:color="000000"/>
            </w:tcBorders>
            <w:vAlign w:val="center"/>
            <w:hideMark/>
          </w:tcPr>
          <w:p w14:paraId="1B2A6BE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SKIL</w:t>
            </w:r>
          </w:p>
        </w:tc>
        <w:tc>
          <w:tcPr>
            <w:tcW w:w="700" w:type="dxa"/>
            <w:tcBorders>
              <w:top w:val="nil"/>
              <w:left w:val="nil"/>
              <w:bottom w:val="single" w:sz="8" w:space="0" w:color="000000"/>
              <w:right w:val="single" w:sz="8" w:space="0" w:color="000000"/>
            </w:tcBorders>
            <w:vAlign w:val="center"/>
            <w:hideMark/>
          </w:tcPr>
          <w:p w14:paraId="457B47A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2578A25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w:t>
            </w:r>
          </w:p>
        </w:tc>
        <w:tc>
          <w:tcPr>
            <w:tcW w:w="960" w:type="dxa"/>
            <w:tcBorders>
              <w:top w:val="nil"/>
              <w:left w:val="nil"/>
              <w:bottom w:val="single" w:sz="8" w:space="0" w:color="000000"/>
              <w:right w:val="single" w:sz="8" w:space="0" w:color="000000"/>
            </w:tcBorders>
            <w:vAlign w:val="center"/>
            <w:hideMark/>
          </w:tcPr>
          <w:p w14:paraId="1FF9BBAE"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276,11</w:t>
            </w:r>
          </w:p>
        </w:tc>
        <w:tc>
          <w:tcPr>
            <w:tcW w:w="1180" w:type="dxa"/>
            <w:tcBorders>
              <w:top w:val="nil"/>
              <w:left w:val="nil"/>
              <w:bottom w:val="single" w:sz="8" w:space="0" w:color="000000"/>
              <w:right w:val="single" w:sz="4" w:space="0" w:color="000000"/>
            </w:tcBorders>
            <w:vAlign w:val="center"/>
            <w:hideMark/>
          </w:tcPr>
          <w:p w14:paraId="4AA1B948"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276,11</w:t>
            </w:r>
          </w:p>
        </w:tc>
      </w:tr>
      <w:tr w:rsidR="006F7121" w:rsidRPr="006F7121" w14:paraId="0D014C54" w14:textId="77777777" w:rsidTr="006F7121">
        <w:trPr>
          <w:trHeight w:val="915"/>
        </w:trPr>
        <w:tc>
          <w:tcPr>
            <w:tcW w:w="700" w:type="dxa"/>
            <w:tcBorders>
              <w:top w:val="nil"/>
              <w:left w:val="single" w:sz="4" w:space="0" w:color="000000"/>
              <w:bottom w:val="single" w:sz="8" w:space="0" w:color="000000"/>
              <w:right w:val="single" w:sz="8" w:space="0" w:color="000000"/>
            </w:tcBorders>
            <w:vAlign w:val="center"/>
            <w:hideMark/>
          </w:tcPr>
          <w:p w14:paraId="7D72FEC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17</w:t>
            </w:r>
          </w:p>
        </w:tc>
        <w:tc>
          <w:tcPr>
            <w:tcW w:w="2680" w:type="dxa"/>
            <w:tcBorders>
              <w:top w:val="nil"/>
              <w:left w:val="nil"/>
              <w:bottom w:val="single" w:sz="8" w:space="0" w:color="000000"/>
              <w:right w:val="single" w:sz="8" w:space="0" w:color="000000"/>
            </w:tcBorders>
            <w:vAlign w:val="center"/>
            <w:hideMark/>
          </w:tcPr>
          <w:p w14:paraId="3FA651C5"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Trincha (pincel) 1 ½ pol. Com cerdas Gris selecionadas modelo 395.</w:t>
            </w:r>
          </w:p>
        </w:tc>
        <w:tc>
          <w:tcPr>
            <w:tcW w:w="1300" w:type="dxa"/>
            <w:tcBorders>
              <w:top w:val="nil"/>
              <w:left w:val="nil"/>
              <w:bottom w:val="single" w:sz="8" w:space="0" w:color="000000"/>
              <w:right w:val="single" w:sz="8" w:space="0" w:color="000000"/>
            </w:tcBorders>
            <w:vAlign w:val="center"/>
            <w:hideMark/>
          </w:tcPr>
          <w:p w14:paraId="6A9BD51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774AF473"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1190CDDA"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100</w:t>
            </w:r>
          </w:p>
        </w:tc>
        <w:tc>
          <w:tcPr>
            <w:tcW w:w="960" w:type="dxa"/>
            <w:tcBorders>
              <w:top w:val="nil"/>
              <w:left w:val="nil"/>
              <w:bottom w:val="single" w:sz="8" w:space="0" w:color="000000"/>
              <w:right w:val="single" w:sz="8" w:space="0" w:color="000000"/>
            </w:tcBorders>
            <w:vAlign w:val="center"/>
            <w:hideMark/>
          </w:tcPr>
          <w:p w14:paraId="7B35D139"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7,71</w:t>
            </w:r>
          </w:p>
        </w:tc>
        <w:tc>
          <w:tcPr>
            <w:tcW w:w="1180" w:type="dxa"/>
            <w:tcBorders>
              <w:top w:val="nil"/>
              <w:left w:val="nil"/>
              <w:bottom w:val="single" w:sz="8" w:space="0" w:color="000000"/>
              <w:right w:val="single" w:sz="4" w:space="0" w:color="000000"/>
            </w:tcBorders>
            <w:vAlign w:val="center"/>
            <w:hideMark/>
          </w:tcPr>
          <w:p w14:paraId="5AA87E47"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771,00</w:t>
            </w:r>
          </w:p>
        </w:tc>
      </w:tr>
      <w:tr w:rsidR="006F7121" w:rsidRPr="006F7121" w14:paraId="58511DDB"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05D9E087"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18</w:t>
            </w:r>
          </w:p>
        </w:tc>
        <w:tc>
          <w:tcPr>
            <w:tcW w:w="2680" w:type="dxa"/>
            <w:tcBorders>
              <w:top w:val="nil"/>
              <w:left w:val="nil"/>
              <w:bottom w:val="single" w:sz="8" w:space="0" w:color="000000"/>
              <w:right w:val="single" w:sz="8" w:space="0" w:color="000000"/>
            </w:tcBorders>
            <w:vAlign w:val="center"/>
            <w:hideMark/>
          </w:tcPr>
          <w:p w14:paraId="12873C64"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Registro de esfera fluxion 1/2 POL. PC RUA2 –DIR-P</w:t>
            </w:r>
          </w:p>
        </w:tc>
        <w:tc>
          <w:tcPr>
            <w:tcW w:w="1300" w:type="dxa"/>
            <w:tcBorders>
              <w:top w:val="nil"/>
              <w:left w:val="nil"/>
              <w:bottom w:val="single" w:sz="8" w:space="0" w:color="000000"/>
              <w:right w:val="single" w:sz="8" w:space="0" w:color="000000"/>
            </w:tcBorders>
            <w:vAlign w:val="center"/>
            <w:hideMark/>
          </w:tcPr>
          <w:p w14:paraId="6924754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36B44AC3"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3DA4DB21"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50</w:t>
            </w:r>
          </w:p>
        </w:tc>
        <w:tc>
          <w:tcPr>
            <w:tcW w:w="960" w:type="dxa"/>
            <w:tcBorders>
              <w:top w:val="nil"/>
              <w:left w:val="nil"/>
              <w:bottom w:val="single" w:sz="8" w:space="0" w:color="000000"/>
              <w:right w:val="single" w:sz="8" w:space="0" w:color="000000"/>
            </w:tcBorders>
            <w:vAlign w:val="center"/>
            <w:hideMark/>
          </w:tcPr>
          <w:p w14:paraId="787754FB"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25,29</w:t>
            </w:r>
          </w:p>
        </w:tc>
        <w:tc>
          <w:tcPr>
            <w:tcW w:w="1180" w:type="dxa"/>
            <w:tcBorders>
              <w:top w:val="nil"/>
              <w:left w:val="nil"/>
              <w:bottom w:val="single" w:sz="8" w:space="0" w:color="000000"/>
              <w:right w:val="single" w:sz="4" w:space="0" w:color="000000"/>
            </w:tcBorders>
            <w:vAlign w:val="center"/>
            <w:hideMark/>
          </w:tcPr>
          <w:p w14:paraId="150412C7"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1264,50</w:t>
            </w:r>
          </w:p>
        </w:tc>
      </w:tr>
      <w:tr w:rsidR="006F7121" w:rsidRPr="006F7121" w14:paraId="1909A950"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3AF331ED"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19</w:t>
            </w:r>
          </w:p>
        </w:tc>
        <w:tc>
          <w:tcPr>
            <w:tcW w:w="2680" w:type="dxa"/>
            <w:tcBorders>
              <w:top w:val="nil"/>
              <w:left w:val="nil"/>
              <w:bottom w:val="single" w:sz="8" w:space="0" w:color="000000"/>
              <w:right w:val="single" w:sz="8" w:space="0" w:color="000000"/>
            </w:tcBorders>
            <w:vAlign w:val="center"/>
            <w:hideMark/>
          </w:tcPr>
          <w:p w14:paraId="1ECF22FF"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Registro de esfera fluxion 3/4 POL. PC RUA2 –DIR-P</w:t>
            </w:r>
          </w:p>
        </w:tc>
        <w:tc>
          <w:tcPr>
            <w:tcW w:w="1300" w:type="dxa"/>
            <w:tcBorders>
              <w:top w:val="nil"/>
              <w:left w:val="nil"/>
              <w:bottom w:val="single" w:sz="8" w:space="0" w:color="000000"/>
              <w:right w:val="single" w:sz="8" w:space="0" w:color="000000"/>
            </w:tcBorders>
            <w:vAlign w:val="center"/>
            <w:hideMark/>
          </w:tcPr>
          <w:p w14:paraId="0B7E5892"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09189AE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0FFB5CC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50</w:t>
            </w:r>
          </w:p>
        </w:tc>
        <w:tc>
          <w:tcPr>
            <w:tcW w:w="960" w:type="dxa"/>
            <w:tcBorders>
              <w:top w:val="nil"/>
              <w:left w:val="nil"/>
              <w:bottom w:val="single" w:sz="8" w:space="0" w:color="000000"/>
              <w:right w:val="single" w:sz="8" w:space="0" w:color="000000"/>
            </w:tcBorders>
            <w:vAlign w:val="center"/>
            <w:hideMark/>
          </w:tcPr>
          <w:p w14:paraId="3923BF86"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35,17</w:t>
            </w:r>
          </w:p>
        </w:tc>
        <w:tc>
          <w:tcPr>
            <w:tcW w:w="1180" w:type="dxa"/>
            <w:tcBorders>
              <w:top w:val="nil"/>
              <w:left w:val="nil"/>
              <w:bottom w:val="single" w:sz="8" w:space="0" w:color="000000"/>
              <w:right w:val="single" w:sz="4" w:space="0" w:color="000000"/>
            </w:tcBorders>
            <w:vAlign w:val="center"/>
            <w:hideMark/>
          </w:tcPr>
          <w:p w14:paraId="2B77411C"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1758,50</w:t>
            </w:r>
          </w:p>
        </w:tc>
      </w:tr>
      <w:tr w:rsidR="006F7121" w:rsidRPr="006F7121" w14:paraId="3B19876B"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22B1293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20</w:t>
            </w:r>
          </w:p>
        </w:tc>
        <w:tc>
          <w:tcPr>
            <w:tcW w:w="2680" w:type="dxa"/>
            <w:tcBorders>
              <w:top w:val="nil"/>
              <w:left w:val="nil"/>
              <w:bottom w:val="single" w:sz="8" w:space="0" w:color="000000"/>
              <w:right w:val="single" w:sz="8" w:space="0" w:color="000000"/>
            </w:tcBorders>
            <w:vAlign w:val="center"/>
            <w:hideMark/>
          </w:tcPr>
          <w:p w14:paraId="01881ECC"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Registro de esfera fluxion 3/8 POL. PC RUA2 –DIR-P</w:t>
            </w:r>
          </w:p>
        </w:tc>
        <w:tc>
          <w:tcPr>
            <w:tcW w:w="1300" w:type="dxa"/>
            <w:tcBorders>
              <w:top w:val="nil"/>
              <w:left w:val="nil"/>
              <w:bottom w:val="single" w:sz="8" w:space="0" w:color="000000"/>
              <w:right w:val="single" w:sz="8" w:space="0" w:color="000000"/>
            </w:tcBorders>
            <w:vAlign w:val="center"/>
            <w:hideMark/>
          </w:tcPr>
          <w:p w14:paraId="5E12217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789ADC9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680EB7D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50</w:t>
            </w:r>
          </w:p>
        </w:tc>
        <w:tc>
          <w:tcPr>
            <w:tcW w:w="960" w:type="dxa"/>
            <w:tcBorders>
              <w:top w:val="nil"/>
              <w:left w:val="nil"/>
              <w:bottom w:val="single" w:sz="8" w:space="0" w:color="000000"/>
              <w:right w:val="single" w:sz="8" w:space="0" w:color="000000"/>
            </w:tcBorders>
            <w:vAlign w:val="center"/>
            <w:hideMark/>
          </w:tcPr>
          <w:p w14:paraId="17B0C672"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25,26</w:t>
            </w:r>
          </w:p>
        </w:tc>
        <w:tc>
          <w:tcPr>
            <w:tcW w:w="1180" w:type="dxa"/>
            <w:tcBorders>
              <w:top w:val="nil"/>
              <w:left w:val="nil"/>
              <w:bottom w:val="single" w:sz="8" w:space="0" w:color="000000"/>
              <w:right w:val="single" w:sz="4" w:space="0" w:color="000000"/>
            </w:tcBorders>
            <w:vAlign w:val="center"/>
            <w:hideMark/>
          </w:tcPr>
          <w:p w14:paraId="73B9D47C"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1263,00</w:t>
            </w:r>
          </w:p>
        </w:tc>
      </w:tr>
      <w:tr w:rsidR="006F7121" w:rsidRPr="006F7121" w14:paraId="5E643A2D" w14:textId="77777777" w:rsidTr="006F7121">
        <w:trPr>
          <w:trHeight w:val="915"/>
        </w:trPr>
        <w:tc>
          <w:tcPr>
            <w:tcW w:w="700" w:type="dxa"/>
            <w:tcBorders>
              <w:top w:val="nil"/>
              <w:left w:val="single" w:sz="4" w:space="0" w:color="000000"/>
              <w:bottom w:val="single" w:sz="8" w:space="0" w:color="000000"/>
              <w:right w:val="single" w:sz="8" w:space="0" w:color="000000"/>
            </w:tcBorders>
            <w:vAlign w:val="center"/>
            <w:hideMark/>
          </w:tcPr>
          <w:p w14:paraId="5D6CDCC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21</w:t>
            </w:r>
          </w:p>
        </w:tc>
        <w:tc>
          <w:tcPr>
            <w:tcW w:w="2680" w:type="dxa"/>
            <w:tcBorders>
              <w:top w:val="nil"/>
              <w:left w:val="nil"/>
              <w:bottom w:val="single" w:sz="8" w:space="0" w:color="000000"/>
              <w:right w:val="single" w:sz="8" w:space="0" w:color="000000"/>
            </w:tcBorders>
            <w:vAlign w:val="center"/>
            <w:hideMark/>
          </w:tcPr>
          <w:p w14:paraId="345E8E05"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Trincha (pincel) 4 pol. Com cerdas Gris selecionadas modelo 395.</w:t>
            </w:r>
          </w:p>
        </w:tc>
        <w:tc>
          <w:tcPr>
            <w:tcW w:w="1300" w:type="dxa"/>
            <w:tcBorders>
              <w:top w:val="nil"/>
              <w:left w:val="nil"/>
              <w:bottom w:val="single" w:sz="8" w:space="0" w:color="000000"/>
              <w:right w:val="single" w:sz="8" w:space="0" w:color="000000"/>
            </w:tcBorders>
            <w:vAlign w:val="center"/>
            <w:hideMark/>
          </w:tcPr>
          <w:p w14:paraId="2A7B137C"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4EA74254"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01A878E5"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100</w:t>
            </w:r>
          </w:p>
        </w:tc>
        <w:tc>
          <w:tcPr>
            <w:tcW w:w="960" w:type="dxa"/>
            <w:tcBorders>
              <w:top w:val="nil"/>
              <w:left w:val="nil"/>
              <w:bottom w:val="single" w:sz="8" w:space="0" w:color="000000"/>
              <w:right w:val="single" w:sz="8" w:space="0" w:color="000000"/>
            </w:tcBorders>
            <w:vAlign w:val="center"/>
            <w:hideMark/>
          </w:tcPr>
          <w:p w14:paraId="37329DA4"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17,68</w:t>
            </w:r>
          </w:p>
        </w:tc>
        <w:tc>
          <w:tcPr>
            <w:tcW w:w="1180" w:type="dxa"/>
            <w:tcBorders>
              <w:top w:val="nil"/>
              <w:left w:val="nil"/>
              <w:bottom w:val="single" w:sz="8" w:space="0" w:color="000000"/>
              <w:right w:val="single" w:sz="4" w:space="0" w:color="000000"/>
            </w:tcBorders>
            <w:vAlign w:val="center"/>
            <w:hideMark/>
          </w:tcPr>
          <w:p w14:paraId="2BD67C1D"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1768,00</w:t>
            </w:r>
          </w:p>
        </w:tc>
      </w:tr>
      <w:tr w:rsidR="006F7121" w:rsidRPr="006F7121" w14:paraId="5AC4BA1F"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4618C1CA"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22</w:t>
            </w:r>
          </w:p>
        </w:tc>
        <w:tc>
          <w:tcPr>
            <w:tcW w:w="2680" w:type="dxa"/>
            <w:tcBorders>
              <w:top w:val="nil"/>
              <w:left w:val="nil"/>
              <w:bottom w:val="single" w:sz="8" w:space="0" w:color="000000"/>
              <w:right w:val="single" w:sz="8" w:space="0" w:color="000000"/>
            </w:tcBorders>
            <w:vAlign w:val="center"/>
            <w:hideMark/>
          </w:tcPr>
          <w:p w14:paraId="3ECF3C5F"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Chave Inglesa ajustável 12 Pol.</w:t>
            </w:r>
          </w:p>
        </w:tc>
        <w:tc>
          <w:tcPr>
            <w:tcW w:w="1300" w:type="dxa"/>
            <w:tcBorders>
              <w:top w:val="nil"/>
              <w:left w:val="nil"/>
              <w:bottom w:val="single" w:sz="8" w:space="0" w:color="000000"/>
              <w:right w:val="single" w:sz="8" w:space="0" w:color="000000"/>
            </w:tcBorders>
            <w:vAlign w:val="center"/>
            <w:hideMark/>
          </w:tcPr>
          <w:p w14:paraId="2F4BE81F"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0E14BE6A"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4CD9911E"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w:t>
            </w:r>
          </w:p>
        </w:tc>
        <w:tc>
          <w:tcPr>
            <w:tcW w:w="960" w:type="dxa"/>
            <w:tcBorders>
              <w:top w:val="nil"/>
              <w:left w:val="nil"/>
              <w:bottom w:val="single" w:sz="8" w:space="0" w:color="000000"/>
              <w:right w:val="single" w:sz="8" w:space="0" w:color="000000"/>
            </w:tcBorders>
            <w:vAlign w:val="center"/>
            <w:hideMark/>
          </w:tcPr>
          <w:p w14:paraId="51A116F8"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32,75</w:t>
            </w:r>
          </w:p>
        </w:tc>
        <w:tc>
          <w:tcPr>
            <w:tcW w:w="1180" w:type="dxa"/>
            <w:tcBorders>
              <w:top w:val="nil"/>
              <w:left w:val="nil"/>
              <w:bottom w:val="single" w:sz="8" w:space="0" w:color="000000"/>
              <w:right w:val="single" w:sz="4" w:space="0" w:color="000000"/>
            </w:tcBorders>
            <w:vAlign w:val="center"/>
            <w:hideMark/>
          </w:tcPr>
          <w:p w14:paraId="2BFB1797"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163,75</w:t>
            </w:r>
          </w:p>
        </w:tc>
      </w:tr>
      <w:tr w:rsidR="006F7121" w:rsidRPr="006F7121" w14:paraId="6B7B03C4"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48250EED"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23</w:t>
            </w:r>
          </w:p>
        </w:tc>
        <w:tc>
          <w:tcPr>
            <w:tcW w:w="2680" w:type="dxa"/>
            <w:tcBorders>
              <w:top w:val="nil"/>
              <w:left w:val="nil"/>
              <w:bottom w:val="single" w:sz="8" w:space="0" w:color="000000"/>
              <w:right w:val="single" w:sz="8" w:space="0" w:color="000000"/>
            </w:tcBorders>
            <w:vAlign w:val="center"/>
            <w:hideMark/>
          </w:tcPr>
          <w:p w14:paraId="50BA87DE"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Chave Inglesa ajustável 15 Pol.</w:t>
            </w:r>
          </w:p>
        </w:tc>
        <w:tc>
          <w:tcPr>
            <w:tcW w:w="1300" w:type="dxa"/>
            <w:tcBorders>
              <w:top w:val="nil"/>
              <w:left w:val="nil"/>
              <w:bottom w:val="single" w:sz="8" w:space="0" w:color="000000"/>
              <w:right w:val="single" w:sz="8" w:space="0" w:color="000000"/>
            </w:tcBorders>
            <w:vAlign w:val="center"/>
            <w:hideMark/>
          </w:tcPr>
          <w:p w14:paraId="1EFB2D7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250BCB3B"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50805539"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w:t>
            </w:r>
          </w:p>
        </w:tc>
        <w:tc>
          <w:tcPr>
            <w:tcW w:w="960" w:type="dxa"/>
            <w:tcBorders>
              <w:top w:val="nil"/>
              <w:left w:val="nil"/>
              <w:bottom w:val="single" w:sz="8" w:space="0" w:color="000000"/>
              <w:right w:val="single" w:sz="8" w:space="0" w:color="000000"/>
            </w:tcBorders>
            <w:vAlign w:val="center"/>
            <w:hideMark/>
          </w:tcPr>
          <w:p w14:paraId="66524DC9"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75,12</w:t>
            </w:r>
          </w:p>
        </w:tc>
        <w:tc>
          <w:tcPr>
            <w:tcW w:w="1180" w:type="dxa"/>
            <w:tcBorders>
              <w:top w:val="nil"/>
              <w:left w:val="nil"/>
              <w:bottom w:val="single" w:sz="8" w:space="0" w:color="000000"/>
              <w:right w:val="single" w:sz="4" w:space="0" w:color="000000"/>
            </w:tcBorders>
            <w:vAlign w:val="center"/>
            <w:hideMark/>
          </w:tcPr>
          <w:p w14:paraId="7E7F0F4D"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375,60</w:t>
            </w:r>
          </w:p>
        </w:tc>
      </w:tr>
      <w:tr w:rsidR="006F7121" w:rsidRPr="006F7121" w14:paraId="69BA6102" w14:textId="77777777" w:rsidTr="006F7121">
        <w:trPr>
          <w:trHeight w:val="615"/>
        </w:trPr>
        <w:tc>
          <w:tcPr>
            <w:tcW w:w="700" w:type="dxa"/>
            <w:tcBorders>
              <w:top w:val="nil"/>
              <w:left w:val="single" w:sz="4" w:space="0" w:color="000000"/>
              <w:bottom w:val="single" w:sz="8" w:space="0" w:color="000000"/>
              <w:right w:val="single" w:sz="8" w:space="0" w:color="000000"/>
            </w:tcBorders>
            <w:vAlign w:val="center"/>
            <w:hideMark/>
          </w:tcPr>
          <w:p w14:paraId="694C6DB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24</w:t>
            </w:r>
          </w:p>
        </w:tc>
        <w:tc>
          <w:tcPr>
            <w:tcW w:w="2680" w:type="dxa"/>
            <w:tcBorders>
              <w:top w:val="nil"/>
              <w:left w:val="nil"/>
              <w:bottom w:val="single" w:sz="8" w:space="0" w:color="000000"/>
              <w:right w:val="single" w:sz="8" w:space="0" w:color="000000"/>
            </w:tcBorders>
            <w:vAlign w:val="center"/>
            <w:hideMark/>
          </w:tcPr>
          <w:p w14:paraId="3419D488"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Fecho para fita de cintar poste em aço inox 3/4</w:t>
            </w:r>
          </w:p>
        </w:tc>
        <w:tc>
          <w:tcPr>
            <w:tcW w:w="1300" w:type="dxa"/>
            <w:tcBorders>
              <w:top w:val="nil"/>
              <w:left w:val="nil"/>
              <w:bottom w:val="single" w:sz="8" w:space="0" w:color="000000"/>
              <w:right w:val="single" w:sz="8" w:space="0" w:color="000000"/>
            </w:tcBorders>
            <w:vAlign w:val="center"/>
            <w:hideMark/>
          </w:tcPr>
          <w:p w14:paraId="5DFB3115"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 </w:t>
            </w:r>
          </w:p>
        </w:tc>
        <w:tc>
          <w:tcPr>
            <w:tcW w:w="700" w:type="dxa"/>
            <w:tcBorders>
              <w:top w:val="nil"/>
              <w:left w:val="nil"/>
              <w:bottom w:val="single" w:sz="8" w:space="0" w:color="000000"/>
              <w:right w:val="single" w:sz="8" w:space="0" w:color="000000"/>
            </w:tcBorders>
            <w:vAlign w:val="center"/>
            <w:hideMark/>
          </w:tcPr>
          <w:p w14:paraId="0896DE01"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single" w:sz="8" w:space="0" w:color="000000"/>
              <w:right w:val="single" w:sz="8" w:space="0" w:color="000000"/>
            </w:tcBorders>
            <w:vAlign w:val="center"/>
            <w:hideMark/>
          </w:tcPr>
          <w:p w14:paraId="1ECF8B01"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5000</w:t>
            </w:r>
          </w:p>
        </w:tc>
        <w:tc>
          <w:tcPr>
            <w:tcW w:w="960" w:type="dxa"/>
            <w:tcBorders>
              <w:top w:val="nil"/>
              <w:left w:val="nil"/>
              <w:bottom w:val="single" w:sz="8" w:space="0" w:color="000000"/>
              <w:right w:val="single" w:sz="8" w:space="0" w:color="000000"/>
            </w:tcBorders>
            <w:vAlign w:val="center"/>
            <w:hideMark/>
          </w:tcPr>
          <w:p w14:paraId="1B147983"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1,89</w:t>
            </w:r>
          </w:p>
        </w:tc>
        <w:tc>
          <w:tcPr>
            <w:tcW w:w="1180" w:type="dxa"/>
            <w:tcBorders>
              <w:top w:val="nil"/>
              <w:left w:val="nil"/>
              <w:bottom w:val="single" w:sz="8" w:space="0" w:color="000000"/>
              <w:right w:val="single" w:sz="4" w:space="0" w:color="000000"/>
            </w:tcBorders>
            <w:vAlign w:val="center"/>
            <w:hideMark/>
          </w:tcPr>
          <w:p w14:paraId="7B864963"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9450,00</w:t>
            </w:r>
          </w:p>
        </w:tc>
      </w:tr>
      <w:tr w:rsidR="006F7121" w:rsidRPr="006F7121" w14:paraId="35C17D83" w14:textId="77777777" w:rsidTr="006F7121">
        <w:trPr>
          <w:trHeight w:val="915"/>
        </w:trPr>
        <w:tc>
          <w:tcPr>
            <w:tcW w:w="700" w:type="dxa"/>
            <w:tcBorders>
              <w:top w:val="nil"/>
              <w:left w:val="single" w:sz="4" w:space="0" w:color="000000"/>
              <w:bottom w:val="nil"/>
              <w:right w:val="single" w:sz="8" w:space="0" w:color="000000"/>
            </w:tcBorders>
            <w:vAlign w:val="center"/>
            <w:hideMark/>
          </w:tcPr>
          <w:p w14:paraId="2E288848"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25</w:t>
            </w:r>
          </w:p>
        </w:tc>
        <w:tc>
          <w:tcPr>
            <w:tcW w:w="2680" w:type="dxa"/>
            <w:tcBorders>
              <w:top w:val="nil"/>
              <w:left w:val="nil"/>
              <w:bottom w:val="nil"/>
              <w:right w:val="single" w:sz="8" w:space="0" w:color="000000"/>
            </w:tcBorders>
            <w:vAlign w:val="center"/>
            <w:hideMark/>
          </w:tcPr>
          <w:p w14:paraId="640103FA" w14:textId="77777777" w:rsidR="006F7121" w:rsidRPr="006F7121" w:rsidRDefault="006F7121" w:rsidP="006F7121">
            <w:pPr>
              <w:spacing w:after="0" w:line="240" w:lineRule="auto"/>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Máquina de solda inversora MMA Easy 140 A 220 v portátil com alça</w:t>
            </w:r>
          </w:p>
        </w:tc>
        <w:tc>
          <w:tcPr>
            <w:tcW w:w="1300" w:type="dxa"/>
            <w:tcBorders>
              <w:top w:val="nil"/>
              <w:left w:val="nil"/>
              <w:bottom w:val="nil"/>
              <w:right w:val="single" w:sz="8" w:space="0" w:color="000000"/>
            </w:tcBorders>
            <w:vAlign w:val="center"/>
            <w:hideMark/>
          </w:tcPr>
          <w:p w14:paraId="16027526"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BALMER</w:t>
            </w:r>
          </w:p>
        </w:tc>
        <w:tc>
          <w:tcPr>
            <w:tcW w:w="700" w:type="dxa"/>
            <w:tcBorders>
              <w:top w:val="nil"/>
              <w:left w:val="nil"/>
              <w:bottom w:val="nil"/>
              <w:right w:val="single" w:sz="8" w:space="0" w:color="000000"/>
            </w:tcBorders>
            <w:vAlign w:val="center"/>
            <w:hideMark/>
          </w:tcPr>
          <w:p w14:paraId="7754F8C9"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UN</w:t>
            </w:r>
          </w:p>
        </w:tc>
        <w:tc>
          <w:tcPr>
            <w:tcW w:w="880" w:type="dxa"/>
            <w:tcBorders>
              <w:top w:val="nil"/>
              <w:left w:val="nil"/>
              <w:bottom w:val="nil"/>
              <w:right w:val="single" w:sz="8" w:space="0" w:color="000000"/>
            </w:tcBorders>
            <w:vAlign w:val="center"/>
            <w:hideMark/>
          </w:tcPr>
          <w:p w14:paraId="11D929E3" w14:textId="77777777" w:rsidR="006F7121" w:rsidRPr="006F7121" w:rsidRDefault="006F7121" w:rsidP="006F7121">
            <w:pPr>
              <w:spacing w:after="0" w:line="240" w:lineRule="auto"/>
              <w:jc w:val="center"/>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1</w:t>
            </w:r>
          </w:p>
        </w:tc>
        <w:tc>
          <w:tcPr>
            <w:tcW w:w="960" w:type="dxa"/>
            <w:tcBorders>
              <w:top w:val="nil"/>
              <w:left w:val="nil"/>
              <w:bottom w:val="nil"/>
              <w:right w:val="single" w:sz="8" w:space="0" w:color="000000"/>
            </w:tcBorders>
            <w:vAlign w:val="center"/>
            <w:hideMark/>
          </w:tcPr>
          <w:p w14:paraId="5328AE79"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591,39</w:t>
            </w:r>
          </w:p>
        </w:tc>
        <w:tc>
          <w:tcPr>
            <w:tcW w:w="1180" w:type="dxa"/>
            <w:tcBorders>
              <w:top w:val="nil"/>
              <w:left w:val="nil"/>
              <w:bottom w:val="single" w:sz="8" w:space="0" w:color="000000"/>
              <w:right w:val="single" w:sz="4" w:space="0" w:color="000000"/>
            </w:tcBorders>
            <w:vAlign w:val="center"/>
            <w:hideMark/>
          </w:tcPr>
          <w:p w14:paraId="5ABA3CF6" w14:textId="77777777" w:rsidR="006F7121" w:rsidRPr="006F7121" w:rsidRDefault="006F7121" w:rsidP="006F7121">
            <w:pPr>
              <w:spacing w:after="0" w:line="240" w:lineRule="auto"/>
              <w:jc w:val="right"/>
              <w:rPr>
                <w:rFonts w:ascii="Calibri" w:eastAsia="Times New Roman" w:hAnsi="Calibri" w:cs="Calibri"/>
                <w:color w:val="000000"/>
                <w:kern w:val="0"/>
                <w:lang w:eastAsia="pt-BR"/>
                <w14:ligatures w14:val="none"/>
              </w:rPr>
            </w:pPr>
            <w:r w:rsidRPr="006F7121">
              <w:rPr>
                <w:rFonts w:ascii="Calibri" w:eastAsia="Times New Roman" w:hAnsi="Calibri" w:cs="Calibri"/>
                <w:color w:val="000000"/>
                <w:kern w:val="0"/>
                <w:lang w:eastAsia="pt-BR"/>
                <w14:ligatures w14:val="none"/>
              </w:rPr>
              <w:t>591,39</w:t>
            </w:r>
          </w:p>
        </w:tc>
      </w:tr>
      <w:tr w:rsidR="006F7121" w:rsidRPr="006F7121" w14:paraId="377D643A" w14:textId="77777777" w:rsidTr="006F7121">
        <w:trPr>
          <w:trHeight w:val="315"/>
        </w:trPr>
        <w:tc>
          <w:tcPr>
            <w:tcW w:w="7220" w:type="dxa"/>
            <w:gridSpan w:val="6"/>
            <w:tcBorders>
              <w:top w:val="single" w:sz="4" w:space="0" w:color="auto"/>
              <w:left w:val="single" w:sz="4" w:space="0" w:color="auto"/>
              <w:bottom w:val="single" w:sz="4" w:space="0" w:color="auto"/>
              <w:right w:val="single" w:sz="4" w:space="0" w:color="auto"/>
            </w:tcBorders>
            <w:noWrap/>
            <w:vAlign w:val="bottom"/>
            <w:hideMark/>
          </w:tcPr>
          <w:p w14:paraId="5AF8E3C1" w14:textId="77777777" w:rsidR="006F7121" w:rsidRPr="006F7121" w:rsidRDefault="006F7121" w:rsidP="006F7121">
            <w:pPr>
              <w:spacing w:after="0" w:line="240" w:lineRule="auto"/>
              <w:jc w:val="center"/>
              <w:rPr>
                <w:rFonts w:ascii="Calibri" w:eastAsia="Times New Roman" w:hAnsi="Calibri" w:cs="Calibri"/>
                <w:b/>
                <w:bCs/>
                <w:color w:val="000000"/>
                <w:kern w:val="0"/>
                <w:sz w:val="24"/>
                <w:szCs w:val="24"/>
                <w:lang w:eastAsia="pt-BR"/>
                <w14:ligatures w14:val="none"/>
              </w:rPr>
            </w:pPr>
            <w:r w:rsidRPr="006F7121">
              <w:rPr>
                <w:rFonts w:ascii="Calibri" w:eastAsia="Times New Roman" w:hAnsi="Calibri" w:cs="Calibri"/>
                <w:b/>
                <w:bCs/>
                <w:color w:val="000000"/>
                <w:kern w:val="0"/>
                <w:sz w:val="24"/>
                <w:szCs w:val="24"/>
                <w:lang w:eastAsia="pt-BR"/>
                <w14:ligatures w14:val="none"/>
              </w:rPr>
              <w:t>TOTAL GERAL</w:t>
            </w:r>
          </w:p>
        </w:tc>
        <w:tc>
          <w:tcPr>
            <w:tcW w:w="1180" w:type="dxa"/>
            <w:tcBorders>
              <w:top w:val="single" w:sz="4" w:space="0" w:color="auto"/>
              <w:left w:val="nil"/>
              <w:bottom w:val="single" w:sz="4" w:space="0" w:color="auto"/>
              <w:right w:val="single" w:sz="4" w:space="0" w:color="auto"/>
            </w:tcBorders>
            <w:noWrap/>
            <w:vAlign w:val="bottom"/>
            <w:hideMark/>
          </w:tcPr>
          <w:p w14:paraId="194642CD" w14:textId="77777777" w:rsidR="006F7121" w:rsidRPr="006F7121" w:rsidRDefault="006F7121" w:rsidP="006F7121">
            <w:pPr>
              <w:spacing w:after="0" w:line="240" w:lineRule="auto"/>
              <w:jc w:val="right"/>
              <w:rPr>
                <w:rFonts w:ascii="Calibri" w:eastAsia="Times New Roman" w:hAnsi="Calibri" w:cs="Calibri"/>
                <w:b/>
                <w:bCs/>
                <w:color w:val="000000"/>
                <w:kern w:val="0"/>
                <w:sz w:val="24"/>
                <w:szCs w:val="24"/>
                <w:lang w:eastAsia="pt-BR"/>
                <w14:ligatures w14:val="none"/>
              </w:rPr>
            </w:pPr>
            <w:r w:rsidRPr="006F7121">
              <w:rPr>
                <w:rFonts w:ascii="Calibri" w:eastAsia="Times New Roman" w:hAnsi="Calibri" w:cs="Calibri"/>
                <w:b/>
                <w:bCs/>
                <w:color w:val="000000"/>
                <w:kern w:val="0"/>
                <w:sz w:val="24"/>
                <w:szCs w:val="24"/>
                <w:lang w:eastAsia="pt-BR"/>
                <w14:ligatures w14:val="none"/>
              </w:rPr>
              <w:t>31589,49</w:t>
            </w:r>
          </w:p>
        </w:tc>
      </w:tr>
    </w:tbl>
    <w:p w14:paraId="56CAC25A" w14:textId="7B5A25AD" w:rsidR="006F7121" w:rsidRDefault="006F7121" w:rsidP="00564931">
      <w:pPr>
        <w:spacing w:before="15" w:after="0" w:line="240" w:lineRule="auto"/>
        <w:rPr>
          <w:rFonts w:ascii="Times New Roman" w:eastAsia="Times New Roman" w:hAnsi="Times New Roman" w:cs="Times New Roman"/>
          <w:color w:val="000000"/>
          <w:kern w:val="0"/>
          <w:sz w:val="27"/>
          <w:szCs w:val="27"/>
          <w:lang w:eastAsia="pt-BR"/>
          <w14:ligatures w14:val="none"/>
        </w:rPr>
      </w:pPr>
    </w:p>
    <w:p w14:paraId="71BA7FBD" w14:textId="77777777" w:rsidR="006F7121" w:rsidRDefault="006F7121" w:rsidP="00564931">
      <w:pPr>
        <w:spacing w:before="15" w:after="0" w:line="240" w:lineRule="auto"/>
        <w:rPr>
          <w:rFonts w:ascii="Times New Roman" w:eastAsia="Times New Roman" w:hAnsi="Times New Roman" w:cs="Times New Roman"/>
          <w:color w:val="000000"/>
          <w:kern w:val="0"/>
          <w:sz w:val="27"/>
          <w:szCs w:val="27"/>
          <w:lang w:eastAsia="pt-BR"/>
          <w14:ligatures w14:val="none"/>
        </w:rPr>
      </w:pPr>
    </w:p>
    <w:p w14:paraId="5728D57B" w14:textId="77777777" w:rsidR="006F7121" w:rsidRPr="00A470D7" w:rsidRDefault="006F7121" w:rsidP="00564931">
      <w:pPr>
        <w:spacing w:before="15" w:after="0" w:line="240" w:lineRule="auto"/>
        <w:rPr>
          <w:rFonts w:ascii="Times New Roman" w:eastAsia="Times New Roman" w:hAnsi="Times New Roman" w:cs="Times New Roman"/>
          <w:color w:val="000000"/>
          <w:kern w:val="0"/>
          <w:sz w:val="27"/>
          <w:szCs w:val="27"/>
          <w:lang w:eastAsia="pt-BR"/>
          <w14:ligatures w14:val="none"/>
        </w:rPr>
      </w:pPr>
    </w:p>
    <w:p w14:paraId="5780286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1.3. O critério de julgamento adotado será o menor preço, observadas as exigências contidas neste Aviso de Contratação Direta quanto às especificações do objeto.</w:t>
      </w:r>
    </w:p>
    <w:p w14:paraId="6A99E5E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2D15D8D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2. PARTICIPAÇÃO NA DISPENSA ELETRÔNICA</w:t>
      </w:r>
    </w:p>
    <w:p w14:paraId="3A2D591F" w14:textId="7101729B"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2.1 A participação na presente dispensa eletrônica se dará mediante Sistema de Dispensa Eletrônica integrante do ao Sistema de Compras do Governo Federal – Compras</w:t>
      </w:r>
      <w:r w:rsidR="00874CB5" w:rsidRPr="0012169B">
        <w:rPr>
          <w:rFonts w:ascii="Calibri" w:eastAsia="Times New Roman" w:hAnsi="Calibri" w:cs="Calibri"/>
          <w:color w:val="000000"/>
          <w:kern w:val="0"/>
          <w:sz w:val="24"/>
          <w:szCs w:val="24"/>
          <w:lang w:eastAsia="pt-BR"/>
          <w14:ligatures w14:val="none"/>
        </w:rPr>
        <w:t>n</w:t>
      </w:r>
      <w:r w:rsidRPr="0012169B">
        <w:rPr>
          <w:rFonts w:ascii="Calibri" w:eastAsia="Times New Roman" w:hAnsi="Calibri" w:cs="Calibri"/>
          <w:color w:val="000000"/>
          <w:kern w:val="0"/>
          <w:sz w:val="24"/>
          <w:szCs w:val="24"/>
          <w:lang w:eastAsia="pt-BR"/>
          <w14:ligatures w14:val="none"/>
        </w:rPr>
        <w:t>et 4.0, disponível no endereço eletrônico: </w:t>
      </w:r>
      <w:hyperlink r:id="rId5" w:tgtFrame="_blank" w:history="1">
        <w:r w:rsidRPr="0012169B">
          <w:rPr>
            <w:rFonts w:ascii="Calibri" w:eastAsia="Times New Roman" w:hAnsi="Calibri" w:cs="Calibri"/>
            <w:color w:val="0000FF"/>
            <w:kern w:val="0"/>
            <w:sz w:val="24"/>
            <w:szCs w:val="24"/>
            <w:u w:val="single"/>
            <w:lang w:eastAsia="pt-BR"/>
            <w14:ligatures w14:val="none"/>
          </w:rPr>
          <w:t>https://www.gov.br/compras/pt-br</w:t>
        </w:r>
      </w:hyperlink>
    </w:p>
    <w:p w14:paraId="78C0D4F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2.2 Os fornecedores deverão atender aos procedimentos previstos no Manual do Sistema de Dispensa Eletrônica, disponível no Portal de Compras do Governo Federal, para acesso ao sistema e operacionalização.</w:t>
      </w:r>
    </w:p>
    <w:p w14:paraId="18B8399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 Não poderão participar desta dispensa os fornecedores:</w:t>
      </w:r>
    </w:p>
    <w:p w14:paraId="6E853E2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2.3.1 que não atendam às condições deste Aviso de Contratação Direta e seu(s) anexo(s);</w:t>
      </w:r>
    </w:p>
    <w:p w14:paraId="08AD324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2.3.2 estrangeiros que não tenham representação legal no Brasil com poderes expressos para receber citação e responder administrativa ou judicialmente;</w:t>
      </w:r>
    </w:p>
    <w:p w14:paraId="776EDA4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2.3.3 que se enquadrem nas seguintes vedações:</w:t>
      </w:r>
    </w:p>
    <w:p w14:paraId="72B8EC1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2.3.3.1 pessoa física ou jurídica que se encontre, ao tempo da contratação, impossibilitada de contratar em decorrência de sanção que lhe foi imposta;</w:t>
      </w:r>
    </w:p>
    <w:p w14:paraId="3B46634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2.3.3.2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5C9AA7"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2.3.3.3 empresas controladoras, controladas ou coligadas, nos termos da Lei nº 6.404, de 15 de dezembro de 1976, concorrendo entre si;</w:t>
      </w:r>
    </w:p>
    <w:p w14:paraId="79A5C10C" w14:textId="5F89D986"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2.3.3.4</w:t>
      </w:r>
      <w:r w:rsidR="000D55D9">
        <w:rPr>
          <w:rFonts w:ascii="Calibri" w:eastAsia="Times New Roman" w:hAnsi="Calibri" w:cs="Calibri"/>
          <w:color w:val="000000"/>
          <w:kern w:val="0"/>
          <w:sz w:val="24"/>
          <w:szCs w:val="24"/>
          <w:lang w:eastAsia="pt-BR"/>
          <w14:ligatures w14:val="none"/>
        </w:rPr>
        <w:t>.</w:t>
      </w:r>
      <w:r w:rsidRPr="0012169B">
        <w:rPr>
          <w:rFonts w:ascii="Calibri" w:eastAsia="Times New Roman" w:hAnsi="Calibri" w:cs="Calibri"/>
          <w:color w:val="000000"/>
          <w:kern w:val="0"/>
          <w:sz w:val="24"/>
          <w:szCs w:val="24"/>
          <w:lang w:eastAsia="pt-BR"/>
          <w14:ligatures w14:val="none"/>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6EBD507" w14:textId="0E7FFFED"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2.4</w:t>
      </w:r>
      <w:r w:rsidR="000D55D9">
        <w:rPr>
          <w:rFonts w:ascii="Calibri" w:eastAsia="Times New Roman" w:hAnsi="Calibri" w:cs="Calibri"/>
          <w:color w:val="000000"/>
          <w:kern w:val="0"/>
          <w:sz w:val="24"/>
          <w:szCs w:val="24"/>
          <w:lang w:eastAsia="pt-BR"/>
          <w14:ligatures w14:val="none"/>
        </w:rPr>
        <w:t>.</w:t>
      </w:r>
      <w:r w:rsidRPr="0012169B">
        <w:rPr>
          <w:rFonts w:ascii="Calibri" w:eastAsia="Times New Roman" w:hAnsi="Calibri" w:cs="Calibri"/>
          <w:color w:val="000000"/>
          <w:kern w:val="0"/>
          <w:sz w:val="24"/>
          <w:szCs w:val="24"/>
          <w:lang w:eastAsia="pt-BR"/>
          <w14:ligatures w14:val="none"/>
        </w:rPr>
        <w:t xml:space="preserve"> Aplica-se o disposto no 2.3.3.1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0586E8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 </w:t>
      </w:r>
    </w:p>
    <w:p w14:paraId="5B93C8C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3. INGRESSO NA DISPENSA ELETRÔNICA E CADASTRAMENTO DA PROPOSTA INICIAL</w:t>
      </w:r>
    </w:p>
    <w:p w14:paraId="4F89DDB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3.1. O ingresso do fornecedor na disputa da dispensa eletrônica se dará com o cadastramento de sua proposta inicial, na forma deste item.</w:t>
      </w:r>
    </w:p>
    <w:p w14:paraId="770CC8BE"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07E117E"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71DAF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3.3. Todas as especificações do objeto contidas na proposta, em especial o preço, vinculam a Contratada.</w:t>
      </w:r>
    </w:p>
    <w:p w14:paraId="0DEA783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3.4. Nos valores propostos estarão inclusos todos os custos operacionais, encargos previdenciários, trabalhistas, tributários, comerciais e quaisquer outros que incidam direta ou indiretamente na prestação dos serviços;</w:t>
      </w:r>
    </w:p>
    <w:p w14:paraId="7713D10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3.4.1. Os preços ofertados, tanto na proposta inicial, quanto na etapa de lances, serão de exclusiva responsabilidade do fornecedor, não lhe assistindo o direito de pleitear qualquer alteração, sob alegação de erro, omissão ou qualquer outro pretexto.</w:t>
      </w:r>
    </w:p>
    <w:p w14:paraId="4E4769C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3.5. Se o regime tributário da empresa implicar o recolhimento de tributos em percentuais variáveis, a cotação adequada será a que corresponde à média dos efetivos recolhimentos da empresa nos últimos doze meses.</w:t>
      </w:r>
    </w:p>
    <w:p w14:paraId="24B144DE"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3.6. Independentemente do percentual de tributo inserido na planilha, no pagamento serão retidos na fonte os percentuais estabelecidos na legislação vigente.</w:t>
      </w:r>
    </w:p>
    <w:p w14:paraId="3FABC91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4F874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3.8. No cadastramento da proposta inicial, o fornecedor deverá, também, assinalar “sim” ou “não” em campo próprio do sistema eletrônico, às seguintes declarações:</w:t>
      </w:r>
    </w:p>
    <w:p w14:paraId="520465A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3.8.1. que inexistem fatos impeditivos para sua habilitação no certame, ciente da obrigatoriedade de declarar ocorrências posteriores;</w:t>
      </w:r>
    </w:p>
    <w:p w14:paraId="0DBDD6B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3.8.2. que cumpre os requisitos estabelecidos no artigo 3° da Lei Complementar nº 123, de 2006, estando apto a usufruir do tratamento favorecido estabelecido em seus artigos 42 a 49.</w:t>
      </w:r>
    </w:p>
    <w:p w14:paraId="46E248A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3.8.3. que está ciente e concorda com as condições contidas no Aviso de Contratação Direta e seus anexos;</w:t>
      </w:r>
    </w:p>
    <w:p w14:paraId="7208F36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3.8.4. que assume a responsabilidade pelas transações que forem efetuadas no sistema, assumindo como firmes e verdadeiras;</w:t>
      </w:r>
    </w:p>
    <w:p w14:paraId="5C6F532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3.8.5. que cumpre as exigências de reserva de cargos para pessoa com deficiência e para reabilitado da Previdência Social, de que trata o art. 93 da Lei nº 8.213/91;</w:t>
      </w:r>
    </w:p>
    <w:p w14:paraId="35D59546"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3.8.6. que não emprega menor de 18 anos em trabalho noturno, perigoso ou insalubre e não emprega menor de 16 anos, salvo menor, a partir de 14 anos, na condição de aprendiz, nos termos do artigo 7°, XXXIII, da Constituição.</w:t>
      </w:r>
    </w:p>
    <w:p w14:paraId="5DCC684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05CA7C4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4. FASE DE LANCES</w:t>
      </w:r>
    </w:p>
    <w:p w14:paraId="440ED157"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4.1. A partir das 8h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0781C1C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4.2. Iniciada a etapa competitiva, os fornecedores deverão encaminhar lances exclusivamente por meio de sistema eletrônico, sendo imediatamente informados do seu recebimento e do valor consignado no registro.</w:t>
      </w:r>
    </w:p>
    <w:p w14:paraId="17F3107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4.2.1. O lance deverá ser ofertado pelo valor unitário do item.</w:t>
      </w:r>
    </w:p>
    <w:p w14:paraId="62CA4DC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4.3. O fornecedor somente poderá oferecer valor inferior ou maior percentual de desconto em relação ao último lance por ele ofertado e registrado pelo sistema.</w:t>
      </w:r>
    </w:p>
    <w:p w14:paraId="0617F617"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048757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4.4. Havendo lances iguais ao menor já ofertado, prevalecerá aquele que for recebido e registrado primeiro no sistema.</w:t>
      </w:r>
    </w:p>
    <w:p w14:paraId="56CE6CE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4.5. Caso o fornecedor não apresente lances, concorrerá com o valor de sua proposta.</w:t>
      </w:r>
    </w:p>
    <w:p w14:paraId="4833E51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4.6. Durante o procedimento, os fornecedores serão informados, em tempo real, do valor do menor lance registrado, vedada a identificação do fornecedor.</w:t>
      </w:r>
    </w:p>
    <w:p w14:paraId="09E90FD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4.7. Imediatamente após o término do prazo estabelecido para a fase de lances, haverá o seu encerramento, com o ordenamento e divulgação dos lances, pelo sistema, em ordem crescente de classificação.</w:t>
      </w:r>
    </w:p>
    <w:p w14:paraId="4D111BB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4.7.1. O encerramento da fase de lances ocorrerá de forma automática pontualmente no horário indicado, sem qualquer possibilidade de prorrogação e não havendo tempo aleatório ou mecanismo similar.</w:t>
      </w:r>
    </w:p>
    <w:p w14:paraId="24623F2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681DDA6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5. JULGAMENTO DAS PROPOSTAS DE PREÇO</w:t>
      </w:r>
    </w:p>
    <w:p w14:paraId="5C5007A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5.1. Encerrada a fase de lances, será verificada a conformidade da proposta classificada em primeiro lugar quanto à adequação do objeto e à compatibilidade do preço em relação ao estipulado para a contratação.</w:t>
      </w:r>
    </w:p>
    <w:p w14:paraId="05420C3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5.2. Estando o preço compatível, será solicitado o envio da proposta e, se necessário, de documentos complementares, adequada ao último lance.</w:t>
      </w:r>
    </w:p>
    <w:p w14:paraId="51DAD066"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5.3. O prazo de validade da proposta não será inferior a 60 (sessenta) dias</w:t>
      </w:r>
      <w:r w:rsidRPr="0012169B">
        <w:rPr>
          <w:rFonts w:ascii="Calibri" w:eastAsia="Times New Roman" w:hAnsi="Calibri" w:cs="Calibri"/>
          <w:b/>
          <w:bCs/>
          <w:color w:val="000000"/>
          <w:kern w:val="0"/>
          <w:sz w:val="24"/>
          <w:szCs w:val="24"/>
          <w:lang w:eastAsia="pt-BR"/>
          <w14:ligatures w14:val="none"/>
        </w:rPr>
        <w:t>, </w:t>
      </w:r>
      <w:r w:rsidRPr="0012169B">
        <w:rPr>
          <w:rFonts w:ascii="Calibri" w:eastAsia="Times New Roman" w:hAnsi="Calibri" w:cs="Calibri"/>
          <w:color w:val="000000"/>
          <w:kern w:val="0"/>
          <w:sz w:val="24"/>
          <w:szCs w:val="24"/>
          <w:lang w:eastAsia="pt-BR"/>
          <w14:ligatures w14:val="none"/>
        </w:rPr>
        <w:t>a contar da data de sua apresentação.</w:t>
      </w:r>
    </w:p>
    <w:p w14:paraId="5279CB0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5.4. Será desclassificada a proposta vencedora que:</w:t>
      </w:r>
    </w:p>
    <w:p w14:paraId="256E633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5.4.1. contiver vícios insanáveis;</w:t>
      </w:r>
    </w:p>
    <w:p w14:paraId="16E1447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5.4.2. não obedecer às especificações técnicas pormenorizadas neste aviso ou em seus anexos;</w:t>
      </w:r>
    </w:p>
    <w:p w14:paraId="5B0C835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5.4.3. apresentar preços inexequíveis ou permanecerem acima do preço máximo definido para a contratação;</w:t>
      </w:r>
    </w:p>
    <w:p w14:paraId="0A18637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5.4.4. não tiverem sua exequibilidade demonstrada, quando exigido pela Administração;</w:t>
      </w:r>
    </w:p>
    <w:p w14:paraId="64ACE6E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5.4.5. apresentar desconformidade com quaisquer outras exigências deste aviso ou seus anexos, desde que insanável.</w:t>
      </w:r>
    </w:p>
    <w:p w14:paraId="5822425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5.5. Se houver indícios de inexequibilidade da proposta de preço, ou em caso da necessidade de esclarecimentos complementares, poderão ser efetuadas diligências, para que a empresa comprova a exequibilidade da proposta.</w:t>
      </w:r>
    </w:p>
    <w:p w14:paraId="3558066E"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5.6. Erros no preenchimento da planilha não constituem motivo para a desclassificação da proposta. A planilha poderá́ ser ajustada pelo fornecedor, no prazo indicado pelo sistema, desde que não haja majoração do preço.</w:t>
      </w:r>
    </w:p>
    <w:p w14:paraId="0CFB895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5.6.1. O ajuste de que trata este dispositivo se limita a sanar erros ou falhas que não alterem a substância das propostas;</w:t>
      </w:r>
    </w:p>
    <w:p w14:paraId="28D0D79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5.6.2. Considera-se erro no preenchimento da planilha passível de correção a indicação de recolhimento de impostos e contribuições na forma do Simples Nacional, quando não cabível esse regime.</w:t>
      </w:r>
    </w:p>
    <w:p w14:paraId="6EEAFDB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5.7. Para fins de análise da proposta quanto ao cumprimento das especificações do objeto, poderá ser colhida a manifestação escrita do setor requisitante do serviço ou da área especializada no objeto.</w:t>
      </w:r>
    </w:p>
    <w:p w14:paraId="4815259C"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5.8. Se a proposta ou lance vencedor for desclassificado, será examinada a proposta ou lance subsequente, e, assim sucessivamente, na ordem de classificação.</w:t>
      </w:r>
    </w:p>
    <w:p w14:paraId="6E50A58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5.9. Havendo necessidade, a sessão será suspensa, informando-se no “chat” a nova data e horário para a sua continuidade.</w:t>
      </w:r>
    </w:p>
    <w:p w14:paraId="26EA9C9C"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5.10. Encerrada a análise quanto à aceitação da proposta, se iniciará a fase de habilitação, observado o disposto neste Aviso de Contratação Direta.</w:t>
      </w:r>
    </w:p>
    <w:p w14:paraId="1186D6A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7CE49CA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6. HABILITAÇÃO</w:t>
      </w:r>
    </w:p>
    <w:p w14:paraId="695B8FE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6.1. Os documentos a serem exigidos para fins de habilitação constam do </w:t>
      </w:r>
      <w:r w:rsidRPr="0012169B">
        <w:rPr>
          <w:rFonts w:ascii="Calibri" w:eastAsia="Times New Roman" w:hAnsi="Calibri" w:cs="Calibri"/>
          <w:b/>
          <w:bCs/>
          <w:color w:val="000000"/>
          <w:kern w:val="0"/>
          <w:sz w:val="24"/>
          <w:szCs w:val="24"/>
          <w:lang w:eastAsia="pt-BR"/>
          <w14:ligatures w14:val="none"/>
        </w:rPr>
        <w:t>ANEXO I – DOCUMENTAÇÃO EXIGIDA PARA HABILITAÇÃO </w:t>
      </w:r>
      <w:r w:rsidRPr="0012169B">
        <w:rPr>
          <w:rFonts w:ascii="Calibri" w:eastAsia="Times New Roman" w:hAnsi="Calibri" w:cs="Calibri"/>
          <w:color w:val="000000"/>
          <w:kern w:val="0"/>
          <w:sz w:val="24"/>
          <w:szCs w:val="24"/>
          <w:lang w:eastAsia="pt-BR"/>
          <w14:ligatures w14:val="none"/>
        </w:rPr>
        <w:t>deste aviso e serão solicitados do fornecedor mais bem classificado da fase de lances.</w:t>
      </w:r>
    </w:p>
    <w:p w14:paraId="78ACA93E"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12E5BA4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a) SICAF;</w:t>
      </w:r>
    </w:p>
    <w:p w14:paraId="1228920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b) Cadastro Nacional de Empresas Inidôneas e Suspensas - CEIS, mantido pela Controladoria-Geral da União (</w:t>
      </w:r>
      <w:hyperlink r:id="rId6" w:tgtFrame="_blank" w:history="1">
        <w:r w:rsidRPr="0012169B">
          <w:rPr>
            <w:rFonts w:ascii="Calibri" w:eastAsia="Times New Roman" w:hAnsi="Calibri" w:cs="Calibri"/>
            <w:color w:val="0000FF"/>
            <w:kern w:val="0"/>
            <w:sz w:val="24"/>
            <w:szCs w:val="24"/>
            <w:u w:val="single"/>
            <w:lang w:eastAsia="pt-BR"/>
            <w14:ligatures w14:val="none"/>
          </w:rPr>
          <w:t>www.portaldatransparencia.gov.br/ceis);</w:t>
        </w:r>
      </w:hyperlink>
    </w:p>
    <w:p w14:paraId="39762A7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c) Cadastro Nacional de Condenações Cíveis por Atos de Improbidade Administrativa, mantido pelo Conselho Nacional de Justiça (</w:t>
      </w:r>
      <w:hyperlink r:id="rId7" w:tgtFrame="_blank" w:history="1">
        <w:r w:rsidRPr="0012169B">
          <w:rPr>
            <w:rFonts w:ascii="Calibri" w:eastAsia="Times New Roman" w:hAnsi="Calibri" w:cs="Calibri"/>
            <w:color w:val="0000FF"/>
            <w:kern w:val="0"/>
            <w:sz w:val="24"/>
            <w:szCs w:val="24"/>
            <w:u w:val="single"/>
            <w:lang w:eastAsia="pt-BR"/>
            <w14:ligatures w14:val="none"/>
          </w:rPr>
          <w:t>www.cnj.jus.br/improbidade_adm/consultar_requerido.php).</w:t>
        </w:r>
      </w:hyperlink>
    </w:p>
    <w:p w14:paraId="054926D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d) Lista de Inidôneos mantida pelo Tribunal de Contas da União - TCU;</w:t>
      </w:r>
    </w:p>
    <w:p w14:paraId="62633A9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6.2.1. Para a consulta de fornecedores pessoa jurídica poderá haver a substituição das consultas das alíneas “b”, “c” e “d” acima pela Consulta Consolidada de Pessoa Jurídica do TCU (https://certidoesapf.apps.tcu.gov.br/)</w:t>
      </w:r>
    </w:p>
    <w:p w14:paraId="13CB160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xml:space="preserve">6.2.2. A consulta aos cadastros será realizada em nome da empresa fornecedora e também de seu sócio majoritário, por força do </w:t>
      </w:r>
      <w:r w:rsidRPr="0012169B">
        <w:rPr>
          <w:rFonts w:ascii="Calibri" w:eastAsia="Times New Roman" w:hAnsi="Calibri" w:cs="Calibri"/>
          <w:color w:val="000000"/>
          <w:kern w:val="0"/>
          <w:sz w:val="24"/>
          <w:szCs w:val="24"/>
          <w:lang w:eastAsia="pt-BR"/>
          <w14:ligatures w14:val="none"/>
        </w:rPr>
        <w:lastRenderedPageBreak/>
        <w:t>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8272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6.2.2.1. Caso conste na Consulta de Situação do Fornecedor a existência de Ocorrências Impeditivas Indiretas, o gestor diligenciará para verificar se houve fraude por parte das empresas apontadas no Relatório de Ocorrências Impeditivas Indiretas.</w:t>
      </w:r>
    </w:p>
    <w:p w14:paraId="46A43BD2"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6.2.2.1.1. A tentativa de burla será verificada por meio dos vínculos societários, linhas de fornecimento similares, dentre outros.</w:t>
      </w:r>
    </w:p>
    <w:p w14:paraId="2597C9F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6.2.2.1.2. O fornecedor será convocado para manifestação previamente à sua desclassificação</w:t>
      </w:r>
    </w:p>
    <w:p w14:paraId="4B2C1166"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6.2.3. Constatada a existência de sanção, o fornecedor será reputado inabilitado, por falta de condição de participação.</w:t>
      </w:r>
    </w:p>
    <w:p w14:paraId="74A45BE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6.3. Caso atendidas as condições de participação, a habilitação dos fornecedores será verificada por meio do SICAF, nos documentos por ele abrangidos.</w:t>
      </w:r>
    </w:p>
    <w:p w14:paraId="6065C12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6.3.1. É dever do fornecedor atualizar previamente as comprovações constantes do SICAF para que estejam vigentes na data da abertura da sessão pública, ou encaminhar, quando solicitado, a respectiva documentação atualizada.</w:t>
      </w:r>
    </w:p>
    <w:p w14:paraId="3AB0875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6.3.2. O descumprimento do subitem acima implicará a inabilitação do fornecedor, exceto se a consulta aos sítios eletrônicos oficiais emissores de certidões lograr êxito em encontrar a(s) certidão(ões) válida(s).</w:t>
      </w:r>
    </w:p>
    <w:p w14:paraId="21449342"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ED21A7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6.5. Somente haverá a necessidade de comprovação do preenchimento de requisitos mediante apresentação dos documentos originais não-digitais quando houver dúvida em relação à integridade do documento digital.</w:t>
      </w:r>
    </w:p>
    <w:p w14:paraId="3D4E8972"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8FBAD1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6.7 Havendo necessidade de analisar minuciosamente os documentos exigidos, a sessão será suspensa, sendo informada a nova data e horário para a sua continuidade.</w:t>
      </w:r>
    </w:p>
    <w:p w14:paraId="3A2AFFB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6.8 Será inabilitado o fornecedor que não comprovar sua habilitação, seja por não apresentar quaisquer dos documentos exigidos, ou apresentá-los em desacordo com o estabelecido neste Aviso de Contratação Direta.</w:t>
      </w:r>
    </w:p>
    <w:p w14:paraId="1EA05B6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8DF756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6.9 Constatado o atendimento às exigências de habilitação, o fornecedor será habilitado.</w:t>
      </w:r>
    </w:p>
    <w:p w14:paraId="7FA7DB56"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65967A2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7. CONTRATAÇÃO</w:t>
      </w:r>
    </w:p>
    <w:p w14:paraId="58D963E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7.1. Após a homologação e adjudicação, caso se conclua pela contratação, será firmado Termo de Contrato ou emitido instrumento equivalente.</w:t>
      </w:r>
    </w:p>
    <w:p w14:paraId="26DAECD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7.2. O adjudicatário terá o prazo de 2 (dois) dias úteis, contados a partir da data de sua convocação, para aceitar a Nota de Empenho, sob pena de decair do direito à contratação, sem prejuízo das sanções previstas neste Aviso de Contratação Direta.</w:t>
      </w:r>
    </w:p>
    <w:p w14:paraId="37BDA07E"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7.2.1. O prazo previsto para assinatura do contrato ou aceitação da nota de empenho ou instrumento equivalente será de 1 (um) dia, a contar da data do recebimento, prorrogado 1 (uma) vez, por igual período, por solicitação justificada do adjudicatário e aceita pela Administração.</w:t>
      </w:r>
    </w:p>
    <w:p w14:paraId="00C2E32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7.3. O Aceite da Nota de Empenho ou do instrumento equivalente, emitida à empresa adjudicada, implica no reconhecimento de que:</w:t>
      </w:r>
    </w:p>
    <w:p w14:paraId="4F923AA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7.3.1. a referida Nota está substituindo o contrato, aplicando-se à relação de negócios ali estabelecida as disposições da Lei nº 14.133, de 2021;</w:t>
      </w:r>
    </w:p>
    <w:p w14:paraId="37E0AB1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7.3.2. a contratada se vincula à sua proposta e às previsões contidas no Aviso de Contratação Direta e seus anexos;</w:t>
      </w:r>
    </w:p>
    <w:p w14:paraId="4110DD9C"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7.3.3. a contratada reconhece que as hipóteses de rescisão são aquelas previstas nos artigos 137 e 138 da Lei nº 14.133/21 e reconhece os direitos da Administração previstos nos artigos 137 a 139 da mesma Lei.</w:t>
      </w:r>
    </w:p>
    <w:p w14:paraId="3F12895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7.4. O prazo de vigência da contratação abrange o prazo de garantia que é de no mínimo 7(sete) anos ou conforme descrição do fabricante, caso o prazo for maior.</w:t>
      </w:r>
    </w:p>
    <w:p w14:paraId="452C402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xml:space="preserve">7.5. Na assinatura do contrato ou do instrumento equivalente será exigida a comprovação das condições de habilitação e </w:t>
      </w:r>
      <w:r w:rsidRPr="0012169B">
        <w:rPr>
          <w:rFonts w:ascii="Calibri" w:eastAsia="Times New Roman" w:hAnsi="Calibri" w:cs="Calibri"/>
          <w:color w:val="000000"/>
          <w:kern w:val="0"/>
          <w:sz w:val="24"/>
          <w:szCs w:val="24"/>
          <w:lang w:eastAsia="pt-BR"/>
          <w14:ligatures w14:val="none"/>
        </w:rPr>
        <w:lastRenderedPageBreak/>
        <w:t>contratação consignadas neste aviso, que deverão ser mantidas pelo fornecedor durante a vigência do contrato.</w:t>
      </w:r>
    </w:p>
    <w:p w14:paraId="4DA6C93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128194F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8. SANÇÕES</w:t>
      </w:r>
    </w:p>
    <w:p w14:paraId="103D006F"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8.1 O fornecedor que cometer qualquer das infrações previstas no art. 155 da Lei nº 14.133 de 2021, ficará sujeito às sanções previstas no art. 156 da mesma Lei. Considerando a natureza e a gravidade da infração cometida, as peculiaridades do caso concreto e os danos que dela provierem para a Administração Pública, e observado o disposto no Decreto Municipal nº 966/2022.</w:t>
      </w:r>
    </w:p>
    <w:p w14:paraId="0F464BF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16DDDC17"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9. DAS DISPOSIÇÕES GERAIS</w:t>
      </w:r>
    </w:p>
    <w:p w14:paraId="58511427" w14:textId="2FDBF6A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9.1. O procedimento será divulgado no Compras</w:t>
      </w:r>
      <w:r w:rsidR="00874CB5" w:rsidRPr="0012169B">
        <w:rPr>
          <w:rFonts w:ascii="Calibri" w:eastAsia="Times New Roman" w:hAnsi="Calibri" w:cs="Calibri"/>
          <w:color w:val="000000"/>
          <w:kern w:val="0"/>
          <w:sz w:val="24"/>
          <w:szCs w:val="24"/>
          <w:lang w:eastAsia="pt-BR"/>
          <w14:ligatures w14:val="none"/>
        </w:rPr>
        <w:t>n</w:t>
      </w:r>
      <w:r w:rsidRPr="0012169B">
        <w:rPr>
          <w:rFonts w:ascii="Calibri" w:eastAsia="Times New Roman" w:hAnsi="Calibri" w:cs="Calibri"/>
          <w:color w:val="000000"/>
          <w:kern w:val="0"/>
          <w:sz w:val="24"/>
          <w:szCs w:val="24"/>
          <w:lang w:eastAsia="pt-BR"/>
          <w14:ligatures w14:val="none"/>
        </w:rPr>
        <w:t>et 4.0 e no Portal Nacional de Contratações Públicas - PNCP, e encaminhado automaticamente aos fornecedores registrados no Sistema de Registro Cadastral Unificado - Sicaf, por mensagem eletrônica, na correspondente linha de fornecimento que pretende atender.</w:t>
      </w:r>
    </w:p>
    <w:p w14:paraId="397F060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9.2. No caso de todos os fornecedores restarem desclassificados ou inabilitados (procedimento fracassado), a Administração poderá:</w:t>
      </w:r>
    </w:p>
    <w:p w14:paraId="5917A0B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9.2.1. republicar o presente aviso com uma nova data;</w:t>
      </w:r>
    </w:p>
    <w:p w14:paraId="7A7DB30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9.2.2. valer-se, para a contratação, de proposta obtida na pesquisa de preços que serviu de base ao procedimento, se houver, privilegiando-se os menores preços, sempre que possível, e desde que atendidas às condições de habilitação exigidas;</w:t>
      </w:r>
    </w:p>
    <w:p w14:paraId="434AA50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9.2.2.1. No caso do subitem anterior, a contratação será operacionalizada fora deste procedimento;</w:t>
      </w:r>
    </w:p>
    <w:p w14:paraId="21A9FD7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9.2.3. fixar prazo para que possa haver adequação das propostas ou da documentação de habilitação, conforme o caso;</w:t>
      </w:r>
    </w:p>
    <w:p w14:paraId="116CDA9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9.3. As providências dos subitens 9.2.1 e 9.2.2 acima poderão ser utilizadas se não houver o comparecimento de quaisquer fornecedores interessados (procedimento deserto).</w:t>
      </w:r>
    </w:p>
    <w:p w14:paraId="180A2347"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57F8278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9.5. Caberá ao fornecedor acompanhar as operações, ficando responsável pelo ônus decorrente da perda do negócio diante da inobservância de quaisquer mensagens emitidas pela Administração ou de sua desconexão.</w:t>
      </w:r>
    </w:p>
    <w:p w14:paraId="6610F327"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34D173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9.7. Os horários estabelecidos na divulgação deste procedimento e durante o envio de lances observarão o horário de Brasília, DF, inclusive para contagem de tempo e registro no Sistema e na documentação relativa ao procedimento.</w:t>
      </w:r>
    </w:p>
    <w:p w14:paraId="2F7FFF4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713B6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EFFEA5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9.10. Os fornecedores assumem todos os custos de preparação e apresentação de suas propostas e a Administração não será, em nenhum caso, responsável por esses custos, independentemente da condução ou do resultado do processo de contratação.</w:t>
      </w:r>
    </w:p>
    <w:p w14:paraId="3ACE7109"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9.11. Em caso de divergência entre disposições deste Aviso de Contratação Direta e de seus anexos ou demais peças que compõem o processo, prevalecerá as deste Aviso.</w:t>
      </w:r>
    </w:p>
    <w:p w14:paraId="1CD3474E"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9.12. Da sessão pública será divulgada Ata no sistema eletrônico.</w:t>
      </w:r>
    </w:p>
    <w:p w14:paraId="7063376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2952445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54156FB0" w14:textId="77777777" w:rsidR="00A470D7" w:rsidRPr="0012169B" w:rsidRDefault="00A470D7" w:rsidP="00A470D7">
      <w:pPr>
        <w:spacing w:after="0" w:line="240" w:lineRule="auto"/>
        <w:ind w:left="60" w:right="60"/>
        <w:jc w:val="center"/>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ANEXO I – DOCUMENTAÇÃO EXIGIDA PARA HABILITAÇÃO</w:t>
      </w:r>
    </w:p>
    <w:p w14:paraId="556A8CDA"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73AA5FD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6A2B6A02"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1. Habilitação jurídica:</w:t>
      </w:r>
    </w:p>
    <w:p w14:paraId="1E8EC3D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1.1 No caso de empresário individual, inscrição no Registro Público de Empresas Mercantis, a cargo da Junta Comercial da respectiva sede;</w:t>
      </w:r>
    </w:p>
    <w:p w14:paraId="65FBE545"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1.2 Em se tratando de Microempreendedor Individual – MEI: Certificado da Condição de Microempreendedor Individual - CCMEI, cuja aceitação ficará condicionada à verificação da autenticidade no sítio www.portaldoempreendedor.gov.br;</w:t>
      </w:r>
    </w:p>
    <w:p w14:paraId="0B9783E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EACD83D"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1.4 Inscrição no Registro Público de Empresas Mercantis onde opera, com averbação no Registro onde tem sede a matriz, no caso de ser o participante sucursal, filial ou agência;</w:t>
      </w:r>
    </w:p>
    <w:p w14:paraId="57F07E64"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1.5 No caso de sociedade simples: inscrição do ato constitutivo no Registro Civil das Pessoas Jurídicas do local de sua sede, acompanhada de prova da indicação dos seus administradores;</w:t>
      </w:r>
    </w:p>
    <w:p w14:paraId="402DA13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1.6 Decreto de autorização, em se tratando de sociedade empresária estrangeira em funcionamento no País;</w:t>
      </w:r>
    </w:p>
    <w:p w14:paraId="318D86A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1.7 Os documentos acima deverão estar acompanhados de todas as alterações ou da consolidação respectiva.</w:t>
      </w:r>
    </w:p>
    <w:p w14:paraId="1D72A050"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517CDE06"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2. Regularidade fiscal, social e trabalhista:</w:t>
      </w:r>
    </w:p>
    <w:p w14:paraId="3E5E7887"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2.1 Prova de inscrição no Cadastro Nacional de Pessoas Jurídicas ou no Cadastro de Pessoas Físicas, conforme o caso;</w:t>
      </w:r>
    </w:p>
    <w:p w14:paraId="49429F8B"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BEF82CC"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2.3 Prova de regularidade com o Fundo de Garantia do Tempo de Serviço (FGTS);</w:t>
      </w:r>
    </w:p>
    <w:p w14:paraId="4E7983C8"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C167EC"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2.5 Prova de inscrição no cadastro de contribuintes municipal, relativo ao domicílio ou sede do fornecedor, pertinente ao seu ramo de atividade e compatível com o objeto contratual;</w:t>
      </w:r>
    </w:p>
    <w:p w14:paraId="64BCA186"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2.6 Prova de regularidade com a Fazenda Estadual e Municipal do domicílio ou sede do fornecedor, e junto ao Município de Goiânia, relativa à atividade em cujo exercício contrata ou concorre;</w:t>
      </w:r>
    </w:p>
    <w:p w14:paraId="338D74E3"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t> </w:t>
      </w:r>
    </w:p>
    <w:p w14:paraId="54C9EED2"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b/>
          <w:bCs/>
          <w:color w:val="000000"/>
          <w:kern w:val="0"/>
          <w:sz w:val="24"/>
          <w:szCs w:val="24"/>
          <w:lang w:eastAsia="pt-BR"/>
          <w14:ligatures w14:val="none"/>
        </w:rPr>
        <w:t>3. Qualificação Econômico-Financeira:</w:t>
      </w:r>
    </w:p>
    <w:p w14:paraId="61DBDDA1" w14:textId="77777777" w:rsidR="00A470D7" w:rsidRPr="0012169B" w:rsidRDefault="00A470D7" w:rsidP="00A470D7">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12169B">
        <w:rPr>
          <w:rFonts w:ascii="Calibri" w:eastAsia="Times New Roman" w:hAnsi="Calibri" w:cs="Calibri"/>
          <w:color w:val="000000"/>
          <w:kern w:val="0"/>
          <w:sz w:val="24"/>
          <w:szCs w:val="24"/>
          <w:lang w:eastAsia="pt-BR"/>
          <w14:ligatures w14:val="none"/>
        </w:rPr>
        <w:lastRenderedPageBreak/>
        <w:t>3.1 Certidão negativa de falência expedida pelo distribuidor da sede do fornecedor.</w:t>
      </w:r>
    </w:p>
    <w:p w14:paraId="4AD2668B" w14:textId="77777777" w:rsidR="00A470D7" w:rsidRPr="00A470D7" w:rsidRDefault="00A470D7" w:rsidP="00A470D7">
      <w:pPr>
        <w:spacing w:after="120" w:line="240" w:lineRule="auto"/>
        <w:ind w:left="1021" w:right="170" w:firstLine="1418"/>
        <w:jc w:val="both"/>
        <w:rPr>
          <w:rFonts w:ascii="Calibri" w:eastAsia="Times New Roman" w:hAnsi="Calibri" w:cs="Calibri"/>
          <w:color w:val="000000"/>
          <w:kern w:val="0"/>
          <w:sz w:val="27"/>
          <w:szCs w:val="27"/>
          <w:lang w:eastAsia="pt-BR"/>
          <w14:ligatures w14:val="none"/>
        </w:rPr>
      </w:pPr>
      <w:r w:rsidRPr="00A470D7">
        <w:rPr>
          <w:rFonts w:ascii="Calibri" w:eastAsia="Times New Roman" w:hAnsi="Calibri" w:cs="Calibri"/>
          <w:color w:val="000000"/>
          <w:kern w:val="0"/>
          <w:sz w:val="27"/>
          <w:szCs w:val="27"/>
          <w:lang w:eastAsia="pt-BR"/>
          <w14:ligatures w14:val="none"/>
        </w:rPr>
        <w:t> </w:t>
      </w:r>
    </w:p>
    <w:p w14:paraId="31A95814" w14:textId="078A4D81" w:rsidR="001F654C" w:rsidRDefault="00A470D7" w:rsidP="00836826">
      <w:pPr>
        <w:spacing w:after="120" w:line="240" w:lineRule="auto"/>
        <w:ind w:left="1021" w:right="170" w:firstLine="1418"/>
        <w:jc w:val="both"/>
        <w:rPr>
          <w:rFonts w:ascii="Calibri" w:eastAsia="Times New Roman" w:hAnsi="Calibri" w:cs="Calibri"/>
          <w:color w:val="000000"/>
          <w:kern w:val="0"/>
          <w:sz w:val="24"/>
          <w:szCs w:val="24"/>
          <w:lang w:eastAsia="pt-BR"/>
          <w14:ligatures w14:val="none"/>
        </w:rPr>
      </w:pPr>
      <w:r w:rsidRPr="00A470D7">
        <w:rPr>
          <w:rFonts w:ascii="Calibri" w:eastAsia="Times New Roman" w:hAnsi="Calibri" w:cs="Calibri"/>
          <w:color w:val="000000"/>
          <w:kern w:val="0"/>
          <w:sz w:val="27"/>
          <w:szCs w:val="27"/>
          <w:lang w:eastAsia="pt-BR"/>
          <w14:ligatures w14:val="none"/>
        </w:rPr>
        <w:t> </w:t>
      </w:r>
    </w:p>
    <w:p w14:paraId="472C3730" w14:textId="5B058136" w:rsidR="001F654C" w:rsidRPr="00B41E39" w:rsidRDefault="001F654C" w:rsidP="001F654C">
      <w:pPr>
        <w:spacing w:after="0" w:line="240" w:lineRule="auto"/>
        <w:ind w:left="60" w:right="60"/>
        <w:jc w:val="center"/>
        <w:rPr>
          <w:rFonts w:ascii="Calibri" w:eastAsia="Times New Roman" w:hAnsi="Calibri" w:cs="Calibri"/>
          <w:b/>
          <w:bCs/>
          <w:color w:val="000000"/>
          <w:kern w:val="0"/>
          <w:sz w:val="24"/>
          <w:szCs w:val="24"/>
          <w:lang w:eastAsia="pt-BR"/>
          <w14:ligatures w14:val="none"/>
        </w:rPr>
      </w:pPr>
      <w:r>
        <w:rPr>
          <w:rFonts w:ascii="Calibri" w:eastAsia="Times New Roman" w:hAnsi="Calibri" w:cs="Calibri"/>
          <w:color w:val="000000"/>
          <w:kern w:val="0"/>
          <w:sz w:val="24"/>
          <w:szCs w:val="24"/>
          <w:lang w:eastAsia="pt-BR"/>
          <w14:ligatures w14:val="none"/>
        </w:rPr>
        <w:tab/>
      </w:r>
      <w:r w:rsidR="00B41E39" w:rsidRPr="00B41E39">
        <w:rPr>
          <w:rFonts w:ascii="Calibri" w:eastAsia="Times New Roman" w:hAnsi="Calibri" w:cs="Calibri"/>
          <w:b/>
          <w:bCs/>
          <w:color w:val="000000"/>
          <w:kern w:val="0"/>
          <w:sz w:val="24"/>
          <w:szCs w:val="24"/>
          <w:lang w:eastAsia="pt-BR"/>
          <w14:ligatures w14:val="none"/>
        </w:rPr>
        <w:t>FRANCISCO TARCÍSIO RIBEIRO DE ABREU</w:t>
      </w:r>
    </w:p>
    <w:p w14:paraId="064DFB6A" w14:textId="7A0A3E47" w:rsidR="001F654C" w:rsidRPr="00A73C33" w:rsidRDefault="001F654C" w:rsidP="001F654C">
      <w:pPr>
        <w:spacing w:after="0" w:line="240" w:lineRule="auto"/>
        <w:ind w:left="60" w:right="60"/>
        <w:jc w:val="center"/>
        <w:rPr>
          <w:rFonts w:ascii="Calibri" w:eastAsia="Times New Roman" w:hAnsi="Calibri" w:cs="Calibri"/>
          <w:color w:val="000000"/>
          <w:kern w:val="0"/>
          <w:sz w:val="24"/>
          <w:szCs w:val="24"/>
          <w:lang w:eastAsia="pt-BR"/>
          <w14:ligatures w14:val="none"/>
        </w:rPr>
      </w:pPr>
      <w:r w:rsidRPr="00A73C33">
        <w:rPr>
          <w:rFonts w:ascii="Calibri" w:eastAsia="Times New Roman" w:hAnsi="Calibri" w:cs="Calibri"/>
          <w:color w:val="000000"/>
          <w:kern w:val="0"/>
          <w:sz w:val="24"/>
          <w:szCs w:val="24"/>
          <w:lang w:eastAsia="pt-BR"/>
          <w14:ligatures w14:val="none"/>
        </w:rPr>
        <w:t>Secretário</w:t>
      </w:r>
      <w:r w:rsidR="00B41E39">
        <w:rPr>
          <w:rFonts w:ascii="Calibri" w:eastAsia="Times New Roman" w:hAnsi="Calibri" w:cs="Calibri"/>
          <w:color w:val="000000"/>
          <w:kern w:val="0"/>
          <w:sz w:val="24"/>
          <w:szCs w:val="24"/>
          <w:lang w:eastAsia="pt-BR"/>
          <w14:ligatures w14:val="none"/>
        </w:rPr>
        <w:t xml:space="preserve"> - SET</w:t>
      </w:r>
    </w:p>
    <w:p w14:paraId="78B2D637" w14:textId="77777777" w:rsidR="001F654C" w:rsidRPr="00A470D7" w:rsidRDefault="001F654C" w:rsidP="001F654C">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470D7">
        <w:rPr>
          <w:rFonts w:ascii="Times New Roman" w:eastAsia="Times New Roman" w:hAnsi="Times New Roman" w:cs="Times New Roman"/>
          <w:color w:val="000000"/>
          <w:kern w:val="0"/>
          <w:sz w:val="27"/>
          <w:szCs w:val="27"/>
          <w:lang w:eastAsia="pt-BR"/>
          <w14:ligatures w14:val="none"/>
        </w:rPr>
        <w:t> </w:t>
      </w:r>
    </w:p>
    <w:p w14:paraId="72C66F35" w14:textId="7FD0EB78" w:rsidR="001F654C" w:rsidRDefault="001F654C" w:rsidP="001F654C">
      <w:pPr>
        <w:tabs>
          <w:tab w:val="left" w:pos="3195"/>
        </w:tabs>
        <w:spacing w:after="0" w:line="240" w:lineRule="auto"/>
        <w:ind w:left="1021" w:right="170"/>
        <w:rPr>
          <w:rFonts w:ascii="Calibri" w:eastAsia="Times New Roman" w:hAnsi="Calibri" w:cs="Calibri"/>
          <w:color w:val="000000"/>
          <w:kern w:val="0"/>
          <w:sz w:val="24"/>
          <w:szCs w:val="24"/>
          <w:lang w:eastAsia="pt-BR"/>
          <w14:ligatures w14:val="none"/>
        </w:rPr>
      </w:pPr>
    </w:p>
    <w:p w14:paraId="795A6F9D" w14:textId="77777777" w:rsidR="001F654C" w:rsidRDefault="001F654C" w:rsidP="00190A22">
      <w:pPr>
        <w:spacing w:after="0" w:line="240" w:lineRule="auto"/>
        <w:ind w:left="1021" w:right="170"/>
        <w:jc w:val="right"/>
        <w:rPr>
          <w:rFonts w:ascii="Calibri" w:eastAsia="Times New Roman" w:hAnsi="Calibri" w:cs="Calibri"/>
          <w:color w:val="000000"/>
          <w:kern w:val="0"/>
          <w:sz w:val="24"/>
          <w:szCs w:val="24"/>
          <w:lang w:eastAsia="pt-BR"/>
          <w14:ligatures w14:val="none"/>
        </w:rPr>
      </w:pPr>
    </w:p>
    <w:p w14:paraId="3FAF8F76" w14:textId="77777777" w:rsidR="001F654C" w:rsidRDefault="001F654C" w:rsidP="00190A22">
      <w:pPr>
        <w:spacing w:after="0" w:line="240" w:lineRule="auto"/>
        <w:ind w:left="1021" w:right="170"/>
        <w:jc w:val="right"/>
        <w:rPr>
          <w:rFonts w:ascii="Calibri" w:eastAsia="Times New Roman" w:hAnsi="Calibri" w:cs="Calibri"/>
          <w:color w:val="000000"/>
          <w:kern w:val="0"/>
          <w:sz w:val="24"/>
          <w:szCs w:val="24"/>
          <w:lang w:eastAsia="pt-BR"/>
          <w14:ligatures w14:val="none"/>
        </w:rPr>
      </w:pPr>
    </w:p>
    <w:p w14:paraId="4DB9AAD4" w14:textId="77777777" w:rsidR="001F654C" w:rsidRDefault="001F654C" w:rsidP="00190A22">
      <w:pPr>
        <w:spacing w:after="0" w:line="240" w:lineRule="auto"/>
        <w:ind w:left="1021" w:right="170"/>
        <w:jc w:val="right"/>
        <w:rPr>
          <w:rFonts w:ascii="Calibri" w:eastAsia="Times New Roman" w:hAnsi="Calibri" w:cs="Calibri"/>
          <w:color w:val="000000"/>
          <w:kern w:val="0"/>
          <w:sz w:val="24"/>
          <w:szCs w:val="24"/>
          <w:lang w:eastAsia="pt-BR"/>
          <w14:ligatures w14:val="none"/>
        </w:rPr>
      </w:pPr>
    </w:p>
    <w:p w14:paraId="33CCA40B" w14:textId="63E8861F" w:rsidR="00A470D7" w:rsidRPr="001F654C" w:rsidRDefault="00A470D7" w:rsidP="00190A22">
      <w:pPr>
        <w:spacing w:after="0" w:line="240" w:lineRule="auto"/>
        <w:ind w:left="1021" w:right="170"/>
        <w:jc w:val="right"/>
        <w:rPr>
          <w:rFonts w:ascii="Times New Roman" w:eastAsia="Times New Roman" w:hAnsi="Times New Roman" w:cs="Times New Roman"/>
          <w:color w:val="000000"/>
          <w:kern w:val="0"/>
          <w:sz w:val="24"/>
          <w:szCs w:val="24"/>
          <w:lang w:eastAsia="pt-BR"/>
          <w14:ligatures w14:val="none"/>
        </w:rPr>
      </w:pPr>
      <w:r w:rsidRPr="001F654C">
        <w:rPr>
          <w:rFonts w:ascii="Calibri" w:eastAsia="Times New Roman" w:hAnsi="Calibri" w:cs="Calibri"/>
          <w:color w:val="000000"/>
          <w:kern w:val="0"/>
          <w:sz w:val="24"/>
          <w:szCs w:val="24"/>
          <w:lang w:eastAsia="pt-BR"/>
          <w14:ligatures w14:val="none"/>
        </w:rPr>
        <w:t xml:space="preserve">Goiânia, </w:t>
      </w:r>
      <w:r w:rsidR="001F654C">
        <w:rPr>
          <w:rFonts w:ascii="Calibri" w:eastAsia="Times New Roman" w:hAnsi="Calibri" w:cs="Calibri"/>
          <w:color w:val="000000"/>
          <w:kern w:val="0"/>
          <w:sz w:val="24"/>
          <w:szCs w:val="24"/>
          <w:lang w:eastAsia="pt-BR"/>
          <w14:ligatures w14:val="none"/>
        </w:rPr>
        <w:t>data da assinatura eletrônica.</w:t>
      </w:r>
    </w:p>
    <w:p w14:paraId="20EF0D2E" w14:textId="3B670A0B" w:rsidR="00A470D7" w:rsidRPr="00A470D7" w:rsidRDefault="00A470D7" w:rsidP="00A470D7">
      <w:pPr>
        <w:spacing w:before="45" w:after="45" w:line="240" w:lineRule="auto"/>
        <w:ind w:left="1701" w:right="851"/>
        <w:rPr>
          <w:rFonts w:ascii="Times New Roman" w:eastAsia="Times New Roman" w:hAnsi="Times New Roman" w:cs="Times New Roman"/>
          <w:color w:val="000000"/>
          <w:kern w:val="0"/>
          <w:sz w:val="27"/>
          <w:szCs w:val="27"/>
          <w:lang w:eastAsia="pt-BR"/>
          <w14:ligatures w14:val="none"/>
        </w:rPr>
      </w:pPr>
    </w:p>
    <w:tbl>
      <w:tblPr>
        <w:tblW w:w="0" w:type="auto"/>
        <w:tblCellSpacing w:w="15" w:type="dxa"/>
        <w:tblInd w:w="1701" w:type="dxa"/>
        <w:tblCellMar>
          <w:top w:w="15" w:type="dxa"/>
          <w:left w:w="15" w:type="dxa"/>
          <w:bottom w:w="15" w:type="dxa"/>
          <w:right w:w="15" w:type="dxa"/>
        </w:tblCellMar>
        <w:tblLook w:val="04A0" w:firstRow="1" w:lastRow="0" w:firstColumn="1" w:lastColumn="0" w:noHBand="0" w:noVBand="1"/>
      </w:tblPr>
      <w:tblGrid>
        <w:gridCol w:w="81"/>
        <w:gridCol w:w="81"/>
      </w:tblGrid>
      <w:tr w:rsidR="00A470D7" w:rsidRPr="00A470D7" w14:paraId="01B68D01" w14:textId="77777777" w:rsidTr="0012169B">
        <w:trPr>
          <w:tblCellSpacing w:w="15" w:type="dxa"/>
        </w:trPr>
        <w:tc>
          <w:tcPr>
            <w:tcW w:w="0" w:type="auto"/>
            <w:vAlign w:val="center"/>
            <w:hideMark/>
          </w:tcPr>
          <w:p w14:paraId="0DD955B0" w14:textId="3B618521" w:rsidR="00A470D7" w:rsidRPr="00A470D7" w:rsidRDefault="00A470D7" w:rsidP="00A470D7">
            <w:pPr>
              <w:spacing w:after="0" w:line="240" w:lineRule="auto"/>
              <w:rPr>
                <w:rFonts w:ascii="Times New Roman" w:eastAsia="Times New Roman" w:hAnsi="Times New Roman" w:cs="Times New Roman"/>
                <w:kern w:val="0"/>
                <w:sz w:val="24"/>
                <w:szCs w:val="24"/>
                <w:lang w:eastAsia="pt-BR"/>
                <w14:ligatures w14:val="none"/>
              </w:rPr>
            </w:pPr>
          </w:p>
        </w:tc>
        <w:tc>
          <w:tcPr>
            <w:tcW w:w="0" w:type="auto"/>
            <w:vAlign w:val="center"/>
          </w:tcPr>
          <w:p w14:paraId="65B8E859" w14:textId="7AF92188" w:rsidR="00A470D7" w:rsidRPr="00A470D7" w:rsidRDefault="00A470D7" w:rsidP="00A470D7">
            <w:pPr>
              <w:spacing w:after="0" w:line="240" w:lineRule="auto"/>
              <w:rPr>
                <w:rFonts w:ascii="Calibri" w:eastAsia="Times New Roman" w:hAnsi="Calibri" w:cs="Calibri"/>
                <w:kern w:val="0"/>
                <w:lang w:eastAsia="pt-BR"/>
                <w14:ligatures w14:val="none"/>
              </w:rPr>
            </w:pPr>
          </w:p>
        </w:tc>
      </w:tr>
    </w:tbl>
    <w:p w14:paraId="534C1DB4" w14:textId="273D121D" w:rsidR="00A470D7" w:rsidRPr="00A470D7" w:rsidRDefault="00A470D7" w:rsidP="00A470D7">
      <w:pPr>
        <w:spacing w:before="45" w:after="45" w:line="240" w:lineRule="auto"/>
        <w:ind w:left="1701" w:right="851"/>
        <w:rPr>
          <w:rFonts w:ascii="Times New Roman" w:eastAsia="Times New Roman" w:hAnsi="Times New Roman" w:cs="Times New Roman"/>
          <w:color w:val="000000"/>
          <w:kern w:val="0"/>
          <w:sz w:val="27"/>
          <w:szCs w:val="27"/>
          <w:lang w:eastAsia="pt-BR"/>
          <w14:ligatures w14:val="none"/>
        </w:rPr>
      </w:pPr>
    </w:p>
    <w:p w14:paraId="2A1C6107" w14:textId="423A3D4A" w:rsidR="009018DF" w:rsidRDefault="009018DF">
      <w:pPr>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br w:type="page"/>
      </w:r>
    </w:p>
    <w:p w14:paraId="1CE9259F" w14:textId="77777777" w:rsidR="009018DF" w:rsidRPr="009018DF" w:rsidRDefault="009018DF" w:rsidP="009018DF">
      <w:pPr>
        <w:spacing w:after="0" w:line="240" w:lineRule="auto"/>
        <w:jc w:val="both"/>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lastRenderedPageBreak/>
        <w:t>Torna-se público que o Município de Goiânia, por meio da Secretaria Municipal de Engenharia de Trânsito, realizará Dispensa Eletrônica, com critério de julgamento de menor preço, na hipótese do art.75, inciso II, nos termos da Lei nº 14.133, de 1º de abril de 2021.</w:t>
      </w:r>
    </w:p>
    <w:p w14:paraId="37551011" w14:textId="77777777" w:rsidR="009018DF" w:rsidRPr="009018DF" w:rsidRDefault="009018DF" w:rsidP="009018DF">
      <w:pPr>
        <w:spacing w:after="0" w:line="240" w:lineRule="auto"/>
        <w:jc w:val="both"/>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p w14:paraId="555624B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Data da sessão: 25/09/2025</w:t>
      </w:r>
    </w:p>
    <w:p w14:paraId="64CB06F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Link:</w:t>
      </w:r>
      <w:hyperlink r:id="rId8" w:tgtFrame="_blank" w:history="1">
        <w:r w:rsidRPr="009018DF">
          <w:rPr>
            <w:rStyle w:val="Hyperlink"/>
            <w:rFonts w:ascii="Times New Roman" w:eastAsia="Times New Roman" w:hAnsi="Times New Roman" w:cs="Times New Roman"/>
            <w:kern w:val="0"/>
            <w:sz w:val="27"/>
            <w:szCs w:val="27"/>
            <w:lang w:eastAsia="pt-BR"/>
            <w14:ligatures w14:val="none"/>
          </w:rPr>
          <w:t>&lt;https://www</w:t>
        </w:r>
      </w:hyperlink>
      <w:r w:rsidRPr="009018DF">
        <w:rPr>
          <w:rFonts w:ascii="Times New Roman" w:eastAsia="Times New Roman" w:hAnsi="Times New Roman" w:cs="Times New Roman"/>
          <w:color w:val="000000"/>
          <w:kern w:val="0"/>
          <w:sz w:val="27"/>
          <w:szCs w:val="27"/>
          <w:u w:val="single"/>
          <w:lang w:eastAsia="pt-BR"/>
          <w14:ligatures w14:val="none"/>
        </w:rPr>
        <w:t>.comprasnet.gov.br</w:t>
      </w:r>
    </w:p>
    <w:p w14:paraId="5BD85D4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Horário da Fase de Lances: 8h às 14h</w:t>
      </w:r>
    </w:p>
    <w:p w14:paraId="167F0AD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p w14:paraId="22CFADBA" w14:textId="77777777" w:rsidR="009018DF" w:rsidRPr="009018DF" w:rsidRDefault="009018DF" w:rsidP="009018DF">
      <w:pPr>
        <w:spacing w:after="0" w:line="240" w:lineRule="auto"/>
        <w:ind w:firstLine="708"/>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1. OBJETO DA CONTRATAÇÃO DIRETA</w:t>
      </w:r>
    </w:p>
    <w:p w14:paraId="14488753" w14:textId="77777777" w:rsidR="009018DF" w:rsidRPr="009018DF" w:rsidRDefault="009018DF" w:rsidP="009018DF">
      <w:pPr>
        <w:spacing w:after="0" w:line="240" w:lineRule="auto"/>
        <w:rPr>
          <w:rFonts w:ascii="Times New Roman" w:eastAsia="Times New Roman" w:hAnsi="Times New Roman" w:cs="Times New Roman"/>
          <w:color w:val="000000"/>
          <w:kern w:val="0"/>
          <w:sz w:val="16"/>
          <w:szCs w:val="16"/>
          <w:lang w:eastAsia="pt-BR"/>
          <w14:ligatures w14:val="none"/>
        </w:rPr>
      </w:pPr>
      <w:r w:rsidRPr="009018DF">
        <w:rPr>
          <w:rFonts w:ascii="Times New Roman" w:eastAsia="Times New Roman" w:hAnsi="Times New Roman" w:cs="Times New Roman"/>
          <w:color w:val="000000"/>
          <w:kern w:val="0"/>
          <w:sz w:val="16"/>
          <w:szCs w:val="16"/>
          <w:lang w:eastAsia="pt-BR"/>
          <w14:ligatures w14:val="none"/>
        </w:rPr>
        <w:t> </w:t>
      </w:r>
    </w:p>
    <w:p w14:paraId="3D7C2AF5" w14:textId="77777777" w:rsidR="009018DF" w:rsidRDefault="009018DF" w:rsidP="009018DF">
      <w:pPr>
        <w:spacing w:after="0" w:line="240" w:lineRule="auto"/>
        <w:ind w:firstLine="708"/>
        <w:jc w:val="both"/>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1.1. Contratação de empresa especializada no fornecimento de serviços gráficos (Blocos de Auto de Infração para Imposição de Penalidade AIIP", em papel 58 g/m², impresso em 04 cores frente, formato 280 x 140 mm, em 03 vias, blocagem 25 x 3, papel auto copiativo, com numeração em dados variáveis e código de barras), através de compra direta, para atender as demandas da Secretaria Municipal de Engenharia de Trânsito - SET, conforme quantidades e exigências estabelecidas neste Aviso de Contratação Direta e seus anexos.</w:t>
      </w:r>
    </w:p>
    <w:p w14:paraId="6E8B0C9F" w14:textId="77777777" w:rsidR="009018DF" w:rsidRPr="009018DF" w:rsidRDefault="009018DF" w:rsidP="009018DF">
      <w:pPr>
        <w:spacing w:after="0" w:line="240" w:lineRule="auto"/>
        <w:ind w:firstLine="708"/>
        <w:rPr>
          <w:rFonts w:ascii="Times New Roman" w:eastAsia="Times New Roman" w:hAnsi="Times New Roman" w:cs="Times New Roman"/>
          <w:color w:val="000000"/>
          <w:kern w:val="0"/>
          <w:sz w:val="27"/>
          <w:szCs w:val="27"/>
          <w:lang w:eastAsia="pt-BR"/>
          <w14:ligatures w14:val="none"/>
        </w:rPr>
      </w:pPr>
    </w:p>
    <w:p w14:paraId="5F88CE7F" w14:textId="77777777" w:rsidR="009018DF" w:rsidRPr="009018DF" w:rsidRDefault="009018DF" w:rsidP="009018DF">
      <w:pPr>
        <w:spacing w:after="0" w:line="240" w:lineRule="auto"/>
        <w:ind w:firstLine="708"/>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1.2. A contratação será conforme tabela constante abaixo:</w:t>
      </w:r>
    </w:p>
    <w:p w14:paraId="1E66C1A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tbl>
      <w:tblPr>
        <w:tblW w:w="9720" w:type="dxa"/>
        <w:tblInd w:w="75" w:type="dxa"/>
        <w:tblCellMar>
          <w:top w:w="15" w:type="dxa"/>
          <w:left w:w="15" w:type="dxa"/>
          <w:bottom w:w="15" w:type="dxa"/>
          <w:right w:w="15" w:type="dxa"/>
        </w:tblCellMar>
        <w:tblLook w:val="04A0" w:firstRow="1" w:lastRow="0" w:firstColumn="1" w:lastColumn="0" w:noHBand="0" w:noVBand="1"/>
      </w:tblPr>
      <w:tblGrid>
        <w:gridCol w:w="871"/>
        <w:gridCol w:w="3247"/>
        <w:gridCol w:w="1996"/>
        <w:gridCol w:w="1669"/>
        <w:gridCol w:w="1621"/>
        <w:gridCol w:w="218"/>
        <w:gridCol w:w="98"/>
      </w:tblGrid>
      <w:tr w:rsidR="009018DF" w:rsidRPr="009018DF" w14:paraId="3A9EF463" w14:textId="77777777">
        <w:trPr>
          <w:trHeight w:val="555"/>
        </w:trPr>
        <w:tc>
          <w:tcPr>
            <w:tcW w:w="600" w:type="dxa"/>
            <w:vMerge w:val="restart"/>
            <w:tcBorders>
              <w:top w:val="single" w:sz="6" w:space="0" w:color="000001"/>
              <w:left w:val="single" w:sz="6" w:space="0" w:color="000001"/>
              <w:bottom w:val="single" w:sz="6" w:space="0" w:color="000001"/>
              <w:right w:val="single" w:sz="6" w:space="0" w:color="000001"/>
            </w:tcBorders>
            <w:tcMar>
              <w:top w:w="0" w:type="dxa"/>
              <w:left w:w="75" w:type="dxa"/>
              <w:bottom w:w="0" w:type="dxa"/>
              <w:right w:w="75" w:type="dxa"/>
            </w:tcMar>
            <w:vAlign w:val="center"/>
            <w:hideMark/>
          </w:tcPr>
          <w:p w14:paraId="671F92C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ITEM</w:t>
            </w:r>
          </w:p>
        </w:tc>
        <w:tc>
          <w:tcPr>
            <w:tcW w:w="4500" w:type="dxa"/>
            <w:vMerge w:val="restart"/>
            <w:tcBorders>
              <w:top w:val="single" w:sz="6" w:space="0" w:color="000001"/>
              <w:left w:val="nil"/>
              <w:bottom w:val="single" w:sz="6" w:space="0" w:color="000001"/>
              <w:right w:val="single" w:sz="6" w:space="0" w:color="000001"/>
            </w:tcBorders>
            <w:tcMar>
              <w:top w:w="0" w:type="dxa"/>
              <w:left w:w="75" w:type="dxa"/>
              <w:bottom w:w="0" w:type="dxa"/>
              <w:right w:w="75" w:type="dxa"/>
            </w:tcMar>
            <w:vAlign w:val="center"/>
            <w:hideMark/>
          </w:tcPr>
          <w:p w14:paraId="414FEE0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DESCRIÇÃO</w:t>
            </w:r>
          </w:p>
        </w:tc>
        <w:tc>
          <w:tcPr>
            <w:tcW w:w="1380" w:type="dxa"/>
            <w:vMerge w:val="restart"/>
            <w:tcBorders>
              <w:top w:val="single" w:sz="6" w:space="0" w:color="000001"/>
              <w:left w:val="nil"/>
              <w:bottom w:val="single" w:sz="6" w:space="0" w:color="000001"/>
              <w:right w:val="single" w:sz="6" w:space="0" w:color="000001"/>
            </w:tcBorders>
            <w:tcMar>
              <w:top w:w="0" w:type="dxa"/>
              <w:left w:w="75" w:type="dxa"/>
              <w:bottom w:w="0" w:type="dxa"/>
              <w:right w:w="75" w:type="dxa"/>
            </w:tcMar>
            <w:vAlign w:val="center"/>
            <w:hideMark/>
          </w:tcPr>
          <w:p w14:paraId="326C8DA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QUANTIDADE</w:t>
            </w:r>
          </w:p>
        </w:tc>
        <w:tc>
          <w:tcPr>
            <w:tcW w:w="1710" w:type="dxa"/>
            <w:vMerge w:val="restart"/>
            <w:tcBorders>
              <w:top w:val="single" w:sz="6" w:space="0" w:color="000001"/>
              <w:left w:val="nil"/>
              <w:bottom w:val="single" w:sz="6" w:space="0" w:color="000001"/>
              <w:right w:val="nil"/>
            </w:tcBorders>
            <w:tcMar>
              <w:top w:w="0" w:type="dxa"/>
              <w:left w:w="75" w:type="dxa"/>
              <w:bottom w:w="0" w:type="dxa"/>
              <w:right w:w="75" w:type="dxa"/>
            </w:tcMar>
            <w:vAlign w:val="center"/>
            <w:hideMark/>
          </w:tcPr>
          <w:p w14:paraId="09829E6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VALOR UNITÁRIO ESTIMADO</w:t>
            </w:r>
          </w:p>
        </w:tc>
        <w:tc>
          <w:tcPr>
            <w:tcW w:w="1500" w:type="dxa"/>
            <w:vMerge w:val="restart"/>
            <w:tcBorders>
              <w:top w:val="single" w:sz="6" w:space="0" w:color="000000"/>
              <w:left w:val="single" w:sz="6" w:space="0" w:color="000000"/>
              <w:bottom w:val="single" w:sz="6" w:space="0" w:color="000001"/>
              <w:right w:val="single" w:sz="6" w:space="0" w:color="000000"/>
            </w:tcBorders>
            <w:tcMar>
              <w:top w:w="0" w:type="dxa"/>
              <w:left w:w="75" w:type="dxa"/>
              <w:bottom w:w="0" w:type="dxa"/>
              <w:right w:w="75" w:type="dxa"/>
            </w:tcMar>
            <w:vAlign w:val="center"/>
            <w:hideMark/>
          </w:tcPr>
          <w:p w14:paraId="7303966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VALOR TOTAL ESTIMADO</w:t>
            </w:r>
          </w:p>
        </w:tc>
        <w:tc>
          <w:tcPr>
            <w:tcW w:w="30" w:type="dxa"/>
            <w:tcBorders>
              <w:top w:val="nil"/>
              <w:left w:val="nil"/>
              <w:bottom w:val="nil"/>
              <w:right w:val="nil"/>
            </w:tcBorders>
            <w:tcMar>
              <w:top w:w="0" w:type="dxa"/>
              <w:left w:w="0" w:type="dxa"/>
              <w:bottom w:w="0" w:type="dxa"/>
              <w:right w:w="0" w:type="dxa"/>
            </w:tcMar>
            <w:vAlign w:val="center"/>
            <w:hideMark/>
          </w:tcPr>
          <w:p w14:paraId="6BACF39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tc>
        <w:tc>
          <w:tcPr>
            <w:tcW w:w="6" w:type="dxa"/>
            <w:tcBorders>
              <w:top w:val="nil"/>
              <w:left w:val="nil"/>
              <w:bottom w:val="nil"/>
              <w:right w:val="nil"/>
            </w:tcBorders>
            <w:vAlign w:val="center"/>
            <w:hideMark/>
          </w:tcPr>
          <w:p w14:paraId="65098E2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tc>
      </w:tr>
      <w:tr w:rsidR="009018DF" w:rsidRPr="009018DF" w14:paraId="150461C9" w14:textId="77777777">
        <w:trPr>
          <w:trHeight w:val="330"/>
        </w:trPr>
        <w:tc>
          <w:tcPr>
            <w:tcW w:w="0" w:type="auto"/>
            <w:vMerge/>
            <w:tcBorders>
              <w:top w:val="single" w:sz="6" w:space="0" w:color="000001"/>
              <w:left w:val="single" w:sz="6" w:space="0" w:color="000001"/>
              <w:bottom w:val="single" w:sz="6" w:space="0" w:color="000001"/>
              <w:right w:val="single" w:sz="6" w:space="0" w:color="000001"/>
            </w:tcBorders>
            <w:vAlign w:val="center"/>
            <w:hideMark/>
          </w:tcPr>
          <w:p w14:paraId="7F1256B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p>
        </w:tc>
        <w:tc>
          <w:tcPr>
            <w:tcW w:w="0" w:type="auto"/>
            <w:vMerge/>
            <w:tcBorders>
              <w:top w:val="single" w:sz="6" w:space="0" w:color="000001"/>
              <w:left w:val="nil"/>
              <w:bottom w:val="single" w:sz="6" w:space="0" w:color="000001"/>
              <w:right w:val="single" w:sz="6" w:space="0" w:color="000001"/>
            </w:tcBorders>
            <w:vAlign w:val="center"/>
            <w:hideMark/>
          </w:tcPr>
          <w:p w14:paraId="7D95F27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p>
        </w:tc>
        <w:tc>
          <w:tcPr>
            <w:tcW w:w="0" w:type="auto"/>
            <w:vMerge/>
            <w:tcBorders>
              <w:top w:val="single" w:sz="6" w:space="0" w:color="000001"/>
              <w:left w:val="nil"/>
              <w:bottom w:val="single" w:sz="6" w:space="0" w:color="000001"/>
              <w:right w:val="single" w:sz="6" w:space="0" w:color="000001"/>
            </w:tcBorders>
            <w:vAlign w:val="center"/>
            <w:hideMark/>
          </w:tcPr>
          <w:p w14:paraId="7C83916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p>
        </w:tc>
        <w:tc>
          <w:tcPr>
            <w:tcW w:w="0" w:type="auto"/>
            <w:vMerge/>
            <w:tcBorders>
              <w:top w:val="single" w:sz="6" w:space="0" w:color="000001"/>
              <w:left w:val="nil"/>
              <w:bottom w:val="single" w:sz="6" w:space="0" w:color="000001"/>
              <w:right w:val="nil"/>
            </w:tcBorders>
            <w:vAlign w:val="center"/>
            <w:hideMark/>
          </w:tcPr>
          <w:p w14:paraId="5E6EE67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p>
        </w:tc>
        <w:tc>
          <w:tcPr>
            <w:tcW w:w="0" w:type="auto"/>
            <w:vMerge/>
            <w:tcBorders>
              <w:top w:val="single" w:sz="6" w:space="0" w:color="000000"/>
              <w:left w:val="single" w:sz="6" w:space="0" w:color="000000"/>
              <w:bottom w:val="single" w:sz="6" w:space="0" w:color="000001"/>
              <w:right w:val="single" w:sz="6" w:space="0" w:color="000000"/>
            </w:tcBorders>
            <w:vAlign w:val="center"/>
            <w:hideMark/>
          </w:tcPr>
          <w:p w14:paraId="5F8CB51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p>
        </w:tc>
        <w:tc>
          <w:tcPr>
            <w:tcW w:w="30" w:type="dxa"/>
            <w:noWrap/>
            <w:tcMar>
              <w:top w:w="0" w:type="dxa"/>
              <w:left w:w="75" w:type="dxa"/>
              <w:bottom w:w="0" w:type="dxa"/>
              <w:right w:w="75" w:type="dxa"/>
            </w:tcMar>
            <w:vAlign w:val="bottom"/>
            <w:hideMark/>
          </w:tcPr>
          <w:p w14:paraId="340C9E0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tc>
        <w:tc>
          <w:tcPr>
            <w:tcW w:w="6" w:type="dxa"/>
            <w:tcBorders>
              <w:top w:val="nil"/>
              <w:left w:val="nil"/>
              <w:bottom w:val="nil"/>
              <w:right w:val="nil"/>
            </w:tcBorders>
            <w:vAlign w:val="center"/>
            <w:hideMark/>
          </w:tcPr>
          <w:p w14:paraId="63176ED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tc>
      </w:tr>
      <w:tr w:rsidR="009018DF" w:rsidRPr="009018DF" w14:paraId="3F231296" w14:textId="77777777">
        <w:trPr>
          <w:trHeight w:val="1950"/>
        </w:trPr>
        <w:tc>
          <w:tcPr>
            <w:tcW w:w="600" w:type="dxa"/>
            <w:tcBorders>
              <w:top w:val="nil"/>
              <w:left w:val="single" w:sz="6" w:space="0" w:color="000001"/>
              <w:bottom w:val="single" w:sz="6" w:space="0" w:color="000001"/>
              <w:right w:val="single" w:sz="6" w:space="0" w:color="000001"/>
            </w:tcBorders>
            <w:tcMar>
              <w:top w:w="0" w:type="dxa"/>
              <w:left w:w="75" w:type="dxa"/>
              <w:bottom w:w="0" w:type="dxa"/>
              <w:right w:w="75" w:type="dxa"/>
            </w:tcMar>
            <w:vAlign w:val="center"/>
            <w:hideMark/>
          </w:tcPr>
          <w:p w14:paraId="6428258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w:t>
            </w:r>
          </w:p>
        </w:tc>
        <w:tc>
          <w:tcPr>
            <w:tcW w:w="4500" w:type="dxa"/>
            <w:tcBorders>
              <w:top w:val="nil"/>
              <w:left w:val="nil"/>
              <w:bottom w:val="single" w:sz="6" w:space="0" w:color="000001"/>
              <w:right w:val="single" w:sz="6" w:space="0" w:color="000001"/>
            </w:tcBorders>
            <w:tcMar>
              <w:top w:w="0" w:type="dxa"/>
              <w:left w:w="75" w:type="dxa"/>
              <w:bottom w:w="0" w:type="dxa"/>
              <w:right w:w="75" w:type="dxa"/>
            </w:tcMar>
            <w:vAlign w:val="center"/>
            <w:hideMark/>
          </w:tcPr>
          <w:p w14:paraId="733466C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Blocos de Auto de Infração para Imposição de Penalidade AIIP, papel 58 g/m², impresso em 04 cores frente, formato 280 x 140 mm, em 03 vias, blocagem 25 x 3, papel auto copiativo. Com numeração em dados variáveis e código de barras.</w:t>
            </w:r>
          </w:p>
        </w:tc>
        <w:tc>
          <w:tcPr>
            <w:tcW w:w="1380" w:type="dxa"/>
            <w:tcBorders>
              <w:top w:val="nil"/>
              <w:left w:val="nil"/>
              <w:bottom w:val="single" w:sz="6" w:space="0" w:color="000001"/>
              <w:right w:val="single" w:sz="6" w:space="0" w:color="000001"/>
            </w:tcBorders>
            <w:tcMar>
              <w:top w:w="0" w:type="dxa"/>
              <w:left w:w="75" w:type="dxa"/>
              <w:bottom w:w="0" w:type="dxa"/>
              <w:right w:w="75" w:type="dxa"/>
            </w:tcMar>
            <w:vAlign w:val="center"/>
            <w:hideMark/>
          </w:tcPr>
          <w:p w14:paraId="3C58167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500 unidades</w:t>
            </w:r>
          </w:p>
        </w:tc>
        <w:tc>
          <w:tcPr>
            <w:tcW w:w="1710" w:type="dxa"/>
            <w:tcBorders>
              <w:top w:val="nil"/>
              <w:left w:val="nil"/>
              <w:bottom w:val="single" w:sz="6" w:space="0" w:color="000001"/>
              <w:right w:val="nil"/>
            </w:tcBorders>
            <w:tcMar>
              <w:top w:w="0" w:type="dxa"/>
              <w:left w:w="75" w:type="dxa"/>
              <w:bottom w:w="0" w:type="dxa"/>
              <w:right w:w="75" w:type="dxa"/>
            </w:tcMar>
            <w:vAlign w:val="center"/>
            <w:hideMark/>
          </w:tcPr>
          <w:p w14:paraId="1A61DCC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R$ 16,50</w:t>
            </w:r>
          </w:p>
        </w:tc>
        <w:tc>
          <w:tcPr>
            <w:tcW w:w="1500"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5F44B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R$ 8.250,00</w:t>
            </w:r>
          </w:p>
        </w:tc>
        <w:tc>
          <w:tcPr>
            <w:tcW w:w="30" w:type="dxa"/>
            <w:tcMar>
              <w:top w:w="0" w:type="dxa"/>
              <w:left w:w="75" w:type="dxa"/>
              <w:bottom w:w="0" w:type="dxa"/>
              <w:right w:w="75" w:type="dxa"/>
            </w:tcMar>
            <w:vAlign w:val="center"/>
            <w:hideMark/>
          </w:tcPr>
          <w:p w14:paraId="5CDCD1F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tc>
        <w:tc>
          <w:tcPr>
            <w:tcW w:w="6" w:type="dxa"/>
            <w:tcBorders>
              <w:top w:val="nil"/>
              <w:left w:val="nil"/>
              <w:bottom w:val="nil"/>
              <w:right w:val="nil"/>
            </w:tcBorders>
            <w:vAlign w:val="center"/>
            <w:hideMark/>
          </w:tcPr>
          <w:p w14:paraId="1E6FB94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tc>
      </w:tr>
    </w:tbl>
    <w:p w14:paraId="3F8CD6C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p w14:paraId="1917E19E" w14:textId="77777777" w:rsidR="009018DF" w:rsidRPr="009018DF" w:rsidRDefault="009018DF" w:rsidP="009018DF">
      <w:pPr>
        <w:spacing w:after="0" w:line="240" w:lineRule="auto"/>
        <w:ind w:firstLine="708"/>
        <w:jc w:val="both"/>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1.3. O critério de julgamento adotado será o menor preço, observadas as exigências contidas neste Aviso de Contratação Direta quanto às especificações do objeto.</w:t>
      </w:r>
    </w:p>
    <w:p w14:paraId="48CFAB2D" w14:textId="77777777" w:rsidR="009018DF" w:rsidRDefault="009018DF" w:rsidP="009018DF">
      <w:pPr>
        <w:spacing w:after="0" w:line="240" w:lineRule="auto"/>
        <w:jc w:val="both"/>
        <w:rPr>
          <w:rFonts w:ascii="Times New Roman" w:eastAsia="Times New Roman" w:hAnsi="Times New Roman" w:cs="Times New Roman"/>
          <w:b/>
          <w:bCs/>
          <w:color w:val="000000"/>
          <w:kern w:val="0"/>
          <w:sz w:val="27"/>
          <w:szCs w:val="27"/>
          <w:lang w:eastAsia="pt-BR"/>
          <w14:ligatures w14:val="none"/>
        </w:rPr>
      </w:pPr>
    </w:p>
    <w:p w14:paraId="443717A8" w14:textId="26092B52" w:rsidR="009018DF" w:rsidRDefault="009018DF" w:rsidP="009018DF">
      <w:pPr>
        <w:spacing w:after="0" w:line="240" w:lineRule="auto"/>
        <w:ind w:firstLine="708"/>
        <w:rPr>
          <w:rFonts w:ascii="Times New Roman" w:eastAsia="Times New Roman" w:hAnsi="Times New Roman" w:cs="Times New Roman"/>
          <w:b/>
          <w:bCs/>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2. PARTICIPAÇÃO NA DISPENSA ELETRÔNICA</w:t>
      </w:r>
    </w:p>
    <w:p w14:paraId="0385F517" w14:textId="77777777" w:rsidR="009018DF" w:rsidRPr="009018DF" w:rsidRDefault="009018DF" w:rsidP="009018DF">
      <w:pPr>
        <w:spacing w:after="0" w:line="240" w:lineRule="auto"/>
        <w:ind w:firstLine="708"/>
        <w:rPr>
          <w:rFonts w:ascii="Times New Roman" w:eastAsia="Times New Roman" w:hAnsi="Times New Roman" w:cs="Times New Roman"/>
          <w:color w:val="000000"/>
          <w:kern w:val="0"/>
          <w:sz w:val="16"/>
          <w:szCs w:val="16"/>
          <w:lang w:eastAsia="pt-BR"/>
          <w14:ligatures w14:val="none"/>
        </w:rPr>
      </w:pPr>
    </w:p>
    <w:p w14:paraId="109356C9" w14:textId="4B39A8A5" w:rsidR="009018DF" w:rsidRPr="009018DF" w:rsidRDefault="009018DF" w:rsidP="009018DF">
      <w:pPr>
        <w:spacing w:after="0" w:line="240" w:lineRule="auto"/>
        <w:ind w:firstLine="708"/>
        <w:jc w:val="both"/>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2.1. A participação na presente dispensa eletrônica se dará mediante Sistema de Dispensa Eletrônica integrante do ao Sistema de Compras do Governo Federal – Compras</w:t>
      </w:r>
      <w:r>
        <w:rPr>
          <w:rFonts w:ascii="Times New Roman" w:eastAsia="Times New Roman" w:hAnsi="Times New Roman" w:cs="Times New Roman"/>
          <w:color w:val="000000"/>
          <w:kern w:val="0"/>
          <w:sz w:val="27"/>
          <w:szCs w:val="27"/>
          <w:lang w:eastAsia="pt-BR"/>
          <w14:ligatures w14:val="none"/>
        </w:rPr>
        <w:t>N</w:t>
      </w:r>
      <w:r w:rsidRPr="009018DF">
        <w:rPr>
          <w:rFonts w:ascii="Times New Roman" w:eastAsia="Times New Roman" w:hAnsi="Times New Roman" w:cs="Times New Roman"/>
          <w:color w:val="000000"/>
          <w:kern w:val="0"/>
          <w:sz w:val="27"/>
          <w:szCs w:val="27"/>
          <w:lang w:eastAsia="pt-BR"/>
          <w14:ligatures w14:val="none"/>
        </w:rPr>
        <w:t>et 4.0, disponível no endereço eletrônico: </w:t>
      </w:r>
      <w:hyperlink r:id="rId9" w:tgtFrame="_blank" w:history="1">
        <w:r w:rsidRPr="009018DF">
          <w:rPr>
            <w:rStyle w:val="Hyperlink"/>
            <w:rFonts w:ascii="Times New Roman" w:eastAsia="Times New Roman" w:hAnsi="Times New Roman" w:cs="Times New Roman"/>
            <w:kern w:val="0"/>
            <w:sz w:val="27"/>
            <w:szCs w:val="27"/>
            <w:lang w:eastAsia="pt-BR"/>
            <w14:ligatures w14:val="none"/>
          </w:rPr>
          <w:t>https://www.gov.br/compras/pt-br</w:t>
        </w:r>
      </w:hyperlink>
    </w:p>
    <w:p w14:paraId="7F750CD2" w14:textId="77777777" w:rsidR="009018DF" w:rsidRPr="009018DF" w:rsidRDefault="009018DF" w:rsidP="009018DF">
      <w:pPr>
        <w:spacing w:after="0" w:line="240" w:lineRule="auto"/>
        <w:ind w:firstLine="708"/>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lastRenderedPageBreak/>
        <w:t>2.2. Os fornecedores deverão atender aos procedimentos previstos no Manual do Sistema de Dispensa Eletrônica, disponível no Portal de Compras do Governo Federal, para acesso ao sistema e operacionalização.</w:t>
      </w:r>
    </w:p>
    <w:p w14:paraId="4879D02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 Não poderão participar desta dispensa os fornecedores:</w:t>
      </w:r>
    </w:p>
    <w:p w14:paraId="0432FF0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2.3.1. que não atendam às condições deste Aviso de Contratação Direta e seu(s) anexo(s);</w:t>
      </w:r>
    </w:p>
    <w:p w14:paraId="336E4C0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2.3.2. estrangeiros que não tenham representação legal no Brasil com poderes expressos para receber citação e responder administrativa ou judicialmente;</w:t>
      </w:r>
    </w:p>
    <w:p w14:paraId="2967103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2.3.3. que se enquadrem nas seguintes vedações:</w:t>
      </w:r>
    </w:p>
    <w:p w14:paraId="71E5005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2.3.3.1. pessoa física ou jurídica que se encontre, ao tempo da contratação, impossibilitada de contratar em decorrência de sanção que lhe foi imposta;</w:t>
      </w:r>
    </w:p>
    <w:p w14:paraId="794BE47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2.3.3.2.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87E29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2.3.3.3 empresas controladoras, controladas ou coligadas, nos termos da Lei nº 6.404, de 15 de dezembro de 1976, concorrendo entre si;</w:t>
      </w:r>
    </w:p>
    <w:p w14:paraId="4B0BF04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2.3.3.4.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0E9E2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2.4 Aplica-se o disposto no 2.3.3.1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FD6126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3. INGRESSO NA DISPENSA ELETRÔNICA E CADASTRAMENTO DA PROPOSTA INICIAL</w:t>
      </w:r>
    </w:p>
    <w:p w14:paraId="328C401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3.1. O ingresso do fornecedor na disputa da dispensa eletrônica se dará com o cadastramento de sua proposta inicial, na forma deste item.</w:t>
      </w:r>
    </w:p>
    <w:p w14:paraId="4983DAA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267C46E"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E79DA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3.3. Todas as especificações do objeto contidas na proposta, em especial o preço, vinculam a Contratada.</w:t>
      </w:r>
    </w:p>
    <w:p w14:paraId="6D980CD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lastRenderedPageBreak/>
        <w:t>3.4. Nos valores propostos estarão inclusos todos os custos operacionais, encargos previdenciários, trabalhistas, tributários, comerciais e quaisquer outros que incidam direta ou indiretamente na prestação dos serviços;</w:t>
      </w:r>
    </w:p>
    <w:p w14:paraId="7D32B4D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3.4.1. Os preços ofertados, tanto na proposta inicial, quanto na etapa de lances, serão de exclusiva responsabilidade do fornecedor, não lhe assistindo o direito de pleitear qualquer alteração, sob alegação de erro, omissão ou qualquer outro pretexto.</w:t>
      </w:r>
    </w:p>
    <w:p w14:paraId="1D511A7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3.5. Se o regime tributário da empresa implicar o recolhimento de tributos em percentuais variáveis, a cotação adequada será a que corresponde à média dos efetivos recolhimentos da empresa nos últimos doze meses.</w:t>
      </w:r>
    </w:p>
    <w:p w14:paraId="4B71FAA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3.6. Independentemente do percentual de tributo inserido na planilha, no pagamento serão retidos na fonte os percentuais estabelecidos na legislação vigente.</w:t>
      </w:r>
    </w:p>
    <w:p w14:paraId="6EAA09A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C41007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3.8. No cadastramento da proposta inicial, o fornecedor deverá, também, assinalar “sim” ou “não” em campo próprio do sistema eletrônico, às seguintes declarações:</w:t>
      </w:r>
    </w:p>
    <w:p w14:paraId="34BCBDD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3.8.1. que inexistem fatos impeditivos para sua habilitação no certame, ciente da obrigatoriedade de declarar ocorrências posteriores;</w:t>
      </w:r>
    </w:p>
    <w:p w14:paraId="47CC83D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3.8.2. que cumpre os requisitos estabelecidos no artigo 3° da Lei Complementar nº 123, de 2006, estando apto a usufruir do tratamento favorecido estabelecido em seus artigos 42 a 49.</w:t>
      </w:r>
    </w:p>
    <w:p w14:paraId="0BEA2CDE"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3.8.3. que está ciente e concorda com as condições contidas no Aviso de Contratação Direta e seus anexos;</w:t>
      </w:r>
    </w:p>
    <w:p w14:paraId="31C7F3C0"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3.8.4. que assume a responsabilidade pelas transações que forem efetuadas no sistema, assumindo como firmes e verdadeiras;</w:t>
      </w:r>
    </w:p>
    <w:p w14:paraId="5EDEE1F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3.8.5. que cumpre as exigências de reserva de cargos para pessoa com deficiência e para reabilitado da Previdência Social, de que trata o art. 93 da Lei nº 8.213/91;</w:t>
      </w:r>
    </w:p>
    <w:p w14:paraId="278EC88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3.8.6. que não emprega menor de 18 anos em trabalho noturno, perigoso ou insalubre e não emprega menor de 16 anos, salvo menor, a partir de 14 anos, na condição de aprendiz, nos termos do artigo 7°, XXXIII, da Constituição.</w:t>
      </w:r>
    </w:p>
    <w:p w14:paraId="2BB06F3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4. FASE DE LANCES</w:t>
      </w:r>
    </w:p>
    <w:p w14:paraId="2AA747F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4.1. A partir das 8h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6E81281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lastRenderedPageBreak/>
        <w:t>4.2. Iniciada a etapa competitiva, os fornecedores deverão encaminhar lances exclusivamente por meio de sistema eletrônico, sendo imediatamente informados do seu recebimento e do valor consignado no registro.</w:t>
      </w:r>
    </w:p>
    <w:p w14:paraId="6BEC1E9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4.2.1. O lance deverá ser ofertado pelo valor unitário do item.</w:t>
      </w:r>
    </w:p>
    <w:p w14:paraId="5C5EB36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4.3. O fornecedor somente poderá oferecer valor inferior ou maior percentual de desconto em relação ao último lance por ele ofertado e registrado pelo sistema.</w:t>
      </w:r>
    </w:p>
    <w:p w14:paraId="3815CFA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7CB69C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4.4. Havendo lances iguais ao menor já ofertado, prevalecerá aquele que for recebido e registrado primeiro no sistema.</w:t>
      </w:r>
    </w:p>
    <w:p w14:paraId="11A678D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4.5. Caso o fornecedor não apresente lances, concorrerá com o valor de sua proposta.</w:t>
      </w:r>
    </w:p>
    <w:p w14:paraId="3A75F59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4.6. Durante o procedimento, os fornecedores serão informados, em tempo real, do valor do menor lance registrado, vedada a identificação do fornecedor.</w:t>
      </w:r>
    </w:p>
    <w:p w14:paraId="5A5B91D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4.7. Imediatamente após o término do prazo estabelecido para a fase de lances, haverá o seu encerramento, com o ordenamento e divulgação dos lances, pelo sistema, em ordem crescente de classificação.</w:t>
      </w:r>
    </w:p>
    <w:p w14:paraId="05F8070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4.7.1. O encerramento da fase de lances ocorrerá de forma automática pontualmente no horário indicado, sem qualquer possibilidade de prorrogação e não havendo tempo aleatório ou mecanismo similar.</w:t>
      </w:r>
    </w:p>
    <w:p w14:paraId="1733854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5. JULGAMENTO DAS PROPOSTAS DE PREÇO</w:t>
      </w:r>
    </w:p>
    <w:p w14:paraId="2E8C721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5.1. Encerrada a fase de lances, será verificada a conformidade da proposta classificada em primeiro lugar quanto à adequação do objeto e à compatibilidade do preço em relação ao estipulado para a contratação.</w:t>
      </w:r>
    </w:p>
    <w:p w14:paraId="5D01EE3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5.2. Estando o preço compatível, será solicitado o envio da proposta e, se necessário, de documentos complementares, adequada ao último lance.</w:t>
      </w:r>
    </w:p>
    <w:p w14:paraId="2E1D8D1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5.3. O prazo de validade da proposta não será inferior a 60 (sessenta) dias</w:t>
      </w:r>
      <w:r w:rsidRPr="009018DF">
        <w:rPr>
          <w:rFonts w:ascii="Times New Roman" w:eastAsia="Times New Roman" w:hAnsi="Times New Roman" w:cs="Times New Roman"/>
          <w:b/>
          <w:bCs/>
          <w:color w:val="000000"/>
          <w:kern w:val="0"/>
          <w:sz w:val="27"/>
          <w:szCs w:val="27"/>
          <w:lang w:eastAsia="pt-BR"/>
          <w14:ligatures w14:val="none"/>
        </w:rPr>
        <w:t>, </w:t>
      </w:r>
      <w:r w:rsidRPr="009018DF">
        <w:rPr>
          <w:rFonts w:ascii="Times New Roman" w:eastAsia="Times New Roman" w:hAnsi="Times New Roman" w:cs="Times New Roman"/>
          <w:color w:val="000000"/>
          <w:kern w:val="0"/>
          <w:sz w:val="27"/>
          <w:szCs w:val="27"/>
          <w:lang w:eastAsia="pt-BR"/>
          <w14:ligatures w14:val="none"/>
        </w:rPr>
        <w:t>a contar da data de sua apresentação.</w:t>
      </w:r>
    </w:p>
    <w:p w14:paraId="3EBAEA5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5.4. Será desclassificada a proposta vencedora que:</w:t>
      </w:r>
    </w:p>
    <w:p w14:paraId="23BD323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5.4.1. contiver vícios insanáveis;</w:t>
      </w:r>
    </w:p>
    <w:p w14:paraId="2C3D738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5.4.2. não obedecer às especificações técnicas pormenorizadas neste aviso ou em seus anexos;</w:t>
      </w:r>
    </w:p>
    <w:p w14:paraId="4C85D750"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5.4.3. apresentar preços inexequíveis ou permanecerem acima do preço máximo definido para a contratação;</w:t>
      </w:r>
    </w:p>
    <w:p w14:paraId="45A1E6A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5.4.4. não tiverem sua exequibilidade demonstrada, quando exigido pela Administração;</w:t>
      </w:r>
    </w:p>
    <w:p w14:paraId="6F1ACFF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5.4.5. apresentar desconformidade com quaisquer outras exigências deste aviso ou seus anexos, desde que insanável.</w:t>
      </w:r>
    </w:p>
    <w:p w14:paraId="72A9FAA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5.5. Se houver indícios de inexequibilidade da proposta de preço, ou em caso da necessidade de esclarecimentos complementares, poderão ser efetuadas diligências, para que a empresa comprova a exequibilidade da proposta.</w:t>
      </w:r>
    </w:p>
    <w:p w14:paraId="7E016EC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lastRenderedPageBreak/>
        <w:t>5.6. Erros no preenchimento da planilha não constituem motivo para a desclassificação da proposta. A planilha poderá́ ser ajustada pelo fornecedor, no prazo indicado pelo sistema, desde que não haja majoração do preço.</w:t>
      </w:r>
    </w:p>
    <w:p w14:paraId="18036BE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5.6.1. O ajuste de que trata este dispositivo se limita a sanar erros ou falhas que não alterem a substância das propostas;</w:t>
      </w:r>
    </w:p>
    <w:p w14:paraId="564EA1B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5.6.2. Considera-se erro no preenchimento da planilha passível de correção a indicação de recolhimento de impostos e contribuições na forma do Simples Nacional, quando não cabível esse regime.</w:t>
      </w:r>
    </w:p>
    <w:p w14:paraId="219F5A9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5.7. Para fins de análise da proposta quanto ao cumprimento das especificações do objeto, poderá ser colhida a manifestação escrita do setor requisitante do serviço ou da área especializada no objeto.</w:t>
      </w:r>
    </w:p>
    <w:p w14:paraId="79638D5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5.8. Se a proposta ou lance vencedor for desclassificado, será examinada a proposta ou lance subsequente, e, assim sucessivamente, na ordem de classificação.</w:t>
      </w:r>
    </w:p>
    <w:p w14:paraId="7B32938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5.9. Havendo necessidade, a sessão será suspensa, informando-se no “chat” a nova data e horário para a sua continuidade.</w:t>
      </w:r>
    </w:p>
    <w:p w14:paraId="5E51A59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5.10. Encerrada a análise quanto à aceitação da proposta, se iniciará a fase de habilitação, observado o disposto neste Aviso de Contratação Direta.</w:t>
      </w:r>
    </w:p>
    <w:p w14:paraId="7D4A50B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6. HABILITAÇÃO</w:t>
      </w:r>
    </w:p>
    <w:p w14:paraId="27078BE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6.1. Os documentos a serem exigidos para fins de habilitação constam do </w:t>
      </w:r>
      <w:r w:rsidRPr="009018DF">
        <w:rPr>
          <w:rFonts w:ascii="Times New Roman" w:eastAsia="Times New Roman" w:hAnsi="Times New Roman" w:cs="Times New Roman"/>
          <w:b/>
          <w:bCs/>
          <w:color w:val="000000"/>
          <w:kern w:val="0"/>
          <w:sz w:val="27"/>
          <w:szCs w:val="27"/>
          <w:lang w:eastAsia="pt-BR"/>
          <w14:ligatures w14:val="none"/>
        </w:rPr>
        <w:t>ANEXO I – DOCUMENTAÇÃO EXIGIDA PARA HABILITAÇÃO </w:t>
      </w:r>
      <w:r w:rsidRPr="009018DF">
        <w:rPr>
          <w:rFonts w:ascii="Times New Roman" w:eastAsia="Times New Roman" w:hAnsi="Times New Roman" w:cs="Times New Roman"/>
          <w:color w:val="000000"/>
          <w:kern w:val="0"/>
          <w:sz w:val="27"/>
          <w:szCs w:val="27"/>
          <w:lang w:eastAsia="pt-BR"/>
          <w14:ligatures w14:val="none"/>
        </w:rPr>
        <w:t>deste aviso e serão solicitados do fornecedor mais bem classificado da fase de lances.</w:t>
      </w:r>
    </w:p>
    <w:p w14:paraId="678E9D2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652F5CD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a) SICAF;</w:t>
      </w:r>
    </w:p>
    <w:p w14:paraId="6508CFF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b) Cadastro Nacional de Empresas Inidôneas e Suspensas - CEIS, mantido pela Controladoria-Geral da União (</w:t>
      </w:r>
      <w:hyperlink r:id="rId10" w:tgtFrame="_blank" w:history="1">
        <w:r w:rsidRPr="009018DF">
          <w:rPr>
            <w:rStyle w:val="Hyperlink"/>
            <w:rFonts w:ascii="Times New Roman" w:eastAsia="Times New Roman" w:hAnsi="Times New Roman" w:cs="Times New Roman"/>
            <w:kern w:val="0"/>
            <w:sz w:val="27"/>
            <w:szCs w:val="27"/>
            <w:lang w:eastAsia="pt-BR"/>
            <w14:ligatures w14:val="none"/>
          </w:rPr>
          <w:t>www.portaldatransparencia.gov.br/ceis);</w:t>
        </w:r>
      </w:hyperlink>
    </w:p>
    <w:p w14:paraId="1E1EEAE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c) Cadastro Nacional de Condenações Cíveis por Atos de Improbidade Administrativa, mantido pelo Conselho Nacional de Justiça (</w:t>
      </w:r>
      <w:hyperlink r:id="rId11" w:tgtFrame="_blank" w:history="1">
        <w:r w:rsidRPr="009018DF">
          <w:rPr>
            <w:rStyle w:val="Hyperlink"/>
            <w:rFonts w:ascii="Times New Roman" w:eastAsia="Times New Roman" w:hAnsi="Times New Roman" w:cs="Times New Roman"/>
            <w:kern w:val="0"/>
            <w:sz w:val="27"/>
            <w:szCs w:val="27"/>
            <w:lang w:eastAsia="pt-BR"/>
            <w14:ligatures w14:val="none"/>
          </w:rPr>
          <w:t>www.cnj.jus.br/improbidade_adm/consultar_requerido.php).</w:t>
        </w:r>
      </w:hyperlink>
    </w:p>
    <w:p w14:paraId="2325A3C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d) Lista de Inidôneos mantida pelo Tribunal de Contas da União - TCU;</w:t>
      </w:r>
    </w:p>
    <w:p w14:paraId="76084A80"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6.2.1. Para a consulta de fornecedores pessoa jurídica poderá haver a substituição das consultas das alíneas “b”, “c” e “d” acima pela Consulta Consolidada de Pessoa Jurídica do TCU (https://certidoesapf.apps.tcu.gov.br/)</w:t>
      </w:r>
    </w:p>
    <w:p w14:paraId="371F087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C94695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lastRenderedPageBreak/>
        <w:t>6.2.2.1. Caso conste na Consulta de Situação do Fornecedor a existência de Ocorrências Impeditivas Indiretas, o gestor diligenciará para verificar se houve fraude por parte das empresas apontadas no Relatório de Ocorrências Impeditivas Indiretas.</w:t>
      </w:r>
    </w:p>
    <w:p w14:paraId="249AEE1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6.2.2.1.1. A tentativa de burla será verificada por meio dos vínculos societários, linhas de fornecimento similares, dentre outros.</w:t>
      </w:r>
    </w:p>
    <w:p w14:paraId="66AD22B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6.2.2.1.2. O fornecedor será convocado para manifestação previamente à sua desclassificação</w:t>
      </w:r>
    </w:p>
    <w:p w14:paraId="1B19234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6.2.3. Constatada a existência de sanção, o fornecedor será reputado inabilitado, por falta de condição de participação.</w:t>
      </w:r>
    </w:p>
    <w:p w14:paraId="2E6AB34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6.3. Caso atendidas as condições de participação, a habilitação dos fornecedores será verificada por meio do SICAF, nos documentos por ele abrangidos.</w:t>
      </w:r>
    </w:p>
    <w:p w14:paraId="4E6D9BB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6.3.1. É dever do fornecedor atualizar previamente as comprovações constantes do SICAF para que estejam vigentes na data da abertura da sessão pública, ou encaminhar, quando solicitado, a respectiva documentação atualizada.</w:t>
      </w:r>
    </w:p>
    <w:p w14:paraId="5DFC8AC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6.3.2. O descumprimento do subitem acima implicará a inabilitação do fornecedor, exceto se a consulta aos sítios eletrônicos oficiais emissores de certidões lograr êxito em encontrar a(s) certidão(ões) válida(s).</w:t>
      </w:r>
    </w:p>
    <w:p w14:paraId="3C6514C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CDB661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6.5. Somente haverá a necessidade de comprovação do preenchimento de requisitos mediante apresentação dos documentos originais não-digitais quando houver dúvida em relação à integridade do documento digital.</w:t>
      </w:r>
    </w:p>
    <w:p w14:paraId="57E78E7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9514179"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6.7 Havendo necessidade de analisar minuciosamente os documentos exigidos, a sessão será suspensa, sendo informada a nova data e horário para a sua continuidade.</w:t>
      </w:r>
    </w:p>
    <w:p w14:paraId="6D499B6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6.8 Será inabilitado o fornecedor que não comprovar sua habilitação, seja por não apresentar quaisquer dos documentos exigidos, ou apresentá-los em desacordo com o estabelecido neste Aviso de Contratação Direta.</w:t>
      </w:r>
    </w:p>
    <w:p w14:paraId="3BDC374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A409B4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6.9 Constatado o atendimento às exigências de habilitação, o fornecedor será habilitado.</w:t>
      </w:r>
    </w:p>
    <w:p w14:paraId="6B926E8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lastRenderedPageBreak/>
        <w:t>7. CONTRATAÇÃO</w:t>
      </w:r>
    </w:p>
    <w:p w14:paraId="6BA7FD0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7.1. Após a homologação e adjudicação, caso se conclua pela contratação, será firmado Termo de Contrato ou emitido instrumento equivalente.</w:t>
      </w:r>
    </w:p>
    <w:p w14:paraId="26A3AFDE"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7.2. O adjudicatário terá o prazo de 2 (dois) dias úteis, contados a partir da data de sua convocação, para aceitar a Nota de Empenho, sob pena de decair do direito à contratação, sem prejuízo das sanções previstas neste Aviso de Contratação Direta.</w:t>
      </w:r>
    </w:p>
    <w:p w14:paraId="709EB0E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7.2.1. O prazo previsto para assinatura do contrato ou aceitação da nota de empenho ou instrumento equivalente será de 1 (um) dia, a contar da data do recebimento, prorrogado 1 (uma) vez, por igual período, por solicitação justificada do adjudicatário e aceita pela Administração.</w:t>
      </w:r>
    </w:p>
    <w:p w14:paraId="12F4DB1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7.3. O Aceite da Nota de Empenho ou do instrumento equivalente, emitida à empresa adjudicada, implica no reconhecimento de que:</w:t>
      </w:r>
    </w:p>
    <w:p w14:paraId="5686E20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7.3.1. a referida Nota está substituindo o contrato, aplicando-se à relação de negócios ali estabelecida as disposições da Lei nº 14.133, de 2021;</w:t>
      </w:r>
    </w:p>
    <w:p w14:paraId="0F9A992A"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7.3.2. a contratada se vincula à sua proposta e às previsões contidas no Aviso de Contratação Direta e seus anexos;</w:t>
      </w:r>
    </w:p>
    <w:p w14:paraId="38F2999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7.3.3. a contratada reconhece que as hipóteses de rescisão são aquelas previstas nos artigos 137 e 138 da Lei nº 14.133/21 e reconhece os direitos da Administração previstos nos artigos 137 a 139 da mesma Lei.</w:t>
      </w:r>
    </w:p>
    <w:p w14:paraId="4DFA9AE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7.4. O prazo de vigência da contratação abrange o prazo de garantia que é de no mínimo 7(sete) anos ou conforme descrição do fabricante, caso o prazo for maior.</w:t>
      </w:r>
    </w:p>
    <w:p w14:paraId="22149AF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7.5. Na assinatura do contrato ou do instrumento equivalente será exigida a comprovação das condições de habilitação e contratação consignadas neste aviso, que deverão ser mantidas pelo fornecedor durante a vigência do contrato.</w:t>
      </w:r>
    </w:p>
    <w:p w14:paraId="0B896E1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8. SANÇÕES</w:t>
      </w:r>
    </w:p>
    <w:p w14:paraId="32512DF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8.1 O fornecedor que cometer qualquer das infrações previstas no art. 155 da Lei nº 14.133 de 2021, ficará sujeito às sanções previstas no art. 156 da mesma Lei. Considerando a natureza e a gravidade da infração cometida, as peculiaridades do caso concreto e os danos que dela provierem para a Administração Pública, e observado o disposto no Decreto Municipal nº 966/2022.</w:t>
      </w:r>
    </w:p>
    <w:p w14:paraId="6F5D2CC0"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9. DAS DISPOSIÇÕES GERAIS</w:t>
      </w:r>
    </w:p>
    <w:p w14:paraId="648AC1A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9.1. 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A33FFE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9.2. No caso de todos os fornecedores restarem desclassificados ou inabilitados (procedimento fracassado), a Administração poderá:</w:t>
      </w:r>
    </w:p>
    <w:p w14:paraId="77ED31C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9.2.1. republicar o presente aviso com uma nova data;</w:t>
      </w:r>
    </w:p>
    <w:p w14:paraId="619ACE7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xml:space="preserve">9.2.2. valer-se, para a contratação, de proposta obtida na pesquisa de preços que serviu de base ao procedimento, se houver, privilegiando-se os menores </w:t>
      </w:r>
      <w:r w:rsidRPr="009018DF">
        <w:rPr>
          <w:rFonts w:ascii="Times New Roman" w:eastAsia="Times New Roman" w:hAnsi="Times New Roman" w:cs="Times New Roman"/>
          <w:color w:val="000000"/>
          <w:kern w:val="0"/>
          <w:sz w:val="27"/>
          <w:szCs w:val="27"/>
          <w:lang w:eastAsia="pt-BR"/>
          <w14:ligatures w14:val="none"/>
        </w:rPr>
        <w:lastRenderedPageBreak/>
        <w:t>preços, sempre que possível, e desde que atendidas às condições de habilitação exigidas;</w:t>
      </w:r>
    </w:p>
    <w:p w14:paraId="0AEEC5B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9.2.2.1. No caso do subitem anterior, a contratação será operacionalizada fora deste procedimento;</w:t>
      </w:r>
    </w:p>
    <w:p w14:paraId="05235F8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9.2.3. fixar prazo para que possa haver adequação das propostas ou da documentação de habilitação, conforme o caso;</w:t>
      </w:r>
    </w:p>
    <w:p w14:paraId="3913E54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9.3. As providências dos subitens 9.2.1 e 9.2.2 acima poderão ser utilizadas se não houver o comparecimento de quaisquer fornecedores interessados (procedimento deserto).</w:t>
      </w:r>
    </w:p>
    <w:p w14:paraId="4B4EBF16"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27058BF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9.5. Caberá ao fornecedor acompanhar as operações, ficando responsável pelo ônus decorrente da perda do negócio diante da inobservância de quaisquer mensagens emitidas pela Administração ou de sua desconexão.</w:t>
      </w:r>
    </w:p>
    <w:p w14:paraId="1AD7DF9F"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6AA9C8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9.7. Os horários estabelecidos na divulgação deste procedimento e durante o envio de lances observarão o horário de Brasília, DF, inclusive para contagem de tempo e registro no Sistema e na documentação relativa ao procedimento.</w:t>
      </w:r>
    </w:p>
    <w:p w14:paraId="3A43784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96A0D1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4850845"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9.10. Os fornecedores assumem todos os custos de preparação e apresentação de suas propostas e a Administração não será, em nenhum caso, responsável por esses custos, independentemente da condução ou do resultado do processo de contratação.</w:t>
      </w:r>
    </w:p>
    <w:p w14:paraId="7E9AFB8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9.11. Em caso de divergência entre disposições deste Aviso de Contratação Direta e de seus anexos ou demais peças que compõem o processo, prevalecerá as deste Aviso.</w:t>
      </w:r>
    </w:p>
    <w:p w14:paraId="1AB080A7"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9.12. Da sessão pública será divulgada Ata no sistema eletrônico.</w:t>
      </w:r>
    </w:p>
    <w:p w14:paraId="00443E0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ANEXO I – DOCUMENTAÇÃO EXIGIDA PARA HABILITAÇÃO</w:t>
      </w:r>
    </w:p>
    <w:p w14:paraId="550CE86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1. Habilitação jurídica:</w:t>
      </w:r>
    </w:p>
    <w:p w14:paraId="6B3C073D"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1.1. No caso de empresário individual, inscrição no Registro Público de Empresas Mercantis, a cargo da Junta Comercial da respectiva sede;</w:t>
      </w:r>
    </w:p>
    <w:p w14:paraId="78EE9F40"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lastRenderedPageBreak/>
        <w:t>1.2. Em se tratando de Microempreendedor Individual – MEI: Certificado da Condição de Microempreendedor Individual - CCMEI, cuja aceitação ficará condicionada à verificação da autenticidade no sítio www.portaldoempreendedor.gov.br;</w:t>
      </w:r>
    </w:p>
    <w:p w14:paraId="7560504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F3F77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1.4. Inscrição no Registro Público de Empresas Mercantis onde opera, com averbação no Registro onde tem sede a matriz, no caso de ser o participante sucursal, filial ou agência;</w:t>
      </w:r>
    </w:p>
    <w:p w14:paraId="4C69D4C4"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1.5. No caso de sociedade simples: inscrição do ato constitutivo no Registro Civil das Pessoas Jurídicas do local de sua sede, acompanhada de prova da indicação dos seus administradores;</w:t>
      </w:r>
    </w:p>
    <w:p w14:paraId="13144E0E"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1.6. Decreto de autorização, em se tratando de sociedade empresária estrangeira em funcionamento no País;</w:t>
      </w:r>
    </w:p>
    <w:p w14:paraId="0D032350"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1.7. Os documentos acima deverão estar acompanhados de todas as alterações ou da consolidação respectiva.</w:t>
      </w:r>
    </w:p>
    <w:p w14:paraId="4C6E7EB1"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2. Regularidade fiscal, social e trabalhista:</w:t>
      </w:r>
    </w:p>
    <w:p w14:paraId="45FF22D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2.1. Prova de inscrição no Cadastro Nacional de Pessoas Jurídicas ou no Cadastro de Pessoas Físicas, conforme o caso;</w:t>
      </w:r>
    </w:p>
    <w:p w14:paraId="67E88A70"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F13DFF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2.3. Prova de regularidade com o Fundo de Garantia do Tempo de Serviço (FGTS);</w:t>
      </w:r>
    </w:p>
    <w:p w14:paraId="18835162"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D5E9DB"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2.5. Prova de inscrição no cadastro de contribuintes municipal, relativo ao domicílio ou sede do fornecedor, pertinente ao seu ramo de atividade e compatível com o objeto contratual;</w:t>
      </w:r>
    </w:p>
    <w:p w14:paraId="29793473"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2.6. Prova de regularidade com a Fazenda Estadual e Municipal do domicílio ou sede do fornecedor, e junto ao Município de Goiânia, relativa à atividade em cujo exercício contrata ou concorre;</w:t>
      </w:r>
    </w:p>
    <w:p w14:paraId="29DDFAF8"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t>3. Qualificação Econômico-Financeira:</w:t>
      </w:r>
    </w:p>
    <w:p w14:paraId="43F1BD3E"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3.1. Certidão negativa de falência expedida pelo distribuidor da sede do fornecedor.</w:t>
      </w:r>
    </w:p>
    <w:p w14:paraId="2BF5DE1C" w14:textId="77777777" w:rsidR="009018DF" w:rsidRPr="009018DF" w:rsidRDefault="009018DF" w:rsidP="009018DF">
      <w:pPr>
        <w:spacing w:after="0" w:line="240" w:lineRule="auto"/>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 </w:t>
      </w:r>
    </w:p>
    <w:p w14:paraId="1256AD98" w14:textId="77777777" w:rsidR="009018DF" w:rsidRPr="009018DF" w:rsidRDefault="009018DF" w:rsidP="009018DF">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b/>
          <w:bCs/>
          <w:color w:val="000000"/>
          <w:kern w:val="0"/>
          <w:sz w:val="27"/>
          <w:szCs w:val="27"/>
          <w:lang w:eastAsia="pt-BR"/>
          <w14:ligatures w14:val="none"/>
        </w:rPr>
        <w:lastRenderedPageBreak/>
        <w:t>FRANCISCO TARCÍSIO RIBEIRO DE ABREU</w:t>
      </w:r>
    </w:p>
    <w:p w14:paraId="224E5665" w14:textId="77777777" w:rsidR="009018DF" w:rsidRPr="009018DF" w:rsidRDefault="009018DF" w:rsidP="009018DF">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9018DF">
        <w:rPr>
          <w:rFonts w:ascii="Times New Roman" w:eastAsia="Times New Roman" w:hAnsi="Times New Roman" w:cs="Times New Roman"/>
          <w:color w:val="000000"/>
          <w:kern w:val="0"/>
          <w:sz w:val="27"/>
          <w:szCs w:val="27"/>
          <w:lang w:eastAsia="pt-BR"/>
          <w14:ligatures w14:val="none"/>
        </w:rPr>
        <w:t>Secretário - SET</w:t>
      </w:r>
    </w:p>
    <w:p w14:paraId="4F4E2735" w14:textId="77777777" w:rsidR="00A470D7" w:rsidRPr="00A470D7" w:rsidRDefault="00A470D7" w:rsidP="00A470D7">
      <w:pPr>
        <w:spacing w:after="0" w:line="240" w:lineRule="auto"/>
        <w:rPr>
          <w:rFonts w:ascii="Times New Roman" w:eastAsia="Times New Roman" w:hAnsi="Times New Roman" w:cs="Times New Roman"/>
          <w:color w:val="000000"/>
          <w:kern w:val="0"/>
          <w:sz w:val="27"/>
          <w:szCs w:val="27"/>
          <w:lang w:eastAsia="pt-BR"/>
          <w14:ligatures w14:val="none"/>
        </w:rPr>
      </w:pPr>
    </w:p>
    <w:p w14:paraId="34315DBB" w14:textId="77777777" w:rsidR="00A470D7" w:rsidRPr="00A470D7" w:rsidRDefault="00A470D7" w:rsidP="00A470D7">
      <w:pPr>
        <w:spacing w:line="240" w:lineRule="auto"/>
        <w:jc w:val="center"/>
        <w:rPr>
          <w:rFonts w:ascii="Calibri" w:eastAsia="Times New Roman" w:hAnsi="Calibri" w:cs="Calibri"/>
          <w:color w:val="000000"/>
          <w:kern w:val="0"/>
          <w:sz w:val="18"/>
          <w:szCs w:val="18"/>
          <w:lang w:eastAsia="pt-BR"/>
          <w14:ligatures w14:val="none"/>
        </w:rPr>
      </w:pPr>
      <w:r w:rsidRPr="00A470D7">
        <w:rPr>
          <w:rFonts w:ascii="Calibri" w:eastAsia="Times New Roman" w:hAnsi="Calibri" w:cs="Calibri"/>
          <w:color w:val="000000"/>
          <w:kern w:val="0"/>
          <w:sz w:val="18"/>
          <w:szCs w:val="18"/>
          <w:lang w:eastAsia="pt-BR"/>
          <w14:ligatures w14:val="none"/>
        </w:rPr>
        <w:t> </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4252"/>
        <w:gridCol w:w="4252"/>
      </w:tblGrid>
      <w:tr w:rsidR="00A470D7" w:rsidRPr="00A470D7" w14:paraId="7D079DBD" w14:textId="77777777" w:rsidTr="001F654C">
        <w:trPr>
          <w:tblCellSpacing w:w="15" w:type="dxa"/>
          <w:jc w:val="center"/>
        </w:trPr>
        <w:tc>
          <w:tcPr>
            <w:tcW w:w="0" w:type="auto"/>
            <w:tcBorders>
              <w:top w:val="nil"/>
              <w:left w:val="nil"/>
              <w:bottom w:val="nil"/>
              <w:right w:val="nil"/>
            </w:tcBorders>
            <w:vAlign w:val="center"/>
            <w:hideMark/>
          </w:tcPr>
          <w:p w14:paraId="64E5ABEB" w14:textId="56C1E443" w:rsidR="00A470D7" w:rsidRPr="00A470D7" w:rsidRDefault="00A470D7" w:rsidP="00A470D7">
            <w:pPr>
              <w:spacing w:after="0" w:line="240" w:lineRule="auto"/>
              <w:rPr>
                <w:rFonts w:ascii="Calibri" w:eastAsia="Times New Roman" w:hAnsi="Calibri" w:cs="Calibri"/>
                <w:kern w:val="0"/>
                <w:sz w:val="18"/>
                <w:szCs w:val="18"/>
                <w:lang w:eastAsia="pt-BR"/>
                <w14:ligatures w14:val="none"/>
              </w:rPr>
            </w:pPr>
          </w:p>
        </w:tc>
        <w:tc>
          <w:tcPr>
            <w:tcW w:w="0" w:type="auto"/>
            <w:tcBorders>
              <w:top w:val="nil"/>
              <w:left w:val="nil"/>
              <w:bottom w:val="nil"/>
              <w:right w:val="nil"/>
            </w:tcBorders>
            <w:vAlign w:val="center"/>
          </w:tcPr>
          <w:p w14:paraId="5A01402B" w14:textId="675ED014" w:rsidR="00A470D7" w:rsidRPr="00A470D7" w:rsidRDefault="00A470D7" w:rsidP="00A470D7">
            <w:pPr>
              <w:spacing w:after="0" w:line="240" w:lineRule="auto"/>
              <w:jc w:val="right"/>
              <w:rPr>
                <w:rFonts w:ascii="Calibri" w:eastAsia="Times New Roman" w:hAnsi="Calibri" w:cs="Calibri"/>
                <w:kern w:val="0"/>
                <w:sz w:val="18"/>
                <w:szCs w:val="18"/>
                <w:lang w:eastAsia="pt-BR"/>
                <w14:ligatures w14:val="none"/>
              </w:rPr>
            </w:pPr>
          </w:p>
        </w:tc>
      </w:tr>
    </w:tbl>
    <w:p w14:paraId="2935B6C3" w14:textId="77777777" w:rsidR="00940AB9" w:rsidRDefault="00940AB9"/>
    <w:sectPr w:rsidR="00940A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0D7"/>
    <w:rsid w:val="0001301C"/>
    <w:rsid w:val="00044F1A"/>
    <w:rsid w:val="00066A3B"/>
    <w:rsid w:val="000D193B"/>
    <w:rsid w:val="000D55D9"/>
    <w:rsid w:val="000D635F"/>
    <w:rsid w:val="00112940"/>
    <w:rsid w:val="0012169B"/>
    <w:rsid w:val="00131B45"/>
    <w:rsid w:val="0017124E"/>
    <w:rsid w:val="0017628E"/>
    <w:rsid w:val="00190A22"/>
    <w:rsid w:val="00196558"/>
    <w:rsid w:val="001A3325"/>
    <w:rsid w:val="001E6007"/>
    <w:rsid w:val="001F654C"/>
    <w:rsid w:val="002543FF"/>
    <w:rsid w:val="00283926"/>
    <w:rsid w:val="00300B95"/>
    <w:rsid w:val="003E28AF"/>
    <w:rsid w:val="00414263"/>
    <w:rsid w:val="00426AA9"/>
    <w:rsid w:val="00502DAF"/>
    <w:rsid w:val="00564931"/>
    <w:rsid w:val="00565164"/>
    <w:rsid w:val="00580741"/>
    <w:rsid w:val="005E010F"/>
    <w:rsid w:val="00684DC3"/>
    <w:rsid w:val="006F7121"/>
    <w:rsid w:val="00712E82"/>
    <w:rsid w:val="007C7246"/>
    <w:rsid w:val="008206A3"/>
    <w:rsid w:val="00836826"/>
    <w:rsid w:val="008505EC"/>
    <w:rsid w:val="0085394E"/>
    <w:rsid w:val="0087346B"/>
    <w:rsid w:val="00874CB5"/>
    <w:rsid w:val="009018DF"/>
    <w:rsid w:val="0093312D"/>
    <w:rsid w:val="00940AB9"/>
    <w:rsid w:val="00A470D7"/>
    <w:rsid w:val="00A73C33"/>
    <w:rsid w:val="00B41E39"/>
    <w:rsid w:val="00B8231A"/>
    <w:rsid w:val="00BA5112"/>
    <w:rsid w:val="00BB6D36"/>
    <w:rsid w:val="00BC2C91"/>
    <w:rsid w:val="00C23A49"/>
    <w:rsid w:val="00C46BD8"/>
    <w:rsid w:val="00C65D05"/>
    <w:rsid w:val="00D54E66"/>
    <w:rsid w:val="00E36142"/>
    <w:rsid w:val="00E9506B"/>
    <w:rsid w:val="00F21E70"/>
    <w:rsid w:val="00FC487A"/>
    <w:rsid w:val="00FF45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82577"/>
  <w15:chartTrackingRefBased/>
  <w15:docId w15:val="{6573A6D4-94A6-433B-8950-455BB4394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1A332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013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semiHidden/>
    <w:unhideWhenUsed/>
    <w:qFormat/>
    <w:rsid w:val="0001301C"/>
    <w:pPr>
      <w:widowControl w:val="0"/>
      <w:autoSpaceDE w:val="0"/>
      <w:autoSpaceDN w:val="0"/>
      <w:spacing w:after="0" w:line="240" w:lineRule="auto"/>
      <w:ind w:left="943"/>
    </w:pPr>
    <w:rPr>
      <w:rFonts w:ascii="Calibri" w:eastAsia="Calibri" w:hAnsi="Calibri" w:cs="Calibri"/>
      <w:kern w:val="0"/>
      <w:sz w:val="20"/>
      <w:szCs w:val="20"/>
      <w:lang w:val="pt-PT"/>
      <w14:ligatures w14:val="none"/>
    </w:rPr>
  </w:style>
  <w:style w:type="character" w:customStyle="1" w:styleId="CorpodetextoChar">
    <w:name w:val="Corpo de texto Char"/>
    <w:basedOn w:val="Fontepargpadro"/>
    <w:link w:val="Corpodetexto"/>
    <w:uiPriority w:val="1"/>
    <w:semiHidden/>
    <w:rsid w:val="0001301C"/>
    <w:rPr>
      <w:rFonts w:ascii="Calibri" w:eastAsia="Calibri" w:hAnsi="Calibri" w:cs="Calibri"/>
      <w:kern w:val="0"/>
      <w:sz w:val="20"/>
      <w:szCs w:val="20"/>
      <w:lang w:val="pt-PT"/>
      <w14:ligatures w14:val="none"/>
    </w:rPr>
  </w:style>
  <w:style w:type="paragraph" w:customStyle="1" w:styleId="TableParagraph">
    <w:name w:val="Table Paragraph"/>
    <w:basedOn w:val="Normal"/>
    <w:uiPriority w:val="1"/>
    <w:qFormat/>
    <w:rsid w:val="0001301C"/>
    <w:pPr>
      <w:widowControl w:val="0"/>
      <w:autoSpaceDE w:val="0"/>
      <w:autoSpaceDN w:val="0"/>
      <w:spacing w:before="20" w:after="0" w:line="240" w:lineRule="auto"/>
      <w:jc w:val="center"/>
    </w:pPr>
    <w:rPr>
      <w:rFonts w:ascii="Calibri" w:eastAsia="Calibri" w:hAnsi="Calibri" w:cs="Calibri"/>
      <w:kern w:val="0"/>
      <w:lang w:val="pt-PT"/>
      <w14:ligatures w14:val="none"/>
    </w:rPr>
  </w:style>
  <w:style w:type="table" w:customStyle="1" w:styleId="TableNormal">
    <w:name w:val="Table Normal"/>
    <w:uiPriority w:val="2"/>
    <w:semiHidden/>
    <w:qFormat/>
    <w:rsid w:val="0001301C"/>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styleId="Hyperlink">
    <w:name w:val="Hyperlink"/>
    <w:basedOn w:val="Fontepargpadro"/>
    <w:uiPriority w:val="99"/>
    <w:unhideWhenUsed/>
    <w:rsid w:val="009018DF"/>
    <w:rPr>
      <w:color w:val="0563C1" w:themeColor="hyperlink"/>
      <w:u w:val="single"/>
    </w:rPr>
  </w:style>
  <w:style w:type="character" w:styleId="MenoPendente">
    <w:name w:val="Unresolved Mention"/>
    <w:basedOn w:val="Fontepargpadro"/>
    <w:uiPriority w:val="99"/>
    <w:semiHidden/>
    <w:unhideWhenUsed/>
    <w:rsid w:val="009018DF"/>
    <w:rPr>
      <w:color w:val="605E5C"/>
      <w:shd w:val="clear" w:color="auto" w:fill="E1DFDD"/>
    </w:rPr>
  </w:style>
  <w:style w:type="paragraph" w:styleId="PargrafodaLista">
    <w:name w:val="List Paragraph"/>
    <w:basedOn w:val="Normal"/>
    <w:uiPriority w:val="34"/>
    <w:qFormat/>
    <w:rsid w:val="00901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99001">
      <w:bodyDiv w:val="1"/>
      <w:marLeft w:val="0"/>
      <w:marRight w:val="0"/>
      <w:marTop w:val="0"/>
      <w:marBottom w:val="0"/>
      <w:divBdr>
        <w:top w:val="none" w:sz="0" w:space="0" w:color="auto"/>
        <w:left w:val="none" w:sz="0" w:space="0" w:color="auto"/>
        <w:bottom w:val="none" w:sz="0" w:space="0" w:color="auto"/>
        <w:right w:val="none" w:sz="0" w:space="0" w:color="auto"/>
      </w:divBdr>
    </w:div>
    <w:div w:id="56979135">
      <w:bodyDiv w:val="1"/>
      <w:marLeft w:val="0"/>
      <w:marRight w:val="0"/>
      <w:marTop w:val="0"/>
      <w:marBottom w:val="0"/>
      <w:divBdr>
        <w:top w:val="none" w:sz="0" w:space="0" w:color="auto"/>
        <w:left w:val="none" w:sz="0" w:space="0" w:color="auto"/>
        <w:bottom w:val="none" w:sz="0" w:space="0" w:color="auto"/>
        <w:right w:val="none" w:sz="0" w:space="0" w:color="auto"/>
      </w:divBdr>
    </w:div>
    <w:div w:id="68506656">
      <w:bodyDiv w:val="1"/>
      <w:marLeft w:val="0"/>
      <w:marRight w:val="0"/>
      <w:marTop w:val="0"/>
      <w:marBottom w:val="0"/>
      <w:divBdr>
        <w:top w:val="none" w:sz="0" w:space="0" w:color="auto"/>
        <w:left w:val="none" w:sz="0" w:space="0" w:color="auto"/>
        <w:bottom w:val="none" w:sz="0" w:space="0" w:color="auto"/>
        <w:right w:val="none" w:sz="0" w:space="0" w:color="auto"/>
      </w:divBdr>
    </w:div>
    <w:div w:id="191261661">
      <w:bodyDiv w:val="1"/>
      <w:marLeft w:val="0"/>
      <w:marRight w:val="0"/>
      <w:marTop w:val="0"/>
      <w:marBottom w:val="0"/>
      <w:divBdr>
        <w:top w:val="none" w:sz="0" w:space="0" w:color="auto"/>
        <w:left w:val="none" w:sz="0" w:space="0" w:color="auto"/>
        <w:bottom w:val="none" w:sz="0" w:space="0" w:color="auto"/>
        <w:right w:val="none" w:sz="0" w:space="0" w:color="auto"/>
      </w:divBdr>
    </w:div>
    <w:div w:id="308940115">
      <w:bodyDiv w:val="1"/>
      <w:marLeft w:val="0"/>
      <w:marRight w:val="0"/>
      <w:marTop w:val="0"/>
      <w:marBottom w:val="0"/>
      <w:divBdr>
        <w:top w:val="none" w:sz="0" w:space="0" w:color="auto"/>
        <w:left w:val="none" w:sz="0" w:space="0" w:color="auto"/>
        <w:bottom w:val="none" w:sz="0" w:space="0" w:color="auto"/>
        <w:right w:val="none" w:sz="0" w:space="0" w:color="auto"/>
      </w:divBdr>
    </w:div>
    <w:div w:id="352612756">
      <w:bodyDiv w:val="1"/>
      <w:marLeft w:val="0"/>
      <w:marRight w:val="0"/>
      <w:marTop w:val="0"/>
      <w:marBottom w:val="0"/>
      <w:divBdr>
        <w:top w:val="none" w:sz="0" w:space="0" w:color="auto"/>
        <w:left w:val="none" w:sz="0" w:space="0" w:color="auto"/>
        <w:bottom w:val="none" w:sz="0" w:space="0" w:color="auto"/>
        <w:right w:val="none" w:sz="0" w:space="0" w:color="auto"/>
      </w:divBdr>
    </w:div>
    <w:div w:id="387462945">
      <w:bodyDiv w:val="1"/>
      <w:marLeft w:val="0"/>
      <w:marRight w:val="0"/>
      <w:marTop w:val="0"/>
      <w:marBottom w:val="0"/>
      <w:divBdr>
        <w:top w:val="none" w:sz="0" w:space="0" w:color="auto"/>
        <w:left w:val="none" w:sz="0" w:space="0" w:color="auto"/>
        <w:bottom w:val="none" w:sz="0" w:space="0" w:color="auto"/>
        <w:right w:val="none" w:sz="0" w:space="0" w:color="auto"/>
      </w:divBdr>
    </w:div>
    <w:div w:id="439299159">
      <w:bodyDiv w:val="1"/>
      <w:marLeft w:val="0"/>
      <w:marRight w:val="0"/>
      <w:marTop w:val="0"/>
      <w:marBottom w:val="0"/>
      <w:divBdr>
        <w:top w:val="none" w:sz="0" w:space="0" w:color="auto"/>
        <w:left w:val="none" w:sz="0" w:space="0" w:color="auto"/>
        <w:bottom w:val="none" w:sz="0" w:space="0" w:color="auto"/>
        <w:right w:val="none" w:sz="0" w:space="0" w:color="auto"/>
      </w:divBdr>
    </w:div>
    <w:div w:id="657197658">
      <w:bodyDiv w:val="1"/>
      <w:marLeft w:val="0"/>
      <w:marRight w:val="0"/>
      <w:marTop w:val="0"/>
      <w:marBottom w:val="0"/>
      <w:divBdr>
        <w:top w:val="none" w:sz="0" w:space="0" w:color="auto"/>
        <w:left w:val="none" w:sz="0" w:space="0" w:color="auto"/>
        <w:bottom w:val="none" w:sz="0" w:space="0" w:color="auto"/>
        <w:right w:val="none" w:sz="0" w:space="0" w:color="auto"/>
      </w:divBdr>
    </w:div>
    <w:div w:id="814639086">
      <w:bodyDiv w:val="1"/>
      <w:marLeft w:val="0"/>
      <w:marRight w:val="0"/>
      <w:marTop w:val="0"/>
      <w:marBottom w:val="0"/>
      <w:divBdr>
        <w:top w:val="none" w:sz="0" w:space="0" w:color="auto"/>
        <w:left w:val="none" w:sz="0" w:space="0" w:color="auto"/>
        <w:bottom w:val="none" w:sz="0" w:space="0" w:color="auto"/>
        <w:right w:val="none" w:sz="0" w:space="0" w:color="auto"/>
      </w:divBdr>
    </w:div>
    <w:div w:id="1179780230">
      <w:bodyDiv w:val="1"/>
      <w:marLeft w:val="0"/>
      <w:marRight w:val="0"/>
      <w:marTop w:val="0"/>
      <w:marBottom w:val="0"/>
      <w:divBdr>
        <w:top w:val="none" w:sz="0" w:space="0" w:color="auto"/>
        <w:left w:val="none" w:sz="0" w:space="0" w:color="auto"/>
        <w:bottom w:val="none" w:sz="0" w:space="0" w:color="auto"/>
        <w:right w:val="none" w:sz="0" w:space="0" w:color="auto"/>
      </w:divBdr>
    </w:div>
    <w:div w:id="1263223946">
      <w:bodyDiv w:val="1"/>
      <w:marLeft w:val="0"/>
      <w:marRight w:val="0"/>
      <w:marTop w:val="0"/>
      <w:marBottom w:val="0"/>
      <w:divBdr>
        <w:top w:val="none" w:sz="0" w:space="0" w:color="auto"/>
        <w:left w:val="none" w:sz="0" w:space="0" w:color="auto"/>
        <w:bottom w:val="none" w:sz="0" w:space="0" w:color="auto"/>
        <w:right w:val="none" w:sz="0" w:space="0" w:color="auto"/>
      </w:divBdr>
    </w:div>
    <w:div w:id="1324234548">
      <w:bodyDiv w:val="1"/>
      <w:marLeft w:val="0"/>
      <w:marRight w:val="0"/>
      <w:marTop w:val="0"/>
      <w:marBottom w:val="0"/>
      <w:divBdr>
        <w:top w:val="none" w:sz="0" w:space="0" w:color="auto"/>
        <w:left w:val="none" w:sz="0" w:space="0" w:color="auto"/>
        <w:bottom w:val="none" w:sz="0" w:space="0" w:color="auto"/>
        <w:right w:val="none" w:sz="0" w:space="0" w:color="auto"/>
      </w:divBdr>
    </w:div>
    <w:div w:id="1342003717">
      <w:bodyDiv w:val="1"/>
      <w:marLeft w:val="0"/>
      <w:marRight w:val="0"/>
      <w:marTop w:val="0"/>
      <w:marBottom w:val="0"/>
      <w:divBdr>
        <w:top w:val="none" w:sz="0" w:space="0" w:color="auto"/>
        <w:left w:val="none" w:sz="0" w:space="0" w:color="auto"/>
        <w:bottom w:val="none" w:sz="0" w:space="0" w:color="auto"/>
        <w:right w:val="none" w:sz="0" w:space="0" w:color="auto"/>
      </w:divBdr>
    </w:div>
    <w:div w:id="1373117477">
      <w:bodyDiv w:val="1"/>
      <w:marLeft w:val="0"/>
      <w:marRight w:val="0"/>
      <w:marTop w:val="0"/>
      <w:marBottom w:val="0"/>
      <w:divBdr>
        <w:top w:val="none" w:sz="0" w:space="0" w:color="auto"/>
        <w:left w:val="none" w:sz="0" w:space="0" w:color="auto"/>
        <w:bottom w:val="none" w:sz="0" w:space="0" w:color="auto"/>
        <w:right w:val="none" w:sz="0" w:space="0" w:color="auto"/>
      </w:divBdr>
    </w:div>
    <w:div w:id="1382822363">
      <w:bodyDiv w:val="1"/>
      <w:marLeft w:val="0"/>
      <w:marRight w:val="0"/>
      <w:marTop w:val="0"/>
      <w:marBottom w:val="0"/>
      <w:divBdr>
        <w:top w:val="none" w:sz="0" w:space="0" w:color="auto"/>
        <w:left w:val="none" w:sz="0" w:space="0" w:color="auto"/>
        <w:bottom w:val="none" w:sz="0" w:space="0" w:color="auto"/>
        <w:right w:val="none" w:sz="0" w:space="0" w:color="auto"/>
      </w:divBdr>
      <w:divsChild>
        <w:div w:id="1107771586">
          <w:marLeft w:val="0"/>
          <w:marRight w:val="0"/>
          <w:marTop w:val="0"/>
          <w:marBottom w:val="0"/>
          <w:divBdr>
            <w:top w:val="none" w:sz="0" w:space="0" w:color="auto"/>
            <w:left w:val="none" w:sz="0" w:space="0" w:color="auto"/>
            <w:bottom w:val="none" w:sz="0" w:space="0" w:color="auto"/>
            <w:right w:val="none" w:sz="0" w:space="0" w:color="auto"/>
          </w:divBdr>
        </w:div>
        <w:div w:id="2141728683">
          <w:marLeft w:val="851"/>
          <w:marRight w:val="851"/>
          <w:marTop w:val="240"/>
          <w:marBottom w:val="240"/>
          <w:divBdr>
            <w:top w:val="none" w:sz="0" w:space="0" w:color="auto"/>
            <w:left w:val="none" w:sz="0" w:space="0" w:color="auto"/>
            <w:bottom w:val="none" w:sz="0" w:space="0" w:color="auto"/>
            <w:right w:val="none" w:sz="0" w:space="0" w:color="auto"/>
          </w:divBdr>
        </w:div>
      </w:divsChild>
    </w:div>
    <w:div w:id="1655602741">
      <w:bodyDiv w:val="1"/>
      <w:marLeft w:val="0"/>
      <w:marRight w:val="0"/>
      <w:marTop w:val="0"/>
      <w:marBottom w:val="0"/>
      <w:divBdr>
        <w:top w:val="none" w:sz="0" w:space="0" w:color="auto"/>
        <w:left w:val="none" w:sz="0" w:space="0" w:color="auto"/>
        <w:bottom w:val="none" w:sz="0" w:space="0" w:color="auto"/>
        <w:right w:val="none" w:sz="0" w:space="0" w:color="auto"/>
      </w:divBdr>
    </w:div>
    <w:div w:id="1827670174">
      <w:bodyDiv w:val="1"/>
      <w:marLeft w:val="0"/>
      <w:marRight w:val="0"/>
      <w:marTop w:val="0"/>
      <w:marBottom w:val="0"/>
      <w:divBdr>
        <w:top w:val="none" w:sz="0" w:space="0" w:color="auto"/>
        <w:left w:val="none" w:sz="0" w:space="0" w:color="auto"/>
        <w:bottom w:val="none" w:sz="0" w:space="0" w:color="auto"/>
        <w:right w:val="none" w:sz="0" w:space="0" w:color="auto"/>
      </w:divBdr>
    </w:div>
    <w:div w:id="1853687005">
      <w:bodyDiv w:val="1"/>
      <w:marLeft w:val="0"/>
      <w:marRight w:val="0"/>
      <w:marTop w:val="0"/>
      <w:marBottom w:val="0"/>
      <w:divBdr>
        <w:top w:val="none" w:sz="0" w:space="0" w:color="auto"/>
        <w:left w:val="none" w:sz="0" w:space="0" w:color="auto"/>
        <w:bottom w:val="none" w:sz="0" w:space="0" w:color="auto"/>
        <w:right w:val="none" w:sz="0" w:space="0" w:color="auto"/>
      </w:divBdr>
    </w:div>
    <w:div w:id="2011056929">
      <w:bodyDiv w:val="1"/>
      <w:marLeft w:val="0"/>
      <w:marRight w:val="0"/>
      <w:marTop w:val="0"/>
      <w:marBottom w:val="0"/>
      <w:divBdr>
        <w:top w:val="none" w:sz="0" w:space="0" w:color="auto"/>
        <w:left w:val="none" w:sz="0" w:space="0" w:color="auto"/>
        <w:bottom w:val="none" w:sz="0" w:space="0" w:color="auto"/>
        <w:right w:val="none" w:sz="0" w:space="0" w:color="auto"/>
      </w:divBdr>
    </w:div>
    <w:div w:id="202023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b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nj.jus.br/improbidade_adm/consultar_requerido.ph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ortaldatransparencia.gov.br/ceis)%3B" TargetMode="External"/><Relationship Id="rId11" Type="http://schemas.openxmlformats.org/officeDocument/2006/relationships/hyperlink" Target="http://www.cnj.jus.br/improbidade_adm/consultar_requerido.php)" TargetMode="External"/><Relationship Id="rId5" Type="http://schemas.openxmlformats.org/officeDocument/2006/relationships/hyperlink" Target="https://www.gov.br/compras/pt-br" TargetMode="External"/><Relationship Id="rId10" Type="http://schemas.openxmlformats.org/officeDocument/2006/relationships/hyperlink" Target="http://www.portaldatransparencia.gov.br/ceis)%3B" TargetMode="External"/><Relationship Id="rId4" Type="http://schemas.openxmlformats.org/officeDocument/2006/relationships/hyperlink" Target="http://www.gov.br/compras/pt-br" TargetMode="External"/><Relationship Id="rId9" Type="http://schemas.openxmlformats.org/officeDocument/2006/relationships/hyperlink" Target="https://www.gov.br/compras/pt-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7770</Words>
  <Characters>41960</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Leandra Bonfim Correia de Oliveira</dc:creator>
  <cp:keywords/>
  <dc:description/>
  <cp:lastModifiedBy>Flávia da Costa Martins</cp:lastModifiedBy>
  <cp:revision>3</cp:revision>
  <dcterms:created xsi:type="dcterms:W3CDTF">2026-02-02T17:54:00Z</dcterms:created>
  <dcterms:modified xsi:type="dcterms:W3CDTF">2026-02-02T17:56:00Z</dcterms:modified>
</cp:coreProperties>
</file>