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C16" w:rsidRDefault="009D0C16">
      <w:pPr>
        <w:spacing w:after="200" w:line="276" w:lineRule="auto"/>
        <w:ind w:right="-564"/>
        <w:jc w:val="center"/>
        <w:rPr>
          <w:b/>
          <w:sz w:val="24"/>
          <w:szCs w:val="24"/>
        </w:rPr>
      </w:pPr>
    </w:p>
    <w:p w:rsidR="009D0C16" w:rsidRDefault="00085380">
      <w:pPr>
        <w:spacing w:after="200" w:line="276" w:lineRule="auto"/>
        <w:ind w:right="-56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DOCUMENTO DE FORMALIZAÇÃO DE DEMANDA – DFD</w:t>
      </w:r>
      <w:r>
        <w:rPr>
          <w:b/>
          <w:sz w:val="24"/>
          <w:szCs w:val="24"/>
        </w:rPr>
        <w:br/>
      </w:r>
    </w:p>
    <w:sdt>
      <w:sdtPr>
        <w:tag w:val="goog_rdk_0"/>
        <w:id w:val="6606532"/>
        <w:lock w:val="contentLocked"/>
      </w:sdtPr>
      <w:sdtContent>
        <w:tbl>
          <w:tblPr>
            <w:tblStyle w:val="afffffff4"/>
            <w:tblW w:w="97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5175"/>
            <w:gridCol w:w="4545"/>
          </w:tblGrid>
          <w:tr w:rsidR="009D0C16">
            <w:trPr>
              <w:cantSplit/>
              <w:tblHeader/>
            </w:trPr>
            <w:tc>
              <w:tcPr>
                <w:tcW w:w="9720" w:type="dxa"/>
                <w:gridSpan w:val="2"/>
                <w:shd w:val="clear" w:color="auto" w:fill="BFBFBF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1 – ÁREAS REQUISITANTES</w:t>
                </w:r>
              </w:p>
            </w:tc>
          </w:tr>
          <w:tr w:rsidR="009D0C16">
            <w:trPr>
              <w:cantSplit/>
              <w:tblHeader/>
            </w:trPr>
            <w:tc>
              <w:tcPr>
                <w:tcW w:w="5175" w:type="dxa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Área requisitante</w:t>
                </w:r>
              </w:p>
            </w:tc>
            <w:tc>
              <w:tcPr>
                <w:tcW w:w="4545" w:type="dxa"/>
                <w:shd w:val="clear" w:color="auto" w:fill="auto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Responsável</w:t>
                </w:r>
              </w:p>
            </w:tc>
          </w:tr>
          <w:tr w:rsidR="009D0C16">
            <w:trPr>
              <w:cantSplit/>
              <w:tblHeader/>
            </w:trPr>
            <w:tc>
              <w:tcPr>
                <w:tcW w:w="5175" w:type="dxa"/>
              </w:tcPr>
              <w:p w:rsidR="009D0C16" w:rsidRDefault="00085380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Cláudia de Aquino Paschoal</w:t>
                </w:r>
              </w:p>
            </w:tc>
            <w:tc>
              <w:tcPr>
                <w:tcW w:w="4545" w:type="dxa"/>
                <w:shd w:val="clear" w:color="auto" w:fill="auto"/>
              </w:tcPr>
              <w:p w:rsidR="009D0C16" w:rsidRDefault="00085380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Secretária Municipal de Saúde</w:t>
                </w:r>
              </w:p>
            </w:tc>
          </w:tr>
        </w:tbl>
      </w:sdtContent>
    </w:sdt>
    <w:p w:rsidR="009D0C16" w:rsidRDefault="009D0C16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1"/>
        <w:id w:val="6606533"/>
        <w:lock w:val="contentLocked"/>
      </w:sdtPr>
      <w:sdtContent>
        <w:tbl>
          <w:tblPr>
            <w:tblStyle w:val="afffffff5"/>
            <w:tblW w:w="97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9720"/>
          </w:tblGrid>
          <w:tr w:rsidR="009D0C16">
            <w:trPr>
              <w:cantSplit/>
              <w:trHeight w:val="245"/>
              <w:tblHeader/>
            </w:trPr>
            <w:tc>
              <w:tcPr>
                <w:tcW w:w="9720" w:type="dxa"/>
                <w:shd w:val="clear" w:color="auto" w:fill="BFBFBF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2 – OBJETO</w:t>
                </w:r>
              </w:p>
            </w:tc>
          </w:tr>
          <w:tr w:rsidR="009D0C16">
            <w:trPr>
              <w:cantSplit/>
              <w:tblHeader/>
            </w:trPr>
            <w:tc>
              <w:tcPr>
                <w:tcW w:w="9720" w:type="dxa"/>
              </w:tcPr>
              <w:p w:rsidR="009D0C16" w:rsidRDefault="00085380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Registro de Preço para futura e eventual contratação de empresa para aquisição de Suplementos em atendimento à Secretaria Municipal de Saúde de Santos Dumont-MG.</w:t>
                </w:r>
              </w:p>
            </w:tc>
          </w:tr>
        </w:tbl>
      </w:sdtContent>
    </w:sdt>
    <w:p w:rsidR="009D0C16" w:rsidRDefault="009D0C16">
      <w:pPr>
        <w:ind w:right="-564"/>
        <w:jc w:val="both"/>
        <w:rPr>
          <w:b/>
          <w:sz w:val="24"/>
          <w:szCs w:val="24"/>
        </w:rPr>
      </w:pPr>
    </w:p>
    <w:sdt>
      <w:sdtPr>
        <w:tag w:val="goog_rdk_2"/>
        <w:id w:val="6606534"/>
        <w:lock w:val="contentLocked"/>
      </w:sdtPr>
      <w:sdtContent>
        <w:tbl>
          <w:tblPr>
            <w:tblStyle w:val="afffffff6"/>
            <w:tblW w:w="97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9720"/>
          </w:tblGrid>
          <w:tr w:rsidR="009D0C16">
            <w:trPr>
              <w:cantSplit/>
              <w:tblHeader/>
            </w:trPr>
            <w:tc>
              <w:tcPr>
                <w:tcW w:w="9720" w:type="dxa"/>
                <w:shd w:val="clear" w:color="auto" w:fill="BFBFBF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3 – JUSTIFICATIVA DA CONTRATAÇÃO</w:t>
                </w:r>
              </w:p>
            </w:tc>
          </w:tr>
          <w:tr w:rsidR="009D0C16">
            <w:trPr>
              <w:cantSplit/>
              <w:tblHeader/>
            </w:trPr>
            <w:tc>
              <w:tcPr>
                <w:tcW w:w="9720" w:type="dxa"/>
              </w:tcPr>
              <w:p w:rsidR="009D0C16" w:rsidRDefault="00085380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A aquisição dos suplementos alimentares se justifica pela necessidade de abastecimentos da Farmácia de Mandados Judiciais, visando o atendimento e distribuição aos pacientes nos casos de judicialização da Saúde através dos Processos que são frequentemente </w:t>
                </w:r>
                <w:r>
                  <w:rPr>
                    <w:sz w:val="24"/>
                    <w:szCs w:val="24"/>
                  </w:rPr>
                  <w:t>ajuizados em desfavor da Prefeitura Municipal de Santos Dumont-MG.</w:t>
                </w:r>
              </w:p>
              <w:p w:rsidR="009D0C16" w:rsidRDefault="009D0C16">
                <w:pPr>
                  <w:ind w:right="-94"/>
                  <w:jc w:val="both"/>
                  <w:rPr>
                    <w:sz w:val="24"/>
                    <w:szCs w:val="24"/>
                  </w:rPr>
                </w:pPr>
              </w:p>
              <w:p w:rsidR="009D0C16" w:rsidRDefault="00085380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Além disso, visa atender ao Sisvan (Sistema de Vigilância Alimentar e Nutricional) para contemplar crianças que se encontram com baixo peso e pacientes da Atenção Básica com o comprometime</w:t>
                </w:r>
                <w:r>
                  <w:rPr>
                    <w:sz w:val="24"/>
                    <w:szCs w:val="24"/>
                  </w:rPr>
                  <w:t>nto nutricional necessário em decorrências de várias patologias.</w:t>
                </w:r>
              </w:p>
              <w:p w:rsidR="009D0C16" w:rsidRDefault="009D0C16">
                <w:pPr>
                  <w:ind w:right="-94"/>
                  <w:jc w:val="both"/>
                  <w:rPr>
                    <w:sz w:val="24"/>
                    <w:szCs w:val="24"/>
                  </w:rPr>
                </w:pPr>
              </w:p>
              <w:p w:rsidR="009D0C16" w:rsidRDefault="00085380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Vale ressaltar que a aquisição das fórmulas se dará pelo nome comercial com a indicação de marcas específicas, uma vez que, os mandados judiciais precisam ser cumpridos de forma integral. De</w:t>
                </w:r>
                <w:r>
                  <w:rPr>
                    <w:sz w:val="24"/>
                    <w:szCs w:val="24"/>
                  </w:rPr>
                  <w:t xml:space="preserve"> outro modo, as crianças com baixo peso que são atendidas pelo Sisvan e os pacientes da Atenção Básica já fazem uso das marcas abaixo citadas, a alteração traria prejuízos aos usuários que necessitariam de maior tempo de adaptação do organismo às novas mar</w:t>
                </w:r>
                <w:r>
                  <w:rPr>
                    <w:sz w:val="24"/>
                    <w:szCs w:val="24"/>
                  </w:rPr>
                  <w:t xml:space="preserve">cas.  </w:t>
                </w:r>
              </w:p>
            </w:tc>
          </w:tr>
        </w:tbl>
      </w:sdtContent>
    </w:sdt>
    <w:p w:rsidR="009D0C16" w:rsidRDefault="009D0C16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3"/>
        <w:id w:val="6606535"/>
        <w:lock w:val="contentLocked"/>
      </w:sdtPr>
      <w:sdtContent>
        <w:tbl>
          <w:tblPr>
            <w:tblStyle w:val="afffffff7"/>
            <w:tblW w:w="9765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335"/>
            <w:gridCol w:w="2145"/>
            <w:gridCol w:w="6285"/>
          </w:tblGrid>
          <w:tr w:rsidR="009D0C16">
            <w:trPr>
              <w:cantSplit/>
              <w:trHeight w:val="240"/>
              <w:tblHeader/>
            </w:trPr>
            <w:tc>
              <w:tcPr>
                <w:tcW w:w="9765" w:type="dxa"/>
                <w:gridSpan w:val="3"/>
                <w:shd w:val="clear" w:color="auto" w:fill="BFBFBF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4 – ITENS A SEREM CONTRATADOS</w:t>
                </w:r>
              </w:p>
            </w:tc>
          </w:tr>
          <w:tr w:rsidR="009D0C16">
            <w:trPr>
              <w:cantSplit/>
              <w:tblHeader/>
            </w:trPr>
            <w:tc>
              <w:tcPr>
                <w:tcW w:w="133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Item</w:t>
                </w:r>
              </w:p>
            </w:tc>
            <w:tc>
              <w:tcPr>
                <w:tcW w:w="2145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Unid. de aquisição</w:t>
                </w:r>
              </w:p>
            </w:tc>
            <w:tc>
              <w:tcPr>
                <w:tcW w:w="6285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Especificação</w:t>
                </w:r>
              </w:p>
            </w:tc>
          </w:tr>
          <w:tr w:rsidR="009D0C16">
            <w:trPr>
              <w:cantSplit/>
              <w:trHeight w:val="602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01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Alfaré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02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AR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03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Pepti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04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Premium 1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05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Premium 2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06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Soja 1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07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Soja 2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08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Calogen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09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Cubitan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10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Espessante Nutilis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11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600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Extima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260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Fiber Mais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13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470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Fortfit Pro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Fortini Plus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Protein Powder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16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Energy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17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 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Original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18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Original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19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Protein Energy Drink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20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Impact Drink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21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Infatrini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22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1.5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23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Soya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Soya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25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Nan Confort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26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Neo Advance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27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Neocate LCP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GC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29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Proline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30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Renal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31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370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Nutren Senior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32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250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 Hwhey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33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Kit 4 frascos 125ml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Compact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34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700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Protein Advanced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35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750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Protein Senior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Nutrison Energy Multifiber Sistema Fechado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37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Nutrison Energy Multifiber Tetra Pak</w:t>
                </w:r>
              </w:p>
            </w:tc>
          </w:tr>
          <w:tr w:rsidR="009D0C16">
            <w:trPr>
              <w:cantSplit/>
              <w:trHeight w:val="602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38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right="-10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Pediassure Infantil</w:t>
                </w:r>
              </w:p>
            </w:tc>
          </w:tr>
          <w:tr w:rsidR="009D0C16">
            <w:trPr>
              <w:cantSplit/>
              <w:trHeight w:val="572"/>
              <w:tblHeader/>
            </w:trPr>
            <w:tc>
              <w:tcPr>
                <w:tcW w:w="133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39</w:t>
                </w:r>
              </w:p>
            </w:tc>
            <w:tc>
              <w:tcPr>
                <w:tcW w:w="21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62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26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Pregomin</w:t>
                </w:r>
              </w:p>
            </w:tc>
          </w:tr>
        </w:tbl>
      </w:sdtContent>
    </w:sdt>
    <w:p w:rsidR="009D0C16" w:rsidRDefault="009D0C16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4"/>
        <w:id w:val="6606536"/>
        <w:lock w:val="contentLocked"/>
      </w:sdtPr>
      <w:sdtContent>
        <w:tbl>
          <w:tblPr>
            <w:tblStyle w:val="afffffff8"/>
            <w:tblW w:w="9765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9765"/>
          </w:tblGrid>
          <w:tr w:rsidR="009D0C16">
            <w:trPr>
              <w:cantSplit/>
              <w:tblHeader/>
            </w:trPr>
            <w:tc>
              <w:tcPr>
                <w:tcW w:w="9765" w:type="dxa"/>
                <w:shd w:val="clear" w:color="auto" w:fill="BFBFBF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5 – GRAU DE PRIORIDADE DA CONTRATAÇÃO</w:t>
                </w:r>
              </w:p>
            </w:tc>
          </w:tr>
          <w:tr w:rsidR="009D0C16">
            <w:trPr>
              <w:cantSplit/>
              <w:tblHeader/>
            </w:trPr>
            <w:tc>
              <w:tcPr>
                <w:tcW w:w="9765" w:type="dxa"/>
              </w:tcPr>
              <w:p w:rsidR="009D0C16" w:rsidRDefault="00085380">
                <w:pPr>
                  <w:ind w:right="-56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Grau de prioridade médio</w:t>
                </w:r>
              </w:p>
            </w:tc>
          </w:tr>
        </w:tbl>
      </w:sdtContent>
    </w:sdt>
    <w:p w:rsidR="009D0C16" w:rsidRDefault="009D0C16">
      <w:pPr>
        <w:spacing w:after="200" w:line="276" w:lineRule="auto"/>
        <w:ind w:right="-564"/>
        <w:rPr>
          <w:b/>
          <w:sz w:val="24"/>
          <w:szCs w:val="24"/>
        </w:rPr>
      </w:pPr>
    </w:p>
    <w:sdt>
      <w:sdtPr>
        <w:tag w:val="goog_rdk_5"/>
        <w:id w:val="6606537"/>
        <w:lock w:val="contentLocked"/>
      </w:sdtPr>
      <w:sdtContent>
        <w:tbl>
          <w:tblPr>
            <w:tblStyle w:val="afffffff9"/>
            <w:tblW w:w="9795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9795"/>
          </w:tblGrid>
          <w:tr w:rsidR="009D0C16">
            <w:trPr>
              <w:cantSplit/>
              <w:trHeight w:val="290"/>
              <w:tblHeader/>
            </w:trPr>
            <w:tc>
              <w:tcPr>
                <w:tcW w:w="9795" w:type="dxa"/>
                <w:shd w:val="clear" w:color="auto" w:fill="BFBFBF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6 – DATA PREVISTA PARA CONTRATAÇÃO</w:t>
                </w:r>
              </w:p>
            </w:tc>
          </w:tr>
          <w:tr w:rsidR="009D0C16">
            <w:trPr>
              <w:cantSplit/>
              <w:trHeight w:val="290"/>
              <w:tblHeader/>
            </w:trPr>
            <w:tc>
              <w:tcPr>
                <w:tcW w:w="9795" w:type="dxa"/>
              </w:tcPr>
              <w:p w:rsidR="009D0C16" w:rsidRDefault="00085380">
                <w:pPr>
                  <w:ind w:right="-56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18 de setembro de 2024.</w:t>
                </w:r>
              </w:p>
            </w:tc>
          </w:tr>
        </w:tbl>
      </w:sdtContent>
    </w:sdt>
    <w:p w:rsidR="009D0C16" w:rsidRDefault="009D0C16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6"/>
        <w:id w:val="6606538"/>
        <w:lock w:val="contentLocked"/>
      </w:sdtPr>
      <w:sdtContent>
        <w:tbl>
          <w:tblPr>
            <w:tblStyle w:val="afffffffa"/>
            <w:tblW w:w="981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9810"/>
          </w:tblGrid>
          <w:tr w:rsidR="009D0C16">
            <w:trPr>
              <w:cantSplit/>
              <w:tblHeader/>
            </w:trPr>
            <w:tc>
              <w:tcPr>
                <w:tcW w:w="9810" w:type="dxa"/>
                <w:shd w:val="clear" w:color="auto" w:fill="BFBFBF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7 – DA DOTAÇÃO ORÇAMENTÁRIA</w:t>
                </w:r>
              </w:p>
            </w:tc>
          </w:tr>
          <w:tr w:rsidR="009D0C16">
            <w:trPr>
              <w:cantSplit/>
              <w:trHeight w:val="1365"/>
              <w:tblHeader/>
            </w:trPr>
            <w:tc>
              <w:tcPr>
                <w:tcW w:w="9810" w:type="dxa"/>
              </w:tcPr>
              <w:p w:rsidR="009D0C16" w:rsidRDefault="00085380">
                <w:pPr>
                  <w:numPr>
                    <w:ilvl w:val="0"/>
                    <w:numId w:val="1"/>
                  </w:numPr>
                  <w:ind w:right="17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02.28.02.10.301.0014.2106 - Manutenção da Atenção primária</w:t>
                </w:r>
                <w:r>
                  <w:rPr>
                    <w:sz w:val="22"/>
                    <w:szCs w:val="22"/>
                  </w:rPr>
                  <w:br/>
                  <w:t>3.3.90.32.00 - Material, Bem ou Serv para Distribuição Gratuita</w:t>
                </w:r>
              </w:p>
              <w:p w:rsidR="009D0C16" w:rsidRDefault="00085380">
                <w:pPr>
                  <w:numPr>
                    <w:ilvl w:val="0"/>
                    <w:numId w:val="1"/>
                  </w:numPr>
                  <w:ind w:right="17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Ficha - 536 </w:t>
                </w:r>
                <w:r>
                  <w:rPr>
                    <w:sz w:val="22"/>
                    <w:szCs w:val="22"/>
                  </w:rPr>
                  <w:br/>
                </w:r>
                <w:r>
                  <w:rPr>
                    <w:sz w:val="22"/>
                    <w:szCs w:val="22"/>
                  </w:rPr>
                  <w:t>Fonte: 1.500.000.0000 - Recursos não vinculados e Impostos</w:t>
                </w:r>
                <w:r>
                  <w:rPr>
                    <w:sz w:val="22"/>
                    <w:szCs w:val="22"/>
                  </w:rPr>
                  <w:br/>
                  <w:t>1.500.00.1002 - Identificação das despesas com ações e serviços públicos de saúde Recursos não vinculados e Impostos</w:t>
                </w:r>
                <w:r>
                  <w:rPr>
                    <w:sz w:val="22"/>
                    <w:szCs w:val="22"/>
                  </w:rPr>
                  <w:br/>
                  <w:t>1.600.000.0000 - Transferências Fundo a Fundo de Recursos do SUS provenientes do</w:t>
                </w:r>
                <w:r>
                  <w:rPr>
                    <w:sz w:val="22"/>
                    <w:szCs w:val="22"/>
                  </w:rPr>
                  <w:t xml:space="preserve"> Governo Federal - Bloco de Manutenção das Ações e Serviços Públicos de Saúde</w:t>
                </w:r>
                <w:r>
                  <w:rPr>
                    <w:sz w:val="22"/>
                    <w:szCs w:val="22"/>
                  </w:rPr>
                  <w:br/>
                  <w:t>1.621.000.0000 - Transferências Fundo a Fundo de Recursos do SUS provenientes do Governo Estadual 2.707.000.0000 - Transferência da União - incisi I do art. 5º da Lei Complementa</w:t>
                </w:r>
                <w:r>
                  <w:rPr>
                    <w:sz w:val="22"/>
                    <w:szCs w:val="22"/>
                  </w:rPr>
                  <w:t>r 173/2020</w:t>
                </w:r>
              </w:p>
              <w:p w:rsidR="009D0C16" w:rsidRDefault="009D0C16">
                <w:pPr>
                  <w:ind w:left="720" w:right="17"/>
                  <w:jc w:val="both"/>
                  <w:rPr>
                    <w:sz w:val="22"/>
                    <w:szCs w:val="22"/>
                  </w:rPr>
                </w:pPr>
              </w:p>
              <w:p w:rsidR="009D0C16" w:rsidRDefault="00085380">
                <w:pPr>
                  <w:numPr>
                    <w:ilvl w:val="0"/>
                    <w:numId w:val="2"/>
                  </w:numPr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02.28.02.10.301.0014.2106 Manutenção da Atenção Primária </w:t>
                </w:r>
                <w:r>
                  <w:rPr>
                    <w:sz w:val="22"/>
                    <w:szCs w:val="22"/>
                  </w:rPr>
                  <w:br/>
                  <w:t>3.3.90.91.00 - Sentenças Judiciais</w:t>
                </w:r>
                <w:r>
                  <w:rPr>
                    <w:sz w:val="22"/>
                    <w:szCs w:val="22"/>
                  </w:rPr>
                  <w:br/>
                  <w:t>Ficha - 544</w:t>
                </w:r>
                <w:r>
                  <w:rPr>
                    <w:sz w:val="22"/>
                    <w:szCs w:val="22"/>
                  </w:rPr>
                  <w:br/>
                  <w:t>Fonte: 1.500.000.1002 - Identificação das despesas com ações e serviços públicos de saúde Recursos não Vinculados de Impostos.</w:t>
                </w:r>
              </w:p>
              <w:p w:rsidR="009D0C16" w:rsidRDefault="009D0C16">
                <w:pPr>
                  <w:ind w:right="17"/>
                  <w:jc w:val="both"/>
                  <w:rPr>
                    <w:sz w:val="22"/>
                    <w:szCs w:val="22"/>
                  </w:rPr>
                </w:pPr>
              </w:p>
            </w:tc>
          </w:tr>
        </w:tbl>
      </w:sdtContent>
    </w:sdt>
    <w:p w:rsidR="009D0C16" w:rsidRDefault="009D0C16">
      <w:pPr>
        <w:spacing w:after="200" w:line="276" w:lineRule="auto"/>
        <w:ind w:right="-564"/>
        <w:rPr>
          <w:b/>
          <w:sz w:val="24"/>
          <w:szCs w:val="24"/>
        </w:rPr>
      </w:pPr>
    </w:p>
    <w:sdt>
      <w:sdtPr>
        <w:tag w:val="goog_rdk_8"/>
        <w:id w:val="6606540"/>
        <w:lock w:val="contentLocked"/>
      </w:sdtPr>
      <w:sdtContent>
        <w:tbl>
          <w:tblPr>
            <w:tblStyle w:val="afffffffb"/>
            <w:tblW w:w="9825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9825"/>
          </w:tblGrid>
          <w:tr w:rsidR="009D0C16">
            <w:trPr>
              <w:cantSplit/>
              <w:trHeight w:val="225"/>
              <w:tblHeader/>
            </w:trPr>
            <w:tc>
              <w:tcPr>
                <w:tcW w:w="9825" w:type="dxa"/>
                <w:shd w:val="clear" w:color="auto" w:fill="BFBFBF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6 – DA FISCALIZAÇÃO E GESTÃO DO CONTRATO</w:t>
                </w:r>
              </w:p>
            </w:tc>
          </w:tr>
          <w:tr w:rsidR="009D0C16">
            <w:trPr>
              <w:cantSplit/>
              <w:tblHeader/>
            </w:trPr>
            <w:tc>
              <w:tcPr>
                <w:tcW w:w="9825" w:type="dxa"/>
              </w:tcPr>
              <w:p w:rsidR="009D0C16" w:rsidRDefault="00085380">
                <w:pPr>
                  <w:spacing w:before="24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Cabe a cada Departamento/Setor fiscalizar e acompanhar a execução contratual, dessa forma fica designada como fiscal do contrato a servidora a seguir:</w:t>
                </w:r>
                <w:r>
                  <w:rPr>
                    <w:sz w:val="24"/>
                    <w:szCs w:val="24"/>
                  </w:rPr>
                  <w:br/>
                </w:r>
              </w:p>
              <w:sdt>
                <w:sdtPr>
                  <w:tag w:val="goog_rdk_7"/>
                  <w:id w:val="6606539"/>
                  <w:lock w:val="contentLocked"/>
                </w:sdtPr>
                <w:sdtContent>
                  <w:tbl>
                    <w:tblPr>
                      <w:tblStyle w:val="afffffffc"/>
                      <w:tblW w:w="8880" w:type="dxa"/>
                      <w:tblInd w:w="15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Look w:val="0600"/>
                    </w:tblPr>
                    <w:tblGrid>
                      <w:gridCol w:w="4755"/>
                      <w:gridCol w:w="4125"/>
                    </w:tblGrid>
                    <w:tr w:rsidR="009D0C16">
                      <w:trPr>
                        <w:cantSplit/>
                        <w:trHeight w:val="303"/>
                        <w:tblHeader/>
                      </w:trPr>
                      <w:tc>
                        <w:tcPr>
                          <w:tcW w:w="475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9D0C16" w:rsidRDefault="00085380">
                          <w:pPr>
                            <w:keepNext/>
                            <w:keepLines/>
                            <w:widowControl w:val="0"/>
                            <w:jc w:val="center"/>
                            <w:rPr>
                              <w:b/>
                              <w:sz w:val="22"/>
                              <w:szCs w:val="22"/>
                              <w:highlight w:val="yellow"/>
                            </w:rPr>
                          </w:pPr>
                          <w:r>
                            <w:rPr>
                              <w:b/>
                              <w:sz w:val="22"/>
                              <w:szCs w:val="22"/>
                            </w:rPr>
                            <w:t>Fiscal</w:t>
                          </w:r>
                        </w:p>
                      </w:tc>
                      <w:tc>
                        <w:tcPr>
                          <w:tcW w:w="412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9D0C16" w:rsidRDefault="00085380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sz w:val="22"/>
                              <w:szCs w:val="22"/>
                            </w:rPr>
                            <w:t xml:space="preserve">Secretaria </w:t>
                          </w:r>
                        </w:p>
                      </w:tc>
                    </w:tr>
                    <w:tr w:rsidR="009D0C16">
                      <w:trPr>
                        <w:cantSplit/>
                        <w:trHeight w:val="610"/>
                        <w:tblHeader/>
                      </w:trPr>
                      <w:tc>
                        <w:tcPr>
                          <w:tcW w:w="475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9D0C16" w:rsidRDefault="00085380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Glayce Maria Gomes Rocha da Silva - Auxiliar Administrativo</w:t>
                          </w:r>
                        </w:p>
                      </w:tc>
                      <w:tc>
                        <w:tcPr>
                          <w:tcW w:w="4125" w:type="dxa"/>
                          <w:shd w:val="clear" w:color="auto" w:fill="auto"/>
                        </w:tcPr>
                        <w:p w:rsidR="009D0C16" w:rsidRDefault="00085380">
                          <w:pPr>
                            <w:ind w:right="-564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br/>
                            <w:t>Secretaria Municipal de Saúde</w:t>
                          </w:r>
                        </w:p>
                      </w:tc>
                    </w:tr>
                  </w:tbl>
                </w:sdtContent>
              </w:sdt>
              <w:p w:rsidR="009D0C16" w:rsidRDefault="00085380">
                <w:pPr>
                  <w:spacing w:before="24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Conforme Decreto Municipal nº 3.828 de 14 de junho de 2024 os gestores dos contratos serão os secretários municipais responsáveis pela contratação.</w:t>
                </w:r>
              </w:p>
            </w:tc>
          </w:tr>
        </w:tbl>
      </w:sdtContent>
    </w:sdt>
    <w:p w:rsidR="009D0C16" w:rsidRDefault="009D0C16">
      <w:pPr>
        <w:spacing w:after="200" w:line="276" w:lineRule="auto"/>
        <w:ind w:right="-564"/>
        <w:rPr>
          <w:sz w:val="24"/>
          <w:szCs w:val="24"/>
        </w:rPr>
      </w:pPr>
    </w:p>
    <w:p w:rsidR="009D0C16" w:rsidRDefault="00085380">
      <w:pPr>
        <w:spacing w:after="200" w:line="276" w:lineRule="auto"/>
        <w:ind w:left="-141" w:right="-564"/>
        <w:rPr>
          <w:sz w:val="24"/>
          <w:szCs w:val="24"/>
        </w:rPr>
      </w:pPr>
      <w:r>
        <w:rPr>
          <w:sz w:val="24"/>
          <w:szCs w:val="24"/>
        </w:rPr>
        <w:t>Santos Dumont, 18 de julho de 2024</w:t>
      </w:r>
    </w:p>
    <w:p w:rsidR="009D0C16" w:rsidRDefault="009D0C16">
      <w:pPr>
        <w:spacing w:after="200" w:line="276" w:lineRule="auto"/>
        <w:ind w:right="-564"/>
        <w:rPr>
          <w:sz w:val="24"/>
          <w:szCs w:val="24"/>
        </w:rPr>
      </w:pPr>
    </w:p>
    <w:p w:rsidR="009D0C16" w:rsidRDefault="00085380">
      <w:pPr>
        <w:spacing w:after="200" w:line="276" w:lineRule="auto"/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t>Cláudia de Aquino Paschoal</w:t>
      </w:r>
      <w:r>
        <w:rPr>
          <w:sz w:val="24"/>
          <w:szCs w:val="24"/>
        </w:rPr>
        <w:br/>
        <w:t>Secretária Municipal de Saúde</w:t>
      </w:r>
    </w:p>
    <w:p w:rsidR="009D0C16" w:rsidRDefault="009D0C16">
      <w:pPr>
        <w:spacing w:after="200" w:line="276" w:lineRule="auto"/>
        <w:ind w:right="-564"/>
        <w:jc w:val="center"/>
        <w:rPr>
          <w:sz w:val="24"/>
          <w:szCs w:val="24"/>
        </w:rPr>
      </w:pPr>
    </w:p>
    <w:p w:rsidR="009D0C16" w:rsidRDefault="009D0C16">
      <w:pPr>
        <w:spacing w:after="160" w:line="259" w:lineRule="auto"/>
        <w:ind w:right="15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9D0C16" w:rsidRDefault="00085380">
      <w:pPr>
        <w:spacing w:after="160" w:line="259" w:lineRule="auto"/>
        <w:ind w:right="16"/>
        <w:jc w:val="center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ESTUDO TÉCNICO PRELIMINAR – ETP</w:t>
      </w:r>
    </w:p>
    <w:p w:rsidR="009D0C16" w:rsidRDefault="009D0C16">
      <w:pPr>
        <w:spacing w:after="200" w:line="276" w:lineRule="auto"/>
        <w:ind w:right="-564"/>
        <w:jc w:val="both"/>
        <w:rPr>
          <w:b/>
          <w:sz w:val="24"/>
          <w:szCs w:val="24"/>
        </w:rPr>
      </w:pPr>
    </w:p>
    <w:tbl>
      <w:tblPr>
        <w:tblStyle w:val="afffffffd"/>
        <w:tblW w:w="973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35"/>
      </w:tblGrid>
      <w:tr w:rsidR="009D0C16">
        <w:trPr>
          <w:cantSplit/>
          <w:tblHeader/>
        </w:trPr>
        <w:tc>
          <w:tcPr>
            <w:tcW w:w="9735" w:type="dxa"/>
            <w:shd w:val="clear" w:color="auto" w:fill="BFBFBF"/>
          </w:tcPr>
          <w:sdt>
            <w:sdtPr>
              <w:tag w:val="goog_rdk_9"/>
              <w:id w:val="6606541"/>
              <w:lock w:val="contentLocked"/>
            </w:sdtPr>
            <w:sdtContent>
              <w:p w:rsidR="009D0C16" w:rsidRDefault="00085380">
                <w:pPr>
                  <w:ind w:right="-150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1 – INFORMAÇÕES BÁSICAS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ind w:right="-15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t>O presente estudo consiste em verificar a possibilidade de Registro de Preço para futura e eventual contratação de empresa para aquisição de suplementos alimentares em atendimento à Secretaria Municipal de Saúde de Santos Dumont-MG.</w:t>
      </w:r>
    </w:p>
    <w:tbl>
      <w:tblPr>
        <w:tblStyle w:val="afffffffe"/>
        <w:tblW w:w="976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65"/>
      </w:tblGrid>
      <w:tr w:rsidR="009D0C16">
        <w:trPr>
          <w:cantSplit/>
          <w:tblHeader/>
        </w:trPr>
        <w:tc>
          <w:tcPr>
            <w:tcW w:w="9765" w:type="dxa"/>
            <w:shd w:val="clear" w:color="auto" w:fill="BFBFBF"/>
          </w:tcPr>
          <w:sdt>
            <w:sdtPr>
              <w:tag w:val="goog_rdk_10"/>
              <w:id w:val="6606542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2 – ÁREAS REQUISITANTES</w:t>
                </w:r>
              </w:p>
            </w:sdtContent>
          </w:sdt>
        </w:tc>
      </w:tr>
    </w:tbl>
    <w:p w:rsidR="009D0C16" w:rsidRDefault="009D0C16">
      <w:pPr>
        <w:spacing w:after="200" w:line="276" w:lineRule="auto"/>
        <w:ind w:right="-564"/>
        <w:rPr>
          <w:b/>
          <w:sz w:val="24"/>
          <w:szCs w:val="24"/>
        </w:rPr>
      </w:pPr>
    </w:p>
    <w:sdt>
      <w:sdtPr>
        <w:tag w:val="goog_rdk_11"/>
        <w:id w:val="6606543"/>
        <w:lock w:val="contentLocked"/>
      </w:sdtPr>
      <w:sdtContent>
        <w:tbl>
          <w:tblPr>
            <w:tblStyle w:val="affffffff"/>
            <w:tblW w:w="9765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4935"/>
            <w:gridCol w:w="4830"/>
          </w:tblGrid>
          <w:tr w:rsidR="009D0C16">
            <w:trPr>
              <w:cantSplit/>
              <w:tblHeader/>
            </w:trPr>
            <w:tc>
              <w:tcPr>
                <w:tcW w:w="4935" w:type="dxa"/>
              </w:tcPr>
              <w:p w:rsidR="009D0C16" w:rsidRDefault="00085380">
                <w:pPr>
                  <w:ind w:right="73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Área Requisitante</w:t>
                </w:r>
              </w:p>
            </w:tc>
            <w:tc>
              <w:tcPr>
                <w:tcW w:w="4830" w:type="dxa"/>
                <w:shd w:val="clear" w:color="auto" w:fill="auto"/>
              </w:tcPr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Responsável</w:t>
                </w:r>
              </w:p>
            </w:tc>
          </w:tr>
          <w:tr w:rsidR="009D0C16">
            <w:trPr>
              <w:cantSplit/>
              <w:tblHeader/>
            </w:trPr>
            <w:tc>
              <w:tcPr>
                <w:tcW w:w="4935" w:type="dxa"/>
              </w:tcPr>
              <w:p w:rsidR="009D0C16" w:rsidRDefault="00085380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Cláudia de Aquino Paschoal</w:t>
                </w:r>
              </w:p>
            </w:tc>
            <w:tc>
              <w:tcPr>
                <w:tcW w:w="4830" w:type="dxa"/>
                <w:shd w:val="clear" w:color="auto" w:fill="auto"/>
              </w:tcPr>
              <w:p w:rsidR="009D0C16" w:rsidRDefault="00085380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Secretária Municipal de Saúde</w:t>
                </w:r>
              </w:p>
            </w:tc>
          </w:tr>
        </w:tbl>
      </w:sdtContent>
    </w:sdt>
    <w:p w:rsidR="009D0C16" w:rsidRDefault="009D0C16">
      <w:pPr>
        <w:spacing w:after="200" w:line="276" w:lineRule="auto"/>
        <w:ind w:right="-150"/>
        <w:jc w:val="both"/>
        <w:rPr>
          <w:b/>
          <w:sz w:val="24"/>
          <w:szCs w:val="24"/>
        </w:rPr>
      </w:pPr>
    </w:p>
    <w:tbl>
      <w:tblPr>
        <w:tblStyle w:val="affffffff0"/>
        <w:tblW w:w="979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95"/>
      </w:tblGrid>
      <w:tr w:rsidR="009D0C16">
        <w:trPr>
          <w:cantSplit/>
          <w:tblHeader/>
        </w:trPr>
        <w:tc>
          <w:tcPr>
            <w:tcW w:w="9795" w:type="dxa"/>
            <w:shd w:val="clear" w:color="auto" w:fill="BFBFBF"/>
          </w:tcPr>
          <w:sdt>
            <w:sdtPr>
              <w:tag w:val="goog_rdk_12"/>
              <w:id w:val="6606544"/>
              <w:lock w:val="contentLocked"/>
            </w:sdtPr>
            <w:sdtContent>
              <w:p w:rsidR="009D0C16" w:rsidRDefault="00085380">
                <w:pPr>
                  <w:ind w:right="-52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3 – ALINHAMENTO ENTRE A CONTRATAÇÃO E O PLANEJAMENTO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ind w:right="-52"/>
        <w:jc w:val="both"/>
        <w:rPr>
          <w:sz w:val="24"/>
          <w:szCs w:val="24"/>
        </w:rPr>
      </w:pPr>
      <w:r>
        <w:rPr>
          <w:sz w:val="24"/>
          <w:szCs w:val="24"/>
        </w:rPr>
        <w:t>A Prefeitura Municipal de Santos Dumont não possui regulamento para o Plano Anual de Contratações, razão pela qual não preenchemos o presente item, ressaltando-se que este elemento é dispensável ao Estudo Técnico Preliminar, nos termos do art. 18, §2º da L</w:t>
      </w:r>
      <w:r>
        <w:rPr>
          <w:sz w:val="24"/>
          <w:szCs w:val="24"/>
        </w:rPr>
        <w:t>ei 14.133/2021.</w:t>
      </w:r>
    </w:p>
    <w:tbl>
      <w:tblPr>
        <w:tblStyle w:val="affffffff1"/>
        <w:tblW w:w="979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95"/>
      </w:tblGrid>
      <w:tr w:rsidR="009D0C16">
        <w:trPr>
          <w:cantSplit/>
          <w:tblHeader/>
        </w:trPr>
        <w:tc>
          <w:tcPr>
            <w:tcW w:w="9795" w:type="dxa"/>
            <w:shd w:val="clear" w:color="auto" w:fill="BFBFBF"/>
          </w:tcPr>
          <w:sdt>
            <w:sdtPr>
              <w:tag w:val="goog_rdk_13"/>
              <w:id w:val="6606545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4 – DESCRIÇÃO DA NECESSIDADE</w:t>
                </w:r>
              </w:p>
            </w:sdtContent>
          </w:sdt>
        </w:tc>
      </w:tr>
    </w:tbl>
    <w:p w:rsidR="009D0C16" w:rsidRDefault="00085380">
      <w:pPr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Estudo Técnico Preliminar, visa apontar a opção com maior viabilidade técnica, eficiente e econômica para futura e eventual aquisição de suplementos alimentares. </w:t>
      </w:r>
    </w:p>
    <w:p w:rsidR="009D0C16" w:rsidRDefault="009D0C16">
      <w:pPr>
        <w:ind w:right="7"/>
        <w:jc w:val="both"/>
        <w:rPr>
          <w:sz w:val="24"/>
          <w:szCs w:val="24"/>
        </w:rPr>
      </w:pPr>
    </w:p>
    <w:p w:rsidR="009D0C16" w:rsidRDefault="00085380">
      <w:pPr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objetivo principal é suprir o funcionamento da Secretaria Municipal de Saúde, bem como atender aos usuários, visto que as fórmulas se referem a itens indispensáveis para abastecer a farmácia de mandados judiciais, Sisvan (Sistema de Vigilância Alimentar </w:t>
      </w:r>
      <w:r>
        <w:rPr>
          <w:sz w:val="24"/>
          <w:szCs w:val="24"/>
        </w:rPr>
        <w:t xml:space="preserve">e Nutricional) e a atenção básica do município. </w:t>
      </w:r>
    </w:p>
    <w:p w:rsidR="009D0C16" w:rsidRDefault="009D0C16">
      <w:pPr>
        <w:ind w:right="7"/>
        <w:jc w:val="both"/>
        <w:rPr>
          <w:sz w:val="24"/>
          <w:szCs w:val="24"/>
        </w:rPr>
      </w:pPr>
    </w:p>
    <w:p w:rsidR="009D0C16" w:rsidRDefault="00085380">
      <w:pPr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Portanto, visa também adquirir suplementos alimentares - leites especiais para atender as receitas encaminhadas pelos médicos das Unidades de Saúde do Município, conforme cada tipo requisitado, de forma que o objetivos da aquisição sejam satisfeitos. </w:t>
      </w:r>
    </w:p>
    <w:p w:rsidR="009D0C16" w:rsidRDefault="009D0C16">
      <w:pPr>
        <w:ind w:right="-94"/>
        <w:jc w:val="both"/>
        <w:rPr>
          <w:sz w:val="24"/>
          <w:szCs w:val="24"/>
        </w:rPr>
      </w:pPr>
    </w:p>
    <w:tbl>
      <w:tblPr>
        <w:tblStyle w:val="affffffff2"/>
        <w:tblW w:w="97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80"/>
      </w:tblGrid>
      <w:tr w:rsidR="009D0C16">
        <w:trPr>
          <w:cantSplit/>
          <w:tblHeader/>
        </w:trPr>
        <w:tc>
          <w:tcPr>
            <w:tcW w:w="9780" w:type="dxa"/>
            <w:shd w:val="clear" w:color="auto" w:fill="BFBFBF"/>
          </w:tcPr>
          <w:sdt>
            <w:sdtPr>
              <w:tag w:val="goog_rdk_14"/>
              <w:id w:val="6606546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5 –</w:t>
                </w:r>
                <w:r>
                  <w:rPr>
                    <w:b/>
                    <w:sz w:val="24"/>
                    <w:szCs w:val="24"/>
                  </w:rPr>
                  <w:t xml:space="preserve"> DESCRIÇÃO DOS REQUISITOS DA CONTRATAÇÃO</w:t>
                </w:r>
              </w:p>
            </w:sdtContent>
          </w:sdt>
        </w:tc>
      </w:tr>
    </w:tbl>
    <w:p w:rsidR="009D0C16" w:rsidRDefault="00085380">
      <w:pPr>
        <w:spacing w:before="240" w:after="24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O fornecimento do objeto licitado será efetuado pela detentora obedecendo aos seguintes procedimentos:</w:t>
      </w:r>
    </w:p>
    <w:p w:rsidR="009D0C16" w:rsidRDefault="00085380">
      <w:pPr>
        <w:spacing w:before="240" w:after="24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a) Os produtos deverão ser entregues conforme especificado;</w:t>
      </w:r>
      <w:r>
        <w:rPr>
          <w:sz w:val="24"/>
          <w:szCs w:val="24"/>
        </w:rPr>
        <w:br/>
        <w:t>b) Fornecer os produtos de acordo com o contido n</w:t>
      </w:r>
      <w:r>
        <w:rPr>
          <w:sz w:val="24"/>
          <w:szCs w:val="24"/>
        </w:rPr>
        <w:t>as especificações da Ordem de Fornecimento, sem o que não serão aceitos pela Administração;</w:t>
      </w:r>
      <w:r>
        <w:rPr>
          <w:sz w:val="24"/>
          <w:szCs w:val="24"/>
        </w:rPr>
        <w:br/>
        <w:t>c) Todas as despesas, dentre as quais os encargos trabalhistas, previdenciários, fiscais e comerciais, resultantes da execução deste Instrumento e da Ata de Registr</w:t>
      </w:r>
      <w:r>
        <w:rPr>
          <w:sz w:val="24"/>
          <w:szCs w:val="24"/>
        </w:rPr>
        <w:t>o de Preços;</w:t>
      </w:r>
      <w:r>
        <w:rPr>
          <w:sz w:val="24"/>
          <w:szCs w:val="24"/>
        </w:rPr>
        <w:br/>
        <w:t>d) Acondicionar os produtos de forma adequada e resistente;</w:t>
      </w:r>
    </w:p>
    <w:p w:rsidR="009D0C16" w:rsidRDefault="00085380">
      <w:pPr>
        <w:spacing w:before="240" w:after="24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e) Regularizar imediatamente, sob pena de suspensão na tramitação da liquidação da nota fiscal/fatura, se verificadas irregularidades posteriores ao fornecimento, sem prejuízo da apli</w:t>
      </w:r>
      <w:r>
        <w:rPr>
          <w:sz w:val="24"/>
          <w:szCs w:val="24"/>
        </w:rPr>
        <w:t>cação das sanções cabíveis;</w:t>
      </w:r>
      <w:r>
        <w:rPr>
          <w:sz w:val="24"/>
          <w:szCs w:val="24"/>
        </w:rPr>
        <w:br/>
        <w:t>f) Solicitar à Administração autorização de alteração da marca dos produtos, desde que de</w:t>
      </w:r>
      <w:r>
        <w:rPr>
          <w:i/>
          <w:sz w:val="24"/>
          <w:szCs w:val="24"/>
        </w:rPr>
        <w:t>v</w:t>
      </w:r>
      <w:r>
        <w:rPr>
          <w:sz w:val="24"/>
          <w:szCs w:val="24"/>
        </w:rPr>
        <w:t>idamente justificado, devendo os produtos substituídos serem de qualidade igual ou superior</w:t>
      </w:r>
      <w:r>
        <w:rPr>
          <w:color w:val="FF0000"/>
          <w:sz w:val="24"/>
          <w:szCs w:val="24"/>
        </w:rPr>
        <w:t>.</w:t>
      </w:r>
      <w:r>
        <w:rPr>
          <w:color w:val="FF0000"/>
          <w:sz w:val="24"/>
          <w:szCs w:val="24"/>
        </w:rPr>
        <w:br/>
      </w:r>
      <w:r>
        <w:rPr>
          <w:sz w:val="24"/>
          <w:szCs w:val="24"/>
        </w:rPr>
        <w:t>g) Manter todas as condições de habilitação e</w:t>
      </w:r>
      <w:r>
        <w:rPr>
          <w:sz w:val="24"/>
          <w:szCs w:val="24"/>
        </w:rPr>
        <w:t xml:space="preserve"> qualificação exigidas, comprometendo-se a comunicar a ocorrência de fatos supervenientes;</w:t>
      </w:r>
      <w:r>
        <w:rPr>
          <w:sz w:val="24"/>
          <w:szCs w:val="24"/>
        </w:rPr>
        <w:br/>
        <w:t>h) O suplemento alimentar para lactentes até 6 (seis) meses de idade deverá atender, no que couber, a RDC nº 42/2011 e acima de 6 (seis) meses, no que couber a RDC n</w:t>
      </w:r>
      <w:r>
        <w:rPr>
          <w:sz w:val="24"/>
          <w:szCs w:val="24"/>
        </w:rPr>
        <w:t>º 222/2002, ambas da ANVISA e posteriores alterações.</w:t>
      </w:r>
      <w:r>
        <w:rPr>
          <w:sz w:val="24"/>
          <w:szCs w:val="24"/>
        </w:rPr>
        <w:br/>
        <w:t>i) Os suplementos alimentares - leites especiais para atender prescrições médicas de pacientes em tratamento especiais deverão ser fornecidos dentro das normas dispostas na Resolução nº 39/2013 da ANVIS</w:t>
      </w:r>
      <w:r>
        <w:rPr>
          <w:sz w:val="24"/>
          <w:szCs w:val="24"/>
        </w:rPr>
        <w:t>A – Agência Nacional de Vigilância Sanitária, no que couber as boas práticas no armazenamento, transporte e entrega dos produtos no local determinado.</w:t>
      </w:r>
    </w:p>
    <w:p w:rsidR="009D0C16" w:rsidRDefault="00085380">
      <w:p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Os itens devem ser entregues na embalagem original, em perfeito estado, sem sinais de violação, sem aderê</w:t>
      </w:r>
      <w:r>
        <w:rPr>
          <w:sz w:val="24"/>
          <w:szCs w:val="24"/>
        </w:rPr>
        <w:t>ncia ao produto, umidade, sem inadequação de conteúdo..</w:t>
      </w:r>
    </w:p>
    <w:tbl>
      <w:tblPr>
        <w:tblStyle w:val="affffffff3"/>
        <w:tblW w:w="973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35"/>
      </w:tblGrid>
      <w:tr w:rsidR="009D0C16">
        <w:trPr>
          <w:cantSplit/>
          <w:tblHeader/>
        </w:trPr>
        <w:tc>
          <w:tcPr>
            <w:tcW w:w="9735" w:type="dxa"/>
            <w:shd w:val="clear" w:color="auto" w:fill="BFBFBF"/>
          </w:tcPr>
          <w:sdt>
            <w:sdtPr>
              <w:tag w:val="goog_rdk_15"/>
              <w:id w:val="6606547"/>
              <w:lock w:val="contentLocked"/>
            </w:sdtPr>
            <w:sdtContent>
              <w:p w:rsidR="009D0C16" w:rsidRDefault="00085380">
                <w:pPr>
                  <w:ind w:right="-7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6 – LEVANTAMENTO DO MERCADO</w:t>
                </w:r>
              </w:p>
            </w:sdtContent>
          </w:sdt>
        </w:tc>
      </w:tr>
    </w:tbl>
    <w:p w:rsidR="009D0C16" w:rsidRDefault="00085380">
      <w:pPr>
        <w:spacing w:after="200" w:line="276" w:lineRule="auto"/>
        <w:ind w:right="-15"/>
        <w:jc w:val="both"/>
        <w:rPr>
          <w:sz w:val="24"/>
          <w:szCs w:val="24"/>
        </w:rPr>
      </w:pPr>
      <w:r>
        <w:rPr>
          <w:sz w:val="24"/>
          <w:szCs w:val="24"/>
        </w:rPr>
        <w:t>A aquisição de fórmulas é amplamente realizada por órgãos e entidades através de pregão eletrônico - registro de preços, com a finalidade de atender as necessidades da administração.</w:t>
      </w:r>
    </w:p>
    <w:p w:rsidR="009D0C16" w:rsidRDefault="00085380">
      <w:pPr>
        <w:spacing w:after="200" w:line="276" w:lineRule="auto"/>
        <w:ind w:right="-15"/>
        <w:jc w:val="both"/>
        <w:rPr>
          <w:sz w:val="24"/>
          <w:szCs w:val="24"/>
        </w:rPr>
      </w:pPr>
      <w:r>
        <w:rPr>
          <w:sz w:val="24"/>
          <w:szCs w:val="24"/>
        </w:rPr>
        <w:t>Foram encontradas nos mais diversos sites de pregão eletrônico, contrataç</w:t>
      </w:r>
      <w:r>
        <w:rPr>
          <w:sz w:val="24"/>
          <w:szCs w:val="24"/>
        </w:rPr>
        <w:t>ão nos moldes pretendidos, sendo que nas contratações similares consultadas, realizadas por outros órgãos e entidades, não foram identificadas a existência de novas metodologias, tecnologias ou inovações que melhor atendam às necessidades da administração,</w:t>
      </w:r>
      <w:r>
        <w:rPr>
          <w:sz w:val="24"/>
          <w:szCs w:val="24"/>
        </w:rPr>
        <w:t xml:space="preserve"> do que está pretendida</w:t>
      </w:r>
    </w:p>
    <w:p w:rsidR="009D0C16" w:rsidRDefault="00085380">
      <w:pPr>
        <w:spacing w:after="200" w:line="276" w:lineRule="auto"/>
        <w:ind w:right="-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exigências para a contratação do objeto não são impeditivas e não demonstraram diminuir o interesse de potenciais fornecedores na participação do futuro processo licitatório. </w:t>
      </w:r>
    </w:p>
    <w:tbl>
      <w:tblPr>
        <w:tblStyle w:val="affffffff4"/>
        <w:tblW w:w="9795" w:type="dxa"/>
        <w:tblInd w:w="-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95"/>
      </w:tblGrid>
      <w:tr w:rsidR="009D0C16">
        <w:trPr>
          <w:cantSplit/>
          <w:tblHeader/>
        </w:trPr>
        <w:tc>
          <w:tcPr>
            <w:tcW w:w="9795" w:type="dxa"/>
            <w:shd w:val="clear" w:color="auto" w:fill="BFBFBF"/>
          </w:tcPr>
          <w:sdt>
            <w:sdtPr>
              <w:tag w:val="goog_rdk_16"/>
              <w:id w:val="6606548"/>
              <w:lock w:val="contentLocked"/>
            </w:sdtPr>
            <w:sdtContent>
              <w:p w:rsidR="009D0C16" w:rsidRDefault="00085380">
                <w:pPr>
                  <w:ind w:right="-120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7 – DESCRIÇÃO DA SOLUÇÃO COMO UM TODO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aquisição </w:t>
      </w:r>
      <w:r>
        <w:rPr>
          <w:sz w:val="24"/>
          <w:szCs w:val="24"/>
        </w:rPr>
        <w:t>de suplementos alimentares, por um período de 12 meses nos termos quantitativos e qualitativos do presente Estudo Técnico Preliminar</w:t>
      </w:r>
    </w:p>
    <w:tbl>
      <w:tblPr>
        <w:tblStyle w:val="affffffff5"/>
        <w:tblW w:w="9720" w:type="dxa"/>
        <w:tblInd w:w="-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20"/>
      </w:tblGrid>
      <w:tr w:rsidR="009D0C16">
        <w:trPr>
          <w:cantSplit/>
          <w:tblHeader/>
        </w:trPr>
        <w:tc>
          <w:tcPr>
            <w:tcW w:w="9720" w:type="dxa"/>
            <w:shd w:val="clear" w:color="auto" w:fill="BFBFBF"/>
          </w:tcPr>
          <w:sdt>
            <w:sdtPr>
              <w:tag w:val="goog_rdk_17"/>
              <w:id w:val="6606549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8 – ESTIMATIVA DAS QUANTIDADES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rPr>
          <w:b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t xml:space="preserve">As quantidades a serem contratadas foram estimadas pelo setor responsável com base  nos dos mesmos itens em exercícios anteriores, sendo eles: </w:t>
      </w:r>
    </w:p>
    <w:sdt>
      <w:sdtPr>
        <w:tag w:val="goog_rdk_18"/>
        <w:id w:val="6606550"/>
        <w:lock w:val="contentLocked"/>
      </w:sdtPr>
      <w:sdtContent>
        <w:tbl>
          <w:tblPr>
            <w:tblStyle w:val="affffffff6"/>
            <w:tblW w:w="9600" w:type="dxa"/>
            <w:tblInd w:w="26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185"/>
            <w:gridCol w:w="2115"/>
            <w:gridCol w:w="1845"/>
            <w:gridCol w:w="4455"/>
          </w:tblGrid>
          <w:tr w:rsidR="009D0C16">
            <w:trPr>
              <w:cantSplit/>
              <w:trHeight w:val="605"/>
              <w:tblHeader/>
            </w:trPr>
            <w:tc>
              <w:tcPr>
                <w:tcW w:w="118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Item</w:t>
                </w:r>
              </w:p>
            </w:tc>
            <w:tc>
              <w:tcPr>
                <w:tcW w:w="2115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Unid. de aquisição</w:t>
                </w:r>
              </w:p>
            </w:tc>
            <w:tc>
              <w:tcPr>
                <w:tcW w:w="1845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Quant./</w:t>
                </w:r>
              </w:p>
            </w:tc>
            <w:tc>
              <w:tcPr>
                <w:tcW w:w="4455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Especificação</w:t>
                </w:r>
              </w:p>
            </w:tc>
          </w:tr>
          <w:tr w:rsidR="009D0C16">
            <w:trPr>
              <w:cantSplit/>
              <w:trHeight w:val="527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Alfaré</w:t>
                </w:r>
              </w:p>
            </w:tc>
          </w:tr>
          <w:tr w:rsidR="009D0C16">
            <w:trPr>
              <w:cantSplit/>
              <w:trHeight w:val="557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AR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780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Pepti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900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Premium 1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Premium 2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Soja 1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Soja 2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600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Calogen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Cubitan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Espessante Nutilis</w:t>
                </w:r>
              </w:p>
            </w:tc>
          </w:tr>
          <w:tr w:rsidR="009D0C16">
            <w:trPr>
              <w:cantSplit/>
              <w:trHeight w:val="632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600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Extima</w:t>
                </w:r>
              </w:p>
            </w:tc>
          </w:tr>
          <w:tr w:rsidR="009D0C16">
            <w:trPr>
              <w:cantSplit/>
              <w:trHeight w:val="512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260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Fiber Mais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470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Fortfit Pro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900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Fortini Plus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Protein Powder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16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Energy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 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Original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3200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Original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Protein Energy Drink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Impact Drink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Infatrini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1.5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Soya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Soya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Nan Confort 1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Neo Advance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Neocate LCP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GC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2000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Proline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Renal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370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3500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Nutren Senior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32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250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 Hwhey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Kit 4 frascos 125ml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Compact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700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Protein Advanced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750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Protein Senior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800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Nutrison Energy Multifiber Sistema Fechado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800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Nutrison Energy Multifiber Tetra Pak</w:t>
                </w:r>
              </w:p>
            </w:tc>
          </w:tr>
          <w:tr w:rsidR="009D0C16">
            <w:trPr>
              <w:cantSplit/>
              <w:trHeight w:val="47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right="-10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Pediassure Infantil</w:t>
                </w:r>
              </w:p>
            </w:tc>
          </w:tr>
          <w:tr w:rsidR="009D0C16">
            <w:trPr>
              <w:cantSplit/>
              <w:trHeight w:val="602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630</w:t>
                </w:r>
              </w:p>
            </w:tc>
            <w:tc>
              <w:tcPr>
                <w:tcW w:w="445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26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Pregomin</w:t>
                </w:r>
              </w:p>
            </w:tc>
          </w:tr>
        </w:tbl>
      </w:sdtContent>
    </w:sdt>
    <w:p w:rsidR="009D0C16" w:rsidRDefault="009D0C16">
      <w:pPr>
        <w:spacing w:after="160" w:line="259" w:lineRule="auto"/>
        <w:rPr>
          <w:sz w:val="24"/>
          <w:szCs w:val="24"/>
        </w:rPr>
      </w:pPr>
    </w:p>
    <w:tbl>
      <w:tblPr>
        <w:tblStyle w:val="affffffff7"/>
        <w:tblpPr w:leftFromText="180" w:rightFromText="180" w:topFromText="180" w:bottomFromText="180" w:vertAnchor="text" w:tblpX="-47"/>
        <w:tblW w:w="967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675"/>
      </w:tblGrid>
      <w:tr w:rsidR="009D0C16">
        <w:trPr>
          <w:cantSplit/>
          <w:tblHeader/>
        </w:trPr>
        <w:tc>
          <w:tcPr>
            <w:tcW w:w="9675" w:type="dxa"/>
            <w:shd w:val="clear" w:color="auto" w:fill="BFBFBF"/>
          </w:tcPr>
          <w:sdt>
            <w:sdtPr>
              <w:tag w:val="goog_rdk_19"/>
              <w:id w:val="6606551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9 – JUSTIFICATIVA PARA O PARCELAMENTO OU NÃO DA CONTRATAÇÃO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devam ser con</w:t>
      </w:r>
      <w:r>
        <w:rPr>
          <w:sz w:val="24"/>
          <w:szCs w:val="24"/>
        </w:rPr>
        <w:t>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:rsidR="009D0C16" w:rsidRDefault="00085380">
      <w:pPr>
        <w:spacing w:after="160" w:line="259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Nesse caso</w:t>
      </w:r>
      <w:r>
        <w:rPr>
          <w:sz w:val="24"/>
          <w:szCs w:val="24"/>
        </w:rPr>
        <w:t>, sugerimos a licitação por itens, onde o objeto é dividido em partes específicas, cada qual representando um bem de forma autônoma, visando um aumento da competitividade do certame, pois possibilita a participação de vários fornecedores.</w:t>
      </w:r>
    </w:p>
    <w:p w:rsidR="009D0C16" w:rsidRDefault="00085380">
      <w:pPr>
        <w:spacing w:after="160" w:line="259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Em exame da natur</w:t>
      </w:r>
      <w:r>
        <w:rPr>
          <w:sz w:val="24"/>
          <w:szCs w:val="24"/>
        </w:rPr>
        <w:t xml:space="preserve">eza dos itens/serviços que ora se pretende adquirir nessa contratação, não se verifica quaisquer especificidades que venham exigir seu agrupamento, devendo prevalecer a regra geral de parcelamento como forma de garantir a ampla concorrência. </w:t>
      </w:r>
    </w:p>
    <w:p w:rsidR="009D0C16" w:rsidRDefault="00085380">
      <w:pPr>
        <w:spacing w:after="160" w:line="259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Por tanto, nã</w:t>
      </w:r>
      <w:r>
        <w:rPr>
          <w:sz w:val="24"/>
          <w:szCs w:val="24"/>
        </w:rPr>
        <w:t>o existe a necessidade de fazermos uma licitação por lote. Cabe ao pregão que os lances sejam por item deste certame.</w:t>
      </w:r>
    </w:p>
    <w:tbl>
      <w:tblPr>
        <w:tblStyle w:val="affffffff8"/>
        <w:tblW w:w="9645" w:type="dxa"/>
        <w:tblInd w:w="-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645"/>
      </w:tblGrid>
      <w:tr w:rsidR="009D0C16">
        <w:trPr>
          <w:cantSplit/>
          <w:tblHeader/>
        </w:trPr>
        <w:tc>
          <w:tcPr>
            <w:tcW w:w="9645" w:type="dxa"/>
            <w:shd w:val="clear" w:color="auto" w:fill="BFBFBF"/>
          </w:tcPr>
          <w:sdt>
            <w:sdtPr>
              <w:tag w:val="goog_rdk_20"/>
              <w:id w:val="6606552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10 – CONTRATAÇÕES CORRELATAS E/OU INTERDEPENDENTES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Contratações correlatas são aquelas que guardam relação com o objeto principal, inte</w:t>
      </w:r>
      <w:r>
        <w:rPr>
          <w:sz w:val="24"/>
          <w:szCs w:val="24"/>
        </w:rPr>
        <w:t xml:space="preserve">rligando-se a essa prestação do serviço, mas que não precisam, necessariamente, ser contratadas para a completa </w:t>
      </w:r>
      <w:r>
        <w:rPr>
          <w:sz w:val="24"/>
          <w:szCs w:val="24"/>
        </w:rPr>
        <w:lastRenderedPageBreak/>
        <w:t>prestação do objeto principal. Já as contratações interdependentes são aquelas que precisam ser contratadas juntamente com o objeto principal pa</w:t>
      </w:r>
      <w:r>
        <w:rPr>
          <w:sz w:val="24"/>
          <w:szCs w:val="24"/>
        </w:rPr>
        <w:t>ra sua completa prestação.</w:t>
      </w:r>
    </w:p>
    <w:p w:rsidR="009D0C16" w:rsidRDefault="00085380">
      <w:pPr>
        <w:spacing w:after="160" w:line="259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Entendemos não haver para o objeto em questão a previsão de contratação correlata, esse é o objeto principal desta contratação.</w:t>
      </w:r>
    </w:p>
    <w:tbl>
      <w:tblPr>
        <w:tblStyle w:val="affffffff9"/>
        <w:tblW w:w="9690" w:type="dxa"/>
        <w:tblInd w:w="-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690"/>
      </w:tblGrid>
      <w:tr w:rsidR="009D0C16">
        <w:trPr>
          <w:cantSplit/>
          <w:tblHeader/>
        </w:trPr>
        <w:tc>
          <w:tcPr>
            <w:tcW w:w="9690" w:type="dxa"/>
            <w:shd w:val="clear" w:color="auto" w:fill="BFBFBF"/>
          </w:tcPr>
          <w:sdt>
            <w:sdtPr>
              <w:tag w:val="goog_rdk_21"/>
              <w:id w:val="6606553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11 – RESULTADOS PRETENDIDOS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Espera-se com essa contratação aquisição dos itens necessários para garantir o atendimento dos usuários do Sistema Único de Saúde no município de Santos Dumont-MG para o desenvolvimento eficaz das atividades da Secretaria Municipal de Saúde .</w:t>
      </w:r>
    </w:p>
    <w:tbl>
      <w:tblPr>
        <w:tblStyle w:val="affffffffa"/>
        <w:tblW w:w="9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20"/>
      </w:tblGrid>
      <w:tr w:rsidR="009D0C16">
        <w:trPr>
          <w:cantSplit/>
          <w:tblHeader/>
        </w:trPr>
        <w:tc>
          <w:tcPr>
            <w:tcW w:w="9720" w:type="dxa"/>
            <w:shd w:val="clear" w:color="auto" w:fill="BFBFBF"/>
          </w:tcPr>
          <w:sdt>
            <w:sdtPr>
              <w:tag w:val="goog_rdk_22"/>
              <w:id w:val="6606554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12 – PROVIDÊN</w:t>
                </w:r>
                <w:r>
                  <w:rPr>
                    <w:b/>
                    <w:sz w:val="24"/>
                    <w:szCs w:val="24"/>
                  </w:rPr>
                  <w:t>CIAS PREVIAMENTE À CELEBRAÇÃO DO CONTRATO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Não há providências a serem adotadas pela administração previamente à celebração do contrato, visto que não há necessidade de capacitação de fiscais e/ou gestores de contrato ou de adequação do ambiente da organização.</w:t>
      </w:r>
    </w:p>
    <w:tbl>
      <w:tblPr>
        <w:tblStyle w:val="affffffffb"/>
        <w:tblW w:w="9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20"/>
      </w:tblGrid>
      <w:tr w:rsidR="009D0C16">
        <w:trPr>
          <w:cantSplit/>
          <w:tblHeader/>
        </w:trPr>
        <w:tc>
          <w:tcPr>
            <w:tcW w:w="9720" w:type="dxa"/>
            <w:shd w:val="clear" w:color="auto" w:fill="BFBFBF"/>
          </w:tcPr>
          <w:sdt>
            <w:sdtPr>
              <w:tag w:val="goog_rdk_23"/>
              <w:id w:val="6606555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 xml:space="preserve">13 – POSSÍVEIS IMPACTOS AMBIENTAIS E </w:t>
                </w:r>
                <w:r>
                  <w:rPr>
                    <w:b/>
                    <w:sz w:val="24"/>
                    <w:szCs w:val="24"/>
                  </w:rPr>
                  <w:t>TRATAMENTOS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</w:t>
      </w:r>
      <w:r>
        <w:rPr>
          <w:sz w:val="24"/>
          <w:szCs w:val="24"/>
        </w:rPr>
        <w:t>lação ambiental para a prevenção de adversidades ao meio ambiente e a saúde dos trabalhadores e envolvidos na execução do objeto.</w:t>
      </w:r>
    </w:p>
    <w:tbl>
      <w:tblPr>
        <w:tblStyle w:val="affffffffc"/>
        <w:tblW w:w="9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20"/>
      </w:tblGrid>
      <w:tr w:rsidR="009D0C16">
        <w:trPr>
          <w:cantSplit/>
          <w:tblHeader/>
        </w:trPr>
        <w:tc>
          <w:tcPr>
            <w:tcW w:w="9720" w:type="dxa"/>
            <w:shd w:val="clear" w:color="auto" w:fill="BFBFBF"/>
          </w:tcPr>
          <w:sdt>
            <w:sdtPr>
              <w:tag w:val="goog_rdk_24"/>
              <w:id w:val="6606556"/>
              <w:lock w:val="contentLocked"/>
            </w:sdtPr>
            <w:sdtContent>
              <w:p w:rsidR="009D0C16" w:rsidRDefault="00085380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14 – DECLARAÇÃO DE VIABILIDADE</w:t>
                </w:r>
              </w:p>
            </w:sdtContent>
          </w:sdt>
        </w:tc>
      </w:tr>
    </w:tbl>
    <w:p w:rsidR="009D0C16" w:rsidRDefault="00085380">
      <w:p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br/>
        <w:t>Este Estudo Técnico Preliminar evidencia que a contratação da solução se mostra viável econ</w:t>
      </w:r>
      <w:r>
        <w:rPr>
          <w:sz w:val="24"/>
          <w:szCs w:val="24"/>
        </w:rPr>
        <w:t>ômica, tecnicamente. Os serviços podem ser contratados por Pregão Eletrônico, sendo a contratação dividida em itens unitários.</w:t>
      </w:r>
    </w:p>
    <w:p w:rsidR="009D0C16" w:rsidRDefault="009D0C16">
      <w:pPr>
        <w:spacing w:after="160" w:line="259" w:lineRule="auto"/>
        <w:jc w:val="both"/>
        <w:rPr>
          <w:sz w:val="24"/>
          <w:szCs w:val="24"/>
        </w:rPr>
      </w:pPr>
    </w:p>
    <w:p w:rsidR="009D0C16" w:rsidRDefault="00085380">
      <w:p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Santos Dumont, 18 de julho de 2024.</w:t>
      </w: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085380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Cláudia de Aquino Paschoal</w:t>
      </w:r>
      <w:r>
        <w:rPr>
          <w:sz w:val="24"/>
          <w:szCs w:val="24"/>
        </w:rPr>
        <w:br/>
        <w:t>Secretária Municipal de Saúde</w:t>
      </w:r>
    </w:p>
    <w:p w:rsidR="009D0C16" w:rsidRDefault="009D0C16">
      <w:pPr>
        <w:ind w:right="-843"/>
        <w:jc w:val="center"/>
        <w:rPr>
          <w:sz w:val="24"/>
          <w:szCs w:val="24"/>
        </w:rPr>
        <w:sectPr w:rsidR="009D0C16">
          <w:headerReference w:type="default" r:id="rId8"/>
          <w:footerReference w:type="default" r:id="rId9"/>
          <w:pgSz w:w="11906" w:h="16838"/>
          <w:pgMar w:top="1133" w:right="1132" w:bottom="566" w:left="1133" w:header="709" w:footer="346" w:gutter="0"/>
          <w:pgNumType w:start="1"/>
          <w:cols w:space="720"/>
        </w:sect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9D0C16">
      <w:pPr>
        <w:ind w:right="-564"/>
        <w:jc w:val="center"/>
        <w:rPr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ind w:right="-56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TERMO DE REFERÊNCIA</w:t>
      </w: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7"/>
        <w:jc w:val="both"/>
        <w:rPr>
          <w:sz w:val="26"/>
          <w:szCs w:val="26"/>
        </w:rPr>
      </w:pPr>
      <w:r>
        <w:rPr>
          <w:b/>
          <w:sz w:val="24"/>
          <w:szCs w:val="24"/>
        </w:rPr>
        <w:t xml:space="preserve">1. </w:t>
      </w:r>
      <w:r>
        <w:rPr>
          <w:b/>
          <w:color w:val="000000"/>
          <w:sz w:val="24"/>
          <w:szCs w:val="24"/>
        </w:rPr>
        <w:t xml:space="preserve">OBJETO: </w:t>
      </w:r>
      <w:r>
        <w:rPr>
          <w:sz w:val="24"/>
          <w:szCs w:val="24"/>
        </w:rPr>
        <w:t>C</w:t>
      </w:r>
      <w:r>
        <w:rPr>
          <w:sz w:val="26"/>
          <w:szCs w:val="26"/>
        </w:rPr>
        <w:t>onstitui objeto desta licitação o Registro de Preços para futuro e eventual fornecimento de Suplementos em atendimento à Secretaria Municipal de Saúde, conforme especificações abaixo:</w:t>
      </w:r>
    </w:p>
    <w:p w:rsidR="009D0C16" w:rsidRDefault="009D0C16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25"/>
        <w:id w:val="6606557"/>
        <w:lock w:val="contentLocked"/>
      </w:sdtPr>
      <w:sdtContent>
        <w:tbl>
          <w:tblPr>
            <w:tblStyle w:val="affffffffd"/>
            <w:tblW w:w="9630" w:type="dxa"/>
            <w:tblInd w:w="26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185"/>
            <w:gridCol w:w="2115"/>
            <w:gridCol w:w="1845"/>
            <w:gridCol w:w="4485"/>
          </w:tblGrid>
          <w:tr w:rsidR="009D0C16">
            <w:trPr>
              <w:cantSplit/>
              <w:trHeight w:val="605"/>
              <w:tblHeader/>
            </w:trPr>
            <w:tc>
              <w:tcPr>
                <w:tcW w:w="118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Item</w:t>
                </w:r>
              </w:p>
            </w:tc>
            <w:tc>
              <w:tcPr>
                <w:tcW w:w="2115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Unid. de aquisição</w:t>
                </w:r>
              </w:p>
            </w:tc>
            <w:tc>
              <w:tcPr>
                <w:tcW w:w="1845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Quant./</w:t>
                </w:r>
              </w:p>
            </w:tc>
            <w:tc>
              <w:tcPr>
                <w:tcW w:w="4485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Especificação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Alfaré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AR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Pepti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900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Premium 1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Premium 2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Soja 1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Aptamil Soja 2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600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Calogen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09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Cubitan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Espessante Nutilis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11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600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Extima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260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Fiber Mais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470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Fortfit Pro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900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right="-3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Fortini Plus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Protein Powder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Energy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 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Original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Bolsa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3200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Original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Fresubin Protein Energy Drink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Impact Drink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Infatrini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1.5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Soya Fibre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Isosource Soya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800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Nan Confort 1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Neo Advance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27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480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Neocate LCP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GC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2000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Proline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30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200ml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720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Novasource Renal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31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370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3500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Nutren Senior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32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250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 Hwhey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33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Kit 4 frascos 125ml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Compact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34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700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Protein Advanced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35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750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Nutridrink Protein Senior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36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800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Nutrison Energy Multifiber Sistema Fechado</w:t>
                </w:r>
              </w:p>
            </w:tc>
          </w:tr>
          <w:tr w:rsidR="009D0C16">
            <w:trPr>
              <w:cantSplit/>
              <w:trHeight w:val="56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37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Frasco 1000ml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800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Nutrison Energy Multifiber Tetra Pak</w:t>
                </w:r>
              </w:p>
            </w:tc>
          </w:tr>
          <w:tr w:rsidR="009D0C16">
            <w:trPr>
              <w:cantSplit/>
              <w:trHeight w:val="47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38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1200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right="-10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Pediassure Infantil</w:t>
                </w:r>
              </w:p>
            </w:tc>
          </w:tr>
          <w:tr w:rsidR="009D0C16">
            <w:trPr>
              <w:cantSplit/>
              <w:trHeight w:val="602"/>
              <w:tblHeader/>
            </w:trPr>
            <w:tc>
              <w:tcPr>
                <w:tcW w:w="1185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spacing w:before="240" w:after="240"/>
                  <w:ind w:left="26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39</w:t>
                </w:r>
              </w:p>
            </w:tc>
            <w:tc>
              <w:tcPr>
                <w:tcW w:w="211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Lata 400 grs</w:t>
                </w:r>
              </w:p>
            </w:tc>
            <w:tc>
              <w:tcPr>
                <w:tcW w:w="184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-141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630                                                                                                                                                                                                                                                             </w:t>
                </w:r>
                <w:r>
                  <w:rPr>
                    <w:sz w:val="24"/>
                    <w:szCs w:val="24"/>
                  </w:rPr>
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  <w:tc>
              <w:tcPr>
                <w:tcW w:w="4485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9D0C16" w:rsidRDefault="00085380">
                <w:pPr>
                  <w:widowControl w:val="0"/>
                  <w:spacing w:before="240" w:after="240" w:line="276" w:lineRule="auto"/>
                  <w:ind w:left="26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Pregomin</w:t>
                </w:r>
              </w:p>
            </w:tc>
          </w:tr>
        </w:tbl>
      </w:sdtContent>
    </w:sdt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b/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>
        <w:rPr>
          <w:b/>
          <w:color w:val="000000"/>
          <w:sz w:val="24"/>
          <w:szCs w:val="24"/>
        </w:rPr>
        <w:t>JUSTIFICATIVA DA CONTRATAÇÃO</w:t>
      </w:r>
    </w:p>
    <w:p w:rsidR="009D0C16" w:rsidRDefault="00085380">
      <w:pPr>
        <w:ind w:right="-94"/>
        <w:jc w:val="both"/>
        <w:rPr>
          <w:sz w:val="24"/>
          <w:szCs w:val="24"/>
        </w:rPr>
      </w:pPr>
      <w:r>
        <w:rPr>
          <w:sz w:val="24"/>
          <w:szCs w:val="24"/>
        </w:rPr>
        <w:t>A aquisição dos suplementos alimentares se justifica pela necessidade de abastecimentos da Farmácia de Mandados Judiciais, visando o atendimento e distribuição aos pacientes nos casos de judicialização da Saúde através dos Proc</w:t>
      </w:r>
      <w:r>
        <w:rPr>
          <w:sz w:val="24"/>
          <w:szCs w:val="24"/>
        </w:rPr>
        <w:t>essos que são frequentemente ajuizados em desfavor da Prefeitura Municipal de Santos Dumont-MG.</w:t>
      </w:r>
    </w:p>
    <w:p w:rsidR="009D0C16" w:rsidRDefault="00085380">
      <w:pPr>
        <w:ind w:right="-94"/>
        <w:jc w:val="both"/>
        <w:rPr>
          <w:sz w:val="24"/>
          <w:szCs w:val="24"/>
        </w:rPr>
      </w:pPr>
      <w:r>
        <w:rPr>
          <w:sz w:val="24"/>
          <w:szCs w:val="24"/>
        </w:rPr>
        <w:t>Além disso, visa atender ao Sisvan (Sistema de Vigilância Alimentar e Nutricional) para contemplar crianças que se encontram com baixo peso e pacientes da Atenç</w:t>
      </w:r>
      <w:r>
        <w:rPr>
          <w:sz w:val="24"/>
          <w:szCs w:val="24"/>
        </w:rPr>
        <w:t>ão Básica com o comprometimento nutricional necessário em decorrências de várias patologias</w:t>
      </w: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Conforme exigência legal foi realizada pesquisa de mercado junto a empresas do ramo e</w:t>
      </w:r>
      <w:r>
        <w:rPr>
          <w:sz w:val="24"/>
          <w:szCs w:val="24"/>
        </w:rPr>
        <w:t xml:space="preserve"> em contratações similares realizadas por órgãos públicos </w:t>
      </w:r>
      <w:r>
        <w:rPr>
          <w:color w:val="000000"/>
          <w:sz w:val="24"/>
          <w:szCs w:val="24"/>
        </w:rPr>
        <w:t>apurando-se o valor m</w:t>
      </w:r>
      <w:r>
        <w:rPr>
          <w:color w:val="000000"/>
          <w:sz w:val="24"/>
          <w:szCs w:val="24"/>
        </w:rPr>
        <w:t xml:space="preserve">édio estimado de </w:t>
      </w:r>
      <w:r>
        <w:rPr>
          <w:b/>
          <w:color w:val="000000"/>
          <w:sz w:val="24"/>
          <w:szCs w:val="24"/>
        </w:rPr>
        <w:t>R</w:t>
      </w:r>
      <w:r>
        <w:rPr>
          <w:b/>
          <w:sz w:val="24"/>
          <w:szCs w:val="24"/>
        </w:rPr>
        <w:t>$ 3.628.782,99 (três milhões seiscentos e vinte e oito mil setecentos e oitenta e dois reais e noventa e nove centavos)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c</w:t>
      </w:r>
      <w:r>
        <w:rPr>
          <w:color w:val="000000"/>
          <w:sz w:val="24"/>
          <w:szCs w:val="24"/>
        </w:rPr>
        <w:t xml:space="preserve">onforme </w:t>
      </w:r>
      <w:r>
        <w:rPr>
          <w:sz w:val="24"/>
          <w:szCs w:val="24"/>
        </w:rPr>
        <w:t>documentação</w:t>
      </w:r>
      <w:r>
        <w:rPr>
          <w:color w:val="000000"/>
          <w:sz w:val="24"/>
          <w:szCs w:val="24"/>
        </w:rPr>
        <w:t xml:space="preserve"> em anexo. 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70"/>
        <w:jc w:val="both"/>
        <w:rPr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>
        <w:rPr>
          <w:b/>
          <w:color w:val="000000"/>
          <w:sz w:val="24"/>
          <w:szCs w:val="24"/>
        </w:rPr>
        <w:t>METODOLOGIA</w:t>
      </w: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critério de aceitação das propostas será o </w:t>
      </w:r>
      <w:r>
        <w:rPr>
          <w:b/>
          <w:color w:val="000000"/>
          <w:sz w:val="24"/>
          <w:szCs w:val="24"/>
        </w:rPr>
        <w:t>MENOR PREÇO</w:t>
      </w:r>
      <w:r>
        <w:rPr>
          <w:color w:val="000000"/>
          <w:sz w:val="24"/>
          <w:szCs w:val="24"/>
        </w:rPr>
        <w:t xml:space="preserve"> por item.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sz w:val="24"/>
          <w:szCs w:val="24"/>
        </w:rPr>
      </w:pPr>
    </w:p>
    <w:p w:rsidR="009D0C16" w:rsidRDefault="00085380">
      <w:pPr>
        <w:widowControl w:val="0"/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>
        <w:rPr>
          <w:b/>
          <w:color w:val="000000"/>
          <w:sz w:val="24"/>
          <w:szCs w:val="24"/>
        </w:rPr>
        <w:t xml:space="preserve">DA ELABORAÇÃO DA PROPOSTA </w:t>
      </w: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spacing w:after="113"/>
        <w:ind w:right="7"/>
        <w:jc w:val="both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A proposta deverá ser elaborada contemplando as quantidades, especificação detalhada do objeto, valor unitário e valor total.</w:t>
      </w:r>
    </w:p>
    <w:p w:rsidR="009D0C16" w:rsidRDefault="00085380">
      <w:pPr>
        <w:widowControl w:val="0"/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>
        <w:rPr>
          <w:b/>
          <w:color w:val="000000"/>
          <w:sz w:val="24"/>
          <w:szCs w:val="24"/>
        </w:rPr>
        <w:t xml:space="preserve">DA ENTREGA DO PAGAMENTO </w:t>
      </w:r>
    </w:p>
    <w:p w:rsidR="009D0C16" w:rsidRDefault="00085380">
      <w:pPr>
        <w:pBdr>
          <w:bottom w:val="none" w:sz="0" w:space="8" w:color="000000"/>
        </w:pBd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Os produtos a serem adquiridos serão solicitados através de Ordem de For</w:t>
      </w:r>
      <w:r>
        <w:rPr>
          <w:sz w:val="24"/>
          <w:szCs w:val="24"/>
          <w:highlight w:val="white"/>
        </w:rPr>
        <w:t>necimento, gerada pelas Secretarias de acordo com as necessidades, devendo ser entregues no prazo de 5 dias úteis no local determinado na Ordem de Fornecimento.</w:t>
      </w:r>
    </w:p>
    <w:p w:rsidR="009D0C16" w:rsidRDefault="00085380">
      <w:pPr>
        <w:pBdr>
          <w:bottom w:val="none" w:sz="0" w:space="8" w:color="000000"/>
        </w:pBdr>
        <w:ind w:right="7"/>
        <w:jc w:val="both"/>
        <w:rPr>
          <w:color w:val="000000"/>
          <w:sz w:val="24"/>
          <w:szCs w:val="24"/>
        </w:rPr>
      </w:pPr>
      <w:r>
        <w:rPr>
          <w:sz w:val="24"/>
          <w:szCs w:val="24"/>
          <w:highlight w:val="white"/>
        </w:rPr>
        <w:t>Os produtos ora licitados deverão ser entregues com no mínimo 80% (oitenta por cento) da sua va</w:t>
      </w:r>
      <w:r>
        <w:rPr>
          <w:sz w:val="24"/>
          <w:szCs w:val="24"/>
          <w:highlight w:val="white"/>
        </w:rPr>
        <w:t>lidade total, ou 12 meses, contados a partir da data de entrega no Município de Santos Dumont/MG.</w:t>
      </w:r>
      <w:r>
        <w:rPr>
          <w:sz w:val="24"/>
          <w:szCs w:val="24"/>
          <w:highlight w:val="white"/>
        </w:rPr>
        <w:br/>
        <w:t xml:space="preserve">A partir da entrega, o objeto, ou fração do mesmo, será recebido em caráter provisório durante 30 (trinta) dias, período no qual será submetido a controle de </w:t>
      </w:r>
      <w:r>
        <w:rPr>
          <w:sz w:val="24"/>
          <w:szCs w:val="24"/>
          <w:highlight w:val="white"/>
        </w:rPr>
        <w:t>qualidade e avaliado sua conformidade com as especificações constantes deste instrumento e seus anexos, a fim de que se decida sobre sua aceitação ou rejeição.</w:t>
      </w:r>
      <w:r>
        <w:rPr>
          <w:sz w:val="24"/>
          <w:szCs w:val="24"/>
          <w:highlight w:val="white"/>
        </w:rPr>
        <w:br/>
        <w:t>Na hipótese de rejeição do objeto recebido, o mesmo deverá ser recolhido pela detentora no prazo</w:t>
      </w:r>
      <w:r>
        <w:rPr>
          <w:sz w:val="24"/>
          <w:szCs w:val="24"/>
          <w:highlight w:val="white"/>
        </w:rPr>
        <w:t xml:space="preserve"> de 72 (setenta e duas) horas da comunicação pela Prefeitura Municipal de Santos Dumont. Após esse prazo, a Prefeitura Municipal de Santos Dumont reserva-se o direito de enviar o objeto rejeitado à detentora, com frete a pagar, procedendo-se a sua troca no</w:t>
      </w:r>
      <w:r>
        <w:rPr>
          <w:sz w:val="24"/>
          <w:szCs w:val="24"/>
          <w:highlight w:val="white"/>
        </w:rPr>
        <w:t xml:space="preserve"> prazo de 48h, podendo ainda a Administração proceder ao cancelamento unilateral da Ata de Registro de Preços.</w:t>
      </w:r>
      <w:r>
        <w:rPr>
          <w:sz w:val="24"/>
          <w:szCs w:val="24"/>
          <w:highlight w:val="white"/>
        </w:rPr>
        <w:br/>
        <w:t xml:space="preserve">Decorridos 30 (trinta) da entrega, e não havendo impugnação por parte da Prefeitura Municipal de Santos Dumont, o objeto será tido como recebido </w:t>
      </w:r>
      <w:r>
        <w:rPr>
          <w:sz w:val="24"/>
          <w:szCs w:val="24"/>
          <w:highlight w:val="white"/>
        </w:rPr>
        <w:t>em caráter definitivo.</w:t>
      </w:r>
      <w:r>
        <w:rPr>
          <w:sz w:val="24"/>
          <w:szCs w:val="24"/>
          <w:highlight w:val="white"/>
        </w:rPr>
        <w:br/>
        <w:t>O recebimento em caráter definitivo não retira da detentora a responsabilidade sobre o produto oferecido que, se apresentar qualquer irregularidade dentro de sua validade, será devolvido, sujeitando-se a mesma detentora, ainda, às pe</w:t>
      </w:r>
      <w:r>
        <w:rPr>
          <w:sz w:val="24"/>
          <w:szCs w:val="24"/>
          <w:highlight w:val="white"/>
        </w:rPr>
        <w:t>nalidades previstas neste instrumento e na lei.</w:t>
      </w:r>
      <w:r>
        <w:rPr>
          <w:sz w:val="24"/>
          <w:szCs w:val="24"/>
          <w:highlight w:val="white"/>
        </w:rPr>
        <w:br/>
        <w:t>O pagamento será efetuado até 30 (trinta) dias, diretamente à fornecedora mediante a comprovação da entrega e apresentação da Nota Fiscal ao setor competente, devidamente acompanhada dos documentos fiscais at</w:t>
      </w:r>
      <w:r>
        <w:rPr>
          <w:sz w:val="24"/>
          <w:szCs w:val="24"/>
          <w:highlight w:val="white"/>
        </w:rPr>
        <w:t>ualizados, sem o que não será liberado o pagamento.</w:t>
      </w:r>
      <w:r>
        <w:rPr>
          <w:sz w:val="24"/>
          <w:szCs w:val="24"/>
          <w:highlight w:val="white"/>
        </w:rPr>
        <w:br/>
      </w:r>
      <w:r>
        <w:rPr>
          <w:color w:val="000000"/>
          <w:sz w:val="24"/>
          <w:szCs w:val="24"/>
        </w:rPr>
        <w:t>Em caso de irregularidade na emissão dos documentos fiscais, o prazo de pagamento será contado a partir de sua reapresentação, desde que devidamente regularizados.</w:t>
      </w:r>
      <w:r>
        <w:rPr>
          <w:sz w:val="24"/>
          <w:szCs w:val="24"/>
        </w:rPr>
        <w:br/>
      </w:r>
      <w:r>
        <w:rPr>
          <w:color w:val="000000"/>
          <w:sz w:val="24"/>
          <w:szCs w:val="24"/>
        </w:rPr>
        <w:t>Nenhum pagamento será efetuado à contrat</w:t>
      </w:r>
      <w:r>
        <w:rPr>
          <w:color w:val="000000"/>
          <w:sz w:val="24"/>
          <w:szCs w:val="24"/>
        </w:rPr>
        <w:t>ada enquanto pendente de liquidação qualquer obrigação financeira decorrente de penalidade ou inadimplência, sem que isso gere direito a reajustamento de preços.</w:t>
      </w:r>
    </w:p>
    <w:p w:rsidR="009D0C16" w:rsidRDefault="00085380">
      <w:pPr>
        <w:pBdr>
          <w:bottom w:val="none" w:sz="0" w:space="8" w:color="000000"/>
        </w:pBdr>
        <w:ind w:right="7"/>
        <w:jc w:val="both"/>
        <w:rPr>
          <w:sz w:val="24"/>
          <w:szCs w:val="24"/>
        </w:rPr>
      </w:pPr>
      <w:r>
        <w:rPr>
          <w:b/>
          <w:sz w:val="22"/>
          <w:szCs w:val="22"/>
          <w:highlight w:val="white"/>
        </w:rPr>
        <w:t>A emissão de quaisquer notas fiscais deverá obedecer rigorosamente aos ditames da Instrução No</w:t>
      </w:r>
      <w:r>
        <w:rPr>
          <w:b/>
          <w:sz w:val="22"/>
          <w:szCs w:val="22"/>
          <w:highlight w:val="white"/>
        </w:rPr>
        <w:t>rmativa RFB nº 1234, de 11 de janeiro de 2012, com a redação que lhe foi dada pela Instrução Normativa nº 2.145 de 26 de junho de 2023, e do Decreto Municipal nº 3.730, de 23 de agosto de 2023, sob pena de não aceitação do documento apresentado ou retenção</w:t>
      </w:r>
      <w:r>
        <w:rPr>
          <w:b/>
          <w:sz w:val="22"/>
          <w:szCs w:val="22"/>
          <w:highlight w:val="white"/>
        </w:rPr>
        <w:t xml:space="preserve"> do Imposto de Renda da Fonte.</w:t>
      </w:r>
      <w:r>
        <w:rPr>
          <w:b/>
          <w:sz w:val="22"/>
          <w:szCs w:val="22"/>
          <w:highlight w:val="white"/>
        </w:rPr>
        <w:br/>
      </w:r>
      <w:r>
        <w:rPr>
          <w:color w:val="000000"/>
          <w:sz w:val="24"/>
          <w:szCs w:val="24"/>
        </w:rPr>
        <w:t xml:space="preserve">Deverão estar incluídas no preço, todas as despesas necessárias à entrega do objeto desta licitação, sem quaisquer ônus </w:t>
      </w:r>
      <w:r>
        <w:rPr>
          <w:sz w:val="24"/>
          <w:szCs w:val="24"/>
        </w:rPr>
        <w:t>para a Administração</w:t>
      </w:r>
      <w:r>
        <w:rPr>
          <w:color w:val="000000"/>
          <w:sz w:val="24"/>
          <w:szCs w:val="24"/>
        </w:rPr>
        <w:t>, tais como frete, tributos etc.</w:t>
      </w:r>
      <w:r>
        <w:rPr>
          <w:sz w:val="24"/>
          <w:szCs w:val="24"/>
        </w:rPr>
        <w:br/>
      </w:r>
      <w:r>
        <w:rPr>
          <w:color w:val="000000"/>
          <w:sz w:val="24"/>
          <w:szCs w:val="24"/>
        </w:rPr>
        <w:t>É vedado qualquer reaj</w:t>
      </w:r>
      <w:r>
        <w:rPr>
          <w:color w:val="000000"/>
          <w:sz w:val="24"/>
          <w:szCs w:val="24"/>
        </w:rPr>
        <w:t xml:space="preserve">ustamento de preços durante o </w:t>
      </w:r>
      <w:r>
        <w:rPr>
          <w:color w:val="000000"/>
          <w:sz w:val="24"/>
          <w:szCs w:val="24"/>
        </w:rPr>
        <w:t>prazo de validade da proposta.</w:t>
      </w:r>
      <w:r>
        <w:rPr>
          <w:sz w:val="24"/>
          <w:szCs w:val="24"/>
        </w:rPr>
        <w:br/>
        <w:t xml:space="preserve">Da nota fiscal deverá constar o n° da conta-corrente do licitante, banco, e nº. da agência para fins de </w:t>
      </w:r>
      <w:r>
        <w:rPr>
          <w:sz w:val="24"/>
          <w:szCs w:val="24"/>
        </w:rPr>
        <w:lastRenderedPageBreak/>
        <w:t>pagamento.</w:t>
      </w:r>
      <w:r>
        <w:rPr>
          <w:sz w:val="24"/>
          <w:szCs w:val="24"/>
        </w:rPr>
        <w:br/>
        <w:t>O Objeto deverá ser entregue no Almoxarifado da Secretaria de saúde à Rua Quinze de Fevereiro nº1.840, referên</w:t>
      </w:r>
      <w:r>
        <w:rPr>
          <w:sz w:val="24"/>
          <w:szCs w:val="24"/>
        </w:rPr>
        <w:t>cia Hospital Samaritano</w:t>
      </w: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>
        <w:rPr>
          <w:b/>
          <w:color w:val="000000"/>
          <w:sz w:val="24"/>
          <w:szCs w:val="24"/>
        </w:rPr>
        <w:t>DA DOTAÇÃO ORÇAMENTÁRIA OU RECURSOS FINANCEIROS</w:t>
      </w: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 despesas com a aquisição do objeto ora licitado correrão à conta das Dotações Orçamentárias do orçamento vigente.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2"/>
          <w:szCs w:val="22"/>
        </w:rPr>
      </w:pPr>
    </w:p>
    <w:p w:rsidR="009D0C16" w:rsidRDefault="00085380">
      <w:pPr>
        <w:numPr>
          <w:ilvl w:val="0"/>
          <w:numId w:val="1"/>
        </w:numPr>
        <w:ind w:right="17"/>
        <w:jc w:val="both"/>
        <w:rPr>
          <w:sz w:val="22"/>
          <w:szCs w:val="22"/>
        </w:rPr>
      </w:pPr>
      <w:r>
        <w:rPr>
          <w:sz w:val="22"/>
          <w:szCs w:val="22"/>
        </w:rPr>
        <w:t>02.28.02.10.301.0014.2106 - Manutenção da Atenção primária</w:t>
      </w:r>
      <w:r>
        <w:rPr>
          <w:sz w:val="22"/>
          <w:szCs w:val="22"/>
        </w:rPr>
        <w:br/>
      </w:r>
      <w:r>
        <w:rPr>
          <w:sz w:val="22"/>
          <w:szCs w:val="22"/>
        </w:rPr>
        <w:t>3.3.90.32.00 - Material, Bem ou Serv para Distribuição Gratuita</w:t>
      </w:r>
    </w:p>
    <w:p w:rsidR="009D0C16" w:rsidRDefault="00085380">
      <w:pPr>
        <w:numPr>
          <w:ilvl w:val="0"/>
          <w:numId w:val="1"/>
        </w:numPr>
        <w:ind w:right="1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Ficha - 536 </w:t>
      </w:r>
      <w:r>
        <w:rPr>
          <w:sz w:val="22"/>
          <w:szCs w:val="22"/>
        </w:rPr>
        <w:br/>
        <w:t>Fonte: 1.500.000.0000 - Recursos não vinculados e Impostos</w:t>
      </w:r>
      <w:r>
        <w:rPr>
          <w:sz w:val="22"/>
          <w:szCs w:val="22"/>
        </w:rPr>
        <w:br/>
        <w:t>1.500.00.1002 - Identificação das despesas com ações e serviços públicos de saúde Recursos não vinculados e Impostos</w:t>
      </w:r>
      <w:r>
        <w:rPr>
          <w:sz w:val="22"/>
          <w:szCs w:val="22"/>
        </w:rPr>
        <w:br/>
        <w:t>1.6</w:t>
      </w:r>
      <w:r>
        <w:rPr>
          <w:sz w:val="22"/>
          <w:szCs w:val="22"/>
        </w:rPr>
        <w:t>00.000.0000 - Transferências Fundo a Fundo de Recursos do SUS provenientes do Governo Federal - Bloco de Manutenção das Ações e Serviços Públicos de Saúde</w:t>
      </w:r>
      <w:r>
        <w:rPr>
          <w:sz w:val="22"/>
          <w:szCs w:val="22"/>
        </w:rPr>
        <w:br/>
        <w:t>1.621.000.0000 - Transferências Fundo a Fundo de Recursos do SUS provenientes do Governo Estadual 2.7</w:t>
      </w:r>
      <w:r>
        <w:rPr>
          <w:sz w:val="22"/>
          <w:szCs w:val="22"/>
        </w:rPr>
        <w:t>07.000.0000 - Transferência da União - incisi I do art. 5º da Lei Complementar 173/2020</w:t>
      </w:r>
    </w:p>
    <w:p w:rsidR="009D0C16" w:rsidRDefault="009D0C16">
      <w:pPr>
        <w:ind w:left="720" w:right="17"/>
        <w:jc w:val="both"/>
        <w:rPr>
          <w:sz w:val="22"/>
          <w:szCs w:val="22"/>
        </w:rPr>
      </w:pPr>
    </w:p>
    <w:p w:rsidR="009D0C16" w:rsidRDefault="00085380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02.28.02.10.301.0014.2106 Manutenção da Atenção Primária </w:t>
      </w:r>
      <w:r>
        <w:rPr>
          <w:sz w:val="22"/>
          <w:szCs w:val="22"/>
        </w:rPr>
        <w:br/>
        <w:t>3.3.90.91.00 - Sentenças Judiciais</w:t>
      </w:r>
      <w:r>
        <w:rPr>
          <w:sz w:val="22"/>
          <w:szCs w:val="22"/>
        </w:rPr>
        <w:br/>
        <w:t>Ficha - 544</w:t>
      </w:r>
      <w:r>
        <w:rPr>
          <w:sz w:val="22"/>
          <w:szCs w:val="22"/>
        </w:rPr>
        <w:br/>
        <w:t>Fonte: 1.500.000.1002 - Identificação das despesas com ações e</w:t>
      </w:r>
      <w:r>
        <w:rPr>
          <w:sz w:val="22"/>
          <w:szCs w:val="22"/>
        </w:rPr>
        <w:t xml:space="preserve"> serviços públicos de saúde Recursos não Vinculados de Impostos.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2"/>
          <w:szCs w:val="22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O empenho de dotações orçamentárias suplementares, ou dotações referentes ao próximo exercício, não caracteriza sua alteração contratual, podendo ser registrado por simples apostila dispensa</w:t>
      </w:r>
      <w:r>
        <w:rPr>
          <w:color w:val="000000"/>
          <w:sz w:val="24"/>
          <w:szCs w:val="24"/>
        </w:rPr>
        <w:t xml:space="preserve">ndo a celebração de aditamento consoante faculdade </w:t>
      </w:r>
      <w:r>
        <w:rPr>
          <w:sz w:val="24"/>
          <w:szCs w:val="24"/>
        </w:rPr>
        <w:t>inserta</w:t>
      </w:r>
      <w:r>
        <w:rPr>
          <w:color w:val="000000"/>
          <w:sz w:val="24"/>
          <w:szCs w:val="24"/>
        </w:rPr>
        <w:t xml:space="preserve"> no art. 136 da Lei 14.133/2021.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sz w:val="24"/>
          <w:szCs w:val="24"/>
        </w:rPr>
      </w:pPr>
    </w:p>
    <w:p w:rsidR="009D0C16" w:rsidRDefault="00085380">
      <w:pPr>
        <w:spacing w:after="113"/>
        <w:ind w:right="-564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 xml:space="preserve">7. DOS DOCUMENTOS DE HABILITAÇÃO </w:t>
      </w:r>
    </w:p>
    <w:p w:rsidR="009D0C16" w:rsidRDefault="00085380">
      <w:pPr>
        <w:spacing w:after="113"/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A documentação deverá ser apresentada de acordo com o disposto neste Termo de Referência e conter, obrigatoriamente, todos os requisitos abaixo, sob pena de inabilitação: 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CNPJ (Cadastro Nacional de Pessoas Jurídicas) da Empresa; 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par</w:t>
      </w:r>
      <w:r>
        <w:rPr>
          <w:sz w:val="24"/>
          <w:szCs w:val="24"/>
          <w:highlight w:val="white"/>
        </w:rPr>
        <w:t xml:space="preserve">a com a Fazenda Municipal do domicílio ou sede do licitante, mediante apresentação de certidão emitida pela Secretaria competente do Município; 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para com a Fazenda Estadual do domicílio ou sede do licitante, mediante apresentação de c</w:t>
      </w:r>
      <w:r>
        <w:rPr>
          <w:sz w:val="24"/>
          <w:szCs w:val="24"/>
          <w:highlight w:val="white"/>
        </w:rPr>
        <w:t xml:space="preserve">ertidão emitida pela Secretaria competente do Estado; 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Prova de regularidade para com a Fazenda Federal, mediante apresentação de Certidão Conjunta de Débitos Relativos a Tributos Federais e à Dívida Ativa da União, que abranja contribuições previdenciária</w:t>
      </w:r>
      <w:r>
        <w:rPr>
          <w:sz w:val="24"/>
          <w:szCs w:val="24"/>
          <w:highlight w:val="white"/>
        </w:rPr>
        <w:t xml:space="preserve">s, emitida pela Secretaria da Receita Federal do Brasil e Procuradoria Geral da Fazenda Nacional; 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Prova de regularidade relativa ao Fundo de Garantia por Tempo de Serviço - FGTS, emitida pela Caixa Econômica Federal (CRF); 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Certidão de regularidade de Déb</w:t>
      </w:r>
      <w:r>
        <w:rPr>
          <w:sz w:val="24"/>
          <w:szCs w:val="24"/>
          <w:highlight w:val="white"/>
        </w:rPr>
        <w:t>itos Trabalhistas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Certidão Negativa de Falência expedida pelo Distribuidor da Sede da Pessoa Jurídica, emitida no máximo, 60 (sessenta) dias antes da data fixada para entrega dos envelopes “Documentação” e “Proposta”. 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Atestado de capacidade técnica, compa</w:t>
      </w:r>
      <w:r>
        <w:rPr>
          <w:sz w:val="24"/>
          <w:szCs w:val="24"/>
          <w:highlight w:val="white"/>
        </w:rPr>
        <w:t xml:space="preserve">tível com o objeto da licitação que comprove que a licitante tenha fornecido objeto igual ou similar para órgão ou entidade da administração </w:t>
      </w:r>
      <w:r>
        <w:rPr>
          <w:sz w:val="24"/>
          <w:szCs w:val="24"/>
          <w:highlight w:val="white"/>
        </w:rPr>
        <w:lastRenderedPageBreak/>
        <w:t xml:space="preserve">pública direta ou indireta, federal, estadual, municipal ou do Distrito Federal, ou ainda, para empresas privadas, </w:t>
      </w:r>
      <w:r>
        <w:rPr>
          <w:sz w:val="24"/>
          <w:szCs w:val="24"/>
          <w:highlight w:val="white"/>
        </w:rPr>
        <w:t xml:space="preserve">e tenha atendido a todos os quesitos inclusive quanto ao prazo de entrega; </w:t>
      </w:r>
    </w:p>
    <w:p w:rsidR="009D0C16" w:rsidRDefault="00085380">
      <w:pPr>
        <w:numPr>
          <w:ilvl w:val="0"/>
          <w:numId w:val="3"/>
        </w:numPr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Alvará Sanitário. </w:t>
      </w:r>
    </w:p>
    <w:p w:rsidR="009D0C16" w:rsidRDefault="00085380">
      <w:pPr>
        <w:numPr>
          <w:ilvl w:val="0"/>
          <w:numId w:val="3"/>
        </w:numPr>
        <w:spacing w:after="113"/>
        <w:ind w:right="7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Declaração expressa de que o licitante não emprega trabalhador nas situações previstas no inciso XXXIII do art. 7º da Constituição Federal, assinada pelo represe</w:t>
      </w:r>
      <w:r>
        <w:rPr>
          <w:sz w:val="24"/>
          <w:szCs w:val="24"/>
          <w:highlight w:val="white"/>
        </w:rPr>
        <w:t xml:space="preserve">ntante legal do licitante. </w:t>
      </w:r>
    </w:p>
    <w:p w:rsidR="009D0C16" w:rsidRDefault="00085380">
      <w:pPr>
        <w:widowControl w:val="0"/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>
        <w:rPr>
          <w:b/>
          <w:color w:val="000000"/>
          <w:sz w:val="24"/>
          <w:szCs w:val="24"/>
        </w:rPr>
        <w:t>CONDIÇÕES GERAIS</w:t>
      </w: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 valor global da proposta apresentada deverão estar incluídos Impostos, fretes, encargos sociais e demais despesas, pertinentes à entrega do objeto, caso necessitar de troca, as despesas também ficam a cargo do fornecedor.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7"/>
        <w:jc w:val="both"/>
        <w:rPr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Este Termo de Referência dever</w:t>
      </w:r>
      <w:r>
        <w:rPr>
          <w:color w:val="000000"/>
          <w:sz w:val="24"/>
          <w:szCs w:val="24"/>
        </w:rPr>
        <w:t>á integrar o edital como um de seus anexos.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-564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Santos Dumont, </w:t>
      </w:r>
      <w:r>
        <w:rPr>
          <w:sz w:val="24"/>
          <w:szCs w:val="24"/>
        </w:rPr>
        <w:t xml:space="preserve">18 </w:t>
      </w:r>
      <w:r>
        <w:rPr>
          <w:color w:val="000000"/>
          <w:sz w:val="24"/>
          <w:szCs w:val="24"/>
        </w:rPr>
        <w:t xml:space="preserve">de </w:t>
      </w:r>
      <w:r>
        <w:rPr>
          <w:sz w:val="24"/>
          <w:szCs w:val="24"/>
        </w:rPr>
        <w:t xml:space="preserve">julho </w:t>
      </w:r>
      <w:r>
        <w:rPr>
          <w:color w:val="000000"/>
          <w:sz w:val="24"/>
          <w:szCs w:val="24"/>
        </w:rPr>
        <w:t xml:space="preserve">de 2024. 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rPr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t>Cláudia de Aquino Paschoal</w:t>
      </w:r>
      <w:r>
        <w:rPr>
          <w:sz w:val="24"/>
          <w:szCs w:val="24"/>
        </w:rPr>
        <w:br/>
        <w:t>Secretária Municipal de Saúde</w:t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ind w:right="73"/>
        <w:jc w:val="center"/>
        <w:rPr>
          <w:sz w:val="24"/>
          <w:szCs w:val="24"/>
        </w:rPr>
      </w:pPr>
    </w:p>
    <w:p w:rsidR="009D0C16" w:rsidRDefault="009D0C16">
      <w:pPr>
        <w:ind w:right="73"/>
        <w:jc w:val="center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Da: Secretaria Municipal de Saúde</w:t>
      </w: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Para: Secretaria Municipal de Administração</w:t>
      </w: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Assunto: Solicitação Faz</w:t>
      </w: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Em: 18 de julho de 2024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ind w:firstLine="1701"/>
        <w:jc w:val="both"/>
        <w:rPr>
          <w:sz w:val="24"/>
          <w:szCs w:val="24"/>
        </w:rPr>
      </w:pPr>
      <w:r>
        <w:rPr>
          <w:sz w:val="24"/>
          <w:szCs w:val="24"/>
        </w:rPr>
        <w:t>Exmo. Sr. Prefeito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ind w:firstLine="1701"/>
        <w:jc w:val="both"/>
        <w:rPr>
          <w:sz w:val="24"/>
          <w:szCs w:val="24"/>
        </w:rPr>
      </w:pPr>
      <w:r>
        <w:rPr>
          <w:sz w:val="24"/>
          <w:szCs w:val="24"/>
        </w:rPr>
        <w:t>Vimos, por meio do presente solicitar a V. Sª., autorização para a abertura de procedimento licitatório, para futura e eventual contratação de empresa para aquisição de Suplementos a</w:t>
      </w:r>
      <w:r>
        <w:rPr>
          <w:sz w:val="24"/>
          <w:szCs w:val="24"/>
        </w:rPr>
        <w:t>limentares em atendimento à Secretaria Municipal de Saúde de Santos Dumont-MG, de acordo com a demanda da Secretaria Municipal de Saúde, com pagamentos ocorrendo em até 30 (trinta) dias após a execução e aceite dos serviços, estimado, pelo período de 12(do</w:t>
      </w:r>
      <w:r>
        <w:rPr>
          <w:sz w:val="24"/>
          <w:szCs w:val="24"/>
        </w:rPr>
        <w:t xml:space="preserve">ze) meses, em </w:t>
      </w:r>
      <w:r>
        <w:rPr>
          <w:b/>
          <w:sz w:val="24"/>
          <w:szCs w:val="24"/>
        </w:rPr>
        <w:t>R$3.628.782,99 (três milhões seiscentos e vinte e oito mil setecentos e oitenta e dois reais e noventa e nove centavos)</w:t>
      </w:r>
      <w:r>
        <w:rPr>
          <w:sz w:val="24"/>
          <w:szCs w:val="24"/>
        </w:rPr>
        <w:t>.</w:t>
      </w:r>
    </w:p>
    <w:p w:rsidR="009D0C16" w:rsidRDefault="009D0C16">
      <w:pPr>
        <w:ind w:firstLine="1701"/>
        <w:jc w:val="both"/>
        <w:rPr>
          <w:sz w:val="24"/>
          <w:szCs w:val="24"/>
        </w:rPr>
      </w:pPr>
    </w:p>
    <w:p w:rsidR="009D0C16" w:rsidRDefault="009D0C16">
      <w:pPr>
        <w:ind w:firstLine="1701"/>
        <w:jc w:val="both"/>
        <w:rPr>
          <w:sz w:val="24"/>
          <w:szCs w:val="24"/>
        </w:rPr>
      </w:pPr>
    </w:p>
    <w:p w:rsidR="009D0C16" w:rsidRDefault="00085380">
      <w:pPr>
        <w:ind w:firstLine="1701"/>
        <w:jc w:val="both"/>
        <w:rPr>
          <w:sz w:val="24"/>
          <w:szCs w:val="24"/>
        </w:rPr>
      </w:pPr>
      <w:r>
        <w:rPr>
          <w:sz w:val="24"/>
          <w:szCs w:val="24"/>
        </w:rPr>
        <w:t>Sem mais para o momento, agradecemos e subscrevemo-nos.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ind w:firstLine="1701"/>
        <w:jc w:val="both"/>
        <w:rPr>
          <w:sz w:val="24"/>
          <w:szCs w:val="24"/>
        </w:rPr>
      </w:pPr>
      <w:r>
        <w:rPr>
          <w:sz w:val="24"/>
          <w:szCs w:val="24"/>
        </w:rPr>
        <w:t>Cordialmente,</w:t>
      </w:r>
    </w:p>
    <w:p w:rsidR="009D0C16" w:rsidRDefault="009D0C16">
      <w:pPr>
        <w:spacing w:before="240" w:after="240"/>
        <w:jc w:val="both"/>
        <w:rPr>
          <w:b/>
          <w:sz w:val="24"/>
          <w:szCs w:val="24"/>
        </w:rPr>
      </w:pPr>
    </w:p>
    <w:p w:rsidR="009D0C16" w:rsidRDefault="009D0C16">
      <w:pPr>
        <w:spacing w:before="240" w:after="240"/>
        <w:jc w:val="both"/>
        <w:rPr>
          <w:b/>
          <w:sz w:val="24"/>
          <w:szCs w:val="24"/>
        </w:rPr>
      </w:pPr>
    </w:p>
    <w:p w:rsidR="009D0C16" w:rsidRDefault="009D0C16">
      <w:pPr>
        <w:spacing w:before="240" w:after="240"/>
        <w:jc w:val="both"/>
        <w:rPr>
          <w:sz w:val="24"/>
          <w:szCs w:val="24"/>
        </w:rPr>
      </w:pPr>
    </w:p>
    <w:p w:rsidR="009D0C16" w:rsidRDefault="00085380">
      <w:pPr>
        <w:spacing w:before="240" w:after="240"/>
        <w:jc w:val="center"/>
        <w:rPr>
          <w:sz w:val="24"/>
          <w:szCs w:val="24"/>
        </w:rPr>
      </w:pPr>
      <w:r>
        <w:rPr>
          <w:sz w:val="24"/>
          <w:szCs w:val="24"/>
        </w:rPr>
        <w:t>Cláudia de Aquino Paschoal</w:t>
      </w:r>
      <w:r>
        <w:rPr>
          <w:sz w:val="24"/>
          <w:szCs w:val="24"/>
        </w:rPr>
        <w:br/>
        <w:t>Secretária Munici</w:t>
      </w:r>
      <w:r>
        <w:rPr>
          <w:sz w:val="24"/>
          <w:szCs w:val="24"/>
        </w:rPr>
        <w:t xml:space="preserve">pal de Saúde </w:t>
      </w:r>
    </w:p>
    <w:p w:rsidR="009D0C16" w:rsidRDefault="009D0C16">
      <w:pPr>
        <w:spacing w:after="200"/>
        <w:ind w:right="-564"/>
        <w:jc w:val="center"/>
        <w:rPr>
          <w:b/>
          <w:sz w:val="24"/>
          <w:szCs w:val="24"/>
        </w:rPr>
      </w:pPr>
    </w:p>
    <w:p w:rsidR="009D0C16" w:rsidRDefault="009D0C16">
      <w:pPr>
        <w:spacing w:after="200"/>
        <w:ind w:right="-564"/>
        <w:jc w:val="center"/>
        <w:rPr>
          <w:sz w:val="24"/>
          <w:szCs w:val="24"/>
        </w:rPr>
      </w:pPr>
    </w:p>
    <w:p w:rsidR="009D0C16" w:rsidRDefault="009D0C16">
      <w:pPr>
        <w:spacing w:after="200"/>
        <w:ind w:right="-564"/>
        <w:jc w:val="center"/>
        <w:rPr>
          <w:sz w:val="24"/>
          <w:szCs w:val="24"/>
        </w:rPr>
      </w:pPr>
    </w:p>
    <w:p w:rsidR="009D0C16" w:rsidRDefault="009D0C16">
      <w:pPr>
        <w:spacing w:after="200"/>
        <w:ind w:right="-564"/>
        <w:jc w:val="center"/>
        <w:rPr>
          <w:sz w:val="24"/>
          <w:szCs w:val="24"/>
        </w:rPr>
      </w:pPr>
    </w:p>
    <w:p w:rsidR="009D0C16" w:rsidRDefault="009D0C16">
      <w:pPr>
        <w:spacing w:after="200"/>
        <w:ind w:right="-564"/>
        <w:jc w:val="center"/>
        <w:rPr>
          <w:sz w:val="24"/>
          <w:szCs w:val="24"/>
        </w:rPr>
      </w:pPr>
    </w:p>
    <w:p w:rsidR="009D0C16" w:rsidRDefault="009D0C16">
      <w:pPr>
        <w:spacing w:after="200"/>
        <w:ind w:right="-564"/>
        <w:jc w:val="center"/>
        <w:rPr>
          <w:sz w:val="24"/>
          <w:szCs w:val="24"/>
        </w:rPr>
      </w:pPr>
    </w:p>
    <w:p w:rsidR="009D0C16" w:rsidRDefault="009D0C16">
      <w:pPr>
        <w:spacing w:after="200"/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spacing w:after="120"/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b/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b/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SOLICITAÇÃO DE VERIFICAÇÃO DA ESTIMATIVA ORÇAMENTÁRIA-FINANCEIRA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Da: Secretaria Municipal de Saúde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Para: Seto</w:t>
      </w:r>
      <w:r>
        <w:rPr>
          <w:sz w:val="24"/>
          <w:szCs w:val="24"/>
        </w:rPr>
        <w:t xml:space="preserve">res de Contabilidade e Tesouraria                             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Data: 18/07/2024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A Secretaria Municipal de Saúde, vem solicitar dotação orçamentária e disponibilidade financeira, para futura e eventual contratação de empresa para aquisição de Suplementos alimentares em atendimento à Secretaria Municipal de Saúde de Santos Dumont-MG, de</w:t>
      </w:r>
      <w:r>
        <w:rPr>
          <w:sz w:val="24"/>
          <w:szCs w:val="24"/>
        </w:rPr>
        <w:t xml:space="preserve"> acordo com a demanda da Secretaria Municipal de Saúde, com pagamentos ocorrendo em até 30 (trinta) dias após a emissão da Nota Fiscal, quantitativo estimado, pelo período de 12 (doze) meses, exercícios de 2024/2025, em </w:t>
      </w:r>
      <w:r>
        <w:rPr>
          <w:b/>
          <w:sz w:val="24"/>
          <w:szCs w:val="24"/>
        </w:rPr>
        <w:t>R$3.628.782,99 (três milhões seiscen</w:t>
      </w:r>
      <w:r>
        <w:rPr>
          <w:b/>
          <w:sz w:val="24"/>
          <w:szCs w:val="24"/>
        </w:rPr>
        <w:t>tos e vinte e oito mil setecentos e oitenta e dois reais e noventa e nove centavos)</w:t>
      </w:r>
      <w:r>
        <w:rPr>
          <w:sz w:val="24"/>
          <w:szCs w:val="24"/>
        </w:rPr>
        <w:t>, para verificação de disponibilidade orçamentária e financeira no decorrer do exercício vigente.</w:t>
      </w:r>
    </w:p>
    <w:p w:rsidR="009D0C16" w:rsidRDefault="009D0C16">
      <w:pPr>
        <w:tabs>
          <w:tab w:val="center" w:pos="4442"/>
        </w:tabs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Reiteramos nossos protestos de elevada estima e distinta consideração.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center"/>
        <w:rPr>
          <w:sz w:val="24"/>
          <w:szCs w:val="24"/>
        </w:rPr>
      </w:pPr>
      <w:r>
        <w:rPr>
          <w:sz w:val="24"/>
          <w:szCs w:val="24"/>
        </w:rPr>
        <w:t>Cordialmente,</w:t>
      </w:r>
    </w:p>
    <w:p w:rsidR="009D0C16" w:rsidRDefault="009D0C16">
      <w:pPr>
        <w:jc w:val="center"/>
        <w:rPr>
          <w:sz w:val="24"/>
          <w:szCs w:val="24"/>
        </w:rPr>
      </w:pPr>
    </w:p>
    <w:p w:rsidR="009D0C16" w:rsidRDefault="009D0C16">
      <w:pPr>
        <w:jc w:val="center"/>
        <w:rPr>
          <w:sz w:val="24"/>
          <w:szCs w:val="24"/>
        </w:rPr>
      </w:pPr>
    </w:p>
    <w:p w:rsidR="009D0C16" w:rsidRDefault="009D0C16">
      <w:pPr>
        <w:jc w:val="center"/>
        <w:rPr>
          <w:sz w:val="24"/>
          <w:szCs w:val="24"/>
        </w:rPr>
      </w:pPr>
    </w:p>
    <w:p w:rsidR="009D0C16" w:rsidRDefault="009D0C16">
      <w:pPr>
        <w:jc w:val="center"/>
        <w:rPr>
          <w:sz w:val="24"/>
          <w:szCs w:val="24"/>
        </w:rPr>
      </w:pPr>
    </w:p>
    <w:p w:rsidR="009D0C16" w:rsidRDefault="00085380">
      <w:pPr>
        <w:jc w:val="center"/>
        <w:rPr>
          <w:sz w:val="24"/>
          <w:szCs w:val="24"/>
        </w:rPr>
      </w:pPr>
      <w:r>
        <w:rPr>
          <w:sz w:val="24"/>
          <w:szCs w:val="24"/>
        </w:rPr>
        <w:t>Cláudia de Aquino Paschoal</w:t>
      </w:r>
    </w:p>
    <w:p w:rsidR="009D0C16" w:rsidRDefault="00085380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Secretária Municipal de Saúde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b/>
          <w:sz w:val="24"/>
          <w:szCs w:val="24"/>
        </w:rPr>
      </w:pPr>
    </w:p>
    <w:p w:rsidR="009D0C16" w:rsidRDefault="009D0C16">
      <w:pPr>
        <w:spacing w:after="200"/>
        <w:ind w:right="-564"/>
        <w:jc w:val="center"/>
        <w:rPr>
          <w:sz w:val="24"/>
          <w:szCs w:val="24"/>
        </w:rPr>
      </w:pPr>
    </w:p>
    <w:p w:rsidR="009D0C16" w:rsidRDefault="009D0C16">
      <w:pPr>
        <w:spacing w:after="200"/>
        <w:ind w:right="-564"/>
        <w:jc w:val="center"/>
        <w:rPr>
          <w:sz w:val="24"/>
          <w:szCs w:val="24"/>
        </w:rPr>
        <w:sectPr w:rsidR="009D0C16">
          <w:type w:val="continuous"/>
          <w:pgSz w:w="11906" w:h="16838"/>
          <w:pgMar w:top="1133" w:right="1132" w:bottom="566" w:left="1133" w:header="709" w:footer="346" w:gutter="0"/>
          <w:cols w:space="720"/>
        </w:sect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700" w:right="-564"/>
        <w:rPr>
          <w:sz w:val="24"/>
          <w:szCs w:val="24"/>
        </w:rPr>
        <w:sectPr w:rsidR="009D0C16">
          <w:type w:val="continuous"/>
          <w:pgSz w:w="11906" w:h="16838"/>
          <w:pgMar w:top="1133" w:right="1133" w:bottom="566" w:left="1133" w:header="709" w:footer="346" w:gutter="0"/>
          <w:cols w:space="720"/>
        </w:sectPr>
      </w:pPr>
      <w:r>
        <w:rPr>
          <w:sz w:val="24"/>
          <w:szCs w:val="24"/>
        </w:rPr>
        <w:t xml:space="preserve"> </w:t>
      </w:r>
    </w:p>
    <w:p w:rsidR="009D0C16" w:rsidRDefault="000853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DECLARAÇÃO DE VERIFICAÇÃO DE ESTIMATIVA</w:t>
      </w:r>
    </w:p>
    <w:p w:rsidR="009D0C16" w:rsidRDefault="000853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ORÇAMENTÁRIA-FINANCEIRA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Declaramos para fins de cumprimento do art.16 da Lei Complementar de n°.101, de 04 de Maio de 2000, que: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Atendendo a solicitação da Secretaria Municipal de Saúde, informamos que existe dotação orçamentária e disponibilidade financeira para os exercícios de 2024/2025, para futura e eventual contratação de empresa para aquisição de Suplementos alimentares em at</w:t>
      </w:r>
      <w:r>
        <w:rPr>
          <w:sz w:val="24"/>
          <w:szCs w:val="24"/>
        </w:rPr>
        <w:t>endimento à Secretaria Municipal de Saúde de Santos Dumont-MG, de acordo com a demanda da Secretaria Municipal de Saúde, com pagamentos ocorrendo em até 30 (trinta) dias após a emissão da Nota Fiscal, valor estimado, pelo período de 12(doze) meses compreen</w:t>
      </w:r>
      <w:r>
        <w:rPr>
          <w:sz w:val="24"/>
          <w:szCs w:val="24"/>
        </w:rPr>
        <w:t xml:space="preserve">dendo os exercício de 2024/2025, em </w:t>
      </w:r>
      <w:r>
        <w:rPr>
          <w:b/>
          <w:sz w:val="24"/>
          <w:szCs w:val="24"/>
        </w:rPr>
        <w:t>R$3.628.782,99 (três milhões seiscentos e vinte e oito mil setecentos e oitenta e dois reais e noventa e nove centavos)</w:t>
      </w:r>
      <w:r>
        <w:rPr>
          <w:sz w:val="24"/>
          <w:szCs w:val="24"/>
        </w:rPr>
        <w:t>, encontrando-se adequada na seguinte dotação orçamentária: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  <w:shd w:val="clear" w:color="auto" w:fill="FF9900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rPr>
          <w:sz w:val="24"/>
          <w:szCs w:val="24"/>
        </w:rPr>
      </w:pPr>
      <w:r>
        <w:rPr>
          <w:sz w:val="24"/>
          <w:szCs w:val="24"/>
        </w:rPr>
        <w:t>Santos Dumont, 18 de julho de 2024.</w:t>
      </w:r>
    </w:p>
    <w:p w:rsidR="009D0C16" w:rsidRDefault="009D0C16">
      <w:pPr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tbl>
      <w:tblPr>
        <w:tblStyle w:val="affffffffe"/>
        <w:tblW w:w="9943" w:type="dxa"/>
        <w:tblInd w:w="-108" w:type="dxa"/>
        <w:tblLayout w:type="fixed"/>
        <w:tblLook w:val="0000"/>
      </w:tblPr>
      <w:tblGrid>
        <w:gridCol w:w="4982"/>
        <w:gridCol w:w="4961"/>
      </w:tblGrid>
      <w:tr w:rsidR="009D0C16">
        <w:trPr>
          <w:cantSplit/>
          <w:tblHeader/>
        </w:trPr>
        <w:tc>
          <w:tcPr>
            <w:tcW w:w="4982" w:type="dxa"/>
          </w:tcPr>
          <w:p w:rsidR="009D0C16" w:rsidRDefault="000853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__________________________________                      </w:t>
            </w:r>
          </w:p>
        </w:tc>
        <w:tc>
          <w:tcPr>
            <w:tcW w:w="4961" w:type="dxa"/>
          </w:tcPr>
          <w:p w:rsidR="009D0C16" w:rsidRDefault="000853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</w:t>
            </w:r>
          </w:p>
        </w:tc>
      </w:tr>
      <w:tr w:rsidR="009D0C16">
        <w:trPr>
          <w:cantSplit/>
          <w:tblHeader/>
        </w:trPr>
        <w:tc>
          <w:tcPr>
            <w:tcW w:w="4982" w:type="dxa"/>
          </w:tcPr>
          <w:p w:rsidR="009D0C16" w:rsidRDefault="000853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Everaldo Ferreira de Paula                  </w:t>
            </w:r>
          </w:p>
        </w:tc>
        <w:tc>
          <w:tcPr>
            <w:tcW w:w="4961" w:type="dxa"/>
          </w:tcPr>
          <w:p w:rsidR="009D0C16" w:rsidRDefault="000853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Bruna Miranda Mendes</w:t>
            </w:r>
          </w:p>
        </w:tc>
      </w:tr>
      <w:tr w:rsidR="009D0C16">
        <w:trPr>
          <w:cantSplit/>
          <w:tblHeader/>
        </w:trPr>
        <w:tc>
          <w:tcPr>
            <w:tcW w:w="4982" w:type="dxa"/>
          </w:tcPr>
          <w:p w:rsidR="009D0C16" w:rsidRDefault="000853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Chefe do Departamento de Contabilidade</w:t>
            </w:r>
          </w:p>
        </w:tc>
        <w:tc>
          <w:tcPr>
            <w:tcW w:w="4961" w:type="dxa"/>
          </w:tcPr>
          <w:p w:rsidR="009D0C16" w:rsidRDefault="000853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Coordenadora Especial do Fundo Municipal de Saúde</w:t>
            </w:r>
          </w:p>
        </w:tc>
      </w:tr>
    </w:tbl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center"/>
        <w:rPr>
          <w:b/>
          <w:sz w:val="24"/>
          <w:szCs w:val="24"/>
          <w:u w:val="single"/>
        </w:rPr>
      </w:pPr>
    </w:p>
    <w:sdt>
      <w:sdtPr>
        <w:tag w:val="goog_rdk_26"/>
        <w:id w:val="6606558"/>
        <w:lock w:val="contentLocked"/>
      </w:sdtPr>
      <w:sdtContent>
        <w:tbl>
          <w:tblPr>
            <w:tblStyle w:val="afffffffff"/>
            <w:tblW w:w="9945" w:type="dxa"/>
            <w:tblInd w:w="-108" w:type="dxa"/>
            <w:tblLayout w:type="fixed"/>
            <w:tblLook w:val="0000"/>
          </w:tblPr>
          <w:tblGrid>
            <w:gridCol w:w="5295"/>
            <w:gridCol w:w="4650"/>
          </w:tblGrid>
          <w:tr w:rsidR="009D0C16">
            <w:trPr>
              <w:cantSplit/>
              <w:trHeight w:val="65"/>
              <w:tblHeader/>
            </w:trPr>
            <w:tc>
              <w:tcPr>
                <w:tcW w:w="5295" w:type="dxa"/>
              </w:tcPr>
              <w:p w:rsidR="009D0C16" w:rsidRDefault="00085380">
                <w:pPr>
                  <w:ind w:right="-57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___________________________________      </w:t>
                </w:r>
              </w:p>
              <w:p w:rsidR="009D0C16" w:rsidRDefault="00085380">
                <w:pPr>
                  <w:ind w:right="-57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Larissa Amorim Lima Garcia</w:t>
                </w:r>
              </w:p>
            </w:tc>
            <w:tc>
              <w:tcPr>
                <w:tcW w:w="4650" w:type="dxa"/>
              </w:tcPr>
              <w:p w:rsidR="009D0C16" w:rsidRDefault="009D0C16">
                <w:pPr>
                  <w:ind w:right="-423"/>
                  <w:rPr>
                    <w:sz w:val="24"/>
                    <w:szCs w:val="24"/>
                  </w:rPr>
                </w:pPr>
              </w:p>
            </w:tc>
          </w:tr>
          <w:tr w:rsidR="009D0C16">
            <w:trPr>
              <w:cantSplit/>
              <w:tblHeader/>
            </w:trPr>
            <w:tc>
              <w:tcPr>
                <w:tcW w:w="5295" w:type="dxa"/>
              </w:tcPr>
              <w:p w:rsidR="009D0C16" w:rsidRDefault="00085380">
                <w:pPr>
                  <w:ind w:right="-57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Secretária Municipal de Finanças</w:t>
                </w:r>
              </w:p>
            </w:tc>
            <w:tc>
              <w:tcPr>
                <w:tcW w:w="4650" w:type="dxa"/>
              </w:tcPr>
              <w:p w:rsidR="009D0C16" w:rsidRDefault="009D0C16">
                <w:pPr>
                  <w:ind w:right="-423"/>
                  <w:rPr>
                    <w:sz w:val="24"/>
                    <w:szCs w:val="24"/>
                  </w:rPr>
                </w:pPr>
              </w:p>
            </w:tc>
          </w:tr>
        </w:tbl>
      </w:sdtContent>
    </w:sdt>
    <w:p w:rsidR="009D0C16" w:rsidRDefault="009D0C16">
      <w:pPr>
        <w:ind w:right="-564"/>
        <w:jc w:val="both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both"/>
        <w:rPr>
          <w:color w:val="000000"/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  <w:r>
        <w:br w:type="page"/>
      </w: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ind w:right="-564"/>
        <w:jc w:val="center"/>
        <w:rPr>
          <w:sz w:val="24"/>
          <w:szCs w:val="24"/>
        </w:rPr>
      </w:pPr>
    </w:p>
    <w:p w:rsidR="009D0C16" w:rsidRDefault="000853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AUTORIZAÇÃO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jc w:val="both"/>
        <w:rPr>
          <w:sz w:val="24"/>
          <w:szCs w:val="24"/>
        </w:rPr>
      </w:pPr>
      <w:r>
        <w:rPr>
          <w:sz w:val="24"/>
          <w:szCs w:val="24"/>
        </w:rPr>
        <w:t>Após análise quanto à necessidade do Credenciamento de empresa(s) especializada(s) para futura e eventual contratação de empresa para aquisição de Suplementos alimentares em atendimento à Secretaria Municipal de Saúde de Santos Dumont-MG, de acordo com a d</w:t>
      </w:r>
      <w:r>
        <w:rPr>
          <w:sz w:val="24"/>
          <w:szCs w:val="24"/>
        </w:rPr>
        <w:t>emanda da Secretaria Municipal de Saúde,  constatação de adequação orçamentária e financeira com a Lei Orçamentária Anual e compatibilidade com o Plano Plurianual e com a Lei de Diretrizes Orçamentárias, AUTORIZO a abertura do Processo Licitatório nos mold</w:t>
      </w:r>
      <w:r>
        <w:rPr>
          <w:sz w:val="24"/>
          <w:szCs w:val="24"/>
        </w:rPr>
        <w:t>es da Lei submetendo-o à análise jurídica, conforme Lei 14.133/21 e determino que seja o presente Processo autuado, protocolado, numerado, observada a Lei em vigor.</w:t>
      </w: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9D0C16">
      <w:pPr>
        <w:jc w:val="both"/>
        <w:rPr>
          <w:sz w:val="24"/>
          <w:szCs w:val="24"/>
        </w:rPr>
      </w:pPr>
    </w:p>
    <w:p w:rsidR="009D0C16" w:rsidRDefault="00085380">
      <w:pPr>
        <w:rPr>
          <w:sz w:val="24"/>
          <w:szCs w:val="24"/>
        </w:rPr>
      </w:pPr>
      <w:r>
        <w:rPr>
          <w:sz w:val="24"/>
          <w:szCs w:val="24"/>
        </w:rPr>
        <w:t>Santos Dumont, 18 de julho de 2024.</w:t>
      </w:r>
    </w:p>
    <w:p w:rsidR="009D0C16" w:rsidRDefault="009D0C16">
      <w:pPr>
        <w:jc w:val="center"/>
        <w:rPr>
          <w:sz w:val="24"/>
          <w:szCs w:val="24"/>
        </w:rPr>
      </w:pPr>
    </w:p>
    <w:p w:rsidR="009D0C16" w:rsidRDefault="009D0C16">
      <w:pPr>
        <w:jc w:val="center"/>
        <w:rPr>
          <w:sz w:val="24"/>
          <w:szCs w:val="24"/>
        </w:rPr>
      </w:pPr>
    </w:p>
    <w:p w:rsidR="009D0C16" w:rsidRDefault="009D0C16">
      <w:pPr>
        <w:jc w:val="center"/>
        <w:rPr>
          <w:sz w:val="24"/>
          <w:szCs w:val="24"/>
        </w:rPr>
      </w:pPr>
    </w:p>
    <w:p w:rsidR="009D0C16" w:rsidRDefault="009D0C16">
      <w:pPr>
        <w:jc w:val="center"/>
        <w:rPr>
          <w:sz w:val="24"/>
          <w:szCs w:val="24"/>
        </w:rPr>
      </w:pPr>
    </w:p>
    <w:p w:rsidR="009D0C16" w:rsidRDefault="009D0C16">
      <w:pPr>
        <w:jc w:val="center"/>
        <w:rPr>
          <w:sz w:val="24"/>
          <w:szCs w:val="24"/>
        </w:rPr>
      </w:pPr>
    </w:p>
    <w:p w:rsidR="009D0C16" w:rsidRDefault="00085380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</w:t>
      </w:r>
    </w:p>
    <w:p w:rsidR="009D0C16" w:rsidRDefault="00085380">
      <w:pPr>
        <w:jc w:val="center"/>
        <w:rPr>
          <w:sz w:val="24"/>
          <w:szCs w:val="24"/>
        </w:rPr>
      </w:pPr>
      <w:r>
        <w:rPr>
          <w:sz w:val="24"/>
          <w:szCs w:val="24"/>
        </w:rPr>
        <w:t>Carlos Alberto de Aze</w:t>
      </w:r>
      <w:r>
        <w:rPr>
          <w:sz w:val="24"/>
          <w:szCs w:val="24"/>
        </w:rPr>
        <w:t>vedo</w:t>
      </w:r>
    </w:p>
    <w:p w:rsidR="009D0C16" w:rsidRDefault="00085380">
      <w:pPr>
        <w:jc w:val="center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p w:rsidR="009D0C16" w:rsidRDefault="009D0C16">
      <w:pPr>
        <w:jc w:val="center"/>
        <w:rPr>
          <w:sz w:val="24"/>
          <w:szCs w:val="24"/>
        </w:rPr>
      </w:pPr>
    </w:p>
    <w:p w:rsidR="009D0C16" w:rsidRDefault="009D0C16">
      <w:pPr>
        <w:tabs>
          <w:tab w:val="center" w:pos="4442"/>
        </w:tabs>
        <w:jc w:val="both"/>
        <w:rPr>
          <w:sz w:val="24"/>
          <w:szCs w:val="24"/>
        </w:rPr>
      </w:pPr>
    </w:p>
    <w:p w:rsidR="009D0C16" w:rsidRDefault="009D0C16">
      <w:pPr>
        <w:tabs>
          <w:tab w:val="center" w:pos="4442"/>
        </w:tabs>
        <w:jc w:val="both"/>
        <w:rPr>
          <w:sz w:val="24"/>
          <w:szCs w:val="24"/>
        </w:rPr>
      </w:pPr>
    </w:p>
    <w:p w:rsidR="009D0C16" w:rsidRDefault="009D0C16">
      <w:pPr>
        <w:tabs>
          <w:tab w:val="center" w:pos="4442"/>
        </w:tabs>
        <w:jc w:val="both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b/>
          <w:sz w:val="24"/>
          <w:szCs w:val="24"/>
          <w:u w:val="single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sz w:val="24"/>
          <w:szCs w:val="24"/>
        </w:rPr>
      </w:pPr>
    </w:p>
    <w:p w:rsidR="009D0C16" w:rsidRDefault="009D0C1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right="-564"/>
        <w:jc w:val="center"/>
        <w:rPr>
          <w:sz w:val="24"/>
          <w:szCs w:val="24"/>
        </w:rPr>
      </w:pPr>
    </w:p>
    <w:p w:rsidR="009D0C16" w:rsidRDefault="0008538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-141" w:right="-5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9D0C16" w:rsidSect="009D0C16">
      <w:type w:val="continuous"/>
      <w:pgSz w:w="11906" w:h="16838"/>
      <w:pgMar w:top="1133" w:right="1133" w:bottom="566" w:left="1133" w:header="709" w:footer="34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380" w:rsidRDefault="00085380" w:rsidP="009D0C16">
      <w:r>
        <w:separator/>
      </w:r>
    </w:p>
  </w:endnote>
  <w:endnote w:type="continuationSeparator" w:id="1">
    <w:p w:rsidR="00085380" w:rsidRDefault="00085380" w:rsidP="009D0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C16" w:rsidRDefault="009D0C16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9D0C16" w:rsidRDefault="009D0C16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9D0C16" w:rsidRDefault="009D0C16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9D0C16" w:rsidRDefault="00085380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Verdana" w:hAnsi="Verdana" w:cs="Verdana"/>
        <w:b/>
        <w:color w:val="000000"/>
        <w:sz w:val="16"/>
        <w:szCs w:val="16"/>
      </w:rPr>
    </w:pPr>
    <w:r>
      <w:rPr>
        <w:rFonts w:ascii="Verdana" w:eastAsia="Verdana" w:hAnsi="Verdana" w:cs="Verdana"/>
        <w:b/>
        <w:i/>
        <w:color w:val="000000"/>
        <w:sz w:val="16"/>
        <w:szCs w:val="16"/>
      </w:rPr>
      <w:t>Praça Cesário Alvim, 02 - Centro  -  SANTOS DUMONT - MG</w:t>
    </w:r>
  </w:p>
  <w:p w:rsidR="009D0C16" w:rsidRDefault="00085380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rFonts w:ascii="Verdana" w:eastAsia="Verdana" w:hAnsi="Verdana" w:cs="Verdana"/>
        <w:b/>
        <w:i/>
        <w:color w:val="000000"/>
        <w:sz w:val="16"/>
        <w:szCs w:val="16"/>
      </w:rPr>
      <w:t>FAX (32) 3252- 7405  PABX (32) 3252- 7400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380" w:rsidRDefault="00085380" w:rsidP="009D0C16">
      <w:r>
        <w:separator/>
      </w:r>
    </w:p>
  </w:footnote>
  <w:footnote w:type="continuationSeparator" w:id="1">
    <w:p w:rsidR="00085380" w:rsidRDefault="00085380" w:rsidP="009D0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C16" w:rsidRDefault="00085380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0</wp:posOffset>
          </wp:positionV>
          <wp:extent cx="2562225" cy="790575"/>
          <wp:effectExtent l="0" t="0" r="0" b="0"/>
          <wp:wrapSquare wrapText="bothSides" distT="0" distB="0" distL="114300" distR="11430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62225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D0C16" w:rsidRDefault="009D0C16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</w:p>
  <w:p w:rsidR="009D0C16" w:rsidRDefault="009D0C16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E2845"/>
    <w:multiLevelType w:val="multilevel"/>
    <w:tmpl w:val="4A5860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26566832"/>
    <w:multiLevelType w:val="multilevel"/>
    <w:tmpl w:val="F26E0F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50CB346E"/>
    <w:multiLevelType w:val="multilevel"/>
    <w:tmpl w:val="435811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0C16"/>
    <w:rsid w:val="00085380"/>
    <w:rsid w:val="00433E38"/>
    <w:rsid w:val="009D0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C16"/>
  </w:style>
  <w:style w:type="paragraph" w:styleId="Ttulo1">
    <w:name w:val="heading 1"/>
    <w:basedOn w:val="normal0"/>
    <w:next w:val="normal0"/>
    <w:rsid w:val="004120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4120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4120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4120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41200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41200E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9D0C16"/>
  </w:style>
  <w:style w:type="table" w:customStyle="1" w:styleId="TableNormal">
    <w:name w:val="Table Normal"/>
    <w:rsid w:val="009D0C1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41200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9D0C16"/>
  </w:style>
  <w:style w:type="table" w:customStyle="1" w:styleId="TableNormal0">
    <w:name w:val="Table Normal"/>
    <w:rsid w:val="009D0C1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9D0C16"/>
  </w:style>
  <w:style w:type="table" w:customStyle="1" w:styleId="TableNormal1">
    <w:name w:val="Table Normal"/>
    <w:rsid w:val="009D0C1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9D0C16"/>
  </w:style>
  <w:style w:type="table" w:customStyle="1" w:styleId="TableNormal2">
    <w:name w:val="Table Normal"/>
    <w:rsid w:val="009D0C1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9D0C16"/>
  </w:style>
  <w:style w:type="table" w:customStyle="1" w:styleId="TableNormal3">
    <w:name w:val="Table Normal"/>
    <w:rsid w:val="009D0C1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41200E"/>
  </w:style>
  <w:style w:type="table" w:customStyle="1" w:styleId="TableNormal4">
    <w:name w:val="Table Normal"/>
    <w:rsid w:val="004120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9D0C1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rsid w:val="0041200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04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04BE"/>
    <w:rPr>
      <w:rFonts w:ascii="Tahoma" w:hAnsi="Tahoma" w:cs="Tahoma"/>
      <w:sz w:val="16"/>
      <w:szCs w:val="16"/>
    </w:rPr>
  </w:style>
  <w:style w:type="table" w:customStyle="1" w:styleId="a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4"/>
    <w:rsid w:val="009D0C1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4"/>
    <w:rsid w:val="009D0C1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d">
    <w:basedOn w:val="TableNormal4"/>
    <w:rsid w:val="009D0C1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4"/>
    <w:rsid w:val="009D0C1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4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5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d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e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4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5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d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e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4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5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d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e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4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5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d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e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4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5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d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e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0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1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2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3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4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5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6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7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8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9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a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b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c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d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e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">
    <w:basedOn w:val="TableNormal4"/>
    <w:rsid w:val="009D0C1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5+cMfVHarEOy7RHXYe9i+Mo/gw==">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4425</Words>
  <Characters>23897</Characters>
  <Application>Microsoft Office Word</Application>
  <DocSecurity>0</DocSecurity>
  <Lines>199</Lines>
  <Paragraphs>56</Paragraphs>
  <ScaleCrop>false</ScaleCrop>
  <Company/>
  <LinksUpToDate>false</LinksUpToDate>
  <CharactersWithSpaces>28266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2024-08-29T17:55:00Z</dcterms:created>
  <dcterms:modified xsi:type="dcterms:W3CDTF">2024-08-29T17:55:00Z</dcterms:modified>
</cp:coreProperties>
</file>