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2AC" w:rsidRDefault="002C348E">
      <w:pPr>
        <w:spacing w:after="120" w:line="480" w:lineRule="auto"/>
        <w:ind w:right="-564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TERMO DE REFERÊNCIA</w:t>
      </w:r>
    </w:p>
    <w:p w:rsidR="008362AC" w:rsidRDefault="002C348E">
      <w:pPr>
        <w:shd w:val="clear" w:color="auto" w:fill="FFFFFF"/>
        <w:ind w:right="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/>
          <w:color w:val="000000"/>
          <w:sz w:val="24"/>
          <w:szCs w:val="24"/>
        </w:rPr>
        <w:t xml:space="preserve">OBJETO: </w:t>
      </w:r>
      <w:r>
        <w:rPr>
          <w:sz w:val="24"/>
          <w:szCs w:val="24"/>
        </w:rPr>
        <w:t>Contratação de Empresa especializada para a futura, eventual e parcelada aquisição de medicamentos conforme solicitação da Secretaria Municipal de Saúde, para atendimento a mandados judiciais e outros.</w:t>
      </w:r>
      <w:r>
        <w:rPr>
          <w:sz w:val="26"/>
          <w:szCs w:val="26"/>
        </w:rPr>
        <w:t>:</w:t>
      </w:r>
    </w:p>
    <w:p w:rsidR="008362AC" w:rsidRDefault="008362AC">
      <w:pPr>
        <w:ind w:right="-564"/>
        <w:jc w:val="both"/>
        <w:rPr>
          <w:b/>
          <w:sz w:val="24"/>
          <w:szCs w:val="24"/>
        </w:rPr>
      </w:pPr>
    </w:p>
    <w:tbl>
      <w:tblPr>
        <w:tblStyle w:val="Style97"/>
        <w:tblW w:w="9690" w:type="dxa"/>
        <w:tblInd w:w="0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690"/>
        <w:gridCol w:w="1110"/>
        <w:gridCol w:w="2805"/>
        <w:gridCol w:w="5085"/>
      </w:tblGrid>
      <w:tr w:rsidR="008362AC">
        <w:trPr>
          <w:trHeight w:val="600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62AC" w:rsidRDefault="002C348E">
            <w:pPr>
              <w:spacing w:before="240" w:line="276" w:lineRule="auto"/>
              <w:ind w:left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1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62AC" w:rsidRDefault="002C348E">
            <w:pPr>
              <w:spacing w:before="240" w:line="276" w:lineRule="auto"/>
              <w:ind w:left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Qtde.</w:t>
            </w:r>
          </w:p>
        </w:tc>
        <w:tc>
          <w:tcPr>
            <w:tcW w:w="28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62AC" w:rsidRDefault="002C348E">
            <w:pPr>
              <w:spacing w:before="240" w:line="276" w:lineRule="auto"/>
              <w:ind w:left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Unidade </w:t>
            </w:r>
            <w:r>
              <w:rPr>
                <w:b/>
                <w:sz w:val="24"/>
                <w:szCs w:val="24"/>
              </w:rPr>
              <w:t>de Aquicição</w:t>
            </w:r>
          </w:p>
        </w:tc>
        <w:tc>
          <w:tcPr>
            <w:tcW w:w="50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362AC" w:rsidRDefault="002C348E">
            <w:pPr>
              <w:spacing w:before="240" w:line="276" w:lineRule="auto"/>
              <w:ind w:left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Descritivo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AAS 100mg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120 Unidades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ABIRATERONA 250MG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Ablock Plus 24/12,5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Acertanlo 7mg+5mg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Ácido Fólico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Frasco 200 Miligramas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Ácido Gama Aminobutirico 200mg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Ácido Valproico, 250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Ácido Valproico, 50 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Aclasta, 5 mg/100 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Actos 30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Unidades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ADORLAN 25MG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Aerolyn Spray 100mg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Ampola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AJOVY (fremanezumabe) 225MG/1,5ML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Alegra 120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Alendronato de sódio 70mg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ALFAEPOETINA 4.000 UI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Frasco 60 Mililitros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Allegra líquido 6 mg/ 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Alopurinol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Alphagan Z 0,01% frasco 5ml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Alprazolan 2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Alprazolan, 1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Amato, 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Amitriptilina </w:t>
            </w:r>
            <w:r>
              <w:rPr>
                <w:sz w:val="24"/>
                <w:szCs w:val="24"/>
              </w:rPr>
              <w:t>Cloridrato,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Frasco 1 Miligrama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Anlodipino 1mg/ml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Anlodipino,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Ansitec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Aripiprazol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Aripiprazol 15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30 </w:t>
            </w:r>
            <w:r>
              <w:rPr>
                <w:sz w:val="24"/>
                <w:szCs w:val="24"/>
              </w:rPr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Aristab, 15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Frasco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Arpejo 20mg/ 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Atenolol + clortalidona 20/12,5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Atenolol,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30 </w:t>
            </w:r>
            <w:r>
              <w:rPr>
                <w:sz w:val="24"/>
                <w:szCs w:val="24"/>
              </w:rPr>
              <w:lastRenderedPageBreak/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Atenolol, 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Atensina </w:t>
            </w:r>
            <w:r>
              <w:rPr>
                <w:sz w:val="24"/>
                <w:szCs w:val="24"/>
              </w:rPr>
              <w:t>0,100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Atorvastatina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Atorvastatina 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Atorvastatina 40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Atrovent, gotas 20mg frasco 20ml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Avamys Spray 27,5mg frasco 120 doses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Frasco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Avastin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Frasco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Avastin, 400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Azatiopirina 500mg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Azukon MR 30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Baclofeno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Unidades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Balcor, Retard 120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Belimumabe 400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Benicar 40mg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Berotec gotas 5,0mg/ml frasco 20ml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BEVACIZUMABE 300MG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BRAVAN DUO 160/10MG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Brimonidina, 0,2%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Bromazepam, 6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Bromoprida solução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BRUPROPIONA 150MG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Calde K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Calde Mag, 250mg/5mg/125mg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CANABIDIOL 1500 MG</w:t>
            </w:r>
          </w:p>
        </w:tc>
      </w:tr>
      <w:tr w:rsidR="008362AC">
        <w:trPr>
          <w:trHeight w:val="6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1 Frasco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Canabidiol 50mg/ml - Solução Oral com 30ml + Seringa Dosadora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Capoten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Captopril,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Carbamazepina, 200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Carbamazepina, 300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Carbonato de Cálcio 1250 mg</w:t>
            </w:r>
          </w:p>
        </w:tc>
      </w:tr>
      <w:tr w:rsidR="008362AC">
        <w:trPr>
          <w:trHeight w:val="585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Carbonato de Cálcio 500mg e VIT.D 400 UI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Carbonato de Litio, 300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Carvedilol, 6,25mg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CBD Herbarium 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Cebralat 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CellCept 500mg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Cilostazol,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Cilostazol, 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Cipionato de testosterona 100 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</w:t>
            </w:r>
            <w:r>
              <w:rPr>
                <w:sz w:val="24"/>
                <w:szCs w:val="24"/>
              </w:rPr>
              <w:t>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Ciprofibrato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Citalopram 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Clonazepam, 2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Clonazepam, 2,5 mg/ml - gotas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CLOPIDOGREL 75MG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Unidades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Cloridrato </w:t>
            </w:r>
            <w:r>
              <w:rPr>
                <w:sz w:val="24"/>
                <w:szCs w:val="24"/>
              </w:rPr>
              <w:t>de Amiodarona,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Cloridrato de Nebivolol,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Clozapina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Codeína, 30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Coglive 24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Colchicina</w:t>
            </w:r>
            <w:r>
              <w:rPr>
                <w:sz w:val="24"/>
                <w:szCs w:val="24"/>
              </w:rPr>
              <w:t xml:space="preserve"> 0,5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Colecalciferol 7000 UI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Frasco 10 Mililitros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Combigan 0,2% 0,5% 10ml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Combodart 0,5mg + 0,4mg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Complexo B gotas frasco 20ml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30 </w:t>
            </w:r>
            <w:r>
              <w:rPr>
                <w:sz w:val="24"/>
                <w:szCs w:val="24"/>
              </w:rPr>
              <w:lastRenderedPageBreak/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Concardio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Concardio, 2,5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Concerta 18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Concor,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Concor,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Condres, 40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Saches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Condroflex, 1,5 g + 1,2 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Cor-Select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CREON 25.000 UI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Crisapina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Curcuma Longa 250mg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Cymbalta 60 </w:t>
            </w:r>
            <w:r>
              <w:rPr>
                <w:sz w:val="24"/>
                <w:szCs w:val="24"/>
              </w:rPr>
              <w:t>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Cymbi, 30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100 Unidades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D-PENICILINA ER 250MG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Daflon, 1000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Daforin, 20 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DAPAGLIFLOXINA 10MG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Depakene  250mg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Depakene 500mg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Depakene, 50 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Depakote Sprinkle, 125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Depakote, ER 250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Depakote, ER 500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Deposteron, 200 </w:t>
            </w:r>
            <w:r>
              <w:rPr>
                <w:sz w:val="24"/>
                <w:szCs w:val="24"/>
              </w:rPr>
              <w:t>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Dersani frasco 200ml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DESVENLAFAXINA 100MG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Desvenlafaxina 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Diamicron MR 30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Diamicron MR, 60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DIAMORF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Diamox 250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Diazepam, 10 mg - comp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Dipirona Sódica, 500 mg/ml - solução oral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DIVALCON ER 250MG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30 </w:t>
            </w:r>
            <w:r>
              <w:rPr>
                <w:sz w:val="24"/>
                <w:szCs w:val="24"/>
              </w:rPr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Divalproato de Sódio ER 500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30 </w:t>
            </w:r>
            <w:r>
              <w:rPr>
                <w:sz w:val="24"/>
                <w:szCs w:val="24"/>
              </w:rPr>
              <w:lastRenderedPageBreak/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Divelol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Dogmatil Gotas 20mg/ml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Dolamin Flex 125/ 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Donaren Retard, 150mg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DRENISON CREME 0,125mg 30g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Drusolol 2% 0,5% frasco 5 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Duloxetina, 30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Duloxetina, 60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Duo Travatan 0,04/68mg frasco 2,5ml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Duomo HP, 2 mg + 5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2 Seringas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Dupixent 300mg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Durateston 250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ECASIL 81MG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60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Eliquis, 2,5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60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Eliquis,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Enalapril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Seringa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Enoxoparina 40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Seringa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ENOXOPARINA 60MG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60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Entresto 24mg/26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60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Entresto 49mg/51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60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Entresto 97mg/103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252 </w:t>
            </w:r>
            <w:r>
              <w:rPr>
                <w:sz w:val="24"/>
                <w:szCs w:val="24"/>
              </w:rPr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ESBRIET 267MG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Escilex, 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Escitalopram 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Escitalopram 20 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Escitalopran,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Escopolamina 20mg/ml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Espironolactona,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Etna 2,5mg / 1,5mg / 1,0mg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EVENITY 90MG/ML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Exelon 2mg/ml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Adesivos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Exelon Patch, 15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Ezemitiba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Fenobarbital,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Flebon 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Fluoxetina 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FLUVOXAMINA 100MG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Forteo, 250 mcg/ml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Forxiga </w:t>
            </w:r>
            <w:r>
              <w:rPr>
                <w:sz w:val="24"/>
                <w:szCs w:val="24"/>
              </w:rPr>
              <w:t>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Fresh Tears 0,5% frasco 15ml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Frisium 10mg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Frisium 20mg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Furosemida 40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Gabapentina, 300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Galvus 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Galvus Met, 50mg + 500mg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Frasco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Ganfort. 0,03% 0,5% frasco 3 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Glicazida, 30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Glifage XR 500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GLUCAGON 1MG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Glyxambi 25 mg/5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Haldol 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HCTZ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Hepa-Merz 0,6g/g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HIDROCLOROTIAZIDA 5MG/ML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Hidroxicloroquina 400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30 </w:t>
            </w:r>
            <w:r>
              <w:rPr>
                <w:sz w:val="24"/>
                <w:szCs w:val="24"/>
              </w:rPr>
              <w:lastRenderedPageBreak/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Holmes H 20/12,5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Holmes H 40/25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Ictus 6,25mg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Imipra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20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Imipramina 2mg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Frasco 100 Mililitros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IMUNOGLOBINA HUMANA 5G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Indocid 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Apidra, 10ml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Apidra, Solostar 100ui/ml cx 3ml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Basaglar Kwikpen 100ui/ml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Fiasp 100ui/ml caneta 3ml</w:t>
            </w:r>
          </w:p>
        </w:tc>
      </w:tr>
      <w:tr w:rsidR="008362AC">
        <w:trPr>
          <w:trHeight w:val="6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Humalog Mix 25 KwikPen 100ui/ml caneta 3ml</w:t>
            </w:r>
          </w:p>
        </w:tc>
      </w:tr>
      <w:tr w:rsidR="008362AC">
        <w:trPr>
          <w:trHeight w:val="6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Humalog refil 100ui/ml caixa c/ 2 refis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Humalog, 10 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LANTUS, 10 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LANTUS, 3 ml</w:t>
            </w:r>
          </w:p>
        </w:tc>
      </w:tr>
      <w:tr w:rsidR="008362AC">
        <w:trPr>
          <w:trHeight w:val="6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Caneta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LEVENIR FLEX PEN 100ui caneta 3ml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NovoMix Flex pen 30 canetas 3ml</w:t>
            </w:r>
          </w:p>
        </w:tc>
      </w:tr>
      <w:tr w:rsidR="008362AC">
        <w:trPr>
          <w:trHeight w:val="6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Caneta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NovoRapid  FlexPen 100ui/ml caneta 3ml</w:t>
            </w:r>
          </w:p>
        </w:tc>
      </w:tr>
      <w:tr w:rsidR="008362AC">
        <w:trPr>
          <w:trHeight w:val="6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NPH refil caneta 100ui/ml caixa 2 refil de 3ml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Caneta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Insulina Tresiba 100ui/ml caneta 3ml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Insulina </w:t>
            </w:r>
            <w:r>
              <w:rPr>
                <w:sz w:val="24"/>
                <w:szCs w:val="24"/>
              </w:rPr>
              <w:t>Victoza 6mg/ml caneta 3ml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Seringa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Invega Sustenna 150mg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Jakavi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Jardiance,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Keppra 750mg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Kombiglyze, XR 5 mg + </w:t>
            </w:r>
            <w:r>
              <w:rPr>
                <w:sz w:val="24"/>
                <w:szCs w:val="24"/>
              </w:rPr>
              <w:t>1000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Lacrifilm 5mg/ml cx 15ml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Lamictal,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Lamotrigina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Lamotrigina,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LASIX 40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LATANOPROSTA 0,05MG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Latonan 50mg/ml 5mg/ml frasco 2,5ml</w:t>
            </w:r>
          </w:p>
        </w:tc>
      </w:tr>
      <w:tr w:rsidR="008362AC">
        <w:trPr>
          <w:trHeight w:val="585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Leucogen, líquido 20mg / 5ml frasco 120ml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Levetiracetam 500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Levetiracetam 750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30 </w:t>
            </w:r>
            <w:r>
              <w:rPr>
                <w:sz w:val="24"/>
                <w:szCs w:val="24"/>
              </w:rPr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Levomepromazina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Lioresal 10mg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Lipidil, 160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Caneta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Liraglutida 6mg/ml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Lisdexanfetamina 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Lixiana 60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Luftal 75mg/ ml frasco 15ml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60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LUVIS GOLD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Luvox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Luvox 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Mabthera,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Mabthera, 500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30 </w:t>
            </w:r>
            <w:r>
              <w:rPr>
                <w:sz w:val="24"/>
                <w:szCs w:val="24"/>
              </w:rPr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Mantidan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Marevan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Melatonina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Memantina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Meritor, 2+1000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Meritor, </w:t>
            </w:r>
            <w:r>
              <w:rPr>
                <w:sz w:val="24"/>
                <w:szCs w:val="24"/>
              </w:rPr>
              <w:t>4+1000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Supositórios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Mesalazina 1000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Mesalazina, 1200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Supositórios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Mesalazina, 250 mg - supositório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Supositórios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Mesalazina, 400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Supositórios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Mesalazina, 800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Metildopa, 500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Micofenolato de Mofetila, 500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Mirtazapina 30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Mirtazapina, 15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Monocordil 20mg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Monocordil 40mg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Motilium, 1mg/ml frasco 100ml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Mtor</w:t>
            </w:r>
          </w:p>
        </w:tc>
      </w:tr>
      <w:tr w:rsidR="008362AC">
        <w:trPr>
          <w:trHeight w:val="6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Mylanta Plus 80 mg/ml + 80mg/ml + 6mg/ml frasco 240ml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Naprix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</w:t>
            </w:r>
            <w:r>
              <w:rPr>
                <w:sz w:val="24"/>
                <w:szCs w:val="24"/>
              </w:rPr>
              <w:t>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Nausedron 8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Neblock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Neovite Lutein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Neozine 25mg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Neozine Gotas  4% frasco 20 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Nesina Met 12,5 + 850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Nesina Pio 25 + 30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Nesina,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NEULEPTIL 0,5MG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Frasco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Neuleptil 1%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Neuleptil 6%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Nifedipino, 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60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Nintedanibe 150g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Nitrazepan, 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Nortriptilina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Novanlo 2,5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Olanzapina,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Olanzapina, 2,5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Olanzapina,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Orlistat 120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Osteoban, 150mg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Osteofix 1500 mg/200ui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Oxalato de Escitalopran, 20 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Oxcarbamazepina 600mg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Oxcarbamazepina, 300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Oxcarbamazepina, 60 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Pantoprazol 30mg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Pantoprazol 40mg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Pantoprazol, 20mg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</w:t>
            </w:r>
            <w:r>
              <w:rPr>
                <w:sz w:val="24"/>
                <w:szCs w:val="24"/>
              </w:rPr>
              <w:t>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Paroxetina 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Peg Lax 17,5g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Piascledine, 300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Pioglitazona, 30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Plenance Eze 5/10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30 </w:t>
            </w:r>
            <w:r>
              <w:rPr>
                <w:sz w:val="24"/>
                <w:szCs w:val="24"/>
              </w:rPr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Pondera XR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Pradaxa 110mg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Pradaxa 150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Praluent 150 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30 </w:t>
            </w:r>
            <w:r>
              <w:rPr>
                <w:sz w:val="24"/>
                <w:szCs w:val="24"/>
              </w:rPr>
              <w:lastRenderedPageBreak/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Pramipexol 0,25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Prebictal 100mg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Pregabalina, 75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Pressat 2,5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Pristiq 100mg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Procoralan 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Procoralan 7,5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Prolia, 60 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Prolopa 200/50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Prometazina, 25mg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Protopic 0,1% bisnaga 10g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Puran T4 100 mcg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Puran T4 88 mcg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Quetiapina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Redoxon, gotas 200mg frasco 20ml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Caneta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Rephata 140mg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Revoc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Revoc 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Risedronato Sódico 150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Risperidon 0,5mg/ml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30 </w:t>
            </w:r>
            <w:r>
              <w:rPr>
                <w:sz w:val="24"/>
                <w:szCs w:val="24"/>
              </w:rPr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Risperidon 1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Risperidon 2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RISPERIDONA 0,25 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RISPERIDONA 0,75 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Risperidona, 1mg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Risperidona, 1mg/ml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</w:t>
            </w:r>
            <w:r>
              <w:rPr>
                <w:sz w:val="24"/>
                <w:szCs w:val="24"/>
              </w:rPr>
              <w:t>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Risperidona, 2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Risperidona, 3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Ritalina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Ritalina, LA 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Ritmonorm 300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RIVACRIST 15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Rivotril 0,25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Rivotril 0,5mg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Rivotril, 2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Rosucor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Rosuvastatina 40mg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324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Rosuvastatina Cálcica,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Rosuvastatina Cálcica, 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Sabril 500mg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60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SELEXIPAGUE 0,2MG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60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SELEXIPAGUE 0,8MG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Selozok, 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Semaglutida 1mg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SENSOR FREESTYLE LIBRE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Seretide 25 mcg + 125 mcg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Seretide 25 mcg + 250 mcg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Seretide, 50 mcg + 250 mcg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Seroquel XRO, 200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Sertralina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Sertralina 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SERTRALINA 80MG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Singulair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Sinvascor 20mg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</w:t>
            </w:r>
            <w:r>
              <w:rPr>
                <w:sz w:val="24"/>
                <w:szCs w:val="24"/>
              </w:rPr>
              <w:t xml:space="preserve">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Sinvastatina,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Sinvastatina, 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Sinvastatina, 40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Slow-k 600mg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Somalgin Cardio 100mg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Spiriva Respimat 2,5mg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</w:t>
            </w:r>
            <w:r>
              <w:rPr>
                <w:sz w:val="24"/>
                <w:szCs w:val="24"/>
              </w:rPr>
              <w:t xml:space="preserve">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Stabil, 0,25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Stalevo 100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Stalevo 150mg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STANGLIT 45MG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SUGANON 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SULPAN 25 + 1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</w:t>
            </w:r>
            <w:r>
              <w:rPr>
                <w:sz w:val="24"/>
                <w:szCs w:val="24"/>
              </w:rPr>
              <w:t>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Sustrate,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Synvisc-One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Tegretol, CR 400mg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TERIPARATIDA 20MG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Thioctacid, 600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Tiamina 300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Topiramato, 25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30 </w:t>
            </w:r>
            <w:r>
              <w:rPr>
                <w:sz w:val="24"/>
                <w:szCs w:val="24"/>
              </w:rPr>
              <w:lastRenderedPageBreak/>
              <w:t>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Topiramato, 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361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Torval 500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Tramadol, 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Trayenta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Trayenta, Duo 2,5 mg + 850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Trezete 20/10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Trezor, 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Trileptal 6%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Trimbow 100,0 + 6,0 + 2,5mg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Bisnaga 30 Gramas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TROK G 0,5MG/G + 1MG/G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Urbanil, 20mg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</w:t>
            </w:r>
            <w:r>
              <w:rPr>
                <w:sz w:val="24"/>
                <w:szCs w:val="24"/>
              </w:rPr>
              <w:t>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Ursacol 150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Ursacol 300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Valdoxan, 25mg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Valganciclovir 450mg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Valium 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Valsartana, 320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</w:t>
            </w:r>
            <w:r>
              <w:rPr>
                <w:sz w:val="24"/>
                <w:szCs w:val="24"/>
              </w:rPr>
              <w:t>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VASOGARD 100MG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378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Vastarel 35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Vastarel LP 80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Vastarel MP 80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Velija, 60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Venlafaxina 37,5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Venlafaxina 75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Vevanse 30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Vevanse 50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Vitamina D3 7000ui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Xalatan, Sol.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Xarelto 2,5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Caixa C/ </w:t>
            </w:r>
            <w:r>
              <w:rPr>
                <w:sz w:val="24"/>
                <w:szCs w:val="24"/>
              </w:rPr>
              <w:t>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Xarelto, 10 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Xarelto, 15mg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Xarelto, 20mg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Caixa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Zaditen, xarope</w:t>
            </w:r>
          </w:p>
        </w:tc>
      </w:tr>
      <w:tr w:rsidR="008362AC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Caixa C/ 30 Comprimidos</w:t>
            </w:r>
          </w:p>
        </w:tc>
        <w:tc>
          <w:tcPr>
            <w:tcW w:w="5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8362AC" w:rsidRDefault="002C348E">
            <w:pPr>
              <w:spacing w:before="240" w:line="276" w:lineRule="auto"/>
              <w:ind w:lef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Zolpiden 10 mg</w:t>
            </w:r>
          </w:p>
        </w:tc>
      </w:tr>
    </w:tbl>
    <w:p w:rsidR="008362AC" w:rsidRDefault="008362AC">
      <w:pPr>
        <w:ind w:right="-564"/>
        <w:jc w:val="both"/>
        <w:rPr>
          <w:b/>
          <w:sz w:val="24"/>
          <w:szCs w:val="24"/>
        </w:rPr>
      </w:pPr>
    </w:p>
    <w:p w:rsidR="008362AC" w:rsidRDefault="002C348E">
      <w:pPr>
        <w:ind w:right="-564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>
        <w:rPr>
          <w:b/>
          <w:color w:val="000000"/>
          <w:sz w:val="24"/>
          <w:szCs w:val="24"/>
        </w:rPr>
        <w:t>JUSTIFICATIVA DA CONTRATAÇÃO</w:t>
      </w:r>
    </w:p>
    <w:p w:rsidR="008362AC" w:rsidRDefault="002C348E">
      <w:pPr>
        <w:ind w:right="-9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aquisição dos medicamentos se justifica pela </w:t>
      </w:r>
      <w:r>
        <w:rPr>
          <w:sz w:val="24"/>
          <w:szCs w:val="24"/>
        </w:rPr>
        <w:t>necessidade de abastecimentos da Farmácia de Mandados Judiciais, visando o atendimento e distribuição aos pacientes nos casos de judicialização da Saúde através dos Processos que são frequentemente ajuizados em desfavor da Prefeitura Municipal de Santos Du</w:t>
      </w:r>
      <w:r>
        <w:rPr>
          <w:sz w:val="24"/>
          <w:szCs w:val="24"/>
        </w:rPr>
        <w:t>mont-MG.</w:t>
      </w:r>
    </w:p>
    <w:p w:rsidR="008362AC" w:rsidRDefault="008362AC">
      <w:pPr>
        <w:ind w:right="-94"/>
        <w:jc w:val="both"/>
        <w:rPr>
          <w:sz w:val="24"/>
          <w:szCs w:val="24"/>
        </w:rPr>
      </w:pPr>
    </w:p>
    <w:p w:rsidR="008362AC" w:rsidRDefault="002C348E">
      <w:pPr>
        <w:ind w:right="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Conforme exigência legal foi realizada pesquisa de mercado junto a empresas do ramo e</w:t>
      </w:r>
      <w:r>
        <w:rPr>
          <w:sz w:val="24"/>
          <w:szCs w:val="24"/>
        </w:rPr>
        <w:t xml:space="preserve"> em contratações similares realizadas por órgãos públicos </w:t>
      </w:r>
      <w:r>
        <w:rPr>
          <w:color w:val="000000"/>
          <w:sz w:val="24"/>
          <w:szCs w:val="24"/>
        </w:rPr>
        <w:t xml:space="preserve">apurando-se o valor médio estimado de </w:t>
      </w:r>
      <w:r>
        <w:rPr>
          <w:b/>
          <w:color w:val="000000"/>
          <w:sz w:val="24"/>
          <w:szCs w:val="24"/>
        </w:rPr>
        <w:t>R$10.906.916,18</w:t>
      </w:r>
      <w:r>
        <w:rPr>
          <w:b/>
          <w:sz w:val="24"/>
          <w:szCs w:val="24"/>
        </w:rPr>
        <w:t xml:space="preserve"> (dez milhões novecentos e seis mil novecentos e d</w:t>
      </w:r>
      <w:r>
        <w:rPr>
          <w:b/>
          <w:sz w:val="24"/>
          <w:szCs w:val="24"/>
        </w:rPr>
        <w:t>ezesseis reais e dezoito centavos)</w:t>
      </w:r>
      <w:r>
        <w:rPr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c</w:t>
      </w:r>
      <w:r>
        <w:rPr>
          <w:color w:val="000000"/>
          <w:sz w:val="24"/>
          <w:szCs w:val="24"/>
        </w:rPr>
        <w:t xml:space="preserve">onforme </w:t>
      </w:r>
      <w:r>
        <w:rPr>
          <w:sz w:val="24"/>
          <w:szCs w:val="24"/>
        </w:rPr>
        <w:t>documentação</w:t>
      </w:r>
      <w:r>
        <w:rPr>
          <w:color w:val="000000"/>
          <w:sz w:val="24"/>
          <w:szCs w:val="24"/>
        </w:rPr>
        <w:t xml:space="preserve"> em anexo. </w:t>
      </w:r>
    </w:p>
    <w:p w:rsidR="008362AC" w:rsidRDefault="008362AC">
      <w:pPr>
        <w:ind w:right="-570"/>
        <w:jc w:val="both"/>
        <w:rPr>
          <w:sz w:val="24"/>
          <w:szCs w:val="24"/>
        </w:rPr>
      </w:pPr>
    </w:p>
    <w:p w:rsidR="008362AC" w:rsidRDefault="002C348E">
      <w:pPr>
        <w:ind w:right="-564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>
        <w:rPr>
          <w:b/>
          <w:color w:val="000000"/>
          <w:sz w:val="24"/>
          <w:szCs w:val="24"/>
        </w:rPr>
        <w:t>METODOLOGIA</w:t>
      </w:r>
    </w:p>
    <w:p w:rsidR="008362AC" w:rsidRDefault="002C348E">
      <w:pPr>
        <w:ind w:right="-56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critério de aceitação das propostas será o </w:t>
      </w:r>
      <w:r>
        <w:rPr>
          <w:b/>
          <w:color w:val="000000"/>
          <w:sz w:val="24"/>
          <w:szCs w:val="24"/>
        </w:rPr>
        <w:t>MENOR PREÇO</w:t>
      </w:r>
      <w:r>
        <w:rPr>
          <w:color w:val="000000"/>
          <w:sz w:val="24"/>
          <w:szCs w:val="24"/>
        </w:rPr>
        <w:t xml:space="preserve"> por item.</w:t>
      </w:r>
    </w:p>
    <w:p w:rsidR="008362AC" w:rsidRDefault="008362AC">
      <w:pPr>
        <w:ind w:right="-564"/>
        <w:jc w:val="both"/>
        <w:rPr>
          <w:sz w:val="24"/>
          <w:szCs w:val="24"/>
        </w:rPr>
      </w:pPr>
    </w:p>
    <w:p w:rsidR="008362AC" w:rsidRDefault="002C348E">
      <w:pPr>
        <w:widowControl w:val="0"/>
        <w:ind w:right="-564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>
        <w:rPr>
          <w:b/>
          <w:color w:val="000000"/>
          <w:sz w:val="24"/>
          <w:szCs w:val="24"/>
        </w:rPr>
        <w:t xml:space="preserve">DA ELABORAÇÃO DA PROPOSTA </w:t>
      </w:r>
    </w:p>
    <w:p w:rsidR="008362AC" w:rsidRDefault="002C348E">
      <w:pPr>
        <w:spacing w:after="113"/>
        <w:ind w:right="7"/>
        <w:jc w:val="both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A proposta deverá ser elaborada contemplando as quantidades, especificaçã</w:t>
      </w:r>
      <w:r>
        <w:rPr>
          <w:color w:val="000000"/>
          <w:sz w:val="24"/>
          <w:szCs w:val="24"/>
          <w:highlight w:val="white"/>
        </w:rPr>
        <w:t>o detalhada do objeto, valor unitário e valor total.</w:t>
      </w:r>
    </w:p>
    <w:p w:rsidR="008362AC" w:rsidRDefault="002C348E">
      <w:pPr>
        <w:widowControl w:val="0"/>
        <w:ind w:right="-564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>
        <w:rPr>
          <w:b/>
          <w:color w:val="000000"/>
          <w:sz w:val="24"/>
          <w:szCs w:val="24"/>
        </w:rPr>
        <w:t xml:space="preserve">DA ENTREGA DO PAGAMENTO </w:t>
      </w:r>
    </w:p>
    <w:p w:rsidR="008362AC" w:rsidRDefault="002C348E">
      <w:pPr>
        <w:pBdr>
          <w:bottom w:val="none" w:sz="0" w:space="8" w:color="000000"/>
        </w:pBd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Os produtos a serem adquiridos serão solicitados através de Ordem de Fornecimento, gerada pela Secretaria de acordo com a necessidade, devendo ser entregues no prazo de 24 </w:t>
      </w:r>
      <w:r>
        <w:rPr>
          <w:sz w:val="24"/>
          <w:szCs w:val="24"/>
          <w:highlight w:val="white"/>
        </w:rPr>
        <w:t>horas a contar da Ordem de Fornecimento.</w:t>
      </w:r>
    </w:p>
    <w:p w:rsidR="008362AC" w:rsidRDefault="002C348E">
      <w:pPr>
        <w:pBdr>
          <w:bottom w:val="none" w:sz="0" w:space="8" w:color="000000"/>
        </w:pBd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Os produtos deverão ser entregues em horário Comercial, das 08:00 às 17:00h, de segunda a sexta-feira, no Almoxarifado da Secretaria Municipal de Saúde, na Rua XV de Fevereiro, nº 1840, Bairro São Sebastião, nesta c</w:t>
      </w:r>
      <w:r>
        <w:rPr>
          <w:sz w:val="24"/>
          <w:szCs w:val="24"/>
          <w:highlight w:val="white"/>
        </w:rPr>
        <w:t>idade de Santos Dumont- MG, CEP: 36.246-024.</w:t>
      </w:r>
    </w:p>
    <w:p w:rsidR="008362AC" w:rsidRDefault="002C348E">
      <w:pPr>
        <w:pBdr>
          <w:bottom w:val="none" w:sz="0" w:space="8" w:color="000000"/>
        </w:pBdr>
        <w:ind w:right="7"/>
        <w:jc w:val="both"/>
        <w:rPr>
          <w:color w:val="000000"/>
          <w:sz w:val="24"/>
          <w:szCs w:val="24"/>
        </w:rPr>
      </w:pPr>
      <w:r>
        <w:rPr>
          <w:sz w:val="24"/>
          <w:szCs w:val="24"/>
          <w:highlight w:val="white"/>
        </w:rPr>
        <w:t>A partir da entrega, o objeto, ou fração do mesmo, será recebido em caráter provisório durante 30 (trinta) dias, período no qual será submetido a controle de qualidade e avaliado sua conformidade com as especifi</w:t>
      </w:r>
      <w:r>
        <w:rPr>
          <w:sz w:val="24"/>
          <w:szCs w:val="24"/>
          <w:highlight w:val="white"/>
        </w:rPr>
        <w:t>cações constantes deste instrumento e seus anexos, a fim de que se decida sobre sua aceitação ou rejeição.</w:t>
      </w:r>
      <w:r>
        <w:rPr>
          <w:sz w:val="24"/>
          <w:szCs w:val="24"/>
          <w:highlight w:val="white"/>
        </w:rPr>
        <w:br/>
        <w:t>Na hipótese de rejeição do objeto recebido, o mesmo deverá ser recolhido pela detentora no prazo de 72 (setenta e duas) horas da comunicação pela Pre</w:t>
      </w:r>
      <w:r>
        <w:rPr>
          <w:sz w:val="24"/>
          <w:szCs w:val="24"/>
          <w:highlight w:val="white"/>
        </w:rPr>
        <w:t>feitura Municipal de Santos Dumont. Após esse prazo, a Prefeitura Municipal de Santos Dumont reserva-se o direito de enviar o objeto rejeitado à detentora, com frete a pagar, procedendo-se a sua troca no prazo de 48h, podendo ainda a Administração proceder</w:t>
      </w:r>
      <w:r>
        <w:rPr>
          <w:sz w:val="24"/>
          <w:szCs w:val="24"/>
          <w:highlight w:val="white"/>
        </w:rPr>
        <w:t xml:space="preserve"> ao cancelamento unilateral da Ata de Registro de Preços.</w:t>
      </w:r>
      <w:r>
        <w:rPr>
          <w:sz w:val="24"/>
          <w:szCs w:val="24"/>
          <w:highlight w:val="white"/>
        </w:rPr>
        <w:br/>
        <w:t>Decorridos 30 (trinta) da entrega, e não havendo impugnação por parte da Prefeitura Municipal de Santos Dumont, o objeto será tido como recebido em caráter definitivo.</w:t>
      </w:r>
      <w:r>
        <w:rPr>
          <w:sz w:val="24"/>
          <w:szCs w:val="24"/>
          <w:highlight w:val="white"/>
        </w:rPr>
        <w:br/>
        <w:t>O recebimento em caráter defin</w:t>
      </w:r>
      <w:r>
        <w:rPr>
          <w:sz w:val="24"/>
          <w:szCs w:val="24"/>
          <w:highlight w:val="white"/>
        </w:rPr>
        <w:t>itivo não retira da detentora a responsabilidade sobre o produto oferecido que, se apresentar qualquer irregularidade dentro de sua validade, será devolvido, sujeitando-se a mesma detentora, ainda, às penalidades previstas neste instrumento e na lei.</w:t>
      </w:r>
      <w:r>
        <w:rPr>
          <w:sz w:val="24"/>
          <w:szCs w:val="24"/>
          <w:highlight w:val="white"/>
        </w:rPr>
        <w:br/>
        <w:t>O pag</w:t>
      </w:r>
      <w:r>
        <w:rPr>
          <w:sz w:val="24"/>
          <w:szCs w:val="24"/>
          <w:highlight w:val="white"/>
        </w:rPr>
        <w:t>amento será efetuado até 30 (trinta) dias, diretamente à fornecedora mediante a comprovação da entrega e apresentação da Nota Fiscal ao setor competente, devidamente acompanhada dos documentos fiscais atualizados, sem o que não será liberado o pagamento.</w:t>
      </w:r>
      <w:r>
        <w:rPr>
          <w:sz w:val="24"/>
          <w:szCs w:val="24"/>
          <w:highlight w:val="white"/>
        </w:rPr>
        <w:br/>
      </w:r>
      <w:r>
        <w:rPr>
          <w:color w:val="000000"/>
          <w:sz w:val="24"/>
          <w:szCs w:val="24"/>
        </w:rPr>
        <w:t>E</w:t>
      </w:r>
      <w:r>
        <w:rPr>
          <w:color w:val="000000"/>
          <w:sz w:val="24"/>
          <w:szCs w:val="24"/>
        </w:rPr>
        <w:t>m caso de irregularidade na emissão dos documentos fiscais, o prazo de pagamento será contado a partir de sua reapresentação, desde que devidamente regularizados.</w:t>
      </w:r>
      <w:r>
        <w:rPr>
          <w:sz w:val="24"/>
          <w:szCs w:val="24"/>
        </w:rPr>
        <w:br/>
      </w:r>
      <w:r>
        <w:rPr>
          <w:color w:val="000000"/>
          <w:sz w:val="24"/>
          <w:szCs w:val="24"/>
        </w:rPr>
        <w:t>Nenhum pagamento será efetuado à contratada enquanto pendente de liquidação qualquer obrigaçã</w:t>
      </w:r>
      <w:r>
        <w:rPr>
          <w:color w:val="000000"/>
          <w:sz w:val="24"/>
          <w:szCs w:val="24"/>
        </w:rPr>
        <w:t>o financeira decorrente de penalidade ou inadimplência, sem que isso gere direito a reajustamento de preços.</w:t>
      </w:r>
    </w:p>
    <w:p w:rsidR="008362AC" w:rsidRDefault="002C348E">
      <w:pPr>
        <w:pBdr>
          <w:bottom w:val="none" w:sz="0" w:space="8" w:color="000000"/>
        </w:pBdr>
        <w:ind w:right="7"/>
        <w:jc w:val="both"/>
        <w:rPr>
          <w:sz w:val="24"/>
          <w:szCs w:val="24"/>
        </w:rPr>
      </w:pPr>
      <w:r>
        <w:rPr>
          <w:b/>
          <w:sz w:val="22"/>
          <w:szCs w:val="22"/>
          <w:highlight w:val="white"/>
        </w:rPr>
        <w:t xml:space="preserve">A emissão de quaisquer notas fiscais deverá obedecer rigorosamente aos ditames da Instrução Normativa RFB nº 1234, de 11 de janeiro de 2012, com a </w:t>
      </w:r>
      <w:r>
        <w:rPr>
          <w:b/>
          <w:sz w:val="22"/>
          <w:szCs w:val="22"/>
          <w:highlight w:val="white"/>
        </w:rPr>
        <w:t xml:space="preserve">redação que lhe foi dada pela Instrução Normativa nº 2.145 de 26 de junho de 2023, e do Decreto Municipal nº 3.730, de 23 de agosto de 2023, sob pena de não aceitação do documento apresentado ou retenção do </w:t>
      </w:r>
      <w:r>
        <w:rPr>
          <w:b/>
          <w:sz w:val="22"/>
          <w:szCs w:val="22"/>
          <w:highlight w:val="white"/>
        </w:rPr>
        <w:lastRenderedPageBreak/>
        <w:t>Imposto de Renda da Fonte.</w:t>
      </w:r>
      <w:r>
        <w:rPr>
          <w:b/>
          <w:sz w:val="22"/>
          <w:szCs w:val="22"/>
          <w:highlight w:val="white"/>
        </w:rPr>
        <w:br/>
      </w:r>
      <w:r>
        <w:rPr>
          <w:color w:val="000000"/>
          <w:sz w:val="24"/>
          <w:szCs w:val="24"/>
        </w:rPr>
        <w:t>Deverão estar incluída</w:t>
      </w:r>
      <w:r>
        <w:rPr>
          <w:color w:val="000000"/>
          <w:sz w:val="24"/>
          <w:szCs w:val="24"/>
        </w:rPr>
        <w:t xml:space="preserve">s no preço, todas as despesas necessárias à entrega do objeto desta licitação, sem quaisquer ônus </w:t>
      </w:r>
      <w:r>
        <w:rPr>
          <w:sz w:val="24"/>
          <w:szCs w:val="24"/>
        </w:rPr>
        <w:t>para a Administração</w:t>
      </w:r>
      <w:r>
        <w:rPr>
          <w:color w:val="000000"/>
          <w:sz w:val="24"/>
          <w:szCs w:val="24"/>
        </w:rPr>
        <w:t>, tais como frete, tributos etc.</w:t>
      </w:r>
      <w:r>
        <w:rPr>
          <w:sz w:val="24"/>
          <w:szCs w:val="24"/>
        </w:rPr>
        <w:br/>
      </w:r>
      <w:r>
        <w:rPr>
          <w:color w:val="000000"/>
          <w:sz w:val="24"/>
          <w:szCs w:val="24"/>
        </w:rPr>
        <w:t>É vedado qualquer reaj</w:t>
      </w:r>
      <w:r>
        <w:rPr>
          <w:color w:val="000000"/>
          <w:sz w:val="24"/>
          <w:szCs w:val="24"/>
        </w:rPr>
        <w:t>ustamento de preços durante o prazo de validade da proposta.</w:t>
      </w:r>
      <w:r>
        <w:rPr>
          <w:sz w:val="24"/>
          <w:szCs w:val="24"/>
        </w:rPr>
        <w:br/>
        <w:t xml:space="preserve">Da nota fiscal deverá </w:t>
      </w:r>
      <w:r>
        <w:rPr>
          <w:sz w:val="24"/>
          <w:szCs w:val="24"/>
        </w:rPr>
        <w:t>constar o n° da conta-corrente do licitante, banco, e nº. da agência para fins de pagamento.</w:t>
      </w:r>
      <w:r>
        <w:rPr>
          <w:sz w:val="24"/>
          <w:szCs w:val="24"/>
        </w:rPr>
        <w:br/>
      </w:r>
    </w:p>
    <w:p w:rsidR="008362AC" w:rsidRDefault="002C348E">
      <w:pPr>
        <w:ind w:right="-564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>
        <w:rPr>
          <w:b/>
          <w:color w:val="000000"/>
          <w:sz w:val="24"/>
          <w:szCs w:val="24"/>
        </w:rPr>
        <w:t>DA DOTAÇÃO ORÇAMENTÁRIA OU RECURSOS FINANCEIROS</w:t>
      </w:r>
    </w:p>
    <w:p w:rsidR="008362AC" w:rsidRDefault="002C348E">
      <w:pPr>
        <w:ind w:right="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 despesas com a aquisição do objeto ora licitado correrão à conta das Dotações Orçamentárias do orçamento vig</w:t>
      </w:r>
      <w:r>
        <w:rPr>
          <w:color w:val="000000"/>
          <w:sz w:val="24"/>
          <w:szCs w:val="24"/>
        </w:rPr>
        <w:t>ente.</w:t>
      </w:r>
    </w:p>
    <w:p w:rsidR="008362AC" w:rsidRDefault="008362AC">
      <w:pPr>
        <w:jc w:val="both"/>
        <w:rPr>
          <w:sz w:val="22"/>
          <w:szCs w:val="22"/>
        </w:rPr>
      </w:pPr>
    </w:p>
    <w:p w:rsidR="008362AC" w:rsidRDefault="002C348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02.28.02.10.301.0014.2106 Manutenção da Atenção Primária </w:t>
      </w:r>
      <w:r>
        <w:rPr>
          <w:sz w:val="22"/>
          <w:szCs w:val="22"/>
        </w:rPr>
        <w:br/>
        <w:t>3.3.90.32.00 Material, Bem ou Serv para Distribuição Gratuita</w:t>
      </w:r>
      <w:r>
        <w:rPr>
          <w:sz w:val="22"/>
          <w:szCs w:val="22"/>
        </w:rPr>
        <w:br/>
        <w:t xml:space="preserve">Ficha 536 </w:t>
      </w:r>
      <w:r>
        <w:rPr>
          <w:sz w:val="22"/>
          <w:szCs w:val="22"/>
        </w:rPr>
        <w:br/>
        <w:t>Fonte: 1.500.000.0000 - Recursos não vinculados e Impostos</w:t>
      </w:r>
      <w:r>
        <w:rPr>
          <w:sz w:val="22"/>
          <w:szCs w:val="22"/>
        </w:rPr>
        <w:br/>
        <w:t xml:space="preserve">1.500.00.1002 - Identificação das despesas com ações e </w:t>
      </w:r>
      <w:r>
        <w:rPr>
          <w:sz w:val="22"/>
          <w:szCs w:val="22"/>
        </w:rPr>
        <w:t>serviços públicos de saúde Recursos não vinculados e Impostos</w:t>
      </w:r>
      <w:r>
        <w:rPr>
          <w:sz w:val="22"/>
          <w:szCs w:val="22"/>
        </w:rPr>
        <w:br/>
        <w:t>1.600.000.0000 - Transferências Fundo a Fundo de Recursos do SUS provenientes do Governo Federal - Bloco de Manutenção das Ações e Serviços Públicos de Saúde</w:t>
      </w:r>
      <w:r>
        <w:rPr>
          <w:sz w:val="22"/>
          <w:szCs w:val="22"/>
        </w:rPr>
        <w:br/>
        <w:t>1.621.000.0000 - Transferências Fund</w:t>
      </w:r>
      <w:r>
        <w:rPr>
          <w:sz w:val="22"/>
          <w:szCs w:val="22"/>
        </w:rPr>
        <w:t>o a Fundo de Recursos do SUS provenientes do Governo Estadual</w:t>
      </w:r>
    </w:p>
    <w:p w:rsidR="008362AC" w:rsidRDefault="002C348E">
      <w:pPr>
        <w:rPr>
          <w:sz w:val="22"/>
          <w:szCs w:val="22"/>
        </w:rPr>
      </w:pPr>
      <w:r>
        <w:rPr>
          <w:sz w:val="22"/>
          <w:szCs w:val="22"/>
        </w:rPr>
        <w:t xml:space="preserve">             2.707.000.0000 - Transferência da União - incisi I do art. 5º da Lei Complementar 173/2020</w:t>
      </w:r>
      <w:r>
        <w:rPr>
          <w:sz w:val="22"/>
          <w:szCs w:val="22"/>
        </w:rPr>
        <w:br/>
      </w:r>
    </w:p>
    <w:p w:rsidR="008362AC" w:rsidRDefault="002C348E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02.28.02.10.301.0014.2106 Manutenção da Atenção Primária </w:t>
      </w:r>
      <w:r>
        <w:rPr>
          <w:sz w:val="22"/>
          <w:szCs w:val="22"/>
        </w:rPr>
        <w:br/>
        <w:t xml:space="preserve">3.3.90.91.00 - Sentenças </w:t>
      </w:r>
      <w:r>
        <w:rPr>
          <w:sz w:val="22"/>
          <w:szCs w:val="22"/>
        </w:rPr>
        <w:t>Judiciais</w:t>
      </w:r>
      <w:r>
        <w:rPr>
          <w:sz w:val="22"/>
          <w:szCs w:val="22"/>
        </w:rPr>
        <w:br/>
        <w:t>Ficha - 544</w:t>
      </w:r>
      <w:r>
        <w:rPr>
          <w:sz w:val="22"/>
          <w:szCs w:val="22"/>
        </w:rPr>
        <w:br/>
        <w:t>Fonte: 1.500.000.1002 - Identificação das despesas com ações e serviços públicos de saúde Recursos não Vinculados de Impostos.</w:t>
      </w:r>
    </w:p>
    <w:p w:rsidR="008362AC" w:rsidRDefault="008362AC">
      <w:pPr>
        <w:ind w:left="720"/>
        <w:rPr>
          <w:sz w:val="22"/>
          <w:szCs w:val="22"/>
        </w:rPr>
      </w:pPr>
    </w:p>
    <w:p w:rsidR="008362AC" w:rsidRDefault="002C348E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02.28.02.10.303.0014.2121 Manutenção da assistência farmacêutica </w:t>
      </w:r>
    </w:p>
    <w:p w:rsidR="008362AC" w:rsidRDefault="002C348E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3.3.90.32.00 Material, Bem ou Serv para </w:t>
      </w:r>
      <w:r>
        <w:rPr>
          <w:sz w:val="22"/>
          <w:szCs w:val="22"/>
        </w:rPr>
        <w:t xml:space="preserve">Distribuição Gratuita </w:t>
      </w:r>
    </w:p>
    <w:p w:rsidR="008362AC" w:rsidRDefault="002C348E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Ficha 628 </w:t>
      </w:r>
      <w:r>
        <w:rPr>
          <w:sz w:val="22"/>
          <w:szCs w:val="22"/>
        </w:rPr>
        <w:br/>
        <w:t>1.500.000.1002 - Identificação das despesas com ações e serviços públicos de saúde Recursos não vinculados e Impostos</w:t>
      </w:r>
      <w:r>
        <w:rPr>
          <w:sz w:val="22"/>
          <w:szCs w:val="22"/>
        </w:rPr>
        <w:br/>
        <w:t>1.600.000.0000 - Transferências Fundo a Fundo de Recursos do SUS provenientes do Governo Federal - Bloco</w:t>
      </w:r>
      <w:r>
        <w:rPr>
          <w:sz w:val="22"/>
          <w:szCs w:val="22"/>
        </w:rPr>
        <w:t xml:space="preserve"> de Manutenção das Ações e Serviços Públicos de Saúde</w:t>
      </w:r>
      <w:r>
        <w:rPr>
          <w:sz w:val="22"/>
          <w:szCs w:val="22"/>
        </w:rPr>
        <w:br/>
        <w:t>1.621.000.0000 - Transferências Fundo a Fundo de Recursos do SUS provenientes do Governo Estadual</w:t>
      </w:r>
    </w:p>
    <w:p w:rsidR="008362AC" w:rsidRDefault="008362AC">
      <w:pPr>
        <w:ind w:left="720"/>
        <w:rPr>
          <w:sz w:val="22"/>
          <w:szCs w:val="22"/>
        </w:rPr>
      </w:pPr>
    </w:p>
    <w:p w:rsidR="008362AC" w:rsidRDefault="002C348E">
      <w:pPr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02.28.02.10.303.0014.2121 Manutenção da assistência farmacêutica </w:t>
      </w:r>
    </w:p>
    <w:p w:rsidR="008362AC" w:rsidRDefault="002C348E">
      <w:pPr>
        <w:ind w:left="720"/>
        <w:rPr>
          <w:sz w:val="22"/>
          <w:szCs w:val="22"/>
        </w:rPr>
      </w:pPr>
      <w:r>
        <w:rPr>
          <w:sz w:val="22"/>
          <w:szCs w:val="22"/>
        </w:rPr>
        <w:t>3.3.90.91.00 Sentenças Judiciais</w:t>
      </w:r>
    </w:p>
    <w:p w:rsidR="008362AC" w:rsidRDefault="002C348E">
      <w:pPr>
        <w:ind w:left="720"/>
        <w:rPr>
          <w:sz w:val="22"/>
          <w:szCs w:val="22"/>
        </w:rPr>
      </w:pPr>
      <w:r>
        <w:rPr>
          <w:sz w:val="22"/>
          <w:szCs w:val="22"/>
        </w:rPr>
        <w:t>Fich</w:t>
      </w:r>
      <w:r>
        <w:rPr>
          <w:sz w:val="22"/>
          <w:szCs w:val="22"/>
        </w:rPr>
        <w:t xml:space="preserve">a 629  </w:t>
      </w:r>
    </w:p>
    <w:p w:rsidR="008362AC" w:rsidRDefault="002C348E">
      <w:pPr>
        <w:ind w:left="720"/>
        <w:rPr>
          <w:sz w:val="22"/>
          <w:szCs w:val="22"/>
        </w:rPr>
      </w:pPr>
      <w:r>
        <w:rPr>
          <w:sz w:val="22"/>
          <w:szCs w:val="22"/>
        </w:rPr>
        <w:t>Fonte: 1.500.000.1002 - Identificação das despesas com ações e serviços públicos de saúde Recursos não Vinculados de Impostos.</w:t>
      </w:r>
    </w:p>
    <w:p w:rsidR="008362AC" w:rsidRDefault="002C348E">
      <w:pPr>
        <w:rPr>
          <w:sz w:val="24"/>
          <w:szCs w:val="24"/>
        </w:rPr>
      </w:pPr>
      <w:r>
        <w:rPr>
          <w:sz w:val="22"/>
          <w:szCs w:val="22"/>
        </w:rPr>
        <w:br/>
      </w:r>
      <w:r>
        <w:rPr>
          <w:color w:val="000000"/>
          <w:sz w:val="24"/>
          <w:szCs w:val="24"/>
        </w:rPr>
        <w:t>O empenho de dotações orçamentárias suplementares, ou dotações referentes ao próximo exercício, não caracteriza sua alte</w:t>
      </w:r>
      <w:r>
        <w:rPr>
          <w:color w:val="000000"/>
          <w:sz w:val="24"/>
          <w:szCs w:val="24"/>
        </w:rPr>
        <w:t xml:space="preserve">ração contratual, podendo ser registrado por simples apostila dispensando a celebração de aditamento consoante faculdade </w:t>
      </w:r>
      <w:r>
        <w:rPr>
          <w:sz w:val="24"/>
          <w:szCs w:val="24"/>
        </w:rPr>
        <w:t>inserta</w:t>
      </w:r>
      <w:r>
        <w:rPr>
          <w:color w:val="000000"/>
          <w:sz w:val="24"/>
          <w:szCs w:val="24"/>
        </w:rPr>
        <w:t xml:space="preserve"> no art. 136 da Lei 14.133/2021.</w:t>
      </w:r>
    </w:p>
    <w:p w:rsidR="008362AC" w:rsidRDefault="008362AC">
      <w:pPr>
        <w:ind w:right="-564"/>
        <w:jc w:val="both"/>
        <w:rPr>
          <w:sz w:val="24"/>
          <w:szCs w:val="24"/>
        </w:rPr>
      </w:pPr>
    </w:p>
    <w:p w:rsidR="008362AC" w:rsidRDefault="002C348E">
      <w:pPr>
        <w:spacing w:after="113"/>
        <w:ind w:right="-564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lastRenderedPageBreak/>
        <w:t xml:space="preserve">7. DOS DOCUMENTOS DE HABILITAÇÃO </w:t>
      </w:r>
    </w:p>
    <w:p w:rsidR="008362AC" w:rsidRDefault="002C348E">
      <w:pPr>
        <w:spacing w:before="240" w:after="240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As empresas interessadas deverão apresentar os seguintes doc</w:t>
      </w:r>
      <w:r>
        <w:rPr>
          <w:sz w:val="24"/>
          <w:szCs w:val="24"/>
          <w:highlight w:val="white"/>
        </w:rPr>
        <w:t>umentos, para atendimento a leis específicas:</w:t>
      </w:r>
    </w:p>
    <w:p w:rsidR="008362AC" w:rsidRDefault="002C348E">
      <w:pPr>
        <w:numPr>
          <w:ilvl w:val="0"/>
          <w:numId w:val="5"/>
        </w:numPr>
        <w:spacing w:before="240" w:after="240" w:line="276" w:lineRule="auto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Licença de Funcionamento Municipal;</w:t>
      </w:r>
      <w:bookmarkStart w:id="0" w:name="_GoBack"/>
      <w:bookmarkEnd w:id="0"/>
    </w:p>
    <w:p w:rsidR="008362AC" w:rsidRDefault="002C348E">
      <w:pPr>
        <w:numPr>
          <w:ilvl w:val="0"/>
          <w:numId w:val="5"/>
        </w:numPr>
        <w:spacing w:before="240" w:after="240" w:line="276" w:lineRule="auto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Autorização de Funcionamento de Empresa (AFE) da empresa proponente, emitida pela Agência Nacional de Vigilância Sanitária (ANVISA); </w:t>
      </w:r>
    </w:p>
    <w:p w:rsidR="008362AC" w:rsidRDefault="002C348E">
      <w:pPr>
        <w:numPr>
          <w:ilvl w:val="0"/>
          <w:numId w:val="5"/>
        </w:numPr>
        <w:spacing w:before="240" w:after="240" w:line="276" w:lineRule="auto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Autorização Especial de Empresa (AE) do </w:t>
      </w:r>
      <w:r>
        <w:rPr>
          <w:sz w:val="24"/>
          <w:szCs w:val="24"/>
          <w:highlight w:val="white"/>
        </w:rPr>
        <w:t xml:space="preserve">proponente, emitida pela Agência Nacional de Vigilância Sanitária (ANVISA), em caso de o produto ser sujeito ao controle especial; </w:t>
      </w:r>
    </w:p>
    <w:p w:rsidR="008362AC" w:rsidRDefault="002C348E">
      <w:pPr>
        <w:numPr>
          <w:ilvl w:val="0"/>
          <w:numId w:val="5"/>
        </w:numPr>
        <w:spacing w:before="240" w:after="240" w:line="276" w:lineRule="auto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Certificado de Regularidade Técnica da empresa proponente, junto ao Conselho Regional de Farmácia, em vigor e com a indicaçã</w:t>
      </w:r>
      <w:r>
        <w:rPr>
          <w:sz w:val="24"/>
          <w:szCs w:val="24"/>
          <w:highlight w:val="white"/>
        </w:rPr>
        <w:t>o do responsável técnico da empresa.</w:t>
      </w:r>
    </w:p>
    <w:p w:rsidR="008362AC" w:rsidRDefault="002C348E">
      <w:pPr>
        <w:numPr>
          <w:ilvl w:val="0"/>
          <w:numId w:val="5"/>
        </w:numPr>
        <w:spacing w:before="240" w:after="240" w:line="276" w:lineRule="auto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Certidão Negativa de Falência e Concordata, expedida pelo cartório distribuidor da sede da pessoa jurídica.</w:t>
      </w:r>
    </w:p>
    <w:p w:rsidR="008362AC" w:rsidRDefault="002C348E">
      <w:pPr>
        <w:numPr>
          <w:ilvl w:val="0"/>
          <w:numId w:val="5"/>
        </w:numPr>
        <w:spacing w:before="240" w:after="240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CNPJ (Cadastro Nacional de Pessoas Jurídicas) da Empresa;</w:t>
      </w:r>
    </w:p>
    <w:p w:rsidR="008362AC" w:rsidRDefault="002C348E">
      <w:pPr>
        <w:numPr>
          <w:ilvl w:val="0"/>
          <w:numId w:val="5"/>
        </w:numPr>
        <w:spacing w:before="240" w:after="240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Prova de regularidade para com a Fazenda Municipal do</w:t>
      </w:r>
      <w:r>
        <w:rPr>
          <w:sz w:val="24"/>
          <w:szCs w:val="24"/>
          <w:highlight w:val="white"/>
        </w:rPr>
        <w:t xml:space="preserve"> domicílio ou sede do licitante, mediante apresentação de certidão emitida pela Secretaria competente do Município;</w:t>
      </w:r>
    </w:p>
    <w:p w:rsidR="008362AC" w:rsidRDefault="002C348E">
      <w:pPr>
        <w:numPr>
          <w:ilvl w:val="0"/>
          <w:numId w:val="5"/>
        </w:numPr>
        <w:spacing w:before="240" w:after="240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Prova de regularidade para com a Fazenda Estadual do domicílio ou sede do licitante, mediante apresentação de certidão emitida pela Secretar</w:t>
      </w:r>
      <w:r>
        <w:rPr>
          <w:sz w:val="24"/>
          <w:szCs w:val="24"/>
          <w:highlight w:val="white"/>
        </w:rPr>
        <w:t>ia competente do Estado;</w:t>
      </w:r>
    </w:p>
    <w:p w:rsidR="008362AC" w:rsidRDefault="002C348E">
      <w:pPr>
        <w:numPr>
          <w:ilvl w:val="0"/>
          <w:numId w:val="5"/>
        </w:numPr>
        <w:spacing w:before="240" w:after="240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Prova de regularidade para com a Fazenda Federal, mediante apresentação de Certidão Conjunta de Débitos Relativos a Tributos Federais e à Dívida Ativa da União e Seguridade Social, emitida pela Secretaria da Receita Federal do Bras</w:t>
      </w:r>
      <w:r>
        <w:rPr>
          <w:sz w:val="24"/>
          <w:szCs w:val="24"/>
          <w:highlight w:val="white"/>
        </w:rPr>
        <w:t>il e Procuradoria Geral da Fazenda Nacional;</w:t>
      </w:r>
    </w:p>
    <w:p w:rsidR="008362AC" w:rsidRDefault="002C348E">
      <w:pPr>
        <w:numPr>
          <w:ilvl w:val="0"/>
          <w:numId w:val="5"/>
        </w:numPr>
        <w:spacing w:before="240" w:after="240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Prova de regularidade relativa ao Fundo de Garantia por Tempo de Serviço - FGTS, emitida pela Caixa Econômica Federal (CRF);</w:t>
      </w:r>
    </w:p>
    <w:p w:rsidR="008362AC" w:rsidRDefault="002C348E">
      <w:pPr>
        <w:numPr>
          <w:ilvl w:val="0"/>
          <w:numId w:val="5"/>
        </w:numPr>
        <w:spacing w:before="240" w:after="240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Certidão de regularidade de Débitos Trabalhistas.</w:t>
      </w:r>
    </w:p>
    <w:p w:rsidR="008362AC" w:rsidRDefault="002C348E">
      <w:pPr>
        <w:numPr>
          <w:ilvl w:val="0"/>
          <w:numId w:val="5"/>
        </w:numPr>
        <w:spacing w:before="240" w:after="240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Declaração expressa de que o licitan</w:t>
      </w:r>
      <w:r>
        <w:rPr>
          <w:sz w:val="24"/>
          <w:szCs w:val="24"/>
          <w:highlight w:val="white"/>
        </w:rPr>
        <w:t>te não emprega trabalhador nas situações previstas no inciso XXXIII do art. 7º da Constituição Federal.</w:t>
      </w:r>
    </w:p>
    <w:p w:rsidR="008362AC" w:rsidRDefault="002C348E">
      <w:pPr>
        <w:widowControl w:val="0"/>
        <w:ind w:right="-564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>
        <w:rPr>
          <w:b/>
          <w:color w:val="000000"/>
          <w:sz w:val="24"/>
          <w:szCs w:val="24"/>
        </w:rPr>
        <w:t>CONDIÇÕES GERAIS</w:t>
      </w:r>
    </w:p>
    <w:p w:rsidR="008362AC" w:rsidRDefault="002C348E">
      <w:pPr>
        <w:ind w:right="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No valor global da proposta apresentada deverão estar incluídos Impostos, fretes, encargos sociais e demais despesas, pertinentes à </w:t>
      </w:r>
      <w:r>
        <w:rPr>
          <w:color w:val="000000"/>
          <w:sz w:val="24"/>
          <w:szCs w:val="24"/>
        </w:rPr>
        <w:t>entrega do objeto, caso necessitar de troca, as despesas também ficam a cargo do fornecedor.</w:t>
      </w:r>
    </w:p>
    <w:p w:rsidR="008362AC" w:rsidRDefault="008362AC">
      <w:pPr>
        <w:ind w:right="7"/>
        <w:jc w:val="both"/>
        <w:rPr>
          <w:sz w:val="24"/>
          <w:szCs w:val="24"/>
        </w:rPr>
      </w:pPr>
    </w:p>
    <w:p w:rsidR="008362AC" w:rsidRDefault="002C348E">
      <w:pPr>
        <w:ind w:right="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Este Termo de Referência deverá integrar o edital como um de seus anexos.</w:t>
      </w:r>
    </w:p>
    <w:p w:rsidR="008362AC" w:rsidRDefault="008362AC">
      <w:pPr>
        <w:ind w:right="-564"/>
        <w:jc w:val="both"/>
        <w:rPr>
          <w:sz w:val="24"/>
          <w:szCs w:val="24"/>
        </w:rPr>
      </w:pPr>
    </w:p>
    <w:p w:rsidR="008362AC" w:rsidRDefault="002C348E">
      <w:pPr>
        <w:ind w:right="-564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Santos Dumont, </w:t>
      </w:r>
      <w:r>
        <w:rPr>
          <w:sz w:val="24"/>
          <w:szCs w:val="24"/>
        </w:rPr>
        <w:t xml:space="preserve">18 </w:t>
      </w:r>
      <w:r>
        <w:rPr>
          <w:color w:val="000000"/>
          <w:sz w:val="24"/>
          <w:szCs w:val="24"/>
        </w:rPr>
        <w:t xml:space="preserve">de </w:t>
      </w:r>
      <w:r>
        <w:rPr>
          <w:sz w:val="24"/>
          <w:szCs w:val="24"/>
        </w:rPr>
        <w:t xml:space="preserve">julho </w:t>
      </w:r>
      <w:r>
        <w:rPr>
          <w:color w:val="000000"/>
          <w:sz w:val="24"/>
          <w:szCs w:val="24"/>
        </w:rPr>
        <w:t xml:space="preserve">de 2024. </w:t>
      </w:r>
    </w:p>
    <w:p w:rsidR="008362AC" w:rsidRDefault="008362AC">
      <w:pPr>
        <w:ind w:right="-564"/>
        <w:rPr>
          <w:sz w:val="24"/>
          <w:szCs w:val="24"/>
        </w:rPr>
      </w:pPr>
    </w:p>
    <w:p w:rsidR="008362AC" w:rsidRDefault="002C348E">
      <w:pPr>
        <w:ind w:right="-564"/>
        <w:jc w:val="center"/>
        <w:rPr>
          <w:sz w:val="24"/>
          <w:szCs w:val="24"/>
        </w:rPr>
      </w:pPr>
      <w:r>
        <w:rPr>
          <w:sz w:val="24"/>
          <w:szCs w:val="24"/>
        </w:rPr>
        <w:t>Cláudia de Aquino Paschoal</w:t>
      </w:r>
      <w:r>
        <w:rPr>
          <w:sz w:val="24"/>
          <w:szCs w:val="24"/>
        </w:rPr>
        <w:br/>
        <w:t>Secretária Municipal d</w:t>
      </w:r>
      <w:r>
        <w:rPr>
          <w:sz w:val="24"/>
          <w:szCs w:val="24"/>
        </w:rPr>
        <w:t>e Saúde</w:t>
      </w:r>
    </w:p>
    <w:sectPr w:rsidR="008362AC" w:rsidSect="008362AC">
      <w:headerReference w:type="default" r:id="rId8"/>
      <w:footerReference w:type="default" r:id="rId9"/>
      <w:type w:val="continuous"/>
      <w:pgSz w:w="11906" w:h="16838"/>
      <w:pgMar w:top="1133" w:right="1133" w:bottom="566" w:left="1133" w:header="709" w:footer="34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48E" w:rsidRDefault="002C348E" w:rsidP="008362AC">
      <w:r>
        <w:separator/>
      </w:r>
    </w:p>
  </w:endnote>
  <w:endnote w:type="continuationSeparator" w:id="1">
    <w:p w:rsidR="002C348E" w:rsidRDefault="002C348E" w:rsidP="008362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2AC" w:rsidRDefault="008362AC">
    <w:pPr>
      <w:jc w:val="center"/>
      <w:rPr>
        <w:rFonts w:ascii="Verdana" w:eastAsia="Verdana" w:hAnsi="Verdana" w:cs="Verdana"/>
        <w:b/>
        <w:color w:val="000000"/>
        <w:sz w:val="16"/>
        <w:szCs w:val="16"/>
      </w:rPr>
    </w:pPr>
  </w:p>
  <w:p w:rsidR="008362AC" w:rsidRDefault="008362AC">
    <w:pPr>
      <w:jc w:val="center"/>
      <w:rPr>
        <w:rFonts w:ascii="Verdana" w:eastAsia="Verdana" w:hAnsi="Verdana" w:cs="Verdana"/>
        <w:b/>
        <w:color w:val="000000"/>
        <w:sz w:val="16"/>
        <w:szCs w:val="16"/>
      </w:rPr>
    </w:pPr>
  </w:p>
  <w:p w:rsidR="008362AC" w:rsidRDefault="008362AC">
    <w:pPr>
      <w:jc w:val="center"/>
      <w:rPr>
        <w:rFonts w:ascii="Verdana" w:eastAsia="Verdana" w:hAnsi="Verdana" w:cs="Verdana"/>
        <w:b/>
        <w:color w:val="000000"/>
        <w:sz w:val="16"/>
        <w:szCs w:val="16"/>
      </w:rPr>
    </w:pPr>
  </w:p>
  <w:p w:rsidR="008362AC" w:rsidRDefault="002C348E">
    <w:pPr>
      <w:jc w:val="center"/>
      <w:rPr>
        <w:rFonts w:ascii="Verdana" w:eastAsia="Verdana" w:hAnsi="Verdana" w:cs="Verdana"/>
        <w:b/>
        <w:color w:val="000000"/>
        <w:sz w:val="16"/>
        <w:szCs w:val="16"/>
      </w:rPr>
    </w:pPr>
    <w:r>
      <w:rPr>
        <w:rFonts w:ascii="Verdana" w:eastAsia="Verdana" w:hAnsi="Verdana" w:cs="Verdana"/>
        <w:b/>
        <w:i/>
        <w:color w:val="000000"/>
        <w:sz w:val="16"/>
        <w:szCs w:val="16"/>
      </w:rPr>
      <w:t>Praça Cesário Alvim, 02 - Centro  -  SANTOS DUMONT - MG</w:t>
    </w:r>
  </w:p>
  <w:p w:rsidR="008362AC" w:rsidRDefault="002C348E">
    <w:pPr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Verdana" w:eastAsia="Verdana" w:hAnsi="Verdana" w:cs="Verdana"/>
        <w:b/>
        <w:i/>
        <w:color w:val="000000"/>
        <w:sz w:val="16"/>
        <w:szCs w:val="16"/>
      </w:rPr>
      <w:t>FAX (32) 3252- 7405  PABX (32) 3252- 7400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48E" w:rsidRDefault="002C348E" w:rsidP="008362AC">
      <w:r>
        <w:separator/>
      </w:r>
    </w:p>
  </w:footnote>
  <w:footnote w:type="continuationSeparator" w:id="1">
    <w:p w:rsidR="002C348E" w:rsidRDefault="002C348E" w:rsidP="008362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2AC" w:rsidRDefault="002C348E">
    <w:pPr>
      <w:spacing w:after="160" w:line="259" w:lineRule="auto"/>
      <w:ind w:left="141"/>
      <w:rPr>
        <w:rFonts w:ascii="Arial" w:eastAsia="Arial" w:hAnsi="Arial" w:cs="Arial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200025</wp:posOffset>
          </wp:positionH>
          <wp:positionV relativeFrom="paragraph">
            <wp:posOffset>0</wp:posOffset>
          </wp:positionV>
          <wp:extent cx="2562225" cy="790575"/>
          <wp:effectExtent l="0" t="0" r="0" b="0"/>
          <wp:wrapSquare wrapText="bothSides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62225" cy="790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362AC" w:rsidRDefault="008362AC">
    <w:pPr>
      <w:spacing w:after="160" w:line="259" w:lineRule="auto"/>
      <w:ind w:left="141"/>
      <w:rPr>
        <w:rFonts w:ascii="Arial" w:eastAsia="Arial" w:hAnsi="Arial" w:cs="Arial"/>
        <w:sz w:val="22"/>
        <w:szCs w:val="22"/>
      </w:rPr>
    </w:pPr>
  </w:p>
  <w:p w:rsidR="008362AC" w:rsidRDefault="008362AC">
    <w:pPr>
      <w:spacing w:after="160" w:line="259" w:lineRule="auto"/>
      <w:ind w:left="141"/>
      <w:rPr>
        <w:rFonts w:ascii="Arial" w:eastAsia="Arial" w:hAnsi="Arial" w:cs="Arial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34E5B29"/>
    <w:multiLevelType w:val="multilevel"/>
    <w:tmpl w:val="934E5B29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A4D8FB23"/>
    <w:multiLevelType w:val="multilevel"/>
    <w:tmpl w:val="A4D8FB23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AA524404"/>
    <w:multiLevelType w:val="multilevel"/>
    <w:tmpl w:val="AA52440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C05B4B86"/>
    <w:multiLevelType w:val="multilevel"/>
    <w:tmpl w:val="C05B4B8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5503F252"/>
    <w:multiLevelType w:val="multilevel"/>
    <w:tmpl w:val="5503F25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62AC"/>
    <w:rsid w:val="002C348E"/>
    <w:rsid w:val="008362AC"/>
    <w:rsid w:val="00B5232B"/>
    <w:rsid w:val="22083A63"/>
    <w:rsid w:val="56BF3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362AC"/>
  </w:style>
  <w:style w:type="paragraph" w:styleId="Ttulo1">
    <w:name w:val="heading 1"/>
    <w:next w:val="Normal"/>
    <w:rsid w:val="008362A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next w:val="Normal"/>
    <w:rsid w:val="008362A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next w:val="Normal"/>
    <w:rsid w:val="008362A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next w:val="Normal"/>
    <w:rsid w:val="008362A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next w:val="Normal"/>
    <w:rsid w:val="008362A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next w:val="Normal"/>
    <w:rsid w:val="008362AC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next w:val="Normal"/>
    <w:rsid w:val="008362AC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62AC"/>
    <w:rPr>
      <w:rFonts w:ascii="Tahoma" w:hAnsi="Tahoma" w:cs="Tahoma"/>
      <w:sz w:val="16"/>
      <w:szCs w:val="16"/>
    </w:rPr>
  </w:style>
  <w:style w:type="paragraph" w:styleId="Subttulo">
    <w:name w:val="Subtitle"/>
    <w:basedOn w:val="normal0"/>
    <w:next w:val="normal0"/>
    <w:qFormat/>
    <w:rsid w:val="008362A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0">
    <w:name w:val="normal"/>
    <w:rsid w:val="008362AC"/>
  </w:style>
  <w:style w:type="table" w:customStyle="1" w:styleId="TableNormal">
    <w:name w:val="Table Normal"/>
    <w:rsid w:val="008362A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7">
    <w:name w:val="_Style 67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62AC"/>
    <w:rPr>
      <w:rFonts w:ascii="Tahoma" w:hAnsi="Tahoma" w:cs="Tahoma"/>
      <w:sz w:val="16"/>
      <w:szCs w:val="16"/>
    </w:rPr>
  </w:style>
  <w:style w:type="table" w:customStyle="1" w:styleId="Style71">
    <w:name w:val="_Style 71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2">
    <w:name w:val="_Style 72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3">
    <w:name w:val="_Style 73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4">
    <w:name w:val="_Style 74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5">
    <w:name w:val="_Style 75"/>
    <w:basedOn w:val="TableNormal"/>
    <w:rsid w:val="008362AC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76">
    <w:name w:val="_Style 76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7">
    <w:name w:val="_Style 77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8">
    <w:name w:val="_Style 78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79">
    <w:name w:val="_Style 79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0">
    <w:name w:val="_Style 80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1">
    <w:name w:val="_Style 81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2">
    <w:name w:val="_Style 82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3">
    <w:name w:val="_Style 83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4">
    <w:name w:val="_Style 84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5">
    <w:name w:val="_Style 85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6">
    <w:name w:val="_Style 86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7">
    <w:name w:val="_Style 87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8">
    <w:name w:val="_Style 88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89">
    <w:name w:val="_Style 89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0">
    <w:name w:val="_Style 90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1">
    <w:name w:val="_Style 91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2">
    <w:name w:val="_Style 92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3">
    <w:name w:val="_Style 93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4">
    <w:name w:val="_Style 94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5">
    <w:name w:val="_Style 95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6">
    <w:name w:val="_Style 96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7">
    <w:name w:val="_Style 97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8">
    <w:name w:val="_Style 98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0">
    <w:name w:val="_Style 100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1">
    <w:name w:val="_Style 101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2">
    <w:name w:val="_Style 102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3">
    <w:name w:val="_Style 103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4">
    <w:name w:val="_Style 104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5">
    <w:name w:val="_Style 105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6">
    <w:name w:val="_Style 106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7">
    <w:name w:val="_Style 107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8">
    <w:name w:val="_Style 108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9">
    <w:name w:val="_Style 109"/>
    <w:rsid w:val="008362AC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10">
    <w:name w:val="_Style 110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1">
    <w:name w:val="_Style 111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2">
    <w:name w:val="_Style 112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3">
    <w:name w:val="_Style 113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4">
    <w:name w:val="_Style 114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5">
    <w:name w:val="_Style 115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6">
    <w:name w:val="_Style 116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17">
    <w:name w:val="_Style 117"/>
    <w:rsid w:val="008362AC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18">
    <w:name w:val="_Style 118"/>
    <w:rsid w:val="008362AC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19">
    <w:name w:val="_Style 119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0">
    <w:name w:val="_Style 120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1">
    <w:name w:val="_Style 121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2">
    <w:name w:val="_Style 122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3">
    <w:name w:val="_Style 123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4">
    <w:name w:val="_Style 124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5">
    <w:name w:val="_Style 125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6">
    <w:name w:val="_Style 126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7">
    <w:name w:val="_Style 127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8">
    <w:name w:val="_Style 128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29">
    <w:name w:val="_Style 129"/>
    <w:basedOn w:val="TableNormal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1">
    <w:name w:val="_Style 131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2">
    <w:name w:val="_Style 132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3">
    <w:name w:val="_Style 133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4">
    <w:name w:val="_Style 134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5">
    <w:name w:val="_Style 135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6">
    <w:name w:val="_Style 136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7">
    <w:name w:val="_Style 137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8">
    <w:name w:val="_Style 138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9">
    <w:name w:val="_Style 139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0">
    <w:name w:val="_Style 140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1">
    <w:name w:val="_Style 141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2">
    <w:name w:val="_Style 142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3">
    <w:name w:val="_Style 143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4">
    <w:name w:val="_Style 144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5">
    <w:name w:val="_Style 145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6">
    <w:name w:val="_Style 146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7">
    <w:name w:val="_Style 147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8">
    <w:name w:val="_Style 148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9">
    <w:name w:val="_Style 149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0">
    <w:name w:val="_Style 150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1">
    <w:name w:val="_Style 151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2">
    <w:name w:val="_Style 152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3">
    <w:name w:val="_Style 153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4">
    <w:name w:val="_Style 154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5">
    <w:name w:val="_Style 155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6">
    <w:name w:val="_Style 156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7">
    <w:name w:val="_Style 157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8">
    <w:name w:val="_Style 158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59">
    <w:name w:val="_Style 159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1">
    <w:name w:val="_Style 161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2">
    <w:name w:val="_Style 162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3">
    <w:name w:val="_Style 163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4">
    <w:name w:val="_Style 164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5">
    <w:name w:val="_Style 165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6">
    <w:name w:val="_Style 166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7">
    <w:name w:val="_Style 167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8">
    <w:name w:val="_Style 168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69">
    <w:name w:val="_Style 169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0">
    <w:name w:val="_Style 170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1">
    <w:name w:val="_Style 171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2">
    <w:name w:val="_Style 172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3">
    <w:name w:val="_Style 173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4">
    <w:name w:val="_Style 174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5">
    <w:name w:val="_Style 175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6">
    <w:name w:val="_Style 176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7">
    <w:name w:val="_Style 177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8">
    <w:name w:val="_Style 178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79">
    <w:name w:val="_Style 179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0">
    <w:name w:val="_Style 180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1">
    <w:name w:val="_Style 181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2">
    <w:name w:val="_Style 182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3">
    <w:name w:val="_Style 183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4">
    <w:name w:val="_Style 184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5">
    <w:name w:val="_Style 185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6">
    <w:name w:val="_Style 186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7">
    <w:name w:val="_Style 187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8">
    <w:name w:val="_Style 188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89">
    <w:name w:val="_Style 189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1">
    <w:name w:val="_Style 191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2">
    <w:name w:val="_Style 192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3">
    <w:name w:val="_Style 193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4">
    <w:name w:val="_Style 194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5">
    <w:name w:val="_Style 195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6">
    <w:name w:val="_Style 196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7">
    <w:name w:val="_Style 197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8">
    <w:name w:val="_Style 198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99">
    <w:name w:val="_Style 199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0">
    <w:name w:val="_Style 200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1">
    <w:name w:val="_Style 201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2">
    <w:name w:val="_Style 202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3">
    <w:name w:val="_Style 203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4">
    <w:name w:val="_Style 204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5">
    <w:name w:val="_Style 205"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6">
    <w:name w:val="_Style 206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7">
    <w:name w:val="_Style 207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8">
    <w:name w:val="_Style 208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9">
    <w:name w:val="_Style 209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0">
    <w:name w:val="_Style 210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1">
    <w:name w:val="_Style 211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2">
    <w:name w:val="_Style 212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3">
    <w:name w:val="_Style 213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4">
    <w:name w:val="_Style 214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5">
    <w:name w:val="_Style 215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6">
    <w:name w:val="_Style 216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7">
    <w:name w:val="_Style 217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8">
    <w:name w:val="_Style 218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0">
    <w:name w:val="_Style 220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1">
    <w:name w:val="_Style 221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2">
    <w:name w:val="_Style 222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3">
    <w:name w:val="_Style 223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4">
    <w:name w:val="_Style 224"/>
    <w:qFormat/>
    <w:rsid w:val="008362AC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225">
    <w:name w:val="_Style 225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6">
    <w:name w:val="_Style 226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7">
    <w:name w:val="_Style 227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8">
    <w:name w:val="_Style 228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9">
    <w:name w:val="_Style 229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30">
    <w:name w:val="_Style 230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31">
    <w:name w:val="_Style 231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32">
    <w:name w:val="_Style 232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33">
    <w:name w:val="_Style 233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34">
    <w:name w:val="_Style 234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35">
    <w:name w:val="_Style 235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36">
    <w:name w:val="_Style 236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37">
    <w:name w:val="_Style 237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38">
    <w:name w:val="_Style 238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39">
    <w:name w:val="_Style 239"/>
    <w:qFormat/>
    <w:rsid w:val="008362AC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240">
    <w:name w:val="_Style 240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41">
    <w:name w:val="_Style 241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42">
    <w:name w:val="_Style 242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43">
    <w:name w:val="_Style 243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44">
    <w:name w:val="_Style 244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45">
    <w:name w:val="_Style 245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46">
    <w:name w:val="_Style 246"/>
    <w:qFormat/>
    <w:rsid w:val="008362AC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247">
    <w:name w:val="_Style 247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48">
    <w:name w:val="_Style 248"/>
    <w:qFormat/>
    <w:rsid w:val="008362AC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inhgNHP6j+ZtQJFN6etVDlaH2Q==">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4097</Words>
  <Characters>22128</Characters>
  <Application>Microsoft Office Word</Application>
  <DocSecurity>0</DocSecurity>
  <Lines>184</Lines>
  <Paragraphs>52</Paragraphs>
  <ScaleCrop>false</ScaleCrop>
  <Company/>
  <LinksUpToDate>false</LinksUpToDate>
  <CharactersWithSpaces>26173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2024-09-25T17:40:00Z</dcterms:created>
  <dcterms:modified xsi:type="dcterms:W3CDTF">2024-09-25T17:40:00Z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23B7490353E749C7A62980AE729768ED_13</vt:lpwstr>
  </property>
</Properties>
</file>