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1774" w:rsidRDefault="00B01774" w:rsidP="00B01774">
      <w:pPr>
        <w:pStyle w:val="Cabealho"/>
      </w:pPr>
      <w:r>
        <w:rPr>
          <w:noProof/>
        </w:rPr>
        <mc:AlternateContent>
          <mc:Choice Requires="wps">
            <w:drawing>
              <wp:anchor distT="0" distB="0" distL="114300" distR="114300" simplePos="0" relativeHeight="251660288" behindDoc="0" locked="0" layoutInCell="1" allowOverlap="1" wp14:anchorId="30D3204D" wp14:editId="2E8B0024">
                <wp:simplePos x="0" y="0"/>
                <wp:positionH relativeFrom="column">
                  <wp:posOffset>4070985</wp:posOffset>
                </wp:positionH>
                <wp:positionV relativeFrom="paragraph">
                  <wp:posOffset>-313055</wp:posOffset>
                </wp:positionV>
                <wp:extent cx="2308860" cy="754380"/>
                <wp:effectExtent l="0" t="0" r="0" b="762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860" cy="754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01774" w:rsidRPr="009C3D3D" w:rsidRDefault="00B01774" w:rsidP="00B01774">
                            <w:pPr>
                              <w:pBdr>
                                <w:left w:val="single" w:sz="4" w:space="4" w:color="auto"/>
                              </w:pBdr>
                              <w:rPr>
                                <w:rFonts w:ascii="Arial" w:hAnsi="Arial" w:cs="Arial"/>
                                <w:sz w:val="16"/>
                                <w:szCs w:val="16"/>
                              </w:rPr>
                            </w:pPr>
                            <w:r w:rsidRPr="009C3D3D">
                              <w:rPr>
                                <w:rFonts w:ascii="Arial" w:hAnsi="Arial" w:cs="Arial"/>
                                <w:sz w:val="16"/>
                                <w:szCs w:val="16"/>
                              </w:rPr>
                              <w:t>Praça Barão de Montes Claros, 16</w:t>
                            </w:r>
                          </w:p>
                          <w:p w:rsidR="00B01774" w:rsidRPr="009C3D3D" w:rsidRDefault="00B01774" w:rsidP="00B01774">
                            <w:pPr>
                              <w:pBdr>
                                <w:left w:val="single" w:sz="4" w:space="4" w:color="auto"/>
                              </w:pBdr>
                              <w:rPr>
                                <w:rFonts w:ascii="Arial" w:hAnsi="Arial" w:cs="Arial"/>
                                <w:sz w:val="16"/>
                                <w:szCs w:val="16"/>
                              </w:rPr>
                            </w:pPr>
                            <w:r w:rsidRPr="009C3D3D">
                              <w:rPr>
                                <w:rFonts w:ascii="Arial" w:hAnsi="Arial" w:cs="Arial"/>
                                <w:sz w:val="16"/>
                                <w:szCs w:val="16"/>
                              </w:rPr>
                              <w:t>Centro</w:t>
                            </w:r>
                          </w:p>
                          <w:p w:rsidR="00B01774" w:rsidRPr="009C3D3D" w:rsidRDefault="00B01774" w:rsidP="00B01774">
                            <w:pPr>
                              <w:pBdr>
                                <w:left w:val="single" w:sz="4" w:space="4" w:color="auto"/>
                              </w:pBdr>
                              <w:rPr>
                                <w:rFonts w:ascii="Arial" w:hAnsi="Arial" w:cs="Arial"/>
                                <w:sz w:val="16"/>
                                <w:szCs w:val="16"/>
                              </w:rPr>
                            </w:pPr>
                            <w:proofErr w:type="spellStart"/>
                            <w:r w:rsidRPr="009C3D3D">
                              <w:rPr>
                                <w:rFonts w:ascii="Arial" w:hAnsi="Arial" w:cs="Arial"/>
                                <w:sz w:val="16"/>
                                <w:szCs w:val="16"/>
                              </w:rPr>
                              <w:t>Aracitaba</w:t>
                            </w:r>
                            <w:proofErr w:type="spellEnd"/>
                            <w:r w:rsidRPr="009C3D3D">
                              <w:rPr>
                                <w:rFonts w:ascii="Arial" w:hAnsi="Arial" w:cs="Arial"/>
                                <w:sz w:val="16"/>
                                <w:szCs w:val="16"/>
                              </w:rPr>
                              <w:t>/MG – CEP 36255-000</w:t>
                            </w:r>
                          </w:p>
                          <w:p w:rsidR="00B01774" w:rsidRPr="009C3D3D" w:rsidRDefault="00B01774" w:rsidP="00B01774">
                            <w:pPr>
                              <w:pBdr>
                                <w:left w:val="single" w:sz="4" w:space="4" w:color="auto"/>
                              </w:pBdr>
                              <w:rPr>
                                <w:rFonts w:ascii="Arial" w:hAnsi="Arial" w:cs="Arial"/>
                                <w:sz w:val="16"/>
                                <w:szCs w:val="16"/>
                              </w:rPr>
                            </w:pPr>
                            <w:r w:rsidRPr="009C3D3D">
                              <w:rPr>
                                <w:rFonts w:ascii="Arial" w:hAnsi="Arial" w:cs="Arial"/>
                                <w:sz w:val="16"/>
                                <w:szCs w:val="16"/>
                              </w:rPr>
                              <w:t>CNPJ nº 17.747.940/0001-41 www.aracitaba.mg.gov.br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D3204D" id="_x0000_t202" coordsize="21600,21600" o:spt="202" path="m,l,21600r21600,l21600,xe">
                <v:stroke joinstyle="miter"/>
                <v:path gradientshapeok="t" o:connecttype="rect"/>
              </v:shapetype>
              <v:shape id="Caixa de Texto 3" o:spid="_x0000_s1026" type="#_x0000_t202" style="position:absolute;margin-left:320.55pt;margin-top:-24.65pt;width:181.8pt;height:5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" stroked="f">
                <v:textbox>
                  <w:txbxContent>
                    <w:p w:rsidR="00B01774" w:rsidRPr="009C3D3D" w:rsidRDefault="00B01774" w:rsidP="00B01774">
                      <w:pPr>
                        <w:pBdr>
                          <w:left w:val="single" w:sz="4" w:space="4" w:color="auto"/>
                        </w:pBdr>
                        <w:rPr>
                          <w:rFonts w:ascii="Arial" w:hAnsi="Arial" w:cs="Arial"/>
                          <w:sz w:val="16"/>
                          <w:szCs w:val="16"/>
                        </w:rPr>
                      </w:pPr>
                      <w:r w:rsidRPr="009C3D3D">
                        <w:rPr>
                          <w:rFonts w:ascii="Arial" w:hAnsi="Arial" w:cs="Arial"/>
                          <w:sz w:val="16"/>
                          <w:szCs w:val="16"/>
                        </w:rPr>
                        <w:t>Praça Barão de Montes Claros, 16</w:t>
                      </w:r>
                    </w:p>
                    <w:p w:rsidR="00B01774" w:rsidRPr="009C3D3D" w:rsidRDefault="00B01774" w:rsidP="00B01774">
                      <w:pPr>
                        <w:pBdr>
                          <w:left w:val="single" w:sz="4" w:space="4" w:color="auto"/>
                        </w:pBdr>
                        <w:rPr>
                          <w:rFonts w:ascii="Arial" w:hAnsi="Arial" w:cs="Arial"/>
                          <w:sz w:val="16"/>
                          <w:szCs w:val="16"/>
                        </w:rPr>
                      </w:pPr>
                      <w:r w:rsidRPr="009C3D3D">
                        <w:rPr>
                          <w:rFonts w:ascii="Arial" w:hAnsi="Arial" w:cs="Arial"/>
                          <w:sz w:val="16"/>
                          <w:szCs w:val="16"/>
                        </w:rPr>
                        <w:t>Centro</w:t>
                      </w:r>
                    </w:p>
                    <w:p w:rsidR="00B01774" w:rsidRPr="009C3D3D" w:rsidRDefault="00B01774" w:rsidP="00B01774">
                      <w:pPr>
                        <w:pBdr>
                          <w:left w:val="single" w:sz="4" w:space="4" w:color="auto"/>
                        </w:pBdr>
                        <w:rPr>
                          <w:rFonts w:ascii="Arial" w:hAnsi="Arial" w:cs="Arial"/>
                          <w:sz w:val="16"/>
                          <w:szCs w:val="16"/>
                        </w:rPr>
                      </w:pPr>
                      <w:proofErr w:type="spellStart"/>
                      <w:r w:rsidRPr="009C3D3D">
                        <w:rPr>
                          <w:rFonts w:ascii="Arial" w:hAnsi="Arial" w:cs="Arial"/>
                          <w:sz w:val="16"/>
                          <w:szCs w:val="16"/>
                        </w:rPr>
                        <w:t>Aracitaba</w:t>
                      </w:r>
                      <w:proofErr w:type="spellEnd"/>
                      <w:r w:rsidRPr="009C3D3D">
                        <w:rPr>
                          <w:rFonts w:ascii="Arial" w:hAnsi="Arial" w:cs="Arial"/>
                          <w:sz w:val="16"/>
                          <w:szCs w:val="16"/>
                        </w:rPr>
                        <w:t>/MG – CEP 36255-000</w:t>
                      </w:r>
                    </w:p>
                    <w:p w:rsidR="00B01774" w:rsidRPr="009C3D3D" w:rsidRDefault="00B01774" w:rsidP="00B01774">
                      <w:pPr>
                        <w:pBdr>
                          <w:left w:val="single" w:sz="4" w:space="4" w:color="auto"/>
                        </w:pBdr>
                        <w:rPr>
                          <w:rFonts w:ascii="Arial" w:hAnsi="Arial" w:cs="Arial"/>
                          <w:sz w:val="16"/>
                          <w:szCs w:val="16"/>
                        </w:rPr>
                      </w:pPr>
                      <w:r w:rsidRPr="009C3D3D">
                        <w:rPr>
                          <w:rFonts w:ascii="Arial" w:hAnsi="Arial" w:cs="Arial"/>
                          <w:sz w:val="16"/>
                          <w:szCs w:val="16"/>
                        </w:rPr>
                        <w:t>CNPJ nº 17.747.940/0001-41 www.aracitaba.mg.gov.br</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25913A93" wp14:editId="4F80D68B">
                <wp:simplePos x="0" y="0"/>
                <wp:positionH relativeFrom="column">
                  <wp:posOffset>878205</wp:posOffset>
                </wp:positionH>
                <wp:positionV relativeFrom="paragraph">
                  <wp:posOffset>-381000</wp:posOffset>
                </wp:positionV>
                <wp:extent cx="3124200" cy="9525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952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01774" w:rsidRDefault="00B01774" w:rsidP="00B01774">
                            <w:pPr>
                              <w:jc w:val="center"/>
                              <w:rPr>
                                <w:rFonts w:ascii="Arial" w:hAnsi="Arial" w:cs="Arial"/>
                                <w:b/>
                                <w:sz w:val="26"/>
                                <w:szCs w:val="26"/>
                              </w:rPr>
                            </w:pPr>
                            <w:r w:rsidRPr="00AE5914">
                              <w:rPr>
                                <w:rFonts w:ascii="Arial" w:hAnsi="Arial" w:cs="Arial"/>
                                <w:b/>
                                <w:sz w:val="26"/>
                                <w:szCs w:val="26"/>
                              </w:rPr>
                              <w:t>MUNICÍPIO DE ARACITABA</w:t>
                            </w:r>
                          </w:p>
                          <w:p w:rsidR="00B01774" w:rsidRDefault="00B01774" w:rsidP="00B01774">
                            <w:pPr>
                              <w:jc w:val="center"/>
                              <w:rPr>
                                <w:rFonts w:ascii="Arial" w:hAnsi="Arial" w:cs="Arial"/>
                                <w:sz w:val="22"/>
                                <w:szCs w:val="22"/>
                              </w:rPr>
                            </w:pPr>
                            <w:r w:rsidRPr="00AE5914">
                              <w:rPr>
                                <w:rFonts w:ascii="Arial" w:hAnsi="Arial" w:cs="Arial"/>
                                <w:sz w:val="22"/>
                                <w:szCs w:val="22"/>
                              </w:rPr>
                              <w:t>ESTADO DE MINAS GERAIS</w:t>
                            </w:r>
                          </w:p>
                          <w:p w:rsidR="00B01774" w:rsidRPr="00AE5914" w:rsidRDefault="00B01774" w:rsidP="00B01774">
                            <w:pPr>
                              <w:jc w:val="center"/>
                              <w:rPr>
                                <w:rFonts w:ascii="Arial" w:hAnsi="Arial" w:cs="Arial"/>
                                <w:sz w:val="18"/>
                                <w:szCs w:val="18"/>
                              </w:rPr>
                            </w:pPr>
                            <w:r w:rsidRPr="00AE5914">
                              <w:rPr>
                                <w:rFonts w:ascii="Arial" w:hAnsi="Arial" w:cs="Arial"/>
                                <w:sz w:val="18"/>
                                <w:szCs w:val="18"/>
                              </w:rPr>
                              <w:t>GESTÃO 2021/2024</w:t>
                            </w:r>
                          </w:p>
                          <w:p w:rsidR="00B01774" w:rsidRPr="009C3D3D" w:rsidRDefault="00B01774" w:rsidP="00B01774">
                            <w:pPr>
                              <w:jc w:val="center"/>
                              <w:rPr>
                                <w:rFonts w:ascii="Arial" w:hAnsi="Arial" w:cs="Arial"/>
                                <w:sz w:val="16"/>
                                <w:szCs w:val="16"/>
                              </w:rPr>
                            </w:pPr>
                            <w:r w:rsidRPr="009C3D3D">
                              <w:rPr>
                                <w:rFonts w:ascii="Arial" w:hAnsi="Arial" w:cs="Arial"/>
                                <w:sz w:val="16"/>
                                <w:szCs w:val="16"/>
                              </w:rPr>
                              <w:t>"UM NOVO OLHAR, UM MUNICÍPIO MELHOR'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913A93" id="Caixa de Texto 2" o:spid="_x0000_s1027" type="#_x0000_t202" style="position:absolute;margin-left:69.15pt;margin-top:-30pt;width:246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" stroked="f">
                <v:textbox>
                  <w:txbxContent>
                    <w:p w:rsidR="00B01774" w:rsidRDefault="00B01774" w:rsidP="00B01774">
                      <w:pPr>
                        <w:jc w:val="center"/>
                        <w:rPr>
                          <w:rFonts w:ascii="Arial" w:hAnsi="Arial" w:cs="Arial"/>
                          <w:b/>
                          <w:sz w:val="26"/>
                          <w:szCs w:val="26"/>
                        </w:rPr>
                      </w:pPr>
                      <w:r w:rsidRPr="00AE5914">
                        <w:rPr>
                          <w:rFonts w:ascii="Arial" w:hAnsi="Arial" w:cs="Arial"/>
                          <w:b/>
                          <w:sz w:val="26"/>
                          <w:szCs w:val="26"/>
                        </w:rPr>
                        <w:t>MUNICÍPIO DE ARACITABA</w:t>
                      </w:r>
                    </w:p>
                    <w:p w:rsidR="00B01774" w:rsidRDefault="00B01774" w:rsidP="00B01774">
                      <w:pPr>
                        <w:jc w:val="center"/>
                        <w:rPr>
                          <w:rFonts w:ascii="Arial" w:hAnsi="Arial" w:cs="Arial"/>
                          <w:sz w:val="22"/>
                          <w:szCs w:val="22"/>
                        </w:rPr>
                      </w:pPr>
                      <w:r w:rsidRPr="00AE5914">
                        <w:rPr>
                          <w:rFonts w:ascii="Arial" w:hAnsi="Arial" w:cs="Arial"/>
                          <w:sz w:val="22"/>
                          <w:szCs w:val="22"/>
                        </w:rPr>
                        <w:t>ESTADO DE MINAS GERAIS</w:t>
                      </w:r>
                    </w:p>
                    <w:p w:rsidR="00B01774" w:rsidRPr="00AE5914" w:rsidRDefault="00B01774" w:rsidP="00B01774">
                      <w:pPr>
                        <w:jc w:val="center"/>
                        <w:rPr>
                          <w:rFonts w:ascii="Arial" w:hAnsi="Arial" w:cs="Arial"/>
                          <w:sz w:val="18"/>
                          <w:szCs w:val="18"/>
                        </w:rPr>
                      </w:pPr>
                      <w:r w:rsidRPr="00AE5914">
                        <w:rPr>
                          <w:rFonts w:ascii="Arial" w:hAnsi="Arial" w:cs="Arial"/>
                          <w:sz w:val="18"/>
                          <w:szCs w:val="18"/>
                        </w:rPr>
                        <w:t>GESTÃO 2021/2024</w:t>
                      </w:r>
                    </w:p>
                    <w:p w:rsidR="00B01774" w:rsidRPr="009C3D3D" w:rsidRDefault="00B01774" w:rsidP="00B01774">
                      <w:pPr>
                        <w:jc w:val="center"/>
                        <w:rPr>
                          <w:rFonts w:ascii="Arial" w:hAnsi="Arial" w:cs="Arial"/>
                          <w:sz w:val="16"/>
                          <w:szCs w:val="16"/>
                        </w:rPr>
                      </w:pPr>
                      <w:r w:rsidRPr="009C3D3D">
                        <w:rPr>
                          <w:rFonts w:ascii="Arial" w:hAnsi="Arial" w:cs="Arial"/>
                          <w:sz w:val="16"/>
                          <w:szCs w:val="16"/>
                        </w:rPr>
                        <w:t>"UM NOVO OLHAR, UM MUNICÍPIO MELHOR'</w:t>
                      </w:r>
                    </w:p>
                  </w:txbxContent>
                </v:textbox>
              </v:shape>
            </w:pict>
          </mc:Fallback>
        </mc:AlternateContent>
      </w:r>
    </w:p>
    <w:p w:rsidR="00B01774" w:rsidRDefault="00B01774" w:rsidP="00B01774">
      <w:pPr>
        <w:pStyle w:val="Estilo"/>
        <w:framePr w:w="1708" w:h="1914" w:hRule="exact" w:wrap="auto" w:vAnchor="page" w:hAnchor="page" w:x="1396" w:y="586"/>
      </w:pPr>
      <w:r>
        <w:rPr>
          <w:noProof/>
        </w:rPr>
        <w:drawing>
          <wp:inline distT="0" distB="0" distL="0" distR="0" wp14:anchorId="1CB374BB" wp14:editId="2B91E26E">
            <wp:extent cx="960120" cy="944880"/>
            <wp:effectExtent l="0" t="0" r="0" b="762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0120" cy="944880"/>
                    </a:xfrm>
                    <a:prstGeom prst="rect">
                      <a:avLst/>
                    </a:prstGeom>
                    <a:noFill/>
                    <a:ln>
                      <a:noFill/>
                    </a:ln>
                  </pic:spPr>
                </pic:pic>
              </a:graphicData>
            </a:graphic>
          </wp:inline>
        </w:drawing>
      </w:r>
    </w:p>
    <w:p w:rsidR="00B01774" w:rsidRDefault="00B01774" w:rsidP="00B01774">
      <w:pPr>
        <w:pStyle w:val="Cabealho"/>
      </w:pPr>
      <w:r>
        <w:t xml:space="preserve"> </w:t>
      </w:r>
    </w:p>
    <w:p w:rsidR="00B01774" w:rsidRDefault="00B01774" w:rsidP="00B01774"/>
    <w:p w:rsidR="00B01774" w:rsidRDefault="00B01774" w:rsidP="00B01774">
      <w:pPr>
        <w:pStyle w:val="Cabealho"/>
      </w:pPr>
    </w:p>
    <w:p w:rsidR="00B01774" w:rsidRPr="003F0CFC" w:rsidRDefault="00B01774" w:rsidP="003F0CFC">
      <w:pPr>
        <w:pStyle w:val="Default"/>
        <w:ind w:left="3686"/>
        <w:jc w:val="both"/>
        <w:rPr>
          <w:sz w:val="20"/>
          <w:szCs w:val="20"/>
        </w:rPr>
      </w:pPr>
      <w:r w:rsidRPr="003F0CFC">
        <w:rPr>
          <w:sz w:val="20"/>
          <w:szCs w:val="20"/>
        </w:rPr>
        <w:t>CONTRATO ADMINISTRATIVO Nº 0</w:t>
      </w:r>
      <w:r w:rsidR="006A331B" w:rsidRPr="003F0CFC">
        <w:rPr>
          <w:sz w:val="20"/>
          <w:szCs w:val="20"/>
        </w:rPr>
        <w:t>8</w:t>
      </w:r>
      <w:r w:rsidR="003F0CFC" w:rsidRPr="003F0CFC">
        <w:rPr>
          <w:sz w:val="20"/>
          <w:szCs w:val="20"/>
        </w:rPr>
        <w:t>6</w:t>
      </w:r>
      <w:r w:rsidRPr="003F0CFC">
        <w:rPr>
          <w:sz w:val="20"/>
          <w:szCs w:val="20"/>
        </w:rPr>
        <w:t>/2024, QUE FAZEM ENTRE SI A PREFEITURA MUNICIPAL DE ARACITABA/</w:t>
      </w:r>
      <w:proofErr w:type="gramStart"/>
      <w:r w:rsidRPr="003F0CFC">
        <w:rPr>
          <w:sz w:val="20"/>
          <w:szCs w:val="20"/>
        </w:rPr>
        <w:t>MG  E</w:t>
      </w:r>
      <w:proofErr w:type="gramEnd"/>
      <w:r w:rsidRPr="003F0CFC">
        <w:rPr>
          <w:sz w:val="20"/>
          <w:szCs w:val="20"/>
        </w:rPr>
        <w:t xml:space="preserve"> </w:t>
      </w:r>
      <w:r w:rsidR="003F0CFC" w:rsidRPr="003F0CFC">
        <w:rPr>
          <w:sz w:val="20"/>
          <w:szCs w:val="20"/>
        </w:rPr>
        <w:t xml:space="preserve"> RC </w:t>
      </w:r>
      <w:proofErr w:type="spellStart"/>
      <w:r w:rsidR="003F0CFC" w:rsidRPr="003F0CFC">
        <w:rPr>
          <w:sz w:val="20"/>
          <w:szCs w:val="20"/>
        </w:rPr>
        <w:t>Scientific</w:t>
      </w:r>
      <w:proofErr w:type="spellEnd"/>
      <w:r w:rsidR="003F0CFC" w:rsidRPr="003F0CFC">
        <w:rPr>
          <w:sz w:val="20"/>
          <w:szCs w:val="20"/>
        </w:rPr>
        <w:t xml:space="preserve"> Comércio de Instrumentos Analíticos – EIRELI</w:t>
      </w:r>
    </w:p>
    <w:p w:rsidR="00105138" w:rsidRPr="008E10D0" w:rsidRDefault="00105138" w:rsidP="00105138">
      <w:pPr>
        <w:autoSpaceDE w:val="0"/>
        <w:autoSpaceDN w:val="0"/>
        <w:adjustRightInd w:val="0"/>
        <w:rPr>
          <w:bCs/>
        </w:rPr>
      </w:pPr>
    </w:p>
    <w:p w:rsidR="00B01774" w:rsidRPr="003F0CFC" w:rsidRDefault="00B01774" w:rsidP="003F0CFC">
      <w:pPr>
        <w:pStyle w:val="Default"/>
        <w:jc w:val="both"/>
        <w:rPr>
          <w:rFonts w:eastAsia="Arial"/>
          <w:sz w:val="20"/>
          <w:szCs w:val="20"/>
        </w:rPr>
      </w:pPr>
      <w:r w:rsidRPr="003F0CFC">
        <w:rPr>
          <w:rFonts w:eastAsia="Arial"/>
          <w:i/>
          <w:iCs/>
          <w:sz w:val="20"/>
          <w:szCs w:val="20"/>
        </w:rPr>
        <w:t>A PREFEITURA MUNICIPAL DE ARACITABA/MG</w:t>
      </w:r>
      <w:r w:rsidRPr="003F0CFC">
        <w:rPr>
          <w:rFonts w:eastAsia="Arial"/>
          <w:sz w:val="20"/>
          <w:szCs w:val="20"/>
        </w:rPr>
        <w:t xml:space="preserve">, com sede no(a) </w:t>
      </w:r>
      <w:proofErr w:type="gramStart"/>
      <w:r w:rsidRPr="003F0CFC">
        <w:rPr>
          <w:rFonts w:eastAsia="Courier New"/>
          <w:sz w:val="20"/>
          <w:szCs w:val="20"/>
        </w:rPr>
        <w:t>Pça  Barão</w:t>
      </w:r>
      <w:proofErr w:type="gramEnd"/>
      <w:r w:rsidRPr="003F0CFC">
        <w:rPr>
          <w:rFonts w:eastAsia="Courier New"/>
          <w:sz w:val="20"/>
          <w:szCs w:val="20"/>
        </w:rPr>
        <w:t xml:space="preserve"> de Montes Claros, 16, centro, CEP 36.255-000, inscrito no CNPJ sob o nº. 17.747.940/0001-41, neste ato representado por seu Prefeita, </w:t>
      </w:r>
      <w:r w:rsidRPr="003F0CFC">
        <w:rPr>
          <w:sz w:val="20"/>
          <w:szCs w:val="20"/>
        </w:rPr>
        <w:t>Terezinha Marcília do Amaral Toledo</w:t>
      </w:r>
      <w:r w:rsidRPr="003F0CFC">
        <w:rPr>
          <w:rFonts w:eastAsia="Arial"/>
          <w:sz w:val="20"/>
          <w:szCs w:val="20"/>
        </w:rPr>
        <w:t xml:space="preserve">, brasileira, </w:t>
      </w:r>
      <w:r w:rsidRPr="003F0CFC">
        <w:rPr>
          <w:rFonts w:eastAsia="Courier New"/>
          <w:sz w:val="20"/>
          <w:szCs w:val="20"/>
        </w:rPr>
        <w:t>casada</w:t>
      </w:r>
      <w:r w:rsidRPr="003F0CFC">
        <w:rPr>
          <w:rFonts w:eastAsia="Arial"/>
          <w:sz w:val="20"/>
          <w:szCs w:val="20"/>
        </w:rPr>
        <w:t xml:space="preserve">, </w:t>
      </w:r>
      <w:r w:rsidRPr="003F0CFC">
        <w:rPr>
          <w:sz w:val="20"/>
          <w:szCs w:val="20"/>
        </w:rPr>
        <w:t>CIC/MF 946.916.226-91, portador da identidade n.º MG 6.868.924 SSP MG</w:t>
      </w:r>
      <w:r w:rsidRPr="003F0CFC">
        <w:rPr>
          <w:rFonts w:eastAsia="Arial"/>
          <w:sz w:val="20"/>
          <w:szCs w:val="20"/>
        </w:rPr>
        <w:t xml:space="preserve">,  doravante denominado CONTRATANTE, e o(a) </w:t>
      </w:r>
      <w:r w:rsidR="003F0CFC" w:rsidRPr="003F0CFC">
        <w:rPr>
          <w:sz w:val="20"/>
          <w:szCs w:val="20"/>
        </w:rPr>
        <w:t xml:space="preserve"> RC </w:t>
      </w:r>
      <w:proofErr w:type="spellStart"/>
      <w:r w:rsidR="003F0CFC" w:rsidRPr="003F0CFC">
        <w:rPr>
          <w:sz w:val="20"/>
          <w:szCs w:val="20"/>
        </w:rPr>
        <w:t>Scientific</w:t>
      </w:r>
      <w:proofErr w:type="spellEnd"/>
      <w:r w:rsidR="003F0CFC" w:rsidRPr="003F0CFC">
        <w:rPr>
          <w:sz w:val="20"/>
          <w:szCs w:val="20"/>
        </w:rPr>
        <w:t xml:space="preserve"> Comércio de Instrumentos Analíticos – EIRELI</w:t>
      </w:r>
      <w:r w:rsidRPr="003F0CFC">
        <w:rPr>
          <w:rFonts w:eastAsia="Arial"/>
          <w:sz w:val="20"/>
          <w:szCs w:val="20"/>
        </w:rPr>
        <w:t xml:space="preserve">, </w:t>
      </w:r>
      <w:r w:rsidRPr="003F0CFC">
        <w:rPr>
          <w:rFonts w:eastAsia="Arial"/>
          <w:i/>
          <w:iCs/>
          <w:sz w:val="20"/>
          <w:szCs w:val="20"/>
        </w:rPr>
        <w:t>inscrito(a) no CNPJ/MF sob o nº</w:t>
      </w:r>
      <w:r w:rsidR="003F0CFC">
        <w:rPr>
          <w:rFonts w:eastAsia="Arial"/>
          <w:i/>
          <w:iCs/>
          <w:sz w:val="20"/>
          <w:szCs w:val="20"/>
        </w:rPr>
        <w:t xml:space="preserve"> </w:t>
      </w:r>
      <w:r w:rsidR="003F0CFC" w:rsidRPr="003F0CFC">
        <w:rPr>
          <w:sz w:val="20"/>
          <w:szCs w:val="20"/>
        </w:rPr>
        <w:t xml:space="preserve"> 27.263.741/0001-11</w:t>
      </w:r>
      <w:r w:rsidRPr="003F0CFC">
        <w:rPr>
          <w:rFonts w:eastAsia="Arial"/>
          <w:i/>
          <w:iCs/>
          <w:sz w:val="20"/>
          <w:szCs w:val="20"/>
        </w:rPr>
        <w:t>, sediado(a) na</w:t>
      </w:r>
      <w:r w:rsidRPr="003F0CFC">
        <w:rPr>
          <w:rFonts w:eastAsia="Arial"/>
          <w:sz w:val="20"/>
          <w:szCs w:val="20"/>
        </w:rPr>
        <w:t xml:space="preserve"> </w:t>
      </w:r>
      <w:r w:rsidR="003F0CFC" w:rsidRPr="003F0CFC">
        <w:rPr>
          <w:sz w:val="20"/>
          <w:szCs w:val="20"/>
        </w:rPr>
        <w:t xml:space="preserve"> Rua Alexandre Dumas, nº 1268, sala 92, Bairro Chácara Santo Antônio, na cidade de São Paulo, Estado São Paulo, CEP 04.717-003</w:t>
      </w:r>
      <w:r w:rsidRPr="003F0CFC">
        <w:rPr>
          <w:rFonts w:eastAsia="Arial"/>
          <w:sz w:val="20"/>
          <w:szCs w:val="20"/>
        </w:rPr>
        <w:t xml:space="preserve">, doravante designado CONTRATADO, </w:t>
      </w:r>
      <w:r w:rsidRPr="003F0CFC">
        <w:rPr>
          <w:rFonts w:eastAsia="Arial"/>
          <w:i/>
          <w:iCs/>
          <w:sz w:val="20"/>
          <w:szCs w:val="20"/>
        </w:rPr>
        <w:t>neste ato representado(a) por</w:t>
      </w:r>
      <w:r w:rsidRPr="003F0CFC">
        <w:rPr>
          <w:rFonts w:eastAsia="Arial"/>
          <w:sz w:val="20"/>
          <w:szCs w:val="20"/>
        </w:rPr>
        <w:t xml:space="preserve"> </w:t>
      </w:r>
      <w:r w:rsidR="003F0CFC" w:rsidRPr="003F0CFC">
        <w:rPr>
          <w:sz w:val="20"/>
          <w:szCs w:val="20"/>
        </w:rPr>
        <w:t xml:space="preserve"> Raphael de Castro Rocha da Costa</w:t>
      </w:r>
      <w:r w:rsidR="003F0CFC" w:rsidRPr="003F0CFC">
        <w:rPr>
          <w:rFonts w:eastAsia="Arial"/>
          <w:sz w:val="20"/>
          <w:szCs w:val="20"/>
        </w:rPr>
        <w:t xml:space="preserve"> </w:t>
      </w:r>
      <w:r w:rsidRPr="003F0CFC">
        <w:rPr>
          <w:rFonts w:eastAsia="Arial"/>
          <w:sz w:val="20"/>
          <w:szCs w:val="20"/>
        </w:rPr>
        <w:t xml:space="preserve">sócio, </w:t>
      </w:r>
      <w:r w:rsidRPr="003F0CFC">
        <w:rPr>
          <w:rFonts w:eastAsia="Arial"/>
          <w:i/>
          <w:iCs/>
          <w:sz w:val="20"/>
          <w:szCs w:val="20"/>
        </w:rPr>
        <w:t xml:space="preserve">conforme atos constitutivos da empresa </w:t>
      </w:r>
      <w:r w:rsidRPr="003F0CFC">
        <w:rPr>
          <w:rFonts w:eastAsia="Arial"/>
          <w:bCs/>
          <w:i/>
          <w:iCs/>
          <w:sz w:val="20"/>
          <w:szCs w:val="20"/>
        </w:rPr>
        <w:t>OU</w:t>
      </w:r>
      <w:r w:rsidRPr="003F0CFC">
        <w:rPr>
          <w:rFonts w:eastAsia="Arial"/>
          <w:i/>
          <w:iCs/>
          <w:sz w:val="20"/>
          <w:szCs w:val="20"/>
        </w:rPr>
        <w:t xml:space="preserve"> procuração apresentada nos autos, </w:t>
      </w:r>
      <w:r w:rsidRPr="003F0CFC">
        <w:rPr>
          <w:rFonts w:eastAsia="Arial"/>
          <w:sz w:val="20"/>
          <w:szCs w:val="20"/>
        </w:rPr>
        <w:t xml:space="preserve">tendo em vista o que consta no Processo nº 028/2024  e em observância às disposições da </w:t>
      </w:r>
      <w:hyperlink r:id="rId6" w:history="1">
        <w:r w:rsidRPr="003F0CFC">
          <w:rPr>
            <w:rStyle w:val="Hyperlink"/>
            <w:rFonts w:eastAsia="Arial"/>
            <w:sz w:val="20"/>
            <w:szCs w:val="20"/>
          </w:rPr>
          <w:t>Lei nº 14.133, de 1º de abril de 2021</w:t>
        </w:r>
      </w:hyperlink>
      <w:r w:rsidRPr="003F0CFC">
        <w:rPr>
          <w:rFonts w:eastAsia="Arial"/>
          <w:sz w:val="20"/>
          <w:szCs w:val="20"/>
        </w:rPr>
        <w:t xml:space="preserve">, e demais legislação aplicável, resolvem celebrar o presente Termo de Contrato, decorrente </w:t>
      </w:r>
      <w:r w:rsidRPr="003F0CFC">
        <w:rPr>
          <w:rFonts w:eastAsia="Arial"/>
          <w:i/>
          <w:iCs/>
          <w:sz w:val="20"/>
          <w:szCs w:val="20"/>
        </w:rPr>
        <w:t>do Pregão Eletrônico n. 07/2024</w:t>
      </w:r>
      <w:r w:rsidRPr="003F0CFC">
        <w:rPr>
          <w:rFonts w:eastAsia="Arial"/>
          <w:sz w:val="20"/>
          <w:szCs w:val="20"/>
        </w:rPr>
        <w:t>, mediante as cláusulas e condições a seguir enunciadas.</w:t>
      </w:r>
    </w:p>
    <w:p w:rsidR="00B01774" w:rsidRPr="004827F2" w:rsidRDefault="00B01774" w:rsidP="00B01774">
      <w:pPr>
        <w:pStyle w:val="Nivel01"/>
        <w:numPr>
          <w:ilvl w:val="0"/>
          <w:numId w:val="6"/>
        </w:numPr>
        <w:spacing w:before="120" w:afterLines="120" w:after="288" w:line="312" w:lineRule="auto"/>
        <w:ind w:left="0" w:firstLine="0"/>
        <w:rPr>
          <w:color w:val="FFFFFF" w:themeColor="background1"/>
        </w:rPr>
      </w:pPr>
      <w:r w:rsidRPr="004827F2">
        <w:t>CLÁUSULA PRIMEIRA – OBJETO (</w:t>
      </w:r>
      <w:hyperlink r:id="rId7" w:anchor="art92" w:history="1">
        <w:r w:rsidRPr="004827F2">
          <w:rPr>
            <w:rStyle w:val="Hyperlink"/>
          </w:rPr>
          <w:t>art. 92, I e II</w:t>
        </w:r>
      </w:hyperlink>
      <w:r w:rsidRPr="004827F2">
        <w:t>)</w:t>
      </w:r>
    </w:p>
    <w:p w:rsidR="00B01774" w:rsidRPr="0064102C" w:rsidRDefault="00B01774" w:rsidP="00B01774">
      <w:pPr>
        <w:pStyle w:val="Nivel2"/>
        <w:spacing w:afterLines="120" w:after="288" w:line="312" w:lineRule="auto"/>
        <w:ind w:left="0" w:firstLine="567"/>
        <w:rPr>
          <w:color w:val="000000" w:themeColor="text1"/>
        </w:rPr>
      </w:pPr>
      <w:r w:rsidRPr="004827F2">
        <w:t xml:space="preserve">O objeto do presente </w:t>
      </w:r>
      <w:r w:rsidRPr="00BF002E">
        <w:rPr>
          <w:color w:val="000000" w:themeColor="text1"/>
        </w:rPr>
        <w:t xml:space="preserve">instrumento é a </w:t>
      </w:r>
      <w:r w:rsidRPr="00BA5DBD">
        <w:rPr>
          <w:rFonts w:eastAsia="Calibri"/>
        </w:rPr>
        <w:t>Aquisição de equipamentos para Secretaria Municipal de Saúde</w:t>
      </w:r>
      <w:r w:rsidRPr="00BF002E">
        <w:rPr>
          <w:color w:val="000000" w:themeColor="text1"/>
        </w:rPr>
        <w:t>, nas condições estabelecidas no Termo de Referência</w:t>
      </w:r>
      <w:r w:rsidRPr="0064102C">
        <w:rPr>
          <w:color w:val="000000" w:themeColor="text1"/>
        </w:rPr>
        <w:t>.</w:t>
      </w:r>
    </w:p>
    <w:p w:rsidR="00B01774" w:rsidRDefault="00B01774" w:rsidP="00B01774">
      <w:pPr>
        <w:pStyle w:val="Nivel2"/>
        <w:spacing w:afterLines="120" w:after="288" w:line="312" w:lineRule="auto"/>
        <w:ind w:left="0" w:firstLine="567"/>
      </w:pPr>
      <w:r w:rsidRPr="004827F2">
        <w:t>Objeto da contratação:</w:t>
      </w:r>
    </w:p>
    <w:tbl>
      <w:tblPr>
        <w:tblStyle w:val="TableNormal"/>
        <w:tblW w:w="0" w:type="auto"/>
        <w:tblInd w:w="121" w:type="dxa"/>
        <w:tblLayout w:type="fixed"/>
        <w:tblLook w:val="01E0" w:firstRow="1" w:lastRow="1" w:firstColumn="1" w:lastColumn="1" w:noHBand="0" w:noVBand="0"/>
      </w:tblPr>
      <w:tblGrid>
        <w:gridCol w:w="541"/>
        <w:gridCol w:w="2864"/>
        <w:gridCol w:w="1107"/>
        <w:gridCol w:w="1894"/>
        <w:gridCol w:w="1100"/>
        <w:gridCol w:w="1188"/>
        <w:gridCol w:w="951"/>
      </w:tblGrid>
      <w:tr w:rsidR="003F0CFC" w:rsidTr="003E3BCF">
        <w:trPr>
          <w:trHeight w:val="253"/>
        </w:trPr>
        <w:tc>
          <w:tcPr>
            <w:tcW w:w="541" w:type="dxa"/>
            <w:tcBorders>
              <w:top w:val="single" w:sz="12" w:space="0" w:color="231F20"/>
            </w:tcBorders>
          </w:tcPr>
          <w:p w:rsidR="003F0CFC" w:rsidRDefault="003F0CFC" w:rsidP="003E3BCF">
            <w:pPr>
              <w:pStyle w:val="TableParagraph"/>
              <w:spacing w:before="56"/>
              <w:ind w:left="59"/>
              <w:rPr>
                <w:rFonts w:ascii="Arial" w:hAnsi="Arial"/>
                <w:b/>
                <w:sz w:val="12"/>
              </w:rPr>
            </w:pPr>
            <w:r>
              <w:rPr>
                <w:rFonts w:ascii="Arial" w:hAnsi="Arial"/>
                <w:b/>
                <w:color w:val="231F20"/>
                <w:spacing w:val="-2"/>
                <w:sz w:val="12"/>
              </w:rPr>
              <w:t>Código</w:t>
            </w:r>
          </w:p>
        </w:tc>
        <w:tc>
          <w:tcPr>
            <w:tcW w:w="2864" w:type="dxa"/>
            <w:tcBorders>
              <w:top w:val="single" w:sz="12" w:space="0" w:color="231F20"/>
            </w:tcBorders>
          </w:tcPr>
          <w:p w:rsidR="003F0CFC" w:rsidRDefault="003F0CFC" w:rsidP="003E3BCF">
            <w:pPr>
              <w:pStyle w:val="TableParagraph"/>
              <w:spacing w:before="56"/>
              <w:ind w:left="85"/>
              <w:rPr>
                <w:rFonts w:ascii="Arial"/>
                <w:b/>
                <w:sz w:val="12"/>
              </w:rPr>
            </w:pPr>
            <w:r>
              <w:rPr>
                <w:rFonts w:ascii="Arial"/>
                <w:b/>
                <w:color w:val="231F20"/>
                <w:spacing w:val="-2"/>
                <w:sz w:val="12"/>
              </w:rPr>
              <w:t>Produto</w:t>
            </w:r>
          </w:p>
        </w:tc>
        <w:tc>
          <w:tcPr>
            <w:tcW w:w="1107" w:type="dxa"/>
            <w:tcBorders>
              <w:top w:val="single" w:sz="12" w:space="0" w:color="231F20"/>
            </w:tcBorders>
          </w:tcPr>
          <w:p w:rsidR="003F0CFC" w:rsidRDefault="003F0CFC" w:rsidP="003E3BCF">
            <w:pPr>
              <w:pStyle w:val="TableParagraph"/>
              <w:spacing w:before="56"/>
              <w:ind w:left="56"/>
              <w:rPr>
                <w:rFonts w:ascii="Arial"/>
                <w:b/>
                <w:sz w:val="12"/>
              </w:rPr>
            </w:pPr>
            <w:r>
              <w:rPr>
                <w:rFonts w:ascii="Arial"/>
                <w:b/>
                <w:color w:val="231F20"/>
                <w:spacing w:val="-2"/>
                <w:sz w:val="12"/>
              </w:rPr>
              <w:t>Modelo</w:t>
            </w:r>
          </w:p>
        </w:tc>
        <w:tc>
          <w:tcPr>
            <w:tcW w:w="1894" w:type="dxa"/>
            <w:tcBorders>
              <w:top w:val="single" w:sz="12" w:space="0" w:color="231F20"/>
            </w:tcBorders>
          </w:tcPr>
          <w:p w:rsidR="003F0CFC" w:rsidRDefault="003F0CFC" w:rsidP="003E3BCF">
            <w:pPr>
              <w:pStyle w:val="TableParagraph"/>
              <w:spacing w:before="56"/>
              <w:ind w:left="366"/>
              <w:rPr>
                <w:rFonts w:ascii="Arial"/>
                <w:b/>
                <w:sz w:val="12"/>
              </w:rPr>
            </w:pPr>
            <w:r>
              <w:rPr>
                <w:rFonts w:ascii="Arial"/>
                <w:b/>
                <w:color w:val="231F20"/>
                <w:spacing w:val="-2"/>
                <w:sz w:val="12"/>
              </w:rPr>
              <w:t>Marca/Fabricante</w:t>
            </w:r>
          </w:p>
        </w:tc>
        <w:tc>
          <w:tcPr>
            <w:tcW w:w="1100" w:type="dxa"/>
            <w:tcBorders>
              <w:top w:val="single" w:sz="12" w:space="0" w:color="231F20"/>
            </w:tcBorders>
          </w:tcPr>
          <w:p w:rsidR="003F0CFC" w:rsidRDefault="003F0CFC" w:rsidP="003E3BCF">
            <w:pPr>
              <w:pStyle w:val="TableParagraph"/>
              <w:spacing w:before="56"/>
              <w:ind w:right="187"/>
              <w:jc w:val="right"/>
              <w:rPr>
                <w:rFonts w:ascii="Arial"/>
                <w:b/>
                <w:sz w:val="12"/>
              </w:rPr>
            </w:pPr>
            <w:r>
              <w:rPr>
                <w:rFonts w:ascii="Arial"/>
                <w:b/>
                <w:color w:val="231F20"/>
                <w:spacing w:val="-4"/>
                <w:sz w:val="12"/>
              </w:rPr>
              <w:t>Qtde</w:t>
            </w:r>
          </w:p>
        </w:tc>
        <w:tc>
          <w:tcPr>
            <w:tcW w:w="1188" w:type="dxa"/>
            <w:tcBorders>
              <w:top w:val="single" w:sz="12" w:space="0" w:color="231F20"/>
            </w:tcBorders>
          </w:tcPr>
          <w:p w:rsidR="003F0CFC" w:rsidRDefault="003F0CFC" w:rsidP="003E3BCF">
            <w:pPr>
              <w:pStyle w:val="TableParagraph"/>
              <w:spacing w:before="56"/>
              <w:ind w:left="47" w:right="104"/>
              <w:jc w:val="center"/>
              <w:rPr>
                <w:rFonts w:ascii="Arial" w:hAnsi="Arial"/>
                <w:b/>
                <w:sz w:val="12"/>
              </w:rPr>
            </w:pPr>
            <w:r>
              <w:rPr>
                <w:rFonts w:ascii="Arial" w:hAnsi="Arial"/>
                <w:b/>
                <w:color w:val="231F20"/>
                <w:spacing w:val="-2"/>
                <w:sz w:val="12"/>
              </w:rPr>
              <w:t>Valor</w:t>
            </w:r>
            <w:r>
              <w:rPr>
                <w:rFonts w:ascii="Arial" w:hAnsi="Arial"/>
                <w:b/>
                <w:color w:val="231F20"/>
                <w:spacing w:val="-1"/>
                <w:sz w:val="12"/>
              </w:rPr>
              <w:t xml:space="preserve"> </w:t>
            </w:r>
            <w:r>
              <w:rPr>
                <w:rFonts w:ascii="Arial" w:hAnsi="Arial"/>
                <w:b/>
                <w:color w:val="231F20"/>
                <w:spacing w:val="-2"/>
                <w:sz w:val="12"/>
              </w:rPr>
              <w:t>Unitário</w:t>
            </w:r>
          </w:p>
        </w:tc>
        <w:tc>
          <w:tcPr>
            <w:tcW w:w="951" w:type="dxa"/>
            <w:tcBorders>
              <w:top w:val="single" w:sz="12" w:space="0" w:color="231F20"/>
            </w:tcBorders>
          </w:tcPr>
          <w:p w:rsidR="003F0CFC" w:rsidRDefault="003F0CFC" w:rsidP="003E3BCF">
            <w:pPr>
              <w:pStyle w:val="TableParagraph"/>
              <w:spacing w:before="56"/>
              <w:ind w:right="58"/>
              <w:jc w:val="right"/>
              <w:rPr>
                <w:rFonts w:ascii="Arial"/>
                <w:b/>
                <w:sz w:val="12"/>
              </w:rPr>
            </w:pPr>
            <w:r>
              <w:rPr>
                <w:rFonts w:ascii="Arial"/>
                <w:b/>
                <w:color w:val="231F20"/>
                <w:spacing w:val="-2"/>
                <w:sz w:val="12"/>
              </w:rPr>
              <w:t>Valor</w:t>
            </w:r>
            <w:r>
              <w:rPr>
                <w:rFonts w:ascii="Arial"/>
                <w:b/>
                <w:color w:val="231F20"/>
                <w:spacing w:val="-1"/>
                <w:sz w:val="12"/>
              </w:rPr>
              <w:t xml:space="preserve"> </w:t>
            </w:r>
            <w:r>
              <w:rPr>
                <w:rFonts w:ascii="Arial"/>
                <w:b/>
                <w:color w:val="231F20"/>
                <w:spacing w:val="-2"/>
                <w:sz w:val="12"/>
              </w:rPr>
              <w:t>Total</w:t>
            </w:r>
          </w:p>
        </w:tc>
      </w:tr>
      <w:tr w:rsidR="003F0CFC" w:rsidTr="003E3BCF">
        <w:trPr>
          <w:trHeight w:val="194"/>
        </w:trPr>
        <w:tc>
          <w:tcPr>
            <w:tcW w:w="541" w:type="dxa"/>
          </w:tcPr>
          <w:p w:rsidR="003F0CFC" w:rsidRDefault="003F0CFC" w:rsidP="003E3BCF">
            <w:pPr>
              <w:pStyle w:val="TableParagraph"/>
              <w:spacing w:before="54" w:line="120" w:lineRule="exact"/>
              <w:ind w:left="60"/>
              <w:rPr>
                <w:sz w:val="12"/>
              </w:rPr>
            </w:pPr>
            <w:r>
              <w:rPr>
                <w:color w:val="231F20"/>
                <w:spacing w:val="-4"/>
                <w:sz w:val="12"/>
              </w:rPr>
              <w:t>0076</w:t>
            </w:r>
          </w:p>
        </w:tc>
        <w:tc>
          <w:tcPr>
            <w:tcW w:w="2864" w:type="dxa"/>
          </w:tcPr>
          <w:p w:rsidR="003F0CFC" w:rsidRDefault="003F0CFC" w:rsidP="003E3BCF">
            <w:pPr>
              <w:pStyle w:val="TableParagraph"/>
              <w:spacing w:before="54" w:line="120" w:lineRule="exact"/>
              <w:ind w:left="85"/>
              <w:rPr>
                <w:sz w:val="12"/>
              </w:rPr>
            </w:pPr>
            <w:r>
              <w:rPr>
                <w:color w:val="231F20"/>
                <w:sz w:val="12"/>
              </w:rPr>
              <w:t>TURBIDÍMETRO,</w:t>
            </w:r>
            <w:r>
              <w:rPr>
                <w:color w:val="231F20"/>
                <w:spacing w:val="-8"/>
                <w:sz w:val="12"/>
              </w:rPr>
              <w:t xml:space="preserve"> </w:t>
            </w:r>
            <w:r>
              <w:rPr>
                <w:color w:val="231F20"/>
                <w:sz w:val="12"/>
              </w:rPr>
              <w:t>TIPO:</w:t>
            </w:r>
            <w:r>
              <w:rPr>
                <w:color w:val="231F20"/>
                <w:spacing w:val="-7"/>
                <w:sz w:val="12"/>
              </w:rPr>
              <w:t xml:space="preserve"> </w:t>
            </w:r>
            <w:r>
              <w:rPr>
                <w:color w:val="231F20"/>
                <w:spacing w:val="-2"/>
                <w:sz w:val="12"/>
              </w:rPr>
              <w:t>PORTÁTIL,</w:t>
            </w:r>
          </w:p>
        </w:tc>
        <w:tc>
          <w:tcPr>
            <w:tcW w:w="1107" w:type="dxa"/>
          </w:tcPr>
          <w:p w:rsidR="003F0CFC" w:rsidRDefault="003F0CFC" w:rsidP="003E3BCF">
            <w:pPr>
              <w:pStyle w:val="TableParagraph"/>
              <w:spacing w:before="54" w:line="120" w:lineRule="exact"/>
              <w:ind w:left="56"/>
              <w:rPr>
                <w:sz w:val="12"/>
              </w:rPr>
            </w:pPr>
            <w:r>
              <w:rPr>
                <w:color w:val="231F20"/>
                <w:sz w:val="12"/>
              </w:rPr>
              <w:t>AP</w:t>
            </w:r>
            <w:r>
              <w:rPr>
                <w:color w:val="231F20"/>
                <w:spacing w:val="-2"/>
                <w:sz w:val="12"/>
              </w:rPr>
              <w:t xml:space="preserve"> </w:t>
            </w:r>
            <w:r>
              <w:rPr>
                <w:color w:val="231F20"/>
                <w:sz w:val="12"/>
              </w:rPr>
              <w:t>2000</w:t>
            </w:r>
            <w:r>
              <w:rPr>
                <w:color w:val="231F20"/>
                <w:spacing w:val="-2"/>
                <w:sz w:val="12"/>
              </w:rPr>
              <w:t xml:space="preserve"> </w:t>
            </w:r>
            <w:r>
              <w:rPr>
                <w:color w:val="231F20"/>
                <w:spacing w:val="-5"/>
                <w:sz w:val="12"/>
              </w:rPr>
              <w:t>WT</w:t>
            </w:r>
          </w:p>
        </w:tc>
        <w:tc>
          <w:tcPr>
            <w:tcW w:w="1894" w:type="dxa"/>
          </w:tcPr>
          <w:p w:rsidR="003F0CFC" w:rsidRDefault="003F0CFC" w:rsidP="003E3BCF">
            <w:pPr>
              <w:pStyle w:val="TableParagraph"/>
              <w:spacing w:before="54" w:line="120" w:lineRule="exact"/>
              <w:ind w:left="366"/>
              <w:rPr>
                <w:sz w:val="12"/>
              </w:rPr>
            </w:pPr>
            <w:r>
              <w:rPr>
                <w:color w:val="231F20"/>
                <w:spacing w:val="-2"/>
                <w:sz w:val="12"/>
              </w:rPr>
              <w:t>POLICONTROL</w:t>
            </w:r>
          </w:p>
        </w:tc>
        <w:tc>
          <w:tcPr>
            <w:tcW w:w="1100" w:type="dxa"/>
          </w:tcPr>
          <w:p w:rsidR="003F0CFC" w:rsidRDefault="003F0CFC" w:rsidP="003E3BCF">
            <w:pPr>
              <w:pStyle w:val="TableParagraph"/>
              <w:spacing w:before="54" w:line="120" w:lineRule="exact"/>
              <w:ind w:right="187"/>
              <w:jc w:val="right"/>
              <w:rPr>
                <w:sz w:val="12"/>
              </w:rPr>
            </w:pPr>
            <w:r>
              <w:rPr>
                <w:color w:val="231F20"/>
                <w:sz w:val="12"/>
              </w:rPr>
              <w:t xml:space="preserve">1 </w:t>
            </w:r>
            <w:r>
              <w:rPr>
                <w:color w:val="231F20"/>
                <w:spacing w:val="-5"/>
                <w:sz w:val="12"/>
              </w:rPr>
              <w:t>UND</w:t>
            </w:r>
          </w:p>
        </w:tc>
        <w:tc>
          <w:tcPr>
            <w:tcW w:w="1188" w:type="dxa"/>
          </w:tcPr>
          <w:p w:rsidR="003F0CFC" w:rsidRDefault="003F0CFC" w:rsidP="003E3BCF">
            <w:pPr>
              <w:pStyle w:val="TableParagraph"/>
              <w:spacing w:before="54" w:line="120" w:lineRule="exact"/>
              <w:ind w:left="104" w:right="57"/>
              <w:jc w:val="center"/>
              <w:rPr>
                <w:sz w:val="12"/>
              </w:rPr>
            </w:pPr>
            <w:r>
              <w:rPr>
                <w:color w:val="231F20"/>
                <w:sz w:val="12"/>
              </w:rPr>
              <w:t>R$</w:t>
            </w:r>
            <w:r>
              <w:rPr>
                <w:color w:val="231F20"/>
                <w:spacing w:val="-1"/>
                <w:sz w:val="12"/>
              </w:rPr>
              <w:t xml:space="preserve"> </w:t>
            </w:r>
            <w:r>
              <w:rPr>
                <w:color w:val="231F20"/>
                <w:spacing w:val="-2"/>
                <w:sz w:val="12"/>
              </w:rPr>
              <w:t>3.278,90</w:t>
            </w:r>
          </w:p>
        </w:tc>
        <w:tc>
          <w:tcPr>
            <w:tcW w:w="951" w:type="dxa"/>
          </w:tcPr>
          <w:p w:rsidR="003F0CFC" w:rsidRDefault="003F0CFC" w:rsidP="003E3BCF">
            <w:pPr>
              <w:pStyle w:val="TableParagraph"/>
              <w:spacing w:before="54" w:line="120" w:lineRule="exact"/>
              <w:ind w:right="58"/>
              <w:jc w:val="right"/>
              <w:rPr>
                <w:sz w:val="12"/>
              </w:rPr>
            </w:pPr>
            <w:r>
              <w:rPr>
                <w:color w:val="231F20"/>
                <w:sz w:val="12"/>
              </w:rPr>
              <w:t>R$</w:t>
            </w:r>
            <w:r>
              <w:rPr>
                <w:color w:val="231F20"/>
                <w:spacing w:val="-1"/>
                <w:sz w:val="12"/>
              </w:rPr>
              <w:t xml:space="preserve"> </w:t>
            </w:r>
            <w:r>
              <w:rPr>
                <w:color w:val="231F20"/>
                <w:spacing w:val="-2"/>
                <w:sz w:val="12"/>
              </w:rPr>
              <w:t>3.278,90</w:t>
            </w:r>
          </w:p>
        </w:tc>
      </w:tr>
      <w:tr w:rsidR="003F0CFC" w:rsidTr="003E3BCF">
        <w:trPr>
          <w:trHeight w:val="122"/>
        </w:trPr>
        <w:tc>
          <w:tcPr>
            <w:tcW w:w="541" w:type="dxa"/>
          </w:tcPr>
          <w:p w:rsidR="003F0CFC" w:rsidRDefault="003F0CFC" w:rsidP="003E3BCF">
            <w:pPr>
              <w:pStyle w:val="TableParagraph"/>
              <w:rPr>
                <w:rFonts w:ascii="Times New Roman"/>
                <w:sz w:val="6"/>
              </w:rPr>
            </w:pPr>
          </w:p>
        </w:tc>
        <w:tc>
          <w:tcPr>
            <w:tcW w:w="2864" w:type="dxa"/>
          </w:tcPr>
          <w:p w:rsidR="003F0CFC" w:rsidRDefault="003F0CFC" w:rsidP="003E3BCF">
            <w:pPr>
              <w:pStyle w:val="TableParagraph"/>
              <w:spacing w:line="103" w:lineRule="exact"/>
              <w:ind w:left="85"/>
              <w:rPr>
                <w:sz w:val="12"/>
              </w:rPr>
            </w:pPr>
            <w:r>
              <w:rPr>
                <w:color w:val="231F20"/>
                <w:sz w:val="12"/>
              </w:rPr>
              <w:t>ALIMENTAÇÃO:</w:t>
            </w:r>
            <w:r>
              <w:rPr>
                <w:color w:val="231F20"/>
                <w:spacing w:val="-9"/>
                <w:sz w:val="12"/>
              </w:rPr>
              <w:t xml:space="preserve"> </w:t>
            </w:r>
            <w:r>
              <w:rPr>
                <w:color w:val="231F20"/>
                <w:sz w:val="12"/>
              </w:rPr>
              <w:t>110,220</w:t>
            </w:r>
            <w:r>
              <w:rPr>
                <w:color w:val="231F20"/>
                <w:spacing w:val="-7"/>
                <w:sz w:val="12"/>
              </w:rPr>
              <w:t xml:space="preserve"> </w:t>
            </w:r>
            <w:r>
              <w:rPr>
                <w:color w:val="231F20"/>
                <w:sz w:val="12"/>
              </w:rPr>
              <w:t>VCA,</w:t>
            </w:r>
            <w:r>
              <w:rPr>
                <w:color w:val="231F20"/>
                <w:spacing w:val="-7"/>
                <w:sz w:val="12"/>
              </w:rPr>
              <w:t xml:space="preserve"> </w:t>
            </w:r>
            <w:r>
              <w:rPr>
                <w:color w:val="231F20"/>
                <w:sz w:val="12"/>
              </w:rPr>
              <w:t>MATERIAL:</w:t>
            </w:r>
            <w:r>
              <w:rPr>
                <w:color w:val="231F20"/>
                <w:spacing w:val="-6"/>
                <w:sz w:val="12"/>
              </w:rPr>
              <w:t xml:space="preserve"> </w:t>
            </w:r>
            <w:r>
              <w:rPr>
                <w:color w:val="231F20"/>
                <w:spacing w:val="-5"/>
                <w:sz w:val="12"/>
              </w:rPr>
              <w:t>AÇO</w:t>
            </w:r>
          </w:p>
        </w:tc>
        <w:tc>
          <w:tcPr>
            <w:tcW w:w="6240" w:type="dxa"/>
            <w:gridSpan w:val="5"/>
            <w:vMerge w:val="restart"/>
            <w:tcBorders>
              <w:bottom w:val="single" w:sz="12" w:space="0" w:color="231F20"/>
            </w:tcBorders>
          </w:tcPr>
          <w:p w:rsidR="003F0CFC" w:rsidRDefault="003F0CFC" w:rsidP="003E3BCF">
            <w:pPr>
              <w:pStyle w:val="TableParagraph"/>
              <w:rPr>
                <w:rFonts w:ascii="Times New Roman"/>
                <w:sz w:val="1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INOXIDÁVEL,</w:t>
            </w:r>
            <w:r>
              <w:rPr>
                <w:color w:val="231F20"/>
                <w:spacing w:val="-9"/>
                <w:sz w:val="12"/>
              </w:rPr>
              <w:t xml:space="preserve"> </w:t>
            </w:r>
            <w:r>
              <w:rPr>
                <w:color w:val="231F20"/>
                <w:sz w:val="12"/>
              </w:rPr>
              <w:t>FORMATO:</w:t>
            </w:r>
            <w:r>
              <w:rPr>
                <w:color w:val="231F20"/>
                <w:spacing w:val="-8"/>
                <w:sz w:val="12"/>
              </w:rPr>
              <w:t xml:space="preserve"> </w:t>
            </w:r>
            <w:r>
              <w:rPr>
                <w:color w:val="231F20"/>
                <w:sz w:val="12"/>
              </w:rPr>
              <w:t>RETANGULAR,</w:t>
            </w:r>
            <w:r>
              <w:rPr>
                <w:color w:val="231F20"/>
                <w:spacing w:val="-8"/>
                <w:sz w:val="12"/>
              </w:rPr>
              <w:t xml:space="preserve"> </w:t>
            </w:r>
            <w:r>
              <w:rPr>
                <w:color w:val="231F20"/>
                <w:spacing w:val="-2"/>
                <w:sz w:val="12"/>
              </w:rPr>
              <w:t>FAIXA</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TRABALHO:</w:t>
            </w:r>
            <w:r>
              <w:rPr>
                <w:color w:val="231F20"/>
                <w:spacing w:val="-5"/>
                <w:sz w:val="12"/>
              </w:rPr>
              <w:t xml:space="preserve"> </w:t>
            </w:r>
            <w:r>
              <w:rPr>
                <w:color w:val="231F20"/>
                <w:sz w:val="12"/>
              </w:rPr>
              <w:t>DE</w:t>
            </w:r>
            <w:r>
              <w:rPr>
                <w:color w:val="231F20"/>
                <w:spacing w:val="-2"/>
                <w:sz w:val="12"/>
              </w:rPr>
              <w:t xml:space="preserve"> </w:t>
            </w:r>
            <w:r>
              <w:rPr>
                <w:color w:val="231F20"/>
                <w:sz w:val="12"/>
              </w:rPr>
              <w:t>0</w:t>
            </w:r>
            <w:r>
              <w:rPr>
                <w:color w:val="231F20"/>
                <w:spacing w:val="-2"/>
                <w:sz w:val="12"/>
              </w:rPr>
              <w:t xml:space="preserve"> </w:t>
            </w:r>
            <w:r>
              <w:rPr>
                <w:color w:val="231F20"/>
                <w:sz w:val="12"/>
              </w:rPr>
              <w:t>A</w:t>
            </w:r>
            <w:r>
              <w:rPr>
                <w:color w:val="231F20"/>
                <w:spacing w:val="-3"/>
                <w:sz w:val="12"/>
              </w:rPr>
              <w:t xml:space="preserve"> </w:t>
            </w:r>
            <w:r>
              <w:rPr>
                <w:color w:val="231F20"/>
                <w:sz w:val="12"/>
              </w:rPr>
              <w:t>100</w:t>
            </w:r>
            <w:r>
              <w:rPr>
                <w:color w:val="231F20"/>
                <w:spacing w:val="-2"/>
                <w:sz w:val="12"/>
              </w:rPr>
              <w:t xml:space="preserve"> </w:t>
            </w:r>
            <w:r>
              <w:rPr>
                <w:color w:val="231F20"/>
                <w:sz w:val="12"/>
              </w:rPr>
              <w:t>NTU,</w:t>
            </w:r>
            <w:r>
              <w:rPr>
                <w:color w:val="231F20"/>
                <w:spacing w:val="-2"/>
                <w:sz w:val="12"/>
              </w:rPr>
              <w:t xml:space="preserve"> RESOLUÇÃO:</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ESCALA</w:t>
            </w:r>
            <w:r>
              <w:rPr>
                <w:color w:val="231F20"/>
                <w:spacing w:val="-2"/>
                <w:sz w:val="12"/>
              </w:rPr>
              <w:t xml:space="preserve"> </w:t>
            </w:r>
            <w:r>
              <w:rPr>
                <w:color w:val="231F20"/>
                <w:sz w:val="12"/>
              </w:rPr>
              <w:t>DE</w:t>
            </w:r>
            <w:r>
              <w:rPr>
                <w:color w:val="231F20"/>
                <w:spacing w:val="-2"/>
                <w:sz w:val="12"/>
              </w:rPr>
              <w:t xml:space="preserve"> </w:t>
            </w:r>
            <w:r>
              <w:rPr>
                <w:color w:val="231F20"/>
                <w:sz w:val="12"/>
              </w:rPr>
              <w:t>0</w:t>
            </w:r>
            <w:r>
              <w:rPr>
                <w:color w:val="231F20"/>
                <w:spacing w:val="-1"/>
                <w:sz w:val="12"/>
              </w:rPr>
              <w:t xml:space="preserve"> </w:t>
            </w:r>
            <w:r>
              <w:rPr>
                <w:color w:val="231F20"/>
                <w:sz w:val="12"/>
              </w:rPr>
              <w:t>A</w:t>
            </w:r>
            <w:r>
              <w:rPr>
                <w:color w:val="231F20"/>
                <w:spacing w:val="-2"/>
                <w:sz w:val="12"/>
              </w:rPr>
              <w:t xml:space="preserve"> </w:t>
            </w:r>
            <w:r>
              <w:rPr>
                <w:color w:val="231F20"/>
                <w:sz w:val="12"/>
              </w:rPr>
              <w:t>10</w:t>
            </w:r>
            <w:r>
              <w:rPr>
                <w:color w:val="231F20"/>
                <w:spacing w:val="-1"/>
                <w:sz w:val="12"/>
              </w:rPr>
              <w:t xml:space="preserve"> </w:t>
            </w:r>
            <w:r>
              <w:rPr>
                <w:color w:val="231F20"/>
                <w:sz w:val="12"/>
              </w:rPr>
              <w:t>-</w:t>
            </w:r>
            <w:r>
              <w:rPr>
                <w:color w:val="231F20"/>
                <w:spacing w:val="-2"/>
                <w:sz w:val="12"/>
              </w:rPr>
              <w:t xml:space="preserve"> </w:t>
            </w:r>
            <w:r>
              <w:rPr>
                <w:color w:val="231F20"/>
                <w:sz w:val="12"/>
              </w:rPr>
              <w:t>0,01NTU;</w:t>
            </w:r>
            <w:r>
              <w:rPr>
                <w:color w:val="231F20"/>
                <w:spacing w:val="-2"/>
                <w:sz w:val="12"/>
              </w:rPr>
              <w:t xml:space="preserve"> </w:t>
            </w:r>
            <w:r>
              <w:rPr>
                <w:color w:val="231F20"/>
                <w:sz w:val="12"/>
              </w:rPr>
              <w:t>DE</w:t>
            </w:r>
            <w:r>
              <w:rPr>
                <w:color w:val="231F20"/>
                <w:spacing w:val="-1"/>
                <w:sz w:val="12"/>
              </w:rPr>
              <w:t xml:space="preserve"> </w:t>
            </w:r>
            <w:r>
              <w:rPr>
                <w:color w:val="231F20"/>
                <w:sz w:val="12"/>
              </w:rPr>
              <w:t>10</w:t>
            </w:r>
            <w:r>
              <w:rPr>
                <w:color w:val="231F20"/>
                <w:spacing w:val="-2"/>
                <w:sz w:val="12"/>
              </w:rPr>
              <w:t xml:space="preserve"> </w:t>
            </w:r>
            <w:r>
              <w:rPr>
                <w:color w:val="231F20"/>
                <w:sz w:val="12"/>
              </w:rPr>
              <w:t>A</w:t>
            </w:r>
            <w:r>
              <w:rPr>
                <w:color w:val="231F20"/>
                <w:spacing w:val="-1"/>
                <w:sz w:val="12"/>
              </w:rPr>
              <w:t xml:space="preserve"> </w:t>
            </w:r>
            <w:r>
              <w:rPr>
                <w:color w:val="231F20"/>
                <w:spacing w:val="-5"/>
                <w:sz w:val="12"/>
              </w:rPr>
              <w:t>100</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0,1NTU;</w:t>
            </w:r>
            <w:r>
              <w:rPr>
                <w:color w:val="231F20"/>
                <w:spacing w:val="-5"/>
                <w:sz w:val="12"/>
              </w:rPr>
              <w:t xml:space="preserve"> </w:t>
            </w:r>
            <w:r>
              <w:rPr>
                <w:color w:val="231F20"/>
                <w:sz w:val="12"/>
              </w:rPr>
              <w:t>PRECISÃO:</w:t>
            </w:r>
            <w:r>
              <w:rPr>
                <w:color w:val="231F20"/>
                <w:spacing w:val="-4"/>
                <w:sz w:val="12"/>
              </w:rPr>
              <w:t xml:space="preserve"> </w:t>
            </w:r>
            <w:r>
              <w:rPr>
                <w:color w:val="231F20"/>
                <w:sz w:val="12"/>
              </w:rPr>
              <w:t>2%</w:t>
            </w:r>
            <w:r>
              <w:rPr>
                <w:color w:val="231F20"/>
                <w:spacing w:val="-5"/>
                <w:sz w:val="12"/>
              </w:rPr>
              <w:t xml:space="preserve"> </w:t>
            </w:r>
            <w:r>
              <w:rPr>
                <w:color w:val="231F20"/>
                <w:sz w:val="12"/>
              </w:rPr>
              <w:t>NTU,</w:t>
            </w:r>
            <w:r>
              <w:rPr>
                <w:color w:val="231F20"/>
                <w:spacing w:val="-4"/>
                <w:sz w:val="12"/>
              </w:rPr>
              <w:t xml:space="preserve"> </w:t>
            </w:r>
            <w:r>
              <w:rPr>
                <w:color w:val="231F20"/>
                <w:spacing w:val="-2"/>
                <w:sz w:val="12"/>
              </w:rPr>
              <w:t>APLICAÇÃO:</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MEDIR</w:t>
            </w:r>
            <w:r>
              <w:rPr>
                <w:color w:val="231F20"/>
                <w:spacing w:val="-4"/>
                <w:sz w:val="12"/>
              </w:rPr>
              <w:t xml:space="preserve"> </w:t>
            </w:r>
            <w:r>
              <w:rPr>
                <w:color w:val="231F20"/>
                <w:sz w:val="12"/>
              </w:rPr>
              <w:t>A</w:t>
            </w:r>
            <w:r>
              <w:rPr>
                <w:color w:val="231F20"/>
                <w:spacing w:val="-4"/>
                <w:sz w:val="12"/>
              </w:rPr>
              <w:t xml:space="preserve"> </w:t>
            </w:r>
            <w:r>
              <w:rPr>
                <w:color w:val="231F20"/>
                <w:sz w:val="12"/>
              </w:rPr>
              <w:t>TURBIDEZ</w:t>
            </w:r>
            <w:r>
              <w:rPr>
                <w:color w:val="231F20"/>
                <w:spacing w:val="-4"/>
                <w:sz w:val="12"/>
              </w:rPr>
              <w:t xml:space="preserve"> </w:t>
            </w:r>
            <w:r>
              <w:rPr>
                <w:color w:val="231F20"/>
                <w:sz w:val="12"/>
              </w:rPr>
              <w:t>DE</w:t>
            </w:r>
            <w:r>
              <w:rPr>
                <w:color w:val="231F20"/>
                <w:spacing w:val="-4"/>
                <w:sz w:val="12"/>
              </w:rPr>
              <w:t xml:space="preserve"> </w:t>
            </w:r>
            <w:r>
              <w:rPr>
                <w:color w:val="231F20"/>
                <w:sz w:val="12"/>
              </w:rPr>
              <w:t>LÍQUIDOS.</w:t>
            </w:r>
            <w:r>
              <w:rPr>
                <w:color w:val="231F20"/>
                <w:spacing w:val="-4"/>
                <w:sz w:val="12"/>
              </w:rPr>
              <w:t xml:space="preserve"> </w:t>
            </w:r>
            <w:r>
              <w:rPr>
                <w:color w:val="231F20"/>
                <w:spacing w:val="-2"/>
                <w:sz w:val="12"/>
              </w:rPr>
              <w:t>DESCRIÇÃO</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COMPLEMENTAR:</w:t>
            </w:r>
            <w:r>
              <w:rPr>
                <w:color w:val="231F20"/>
                <w:spacing w:val="-5"/>
                <w:sz w:val="12"/>
              </w:rPr>
              <w:t xml:space="preserve"> </w:t>
            </w:r>
            <w:r>
              <w:rPr>
                <w:color w:val="231F20"/>
                <w:sz w:val="12"/>
              </w:rPr>
              <w:t>FAIXAS</w:t>
            </w:r>
            <w:r>
              <w:rPr>
                <w:color w:val="231F20"/>
                <w:spacing w:val="-5"/>
                <w:sz w:val="12"/>
              </w:rPr>
              <w:t xml:space="preserve"> </w:t>
            </w:r>
            <w:r>
              <w:rPr>
                <w:color w:val="231F20"/>
                <w:sz w:val="12"/>
              </w:rPr>
              <w:t>DE</w:t>
            </w:r>
            <w:r>
              <w:rPr>
                <w:color w:val="231F20"/>
                <w:spacing w:val="-5"/>
                <w:sz w:val="12"/>
              </w:rPr>
              <w:t xml:space="preserve"> </w:t>
            </w:r>
            <w:r>
              <w:rPr>
                <w:color w:val="231F20"/>
                <w:sz w:val="12"/>
              </w:rPr>
              <w:t>MEDIÇÃO:</w:t>
            </w:r>
            <w:r>
              <w:rPr>
                <w:color w:val="231F20"/>
                <w:spacing w:val="-5"/>
                <w:sz w:val="12"/>
              </w:rPr>
              <w:t xml:space="preserve"> </w:t>
            </w:r>
            <w:r>
              <w:rPr>
                <w:color w:val="231F20"/>
                <w:sz w:val="12"/>
              </w:rPr>
              <w:t>0</w:t>
            </w:r>
            <w:r>
              <w:rPr>
                <w:color w:val="231F20"/>
                <w:spacing w:val="-4"/>
                <w:sz w:val="12"/>
              </w:rPr>
              <w:t xml:space="preserve"> </w:t>
            </w:r>
            <w:r>
              <w:rPr>
                <w:color w:val="231F20"/>
                <w:spacing w:val="-10"/>
                <w:sz w:val="12"/>
              </w:rPr>
              <w:t>A</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1100</w:t>
            </w:r>
            <w:r>
              <w:rPr>
                <w:color w:val="231F20"/>
                <w:spacing w:val="-4"/>
                <w:sz w:val="12"/>
              </w:rPr>
              <w:t xml:space="preserve"> </w:t>
            </w:r>
            <w:r>
              <w:rPr>
                <w:color w:val="231F20"/>
                <w:sz w:val="12"/>
              </w:rPr>
              <w:t>NTU</w:t>
            </w:r>
            <w:r>
              <w:rPr>
                <w:color w:val="231F20"/>
                <w:spacing w:val="-1"/>
                <w:sz w:val="12"/>
              </w:rPr>
              <w:t xml:space="preserve"> </w:t>
            </w:r>
            <w:r>
              <w:rPr>
                <w:color w:val="231F20"/>
                <w:sz w:val="12"/>
              </w:rPr>
              <w:t>/</w:t>
            </w:r>
            <w:r>
              <w:rPr>
                <w:color w:val="231F20"/>
                <w:spacing w:val="-1"/>
                <w:sz w:val="12"/>
              </w:rPr>
              <w:t xml:space="preserve"> </w:t>
            </w:r>
            <w:r>
              <w:rPr>
                <w:color w:val="231F20"/>
                <w:sz w:val="12"/>
              </w:rPr>
              <w:t>FNU;</w:t>
            </w:r>
            <w:r>
              <w:rPr>
                <w:color w:val="231F20"/>
                <w:spacing w:val="-2"/>
                <w:sz w:val="12"/>
              </w:rPr>
              <w:t xml:space="preserve"> </w:t>
            </w:r>
            <w:r>
              <w:rPr>
                <w:color w:val="231F20"/>
                <w:sz w:val="12"/>
              </w:rPr>
              <w:t>0</w:t>
            </w:r>
            <w:r>
              <w:rPr>
                <w:color w:val="231F20"/>
                <w:spacing w:val="-1"/>
                <w:sz w:val="12"/>
              </w:rPr>
              <w:t xml:space="preserve"> </w:t>
            </w:r>
            <w:r>
              <w:rPr>
                <w:color w:val="231F20"/>
                <w:sz w:val="12"/>
              </w:rPr>
              <w:t>A</w:t>
            </w:r>
            <w:r>
              <w:rPr>
                <w:color w:val="231F20"/>
                <w:spacing w:val="-1"/>
                <w:sz w:val="12"/>
              </w:rPr>
              <w:t xml:space="preserve"> </w:t>
            </w:r>
            <w:r>
              <w:rPr>
                <w:color w:val="231F20"/>
                <w:sz w:val="12"/>
              </w:rPr>
              <w:t>275</w:t>
            </w:r>
            <w:r>
              <w:rPr>
                <w:color w:val="231F20"/>
                <w:spacing w:val="-2"/>
                <w:sz w:val="12"/>
              </w:rPr>
              <w:t xml:space="preserve"> </w:t>
            </w:r>
            <w:r>
              <w:rPr>
                <w:color w:val="231F20"/>
                <w:sz w:val="12"/>
              </w:rPr>
              <w:t>EBC;</w:t>
            </w:r>
            <w:r>
              <w:rPr>
                <w:color w:val="231F20"/>
                <w:spacing w:val="-1"/>
                <w:sz w:val="12"/>
              </w:rPr>
              <w:t xml:space="preserve"> </w:t>
            </w:r>
            <w:r>
              <w:rPr>
                <w:color w:val="231F20"/>
                <w:sz w:val="12"/>
              </w:rPr>
              <w:t>E</w:t>
            </w:r>
            <w:r>
              <w:rPr>
                <w:color w:val="231F20"/>
                <w:spacing w:val="-1"/>
                <w:sz w:val="12"/>
              </w:rPr>
              <w:t xml:space="preserve"> </w:t>
            </w:r>
            <w:r>
              <w:rPr>
                <w:color w:val="231F20"/>
                <w:sz w:val="12"/>
              </w:rPr>
              <w:t>0</w:t>
            </w:r>
            <w:r>
              <w:rPr>
                <w:color w:val="231F20"/>
                <w:spacing w:val="-2"/>
                <w:sz w:val="12"/>
              </w:rPr>
              <w:t xml:space="preserve"> </w:t>
            </w:r>
            <w:r>
              <w:rPr>
                <w:color w:val="231F20"/>
                <w:sz w:val="12"/>
              </w:rPr>
              <w:t>A</w:t>
            </w:r>
            <w:r>
              <w:rPr>
                <w:color w:val="231F20"/>
                <w:spacing w:val="-1"/>
                <w:sz w:val="12"/>
              </w:rPr>
              <w:t xml:space="preserve"> </w:t>
            </w:r>
            <w:r>
              <w:rPr>
                <w:color w:val="231F20"/>
                <w:sz w:val="12"/>
              </w:rPr>
              <w:t>9999</w:t>
            </w:r>
            <w:r>
              <w:rPr>
                <w:color w:val="231F20"/>
                <w:spacing w:val="-1"/>
                <w:sz w:val="12"/>
              </w:rPr>
              <w:t xml:space="preserve"> </w:t>
            </w:r>
            <w:r>
              <w:rPr>
                <w:color w:val="231F20"/>
                <w:spacing w:val="-4"/>
                <w:sz w:val="12"/>
              </w:rPr>
              <w:t>ASBC</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COM</w:t>
            </w:r>
            <w:r>
              <w:rPr>
                <w:color w:val="231F20"/>
                <w:spacing w:val="-5"/>
                <w:sz w:val="12"/>
              </w:rPr>
              <w:t xml:space="preserve"> </w:t>
            </w:r>
            <w:r>
              <w:rPr>
                <w:color w:val="231F20"/>
                <w:sz w:val="12"/>
              </w:rPr>
              <w:t>RESOLUÇÃO</w:t>
            </w:r>
            <w:r>
              <w:rPr>
                <w:color w:val="231F20"/>
                <w:spacing w:val="-2"/>
                <w:sz w:val="12"/>
              </w:rPr>
              <w:t xml:space="preserve"> </w:t>
            </w:r>
            <w:r>
              <w:rPr>
                <w:color w:val="231F20"/>
                <w:sz w:val="12"/>
              </w:rPr>
              <w:t>DE</w:t>
            </w:r>
            <w:r>
              <w:rPr>
                <w:color w:val="231F20"/>
                <w:spacing w:val="-2"/>
                <w:sz w:val="12"/>
              </w:rPr>
              <w:t xml:space="preserve"> </w:t>
            </w:r>
            <w:r>
              <w:rPr>
                <w:color w:val="231F20"/>
                <w:sz w:val="12"/>
              </w:rPr>
              <w:t>0.01</w:t>
            </w:r>
            <w:r>
              <w:rPr>
                <w:color w:val="231F20"/>
                <w:spacing w:val="-2"/>
                <w:sz w:val="12"/>
              </w:rPr>
              <w:t xml:space="preserve"> </w:t>
            </w:r>
            <w:r>
              <w:rPr>
                <w:color w:val="231F20"/>
                <w:sz w:val="12"/>
              </w:rPr>
              <w:t>NTU</w:t>
            </w:r>
            <w:r>
              <w:rPr>
                <w:color w:val="231F20"/>
                <w:spacing w:val="-2"/>
                <w:sz w:val="12"/>
              </w:rPr>
              <w:t xml:space="preserve"> </w:t>
            </w:r>
            <w:r>
              <w:rPr>
                <w:color w:val="231F20"/>
                <w:sz w:val="12"/>
              </w:rPr>
              <w:t>(0</w:t>
            </w:r>
            <w:r>
              <w:rPr>
                <w:color w:val="231F20"/>
                <w:spacing w:val="-2"/>
                <w:sz w:val="12"/>
              </w:rPr>
              <w:t xml:space="preserve"> </w:t>
            </w:r>
            <w:r>
              <w:rPr>
                <w:color w:val="231F20"/>
                <w:sz w:val="12"/>
              </w:rPr>
              <w:t>A</w:t>
            </w:r>
            <w:r>
              <w:rPr>
                <w:color w:val="231F20"/>
                <w:spacing w:val="-2"/>
                <w:sz w:val="12"/>
              </w:rPr>
              <w:t xml:space="preserve"> 99.99</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NTU);</w:t>
            </w:r>
            <w:r>
              <w:rPr>
                <w:color w:val="231F20"/>
                <w:spacing w:val="-5"/>
                <w:sz w:val="12"/>
              </w:rPr>
              <w:t xml:space="preserve"> </w:t>
            </w:r>
            <w:r>
              <w:rPr>
                <w:color w:val="231F20"/>
                <w:sz w:val="12"/>
              </w:rPr>
              <w:t>0.1</w:t>
            </w:r>
            <w:r>
              <w:rPr>
                <w:color w:val="231F20"/>
                <w:spacing w:val="-2"/>
                <w:sz w:val="12"/>
              </w:rPr>
              <w:t xml:space="preserve"> </w:t>
            </w:r>
            <w:r>
              <w:rPr>
                <w:color w:val="231F20"/>
                <w:sz w:val="12"/>
              </w:rPr>
              <w:t>NTU</w:t>
            </w:r>
            <w:r>
              <w:rPr>
                <w:color w:val="231F20"/>
                <w:spacing w:val="-2"/>
                <w:sz w:val="12"/>
              </w:rPr>
              <w:t xml:space="preserve"> </w:t>
            </w:r>
            <w:r>
              <w:rPr>
                <w:color w:val="231F20"/>
                <w:sz w:val="12"/>
              </w:rPr>
              <w:t>(100</w:t>
            </w:r>
            <w:r>
              <w:rPr>
                <w:color w:val="231F20"/>
                <w:spacing w:val="-2"/>
                <w:sz w:val="12"/>
              </w:rPr>
              <w:t xml:space="preserve"> </w:t>
            </w:r>
            <w:r>
              <w:rPr>
                <w:color w:val="231F20"/>
                <w:sz w:val="12"/>
              </w:rPr>
              <w:t>A</w:t>
            </w:r>
            <w:r>
              <w:rPr>
                <w:color w:val="231F20"/>
                <w:spacing w:val="-2"/>
                <w:sz w:val="12"/>
              </w:rPr>
              <w:t xml:space="preserve"> </w:t>
            </w:r>
            <w:r>
              <w:rPr>
                <w:color w:val="231F20"/>
                <w:sz w:val="12"/>
              </w:rPr>
              <w:t>999.9</w:t>
            </w:r>
            <w:r>
              <w:rPr>
                <w:color w:val="231F20"/>
                <w:spacing w:val="-2"/>
                <w:sz w:val="12"/>
              </w:rPr>
              <w:t xml:space="preserve"> </w:t>
            </w:r>
            <w:r>
              <w:rPr>
                <w:color w:val="231F20"/>
                <w:sz w:val="12"/>
              </w:rPr>
              <w:t>NTU);</w:t>
            </w:r>
            <w:r>
              <w:rPr>
                <w:color w:val="231F20"/>
                <w:spacing w:val="-2"/>
                <w:sz w:val="12"/>
              </w:rPr>
              <w:t xml:space="preserve"> </w:t>
            </w:r>
            <w:r>
              <w:rPr>
                <w:color w:val="231F20"/>
                <w:sz w:val="12"/>
              </w:rPr>
              <w:t>E</w:t>
            </w:r>
            <w:r>
              <w:rPr>
                <w:color w:val="231F20"/>
                <w:spacing w:val="-2"/>
                <w:sz w:val="12"/>
              </w:rPr>
              <w:t xml:space="preserve"> </w:t>
            </w:r>
            <w:r>
              <w:rPr>
                <w:color w:val="231F20"/>
                <w:sz w:val="12"/>
              </w:rPr>
              <w:t>1</w:t>
            </w:r>
            <w:r>
              <w:rPr>
                <w:color w:val="231F20"/>
                <w:spacing w:val="-2"/>
                <w:sz w:val="12"/>
              </w:rPr>
              <w:t xml:space="preserve"> </w:t>
            </w:r>
            <w:r>
              <w:rPr>
                <w:color w:val="231F20"/>
                <w:sz w:val="12"/>
              </w:rPr>
              <w:t>NTU</w:t>
            </w:r>
            <w:r>
              <w:rPr>
                <w:color w:val="231F20"/>
                <w:spacing w:val="-2"/>
                <w:sz w:val="12"/>
              </w:rPr>
              <w:t xml:space="preserve"> (1000</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A</w:t>
            </w:r>
            <w:r>
              <w:rPr>
                <w:color w:val="231F20"/>
                <w:spacing w:val="-2"/>
                <w:sz w:val="12"/>
              </w:rPr>
              <w:t xml:space="preserve"> </w:t>
            </w:r>
            <w:r>
              <w:rPr>
                <w:color w:val="231F20"/>
                <w:sz w:val="12"/>
              </w:rPr>
              <w:t>1100</w:t>
            </w:r>
            <w:r>
              <w:rPr>
                <w:color w:val="231F20"/>
                <w:spacing w:val="-2"/>
                <w:sz w:val="12"/>
              </w:rPr>
              <w:t xml:space="preserve"> </w:t>
            </w:r>
            <w:r>
              <w:rPr>
                <w:color w:val="231F20"/>
                <w:sz w:val="12"/>
              </w:rPr>
              <w:t>NTU).</w:t>
            </w:r>
            <w:r>
              <w:rPr>
                <w:color w:val="231F20"/>
                <w:spacing w:val="-2"/>
                <w:sz w:val="12"/>
              </w:rPr>
              <w:t xml:space="preserve"> </w:t>
            </w:r>
            <w:r>
              <w:rPr>
                <w:color w:val="231F20"/>
                <w:sz w:val="12"/>
              </w:rPr>
              <w:t>EXA</w:t>
            </w:r>
            <w:r>
              <w:rPr>
                <w:color w:val="231F20"/>
                <w:spacing w:val="-2"/>
                <w:sz w:val="12"/>
              </w:rPr>
              <w:t xml:space="preserve"> </w:t>
            </w:r>
            <w:r>
              <w:rPr>
                <w:color w:val="231F20"/>
                <w:sz w:val="12"/>
              </w:rPr>
              <w:t>DÃO:</w:t>
            </w:r>
            <w:r>
              <w:rPr>
                <w:color w:val="231F20"/>
                <w:spacing w:val="-2"/>
                <w:sz w:val="12"/>
              </w:rPr>
              <w:t xml:space="preserve"> </w:t>
            </w:r>
            <w:r>
              <w:rPr>
                <w:color w:val="231F20"/>
                <w:sz w:val="12"/>
              </w:rPr>
              <w:t>±2%</w:t>
            </w:r>
            <w:r>
              <w:rPr>
                <w:color w:val="231F20"/>
                <w:spacing w:val="-2"/>
                <w:sz w:val="12"/>
              </w:rPr>
              <w:t xml:space="preserve"> </w:t>
            </w:r>
            <w:r>
              <w:rPr>
                <w:color w:val="231F20"/>
                <w:sz w:val="12"/>
              </w:rPr>
              <w:t>(0</w:t>
            </w:r>
            <w:r>
              <w:rPr>
                <w:color w:val="231F20"/>
                <w:spacing w:val="-2"/>
                <w:sz w:val="12"/>
              </w:rPr>
              <w:t xml:space="preserve"> </w:t>
            </w:r>
            <w:r>
              <w:rPr>
                <w:color w:val="231F20"/>
                <w:sz w:val="12"/>
              </w:rPr>
              <w:t>A</w:t>
            </w:r>
            <w:r>
              <w:rPr>
                <w:color w:val="231F20"/>
                <w:spacing w:val="-2"/>
                <w:sz w:val="12"/>
              </w:rPr>
              <w:t xml:space="preserve"> </w:t>
            </w:r>
            <w:r>
              <w:rPr>
                <w:color w:val="231F20"/>
                <w:sz w:val="12"/>
              </w:rPr>
              <w:t>499.9</w:t>
            </w:r>
            <w:r>
              <w:rPr>
                <w:color w:val="231F20"/>
                <w:spacing w:val="-2"/>
                <w:sz w:val="12"/>
              </w:rPr>
              <w:t xml:space="preserve"> </w:t>
            </w:r>
            <w:r>
              <w:rPr>
                <w:color w:val="231F20"/>
                <w:sz w:val="12"/>
              </w:rPr>
              <w:t>NTU)</w:t>
            </w:r>
            <w:r>
              <w:rPr>
                <w:color w:val="231F20"/>
                <w:spacing w:val="-1"/>
                <w:sz w:val="12"/>
              </w:rPr>
              <w:t xml:space="preserve"> </w:t>
            </w:r>
            <w:r>
              <w:rPr>
                <w:color w:val="231F20"/>
                <w:spacing w:val="-10"/>
                <w:sz w:val="12"/>
              </w:rPr>
              <w:t>E</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±3%</w:t>
            </w:r>
            <w:r>
              <w:rPr>
                <w:color w:val="231F20"/>
                <w:spacing w:val="-3"/>
                <w:sz w:val="12"/>
              </w:rPr>
              <w:t xml:space="preserve"> </w:t>
            </w:r>
            <w:r>
              <w:rPr>
                <w:color w:val="231F20"/>
                <w:sz w:val="12"/>
              </w:rPr>
              <w:t>(500</w:t>
            </w:r>
            <w:r>
              <w:rPr>
                <w:color w:val="231F20"/>
                <w:spacing w:val="-3"/>
                <w:sz w:val="12"/>
              </w:rPr>
              <w:t xml:space="preserve"> </w:t>
            </w:r>
            <w:r>
              <w:rPr>
                <w:color w:val="231F20"/>
                <w:sz w:val="12"/>
              </w:rPr>
              <w:t>A</w:t>
            </w:r>
            <w:r>
              <w:rPr>
                <w:color w:val="231F20"/>
                <w:spacing w:val="-2"/>
                <w:sz w:val="12"/>
              </w:rPr>
              <w:t xml:space="preserve"> </w:t>
            </w:r>
            <w:r>
              <w:rPr>
                <w:color w:val="231F20"/>
                <w:sz w:val="12"/>
              </w:rPr>
              <w:t>1100</w:t>
            </w:r>
            <w:r>
              <w:rPr>
                <w:color w:val="231F20"/>
                <w:spacing w:val="-3"/>
                <w:sz w:val="12"/>
              </w:rPr>
              <w:t xml:space="preserve"> </w:t>
            </w:r>
            <w:r>
              <w:rPr>
                <w:color w:val="231F20"/>
                <w:sz w:val="12"/>
              </w:rPr>
              <w:t>NTU).</w:t>
            </w:r>
            <w:r>
              <w:rPr>
                <w:color w:val="231F20"/>
                <w:spacing w:val="-2"/>
                <w:sz w:val="12"/>
              </w:rPr>
              <w:t xml:space="preserve"> </w:t>
            </w:r>
            <w:r>
              <w:rPr>
                <w:color w:val="231F20"/>
                <w:sz w:val="12"/>
              </w:rPr>
              <w:t>MÉTODO</w:t>
            </w:r>
            <w:r>
              <w:rPr>
                <w:color w:val="231F20"/>
                <w:spacing w:val="-3"/>
                <w:sz w:val="12"/>
              </w:rPr>
              <w:t xml:space="preserve"> </w:t>
            </w:r>
            <w:r>
              <w:rPr>
                <w:color w:val="231F20"/>
                <w:sz w:val="12"/>
              </w:rPr>
              <w:t>DE</w:t>
            </w:r>
            <w:r>
              <w:rPr>
                <w:color w:val="231F20"/>
                <w:spacing w:val="-2"/>
                <w:sz w:val="12"/>
              </w:rPr>
              <w:t xml:space="preserve"> MEDIÇÃO:</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NEFELOMÉTRICO</w:t>
            </w:r>
            <w:r>
              <w:rPr>
                <w:color w:val="231F20"/>
                <w:spacing w:val="-5"/>
                <w:sz w:val="12"/>
              </w:rPr>
              <w:t xml:space="preserve"> </w:t>
            </w:r>
            <w:r>
              <w:rPr>
                <w:color w:val="231F20"/>
                <w:sz w:val="12"/>
              </w:rPr>
              <w:t>90°</w:t>
            </w:r>
            <w:r>
              <w:rPr>
                <w:color w:val="231F20"/>
                <w:spacing w:val="-5"/>
                <w:sz w:val="12"/>
              </w:rPr>
              <w:t xml:space="preserve"> </w:t>
            </w:r>
            <w:r>
              <w:rPr>
                <w:color w:val="231F20"/>
                <w:sz w:val="12"/>
              </w:rPr>
              <w:t>(NORMA</w:t>
            </w:r>
            <w:r>
              <w:rPr>
                <w:color w:val="231F20"/>
                <w:spacing w:val="-5"/>
                <w:sz w:val="12"/>
              </w:rPr>
              <w:t xml:space="preserve"> </w:t>
            </w:r>
            <w:r>
              <w:rPr>
                <w:color w:val="231F20"/>
                <w:sz w:val="12"/>
              </w:rPr>
              <w:t>ISO</w:t>
            </w:r>
            <w:r>
              <w:rPr>
                <w:color w:val="231F20"/>
                <w:spacing w:val="-5"/>
                <w:sz w:val="12"/>
              </w:rPr>
              <w:t xml:space="preserve"> </w:t>
            </w:r>
            <w:r>
              <w:rPr>
                <w:color w:val="231F20"/>
                <w:spacing w:val="-2"/>
                <w:sz w:val="12"/>
              </w:rPr>
              <w:t>7027).</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FONTE</w:t>
            </w:r>
            <w:r>
              <w:rPr>
                <w:color w:val="231F20"/>
                <w:spacing w:val="-4"/>
                <w:sz w:val="12"/>
              </w:rPr>
              <w:t xml:space="preserve"> </w:t>
            </w:r>
            <w:r>
              <w:rPr>
                <w:color w:val="231F20"/>
                <w:sz w:val="12"/>
              </w:rPr>
              <w:t>DE</w:t>
            </w:r>
            <w:r>
              <w:rPr>
                <w:color w:val="231F20"/>
                <w:spacing w:val="-4"/>
                <w:sz w:val="12"/>
              </w:rPr>
              <w:t xml:space="preserve"> </w:t>
            </w:r>
            <w:r>
              <w:rPr>
                <w:color w:val="231F20"/>
                <w:sz w:val="12"/>
              </w:rPr>
              <w:t>LUZ:</w:t>
            </w:r>
            <w:r>
              <w:rPr>
                <w:color w:val="231F20"/>
                <w:spacing w:val="-3"/>
                <w:sz w:val="12"/>
              </w:rPr>
              <w:t xml:space="preserve"> </w:t>
            </w:r>
            <w:r>
              <w:rPr>
                <w:color w:val="231F20"/>
                <w:sz w:val="12"/>
              </w:rPr>
              <w:t>DIODO</w:t>
            </w:r>
            <w:r>
              <w:rPr>
                <w:color w:val="231F20"/>
                <w:spacing w:val="-4"/>
                <w:sz w:val="12"/>
              </w:rPr>
              <w:t xml:space="preserve"> </w:t>
            </w:r>
            <w:r>
              <w:rPr>
                <w:color w:val="231F20"/>
                <w:sz w:val="12"/>
              </w:rPr>
              <w:t>EMISSOR</w:t>
            </w:r>
            <w:r>
              <w:rPr>
                <w:color w:val="231F20"/>
                <w:spacing w:val="-3"/>
                <w:sz w:val="12"/>
              </w:rPr>
              <w:t xml:space="preserve"> </w:t>
            </w:r>
            <w:r>
              <w:rPr>
                <w:color w:val="231F20"/>
                <w:spacing w:val="-5"/>
                <w:sz w:val="12"/>
              </w:rPr>
              <w:t>DE</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INFRAVERMELHO</w:t>
            </w:r>
            <w:r>
              <w:rPr>
                <w:color w:val="231F20"/>
                <w:spacing w:val="-6"/>
                <w:sz w:val="12"/>
              </w:rPr>
              <w:t xml:space="preserve"> </w:t>
            </w:r>
            <w:r>
              <w:rPr>
                <w:color w:val="231F20"/>
                <w:sz w:val="12"/>
              </w:rPr>
              <w:t>(850</w:t>
            </w:r>
            <w:r>
              <w:rPr>
                <w:color w:val="231F20"/>
                <w:spacing w:val="-6"/>
                <w:sz w:val="12"/>
              </w:rPr>
              <w:t xml:space="preserve"> </w:t>
            </w:r>
            <w:r>
              <w:rPr>
                <w:color w:val="231F20"/>
                <w:sz w:val="12"/>
              </w:rPr>
              <w:t>NM).</w:t>
            </w:r>
            <w:r>
              <w:rPr>
                <w:color w:val="231F20"/>
                <w:spacing w:val="-5"/>
                <w:sz w:val="12"/>
              </w:rPr>
              <w:t xml:space="preserve"> </w:t>
            </w:r>
            <w:r>
              <w:rPr>
                <w:color w:val="231F20"/>
                <w:spacing w:val="-2"/>
                <w:sz w:val="12"/>
              </w:rPr>
              <w:t>DETECTOR:</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07"/>
        </w:trPr>
        <w:tc>
          <w:tcPr>
            <w:tcW w:w="541" w:type="dxa"/>
          </w:tcPr>
          <w:p w:rsidR="003F0CFC" w:rsidRDefault="003F0CFC" w:rsidP="003E3BCF">
            <w:pPr>
              <w:pStyle w:val="TableParagraph"/>
              <w:rPr>
                <w:rFonts w:ascii="Times New Roman"/>
                <w:sz w:val="4"/>
              </w:rPr>
            </w:pPr>
          </w:p>
        </w:tc>
        <w:tc>
          <w:tcPr>
            <w:tcW w:w="2864" w:type="dxa"/>
          </w:tcPr>
          <w:p w:rsidR="003F0CFC" w:rsidRDefault="003F0CFC" w:rsidP="003E3BCF">
            <w:pPr>
              <w:pStyle w:val="TableParagraph"/>
              <w:spacing w:line="88" w:lineRule="exact"/>
              <w:ind w:left="85"/>
              <w:rPr>
                <w:sz w:val="12"/>
              </w:rPr>
            </w:pPr>
            <w:r>
              <w:rPr>
                <w:color w:val="231F20"/>
                <w:sz w:val="12"/>
              </w:rPr>
              <w:t>FOTODIODO</w:t>
            </w:r>
            <w:r>
              <w:rPr>
                <w:color w:val="231F20"/>
                <w:spacing w:val="-9"/>
                <w:sz w:val="12"/>
              </w:rPr>
              <w:t xml:space="preserve"> </w:t>
            </w:r>
            <w:r>
              <w:rPr>
                <w:color w:val="231F20"/>
                <w:sz w:val="12"/>
              </w:rPr>
              <w:t>DE</w:t>
            </w:r>
            <w:r>
              <w:rPr>
                <w:color w:val="231F20"/>
                <w:spacing w:val="-7"/>
                <w:sz w:val="12"/>
              </w:rPr>
              <w:t xml:space="preserve"> </w:t>
            </w:r>
            <w:r>
              <w:rPr>
                <w:color w:val="231F20"/>
                <w:sz w:val="12"/>
              </w:rPr>
              <w:t>SILÍCIO.</w:t>
            </w:r>
            <w:r>
              <w:rPr>
                <w:color w:val="231F20"/>
                <w:spacing w:val="-7"/>
                <w:sz w:val="12"/>
              </w:rPr>
              <w:t xml:space="preserve"> </w:t>
            </w:r>
            <w:r>
              <w:rPr>
                <w:color w:val="231F20"/>
                <w:sz w:val="12"/>
              </w:rPr>
              <w:t>ALIMENTAÇÃO:</w:t>
            </w:r>
            <w:r>
              <w:rPr>
                <w:color w:val="231F20"/>
                <w:spacing w:val="-5"/>
                <w:sz w:val="12"/>
              </w:rPr>
              <w:t xml:space="preserve"> </w:t>
            </w:r>
            <w:r>
              <w:rPr>
                <w:color w:val="231F20"/>
                <w:spacing w:val="-10"/>
                <w:sz w:val="12"/>
              </w:rPr>
              <w:t>1</w:t>
            </w:r>
          </w:p>
        </w:tc>
        <w:tc>
          <w:tcPr>
            <w:tcW w:w="6240" w:type="dxa"/>
            <w:gridSpan w:val="5"/>
            <w:vMerge/>
            <w:tcBorders>
              <w:top w:val="nil"/>
              <w:bottom w:val="single" w:sz="12" w:space="0" w:color="231F20"/>
            </w:tcBorders>
          </w:tcPr>
          <w:p w:rsidR="003F0CFC" w:rsidRDefault="003F0CFC" w:rsidP="003E3BCF">
            <w:pPr>
              <w:rPr>
                <w:sz w:val="2"/>
                <w:szCs w:val="2"/>
              </w:rPr>
            </w:pPr>
          </w:p>
        </w:tc>
      </w:tr>
      <w:tr w:rsidR="003F0CFC" w:rsidTr="003E3BCF">
        <w:trPr>
          <w:trHeight w:val="177"/>
        </w:trPr>
        <w:tc>
          <w:tcPr>
            <w:tcW w:w="541" w:type="dxa"/>
            <w:tcBorders>
              <w:bottom w:val="single" w:sz="12" w:space="0" w:color="231F20"/>
            </w:tcBorders>
          </w:tcPr>
          <w:p w:rsidR="003F0CFC" w:rsidRDefault="003F0CFC" w:rsidP="003E3BCF">
            <w:pPr>
              <w:pStyle w:val="TableParagraph"/>
              <w:rPr>
                <w:rFonts w:ascii="Times New Roman"/>
                <w:sz w:val="10"/>
              </w:rPr>
            </w:pPr>
          </w:p>
        </w:tc>
        <w:tc>
          <w:tcPr>
            <w:tcW w:w="2864" w:type="dxa"/>
            <w:tcBorders>
              <w:bottom w:val="single" w:sz="12" w:space="0" w:color="231F20"/>
            </w:tcBorders>
          </w:tcPr>
          <w:p w:rsidR="003F0CFC" w:rsidRDefault="003F0CFC" w:rsidP="003E3BCF">
            <w:pPr>
              <w:pStyle w:val="TableParagraph"/>
              <w:spacing w:line="121" w:lineRule="exact"/>
              <w:ind w:left="85"/>
              <w:rPr>
                <w:sz w:val="12"/>
              </w:rPr>
            </w:pPr>
            <w:r>
              <w:rPr>
                <w:color w:val="231F20"/>
                <w:sz w:val="12"/>
              </w:rPr>
              <w:t>BATERIA</w:t>
            </w:r>
            <w:r>
              <w:rPr>
                <w:color w:val="231F20"/>
                <w:spacing w:val="-4"/>
                <w:sz w:val="12"/>
              </w:rPr>
              <w:t xml:space="preserve"> </w:t>
            </w:r>
            <w:r>
              <w:rPr>
                <w:color w:val="231F20"/>
                <w:sz w:val="12"/>
              </w:rPr>
              <w:t>9V</w:t>
            </w:r>
            <w:r>
              <w:rPr>
                <w:color w:val="231F20"/>
                <w:spacing w:val="-3"/>
                <w:sz w:val="12"/>
              </w:rPr>
              <w:t xml:space="preserve"> </w:t>
            </w:r>
            <w:r>
              <w:rPr>
                <w:color w:val="231F20"/>
                <w:sz w:val="12"/>
              </w:rPr>
              <w:t>(OU</w:t>
            </w:r>
            <w:r>
              <w:rPr>
                <w:color w:val="231F20"/>
                <w:spacing w:val="-4"/>
                <w:sz w:val="12"/>
              </w:rPr>
              <w:t xml:space="preserve"> </w:t>
            </w:r>
            <w:r>
              <w:rPr>
                <w:color w:val="231F20"/>
                <w:sz w:val="12"/>
              </w:rPr>
              <w:t>EXTERNA</w:t>
            </w:r>
            <w:r>
              <w:rPr>
                <w:color w:val="231F20"/>
                <w:spacing w:val="-3"/>
                <w:sz w:val="12"/>
              </w:rPr>
              <w:t xml:space="preserve"> </w:t>
            </w:r>
            <w:r>
              <w:rPr>
                <w:color w:val="231F20"/>
                <w:sz w:val="12"/>
              </w:rPr>
              <w:t>VIA</w:t>
            </w:r>
            <w:r>
              <w:rPr>
                <w:color w:val="231F20"/>
                <w:spacing w:val="-4"/>
                <w:sz w:val="12"/>
              </w:rPr>
              <w:t xml:space="preserve"> </w:t>
            </w:r>
            <w:r>
              <w:rPr>
                <w:color w:val="231F20"/>
                <w:sz w:val="12"/>
              </w:rPr>
              <w:t>PORTA</w:t>
            </w:r>
            <w:r>
              <w:rPr>
                <w:color w:val="231F20"/>
                <w:spacing w:val="-3"/>
                <w:sz w:val="12"/>
              </w:rPr>
              <w:t xml:space="preserve"> </w:t>
            </w:r>
            <w:r>
              <w:rPr>
                <w:color w:val="231F20"/>
                <w:spacing w:val="-4"/>
                <w:sz w:val="12"/>
              </w:rPr>
              <w:t>USB)</w:t>
            </w:r>
          </w:p>
        </w:tc>
        <w:tc>
          <w:tcPr>
            <w:tcW w:w="6240" w:type="dxa"/>
            <w:gridSpan w:val="5"/>
            <w:vMerge/>
            <w:tcBorders>
              <w:top w:val="nil"/>
              <w:bottom w:val="single" w:sz="12" w:space="0" w:color="231F20"/>
            </w:tcBorders>
          </w:tcPr>
          <w:p w:rsidR="003F0CFC" w:rsidRDefault="003F0CFC" w:rsidP="003E3BCF">
            <w:pPr>
              <w:rPr>
                <w:sz w:val="2"/>
                <w:szCs w:val="2"/>
              </w:rPr>
            </w:pPr>
          </w:p>
        </w:tc>
      </w:tr>
    </w:tbl>
    <w:p w:rsidR="00B01774" w:rsidRPr="004827F2" w:rsidRDefault="00B01774" w:rsidP="00B01774">
      <w:pPr>
        <w:pStyle w:val="Nivel2"/>
        <w:numPr>
          <w:ilvl w:val="0"/>
          <w:numId w:val="0"/>
        </w:numPr>
        <w:spacing w:afterLines="120" w:after="288" w:line="312" w:lineRule="auto"/>
        <w:ind w:left="567"/>
      </w:pPr>
    </w:p>
    <w:p w:rsidR="00B01774" w:rsidRPr="004827F2" w:rsidRDefault="00B01774" w:rsidP="00B01774">
      <w:pPr>
        <w:pStyle w:val="Nivel2"/>
        <w:spacing w:afterLines="120" w:after="288" w:line="312" w:lineRule="auto"/>
        <w:ind w:left="0" w:firstLine="567"/>
        <w:rPr>
          <w:lang w:val="x-none"/>
        </w:rPr>
      </w:pPr>
      <w:r w:rsidRPr="004827F2">
        <w:t>Vinculam esta contratação, independentemente de transcrição:</w:t>
      </w:r>
    </w:p>
    <w:p w:rsidR="00B01774" w:rsidRPr="004827F2" w:rsidRDefault="00B01774" w:rsidP="00B01774">
      <w:pPr>
        <w:pStyle w:val="Nivel3"/>
        <w:spacing w:afterLines="120" w:after="288" w:line="312" w:lineRule="auto"/>
        <w:ind w:left="170" w:firstLine="709"/>
        <w:rPr>
          <w:lang w:val="x-none"/>
        </w:rPr>
      </w:pPr>
      <w:r w:rsidRPr="004827F2">
        <w:t>O Termo de Referência;</w:t>
      </w:r>
    </w:p>
    <w:p w:rsidR="00B01774" w:rsidRPr="004827F2" w:rsidRDefault="00B01774" w:rsidP="00B01774">
      <w:pPr>
        <w:pStyle w:val="Nivel3"/>
        <w:spacing w:afterLines="120" w:after="288" w:line="312" w:lineRule="auto"/>
        <w:ind w:left="170" w:firstLine="709"/>
        <w:rPr>
          <w:lang w:val="x-none"/>
        </w:rPr>
      </w:pPr>
      <w:r w:rsidRPr="004827F2">
        <w:t>O Edital da Licitação;</w:t>
      </w:r>
    </w:p>
    <w:p w:rsidR="00B01774" w:rsidRPr="004827F2" w:rsidRDefault="00B01774" w:rsidP="00B01774">
      <w:pPr>
        <w:pStyle w:val="Nivel3"/>
        <w:spacing w:afterLines="120" w:after="288" w:line="312" w:lineRule="auto"/>
        <w:ind w:left="170" w:firstLine="709"/>
        <w:rPr>
          <w:lang w:val="x-none"/>
        </w:rPr>
      </w:pPr>
      <w:r w:rsidRPr="004827F2">
        <w:t>A Proposta do contratado;</w:t>
      </w:r>
    </w:p>
    <w:p w:rsidR="00B01774" w:rsidRPr="004827F2" w:rsidRDefault="00B01774" w:rsidP="00B01774">
      <w:pPr>
        <w:pStyle w:val="Nivel3"/>
        <w:spacing w:afterLines="120" w:after="288" w:line="312" w:lineRule="auto"/>
        <w:ind w:left="170" w:firstLine="709"/>
        <w:rPr>
          <w:lang w:val="x-none"/>
        </w:rPr>
      </w:pPr>
      <w:r w:rsidRPr="004827F2">
        <w:t>Eventuais anexos dos documentos supracitados.</w:t>
      </w:r>
    </w:p>
    <w:p w:rsidR="00B01774" w:rsidRPr="004827F2" w:rsidRDefault="00B01774" w:rsidP="00B01774">
      <w:pPr>
        <w:pStyle w:val="Nivel01"/>
        <w:spacing w:before="120" w:afterLines="120" w:after="288" w:line="312" w:lineRule="auto"/>
        <w:ind w:left="0" w:firstLine="0"/>
        <w:rPr>
          <w:color w:val="FFFFFF" w:themeColor="background1"/>
        </w:rPr>
      </w:pPr>
      <w:r w:rsidRPr="004827F2">
        <w:lastRenderedPageBreak/>
        <w:t>CLÁUSULA SEGUNDA – VIGÊNCIA E PRORROGAÇÃO</w:t>
      </w:r>
    </w:p>
    <w:p w:rsidR="00B01774" w:rsidRPr="00937205" w:rsidRDefault="00B01774" w:rsidP="00B01774">
      <w:pPr>
        <w:pStyle w:val="Nvel2-Red"/>
        <w:spacing w:afterLines="120" w:after="288" w:line="312" w:lineRule="auto"/>
        <w:ind w:left="0" w:firstLine="567"/>
        <w:rPr>
          <w:color w:val="auto"/>
        </w:rPr>
      </w:pPr>
      <w:r w:rsidRPr="00937205">
        <w:rPr>
          <w:color w:val="auto"/>
        </w:rPr>
        <w:t xml:space="preserve">O prazo de vigência da contratação é de 12 (doze) meses contados do(a) assinatura do contrato, na forma do </w:t>
      </w:r>
      <w:hyperlink r:id="rId8" w:anchor="art105" w:history="1">
        <w:r w:rsidRPr="00937205">
          <w:rPr>
            <w:rStyle w:val="Hyperlink"/>
            <w:color w:val="auto"/>
          </w:rPr>
          <w:t>artigo 105 da Lei n° 14.133, de 2021</w:t>
        </w:r>
      </w:hyperlink>
      <w:r w:rsidRPr="00937205">
        <w:rPr>
          <w:color w:val="auto"/>
        </w:rPr>
        <w:t>.</w:t>
      </w:r>
    </w:p>
    <w:p w:rsidR="00B01774" w:rsidRPr="00937205" w:rsidRDefault="00B01774" w:rsidP="00B01774">
      <w:pPr>
        <w:pStyle w:val="Nvel3-R"/>
        <w:spacing w:afterLines="120" w:after="288" w:line="312" w:lineRule="auto"/>
        <w:ind w:left="170" w:firstLine="709"/>
        <w:rPr>
          <w:color w:val="auto"/>
        </w:rPr>
      </w:pPr>
      <w:r w:rsidRPr="00937205">
        <w:rPr>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rsidR="00B01774" w:rsidRPr="004827F2" w:rsidRDefault="00B01774" w:rsidP="00B01774">
      <w:pPr>
        <w:pStyle w:val="Nivel01"/>
        <w:spacing w:before="120" w:afterLines="120" w:after="288" w:line="312" w:lineRule="auto"/>
        <w:ind w:left="0" w:firstLine="0"/>
        <w:rPr>
          <w:color w:val="FFFFFF" w:themeColor="background1"/>
        </w:rPr>
      </w:pPr>
      <w:r w:rsidRPr="004827F2">
        <w:t>CLÁUSULA TERCEIRA – MODELOS DE EXECUÇÃO E GESTÃO CONTRATUAIS (</w:t>
      </w:r>
      <w:hyperlink r:id="rId9" w:anchor="art92" w:history="1">
        <w:r w:rsidRPr="004827F2">
          <w:rPr>
            <w:rStyle w:val="Hyperlink"/>
          </w:rPr>
          <w:t>art. 92, IV, VII e XVIII)</w:t>
        </w:r>
      </w:hyperlink>
    </w:p>
    <w:p w:rsidR="00B01774" w:rsidRPr="004827F2" w:rsidRDefault="00B01774" w:rsidP="00B01774">
      <w:pPr>
        <w:pStyle w:val="Nivel2"/>
        <w:spacing w:afterLines="120" w:after="288" w:line="312" w:lineRule="auto"/>
        <w:ind w:left="0" w:firstLine="567"/>
      </w:pPr>
      <w:r w:rsidRPr="004827F2">
        <w:t>O regime de execução contratual, os modelos de gestão e de execução, assim como os prazos e condições de conclusão, entrega, observação e recebimento do objeto constam no Termo de Referência, anexo a este Contrato.</w:t>
      </w:r>
    </w:p>
    <w:p w:rsidR="00B01774" w:rsidRPr="004827F2" w:rsidRDefault="00B01774" w:rsidP="00B01774">
      <w:pPr>
        <w:pStyle w:val="Nivel01"/>
        <w:spacing w:before="120" w:afterLines="120" w:after="288" w:line="312" w:lineRule="auto"/>
        <w:ind w:left="0" w:firstLine="0"/>
        <w:rPr>
          <w:color w:val="FFFFFF" w:themeColor="background1"/>
        </w:rPr>
      </w:pPr>
      <w:r w:rsidRPr="004827F2">
        <w:t>CLÁUSULA QUARTA – SUBCONTRATAÇÃO</w:t>
      </w:r>
    </w:p>
    <w:p w:rsidR="00B01774" w:rsidRPr="00937205" w:rsidRDefault="00B01774" w:rsidP="00B01774">
      <w:pPr>
        <w:pStyle w:val="Nvel2-Red"/>
        <w:spacing w:afterLines="120" w:after="288" w:line="312" w:lineRule="auto"/>
        <w:ind w:left="0" w:firstLine="567"/>
        <w:rPr>
          <w:color w:val="auto"/>
        </w:rPr>
      </w:pPr>
      <w:r w:rsidRPr="00937205">
        <w:rPr>
          <w:color w:val="auto"/>
        </w:rPr>
        <w:t>Não será admitida a subcontratação do objeto contratual.</w:t>
      </w:r>
    </w:p>
    <w:p w:rsidR="00B01774" w:rsidRPr="00937205" w:rsidRDefault="00B01774" w:rsidP="00B01774">
      <w:pPr>
        <w:pStyle w:val="Nivel01"/>
        <w:spacing w:before="120" w:afterLines="120" w:after="288" w:line="312" w:lineRule="auto"/>
        <w:ind w:left="0" w:firstLine="0"/>
      </w:pPr>
      <w:r w:rsidRPr="00937205">
        <w:t>CLÁUSULA QUINTA - PREÇO</w:t>
      </w:r>
    </w:p>
    <w:p w:rsidR="00B01774" w:rsidRPr="00105138" w:rsidRDefault="00B01774" w:rsidP="00B01774">
      <w:pPr>
        <w:pStyle w:val="Nvel2-Red"/>
        <w:spacing w:afterLines="120" w:after="288" w:line="312" w:lineRule="auto"/>
        <w:ind w:left="0" w:firstLine="567"/>
        <w:rPr>
          <w:color w:val="auto"/>
        </w:rPr>
      </w:pPr>
      <w:r w:rsidRPr="00937205">
        <w:rPr>
          <w:color w:val="auto"/>
        </w:rPr>
        <w:t xml:space="preserve">O valor total da </w:t>
      </w:r>
      <w:r w:rsidRPr="00E376E7">
        <w:rPr>
          <w:color w:val="auto"/>
        </w:rPr>
        <w:t xml:space="preserve">contratação é </w:t>
      </w:r>
      <w:r w:rsidRPr="00105138">
        <w:rPr>
          <w:color w:val="auto"/>
        </w:rPr>
        <w:t>de R</w:t>
      </w:r>
      <w:r w:rsidRPr="003F0CFC">
        <w:rPr>
          <w:color w:val="auto"/>
        </w:rPr>
        <w:t>$</w:t>
      </w:r>
      <w:r w:rsidR="00E376E7" w:rsidRPr="003F0CFC">
        <w:rPr>
          <w:color w:val="auto"/>
        </w:rPr>
        <w:t xml:space="preserve"> </w:t>
      </w:r>
      <w:r w:rsidR="003F0CFC" w:rsidRPr="003F0CFC">
        <w:rPr>
          <w:color w:val="231F20"/>
          <w:spacing w:val="-2"/>
        </w:rPr>
        <w:t>3.278,90</w:t>
      </w:r>
      <w:r w:rsidR="003F0CFC" w:rsidRPr="003F0CFC">
        <w:rPr>
          <w:color w:val="auto"/>
        </w:rPr>
        <w:t xml:space="preserve"> </w:t>
      </w:r>
      <w:r w:rsidRPr="00105138">
        <w:rPr>
          <w:color w:val="auto"/>
        </w:rPr>
        <w:t>(</w:t>
      </w:r>
      <w:r w:rsidR="003F0CFC">
        <w:rPr>
          <w:color w:val="auto"/>
        </w:rPr>
        <w:t>três mil, duzentos e setenta e oito reais e noventa</w:t>
      </w:r>
      <w:r w:rsidR="00105138" w:rsidRPr="00105138">
        <w:rPr>
          <w:color w:val="auto"/>
        </w:rPr>
        <w:t xml:space="preserve"> centavos</w:t>
      </w:r>
      <w:r w:rsidRPr="00105138">
        <w:rPr>
          <w:color w:val="auto"/>
        </w:rPr>
        <w:t>)</w:t>
      </w:r>
      <w:bookmarkStart w:id="0" w:name="_GoBack"/>
      <w:bookmarkEnd w:id="0"/>
    </w:p>
    <w:p w:rsidR="00B01774" w:rsidRPr="004827F2" w:rsidRDefault="00B01774" w:rsidP="00B01774">
      <w:pPr>
        <w:pStyle w:val="Nivel2"/>
        <w:spacing w:afterLines="120" w:after="288" w:line="312" w:lineRule="auto"/>
        <w:ind w:left="0" w:firstLine="567"/>
      </w:pPr>
      <w:r w:rsidRPr="004827F2">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01774" w:rsidRPr="00937205" w:rsidRDefault="00B01774" w:rsidP="00B01774">
      <w:pPr>
        <w:pStyle w:val="Nvel2-Red"/>
        <w:spacing w:afterLines="120" w:after="288" w:line="312" w:lineRule="auto"/>
        <w:ind w:left="0" w:firstLine="567"/>
        <w:rPr>
          <w:color w:val="auto"/>
        </w:rPr>
      </w:pPr>
      <w:r w:rsidRPr="00937205">
        <w:rPr>
          <w:color w:val="auto"/>
        </w:rPr>
        <w:t>O valor acima é meramente estimativo, de forma que os pagamentos devidos ao contratado dependerão dos quantitativos efetivamente fornecidos.</w:t>
      </w:r>
    </w:p>
    <w:p w:rsidR="00B01774" w:rsidRPr="004827F2" w:rsidRDefault="00B01774" w:rsidP="00B01774">
      <w:pPr>
        <w:pStyle w:val="Nivel01"/>
        <w:spacing w:before="120" w:afterLines="120" w:after="288" w:line="312" w:lineRule="auto"/>
        <w:ind w:left="0" w:firstLine="0"/>
        <w:rPr>
          <w:color w:val="FFFFFF" w:themeColor="background1"/>
        </w:rPr>
      </w:pPr>
      <w:r w:rsidRPr="004827F2">
        <w:t>CLÁUSULA SEXTA - PAGAMENTO (</w:t>
      </w:r>
      <w:hyperlink r:id="rId10" w:anchor="art92" w:history="1">
        <w:r w:rsidRPr="004827F2">
          <w:rPr>
            <w:rStyle w:val="Hyperlink"/>
          </w:rPr>
          <w:t>art. 92, V e VI</w:t>
        </w:r>
      </w:hyperlink>
      <w:r w:rsidRPr="004827F2">
        <w:t>)</w:t>
      </w:r>
    </w:p>
    <w:p w:rsidR="00B01774" w:rsidRPr="004827F2" w:rsidRDefault="00B01774" w:rsidP="00B01774">
      <w:pPr>
        <w:pStyle w:val="Nivel2"/>
        <w:spacing w:afterLines="120" w:after="288" w:line="312" w:lineRule="auto"/>
        <w:ind w:left="0" w:firstLine="567"/>
      </w:pPr>
      <w:r w:rsidRPr="004827F2">
        <w:t xml:space="preserve">O prazo para pagamento </w:t>
      </w:r>
      <w:r w:rsidRPr="004827F2">
        <w:rPr>
          <w:color w:val="auto"/>
          <w:lang w:eastAsia="en-US"/>
        </w:rPr>
        <w:t>ao contratado</w:t>
      </w:r>
      <w:r w:rsidRPr="004827F2">
        <w:t xml:space="preserve"> e demais condições a ele referentes encontram-se definidos no Termo de Referência, anexo a este Contrato.</w:t>
      </w:r>
    </w:p>
    <w:p w:rsidR="00B01774" w:rsidRPr="004827F2" w:rsidRDefault="00B01774" w:rsidP="00B01774">
      <w:pPr>
        <w:pStyle w:val="Nivel01"/>
        <w:spacing w:before="120" w:afterLines="120" w:after="288" w:line="312" w:lineRule="auto"/>
        <w:ind w:left="0" w:firstLine="0"/>
        <w:rPr>
          <w:color w:val="FFFFFF" w:themeColor="background1"/>
        </w:rPr>
      </w:pPr>
      <w:r w:rsidRPr="004827F2">
        <w:t>CLÁUSULA SÉTIMA - REAJUSTE (</w:t>
      </w:r>
      <w:hyperlink r:id="rId11" w:anchor="art92" w:history="1">
        <w:r w:rsidRPr="004827F2">
          <w:rPr>
            <w:rStyle w:val="Hyperlink"/>
          </w:rPr>
          <w:t>art. 92, V)</w:t>
        </w:r>
      </w:hyperlink>
    </w:p>
    <w:p w:rsidR="00B01774" w:rsidRPr="004827F2" w:rsidRDefault="00B01774" w:rsidP="00B01774">
      <w:pPr>
        <w:pStyle w:val="Nivel2"/>
        <w:spacing w:afterLines="120" w:after="288" w:line="312" w:lineRule="auto"/>
        <w:ind w:left="0" w:firstLine="567"/>
      </w:pPr>
      <w:r w:rsidRPr="004827F2">
        <w:t xml:space="preserve">Os preços </w:t>
      </w:r>
      <w:r w:rsidRPr="00937205">
        <w:rPr>
          <w:color w:val="auto"/>
        </w:rPr>
        <w:t xml:space="preserve">inicialmente contratados são fixos e irreajustáveis no prazo de um ano contado da data do orçamento estimado, em </w:t>
      </w:r>
      <w:r w:rsidR="00E376E7">
        <w:rPr>
          <w:i/>
          <w:iCs/>
          <w:color w:val="auto"/>
        </w:rPr>
        <w:t>19/04/2024</w:t>
      </w:r>
      <w:r w:rsidRPr="00937205">
        <w:rPr>
          <w:color w:val="auto"/>
        </w:rPr>
        <w:t>.</w:t>
      </w:r>
    </w:p>
    <w:p w:rsidR="00B01774" w:rsidRPr="004827F2" w:rsidRDefault="00B01774" w:rsidP="00B01774">
      <w:pPr>
        <w:pStyle w:val="Nivel2"/>
        <w:spacing w:afterLines="120" w:after="288" w:line="312" w:lineRule="auto"/>
        <w:ind w:left="0" w:firstLine="567"/>
      </w:pPr>
      <w:r w:rsidRPr="004827F2">
        <w:t xml:space="preserve">Após o interregno de um ano, e independentemente de pedido do contratado, os preços iniciais serão reajustados, mediante a aplicação, pelo contratante, do </w:t>
      </w:r>
      <w:r w:rsidRPr="00937205">
        <w:rPr>
          <w:color w:val="auto"/>
        </w:rPr>
        <w:t>índice IPCA</w:t>
      </w:r>
      <w:r w:rsidRPr="00937205">
        <w:rPr>
          <w:i/>
          <w:iCs/>
          <w:color w:val="auto"/>
        </w:rPr>
        <w:t>,</w:t>
      </w:r>
      <w:r w:rsidRPr="00937205">
        <w:rPr>
          <w:color w:val="auto"/>
        </w:rPr>
        <w:t xml:space="preserve"> </w:t>
      </w:r>
      <w:r w:rsidRPr="004827F2">
        <w:t>exclusivamente para as obrigações iniciadas e concluídas após a ocorrência da anualidade.</w:t>
      </w:r>
    </w:p>
    <w:p w:rsidR="00B01774" w:rsidRPr="004827F2" w:rsidRDefault="00B01774" w:rsidP="00B01774">
      <w:pPr>
        <w:pStyle w:val="Nivel2"/>
        <w:spacing w:afterLines="120" w:after="288" w:line="312" w:lineRule="auto"/>
        <w:ind w:left="0" w:firstLine="567"/>
      </w:pPr>
      <w:r w:rsidRPr="004827F2">
        <w:lastRenderedPageBreak/>
        <w:t>Nos reajustes subsequentes ao primeiro, o interregno mínimo de um ano será contado a partir dos efeitos financeiros do último reajuste.</w:t>
      </w:r>
    </w:p>
    <w:p w:rsidR="00B01774" w:rsidRPr="004827F2" w:rsidRDefault="00B01774" w:rsidP="00B01774">
      <w:pPr>
        <w:pStyle w:val="Nivel2"/>
        <w:spacing w:afterLines="120" w:after="288" w:line="312" w:lineRule="auto"/>
        <w:ind w:left="0" w:firstLine="567"/>
      </w:pPr>
      <w:r w:rsidRPr="004827F2">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B01774" w:rsidRPr="004827F2" w:rsidRDefault="00B01774" w:rsidP="00B01774">
      <w:pPr>
        <w:pStyle w:val="Nivel2"/>
        <w:spacing w:afterLines="120" w:after="288" w:line="312" w:lineRule="auto"/>
        <w:ind w:left="0" w:firstLine="567"/>
      </w:pPr>
      <w:r w:rsidRPr="004827F2">
        <w:t>Nas aferições finais, o(s) índice(s) utilizado(s) para reajuste será(</w:t>
      </w:r>
      <w:proofErr w:type="spellStart"/>
      <w:r w:rsidRPr="004827F2">
        <w:t>ão</w:t>
      </w:r>
      <w:proofErr w:type="spellEnd"/>
      <w:r w:rsidRPr="004827F2">
        <w:t>), obrigatoriamente, o(s) definitivo(s).</w:t>
      </w:r>
    </w:p>
    <w:p w:rsidR="00B01774" w:rsidRPr="004827F2" w:rsidRDefault="00B01774" w:rsidP="00B01774">
      <w:pPr>
        <w:pStyle w:val="Nivel2"/>
        <w:spacing w:afterLines="120" w:after="288" w:line="312" w:lineRule="auto"/>
        <w:ind w:left="0" w:firstLine="567"/>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rsidR="00B01774" w:rsidRPr="004827F2" w:rsidRDefault="00B01774" w:rsidP="00B01774">
      <w:pPr>
        <w:pStyle w:val="Nivel2"/>
        <w:spacing w:afterLines="120" w:after="288" w:line="312" w:lineRule="auto"/>
        <w:ind w:left="0" w:firstLine="567"/>
      </w:pPr>
      <w:r w:rsidRPr="004827F2">
        <w:t xml:space="preserve">Na ausência de previsão legal quanto ao índice substituto, as partes elegerão novo índice oficial, para reajustamento do preço do valor remanescente, por meio de termo aditivo. </w:t>
      </w:r>
    </w:p>
    <w:p w:rsidR="00B01774" w:rsidRPr="004827F2" w:rsidRDefault="00B01774" w:rsidP="00B01774">
      <w:pPr>
        <w:pStyle w:val="Nivel2"/>
        <w:spacing w:afterLines="120" w:after="288" w:line="312" w:lineRule="auto"/>
        <w:ind w:left="0" w:firstLine="567"/>
      </w:pPr>
      <w:r w:rsidRPr="004827F2">
        <w:t>O reajuste será realizado por apostilamento.</w:t>
      </w:r>
    </w:p>
    <w:p w:rsidR="00B01774" w:rsidRPr="004827F2" w:rsidRDefault="00B01774" w:rsidP="00B01774">
      <w:pPr>
        <w:pStyle w:val="Nivel01"/>
        <w:spacing w:before="120" w:afterLines="120" w:after="288" w:line="312" w:lineRule="auto"/>
        <w:ind w:left="0" w:firstLine="0"/>
        <w:rPr>
          <w:color w:val="FFFFFF" w:themeColor="background1"/>
        </w:rPr>
      </w:pPr>
      <w:r w:rsidRPr="004827F2">
        <w:t>CLÁUSULA OITAVA - OBRIGAÇÕES DO CONTRATANTE (</w:t>
      </w:r>
      <w:hyperlink r:id="rId12" w:anchor="art92" w:history="1">
        <w:r w:rsidRPr="004827F2">
          <w:rPr>
            <w:rStyle w:val="Hyperlink"/>
          </w:rPr>
          <w:t>art. 92, X, XI e XIV</w:t>
        </w:r>
      </w:hyperlink>
      <w:r w:rsidRPr="004827F2">
        <w:t>)</w:t>
      </w:r>
    </w:p>
    <w:p w:rsidR="00B01774" w:rsidRPr="004827F2" w:rsidRDefault="00B01774" w:rsidP="00B01774">
      <w:pPr>
        <w:pStyle w:val="Nivel2"/>
        <w:spacing w:afterLines="120" w:after="288" w:line="312" w:lineRule="auto"/>
        <w:ind w:left="0" w:firstLine="567"/>
        <w:rPr>
          <w:b/>
          <w:bCs/>
        </w:rPr>
      </w:pPr>
      <w:r w:rsidRPr="004827F2">
        <w:t>São obrigações do Contratante:</w:t>
      </w:r>
    </w:p>
    <w:p w:rsidR="00B01774" w:rsidRPr="004827F2" w:rsidRDefault="00B01774" w:rsidP="00B01774">
      <w:pPr>
        <w:pStyle w:val="Nivel2"/>
        <w:spacing w:afterLines="120" w:after="288" w:line="312" w:lineRule="auto"/>
        <w:ind w:left="0" w:firstLine="567"/>
      </w:pPr>
      <w:r w:rsidRPr="004827F2">
        <w:t>Exigir o cumprimento de todas as obrigações assumidas pelo Contratado, de acordo com o contrato e seus anexos;</w:t>
      </w:r>
    </w:p>
    <w:p w:rsidR="00B01774" w:rsidRPr="004827F2" w:rsidRDefault="00B01774" w:rsidP="00B01774">
      <w:pPr>
        <w:pStyle w:val="Nivel2"/>
        <w:spacing w:afterLines="120" w:after="288" w:line="312" w:lineRule="auto"/>
        <w:ind w:left="0" w:firstLine="567"/>
      </w:pPr>
      <w:r w:rsidRPr="004827F2">
        <w:t>Receber o objeto no prazo e condições estabelecidas no Termo de Referência;</w:t>
      </w:r>
    </w:p>
    <w:p w:rsidR="00B01774" w:rsidRPr="004827F2" w:rsidRDefault="00B01774" w:rsidP="00B01774">
      <w:pPr>
        <w:pStyle w:val="Nivel2"/>
        <w:spacing w:afterLines="120" w:after="288" w:line="312" w:lineRule="auto"/>
        <w:ind w:left="0" w:firstLine="567"/>
      </w:pPr>
      <w:r w:rsidRPr="004827F2">
        <w:t>Notificar o Contratado, por escrito, sobre vícios, defeitos ou incorreções verificadas no objeto fornecido, para que seja por ele substituído, reparado ou corrigido, no total ou em parte, às suas expensas;</w:t>
      </w:r>
    </w:p>
    <w:p w:rsidR="00B01774" w:rsidRPr="004827F2" w:rsidRDefault="00B01774" w:rsidP="00B01774">
      <w:pPr>
        <w:pStyle w:val="Nivel2"/>
        <w:spacing w:afterLines="120" w:after="288" w:line="312" w:lineRule="auto"/>
        <w:ind w:left="0" w:firstLine="567"/>
      </w:pPr>
      <w:r w:rsidRPr="004827F2">
        <w:t>Acompanhar e fiscalizar a execução do contrato e o cumprimento das obrigações pelo Contratado;</w:t>
      </w:r>
    </w:p>
    <w:p w:rsidR="00B01774" w:rsidRPr="004827F2" w:rsidRDefault="00B01774" w:rsidP="00B01774">
      <w:pPr>
        <w:pStyle w:val="Nivel2"/>
        <w:spacing w:afterLines="120" w:after="288" w:line="312" w:lineRule="auto"/>
        <w:ind w:left="0" w:firstLine="567"/>
      </w:pPr>
      <w:r w:rsidRPr="004827F2">
        <w:t xml:space="preserve">Comunicar a empresa para </w:t>
      </w:r>
      <w:r w:rsidRPr="004827F2">
        <w:rPr>
          <w:bCs/>
        </w:rPr>
        <w:t xml:space="preserve">emissão de Nota Fiscal no que </w:t>
      </w:r>
      <w:proofErr w:type="spellStart"/>
      <w:r w:rsidRPr="004827F2">
        <w:rPr>
          <w:bCs/>
        </w:rPr>
        <w:t>pertine</w:t>
      </w:r>
      <w:proofErr w:type="spellEnd"/>
      <w:r w:rsidRPr="004827F2">
        <w:rPr>
          <w:bCs/>
        </w:rPr>
        <w:t xml:space="preserve"> à parcela incontroversa da execução do objeto, para efeito de liquidação e pagamento, quando houver controvérsia sobre a execução do objeto, quanto à dimensão, qualidade e quantidade, conforme o </w:t>
      </w:r>
      <w:hyperlink r:id="rId13" w:anchor="art143" w:history="1">
        <w:r w:rsidRPr="004827F2">
          <w:rPr>
            <w:rStyle w:val="Hyperlink"/>
            <w:bCs/>
          </w:rPr>
          <w:t>art. 143 da Lei nº 14.133, de 2021</w:t>
        </w:r>
      </w:hyperlink>
      <w:r w:rsidRPr="004827F2">
        <w:rPr>
          <w:bCs/>
        </w:rPr>
        <w:t>;</w:t>
      </w:r>
    </w:p>
    <w:p w:rsidR="00B01774" w:rsidRPr="004827F2" w:rsidRDefault="00B01774" w:rsidP="00B01774">
      <w:pPr>
        <w:pStyle w:val="Nivel2"/>
        <w:spacing w:afterLines="120" w:after="288" w:line="312" w:lineRule="auto"/>
        <w:ind w:left="0" w:firstLine="567"/>
      </w:pPr>
      <w:r w:rsidRPr="004827F2">
        <w:t>Efetuar o pagamento ao Contratado do valor correspondente ao fornecimento do objeto, no prazo, forma e condições estabelecidos no presente Contrato;</w:t>
      </w:r>
    </w:p>
    <w:p w:rsidR="00B01774" w:rsidRPr="004827F2" w:rsidRDefault="00B01774" w:rsidP="00B01774">
      <w:pPr>
        <w:pStyle w:val="Nivel2"/>
        <w:spacing w:afterLines="120" w:after="288" w:line="312" w:lineRule="auto"/>
        <w:ind w:left="0" w:firstLine="567"/>
      </w:pPr>
      <w:r w:rsidRPr="004827F2">
        <w:t xml:space="preserve">Aplicar ao Contratado as sanções previstas na lei e neste Contrato; </w:t>
      </w:r>
    </w:p>
    <w:p w:rsidR="00B01774" w:rsidRPr="004827F2" w:rsidRDefault="00B01774" w:rsidP="00B01774">
      <w:pPr>
        <w:pStyle w:val="Nivel2"/>
        <w:spacing w:afterLines="120" w:after="288" w:line="312" w:lineRule="auto"/>
        <w:ind w:left="0" w:firstLine="567"/>
      </w:pPr>
      <w:r w:rsidRPr="004827F2">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B01774" w:rsidRPr="004827F2" w:rsidRDefault="00B01774" w:rsidP="00B01774">
      <w:pPr>
        <w:pStyle w:val="Nivel3"/>
        <w:spacing w:afterLines="120" w:after="288" w:line="312" w:lineRule="auto"/>
        <w:ind w:left="170" w:firstLine="709"/>
        <w:rPr>
          <w:b/>
          <w:bCs/>
        </w:rPr>
      </w:pPr>
      <w:r w:rsidRPr="004827F2">
        <w:t xml:space="preserve"> A Administração terá o prazo </w:t>
      </w:r>
      <w:r w:rsidRPr="00937205">
        <w:rPr>
          <w:color w:val="auto"/>
        </w:rPr>
        <w:t>de</w:t>
      </w:r>
      <w:r w:rsidRPr="00937205">
        <w:rPr>
          <w:i/>
          <w:iCs/>
          <w:color w:val="auto"/>
        </w:rPr>
        <w:t xml:space="preserve"> 10 dias</w:t>
      </w:r>
      <w:r w:rsidRPr="00937205">
        <w:rPr>
          <w:color w:val="auto"/>
        </w:rPr>
        <w:t xml:space="preserve">, </w:t>
      </w:r>
      <w:r w:rsidRPr="004827F2">
        <w:t xml:space="preserve">a contar da data do protocolo do requerimento para decidir, admitida a prorrogação motivada, por igual período. </w:t>
      </w:r>
    </w:p>
    <w:p w:rsidR="00B01774" w:rsidRPr="00937205" w:rsidRDefault="00B01774" w:rsidP="00B01774">
      <w:pPr>
        <w:pStyle w:val="Nivel2"/>
        <w:spacing w:afterLines="120" w:after="288" w:line="312" w:lineRule="auto"/>
        <w:ind w:left="0" w:firstLine="567"/>
        <w:rPr>
          <w:color w:val="auto"/>
        </w:rPr>
      </w:pPr>
      <w:r w:rsidRPr="004827F2">
        <w:t xml:space="preserve">Responder eventuais </w:t>
      </w:r>
      <w:r w:rsidRPr="00937205">
        <w:rPr>
          <w:color w:val="auto"/>
        </w:rPr>
        <w:t>pedidos de reestabelecimento do equilíbrio econômico-financeiro feitos pelo contratado no prazo máximo de 10 dias.</w:t>
      </w:r>
    </w:p>
    <w:p w:rsidR="00B01774" w:rsidRPr="004827F2" w:rsidRDefault="00B01774" w:rsidP="00B01774">
      <w:pPr>
        <w:pStyle w:val="Nvel2-Red"/>
        <w:spacing w:afterLines="120" w:after="288" w:line="312" w:lineRule="auto"/>
        <w:ind w:left="0" w:firstLine="567"/>
      </w:pPr>
      <w:r w:rsidRPr="00937205">
        <w:rPr>
          <w:color w:val="auto"/>
        </w:rPr>
        <w:t>Notificar os emitentes das garantias quanto ao início de processo administrativo para apuração de descumprimento de cláusulas contratuais</w:t>
      </w:r>
      <w:r w:rsidRPr="004827F2">
        <w:t>.</w:t>
      </w:r>
    </w:p>
    <w:p w:rsidR="00B01774" w:rsidRPr="004827F2" w:rsidRDefault="00B01774" w:rsidP="00B01774">
      <w:pPr>
        <w:pStyle w:val="Nivel2"/>
        <w:spacing w:afterLines="120" w:after="288" w:line="312" w:lineRule="auto"/>
        <w:ind w:left="0" w:firstLine="567"/>
      </w:pPr>
      <w:r w:rsidRPr="004827F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B01774" w:rsidRPr="004827F2" w:rsidRDefault="00B01774" w:rsidP="00B01774">
      <w:pPr>
        <w:pStyle w:val="Nivel01"/>
        <w:spacing w:before="120" w:afterLines="120" w:after="288" w:line="312" w:lineRule="auto"/>
        <w:rPr>
          <w:color w:val="FFFFFF" w:themeColor="background1"/>
        </w:rPr>
      </w:pPr>
      <w:r w:rsidRPr="004827F2">
        <w:t>CLÁUSULA NONA - OBRIGAÇÕES DO CONTRATADO (</w:t>
      </w:r>
      <w:hyperlink r:id="rId14" w:anchor="art92" w:history="1">
        <w:r w:rsidRPr="004827F2">
          <w:rPr>
            <w:rStyle w:val="Hyperlink"/>
          </w:rPr>
          <w:t>art. 92, XIV, XVI e XVII)</w:t>
        </w:r>
      </w:hyperlink>
    </w:p>
    <w:p w:rsidR="00B01774" w:rsidRPr="004827F2" w:rsidRDefault="00B01774" w:rsidP="00B01774">
      <w:pPr>
        <w:pStyle w:val="Nivel2"/>
        <w:spacing w:afterLines="120" w:after="288" w:line="312" w:lineRule="auto"/>
        <w:ind w:left="0" w:firstLine="567"/>
      </w:pPr>
      <w:r w:rsidRPr="004827F2">
        <w:t>O Contratado deve cumprir todas as obrigações constantes deste Contrato e em seus anexos, assumindo como exclusivamente seus os riscos e as despesas decorrentes da boa e perfeita execução do objeto, observando, ainda, as obrigações a seguir dispostas:</w:t>
      </w:r>
    </w:p>
    <w:p w:rsidR="00B01774" w:rsidRPr="004827F2" w:rsidRDefault="00B01774" w:rsidP="00B01774">
      <w:pPr>
        <w:pStyle w:val="Nivel2"/>
        <w:spacing w:afterLines="120" w:after="288" w:line="312" w:lineRule="auto"/>
        <w:ind w:left="0" w:firstLine="567"/>
        <w:rPr>
          <w:color w:val="000000" w:themeColor="text1"/>
        </w:rPr>
      </w:pPr>
      <w:r w:rsidRPr="004827F2">
        <w:t>Responsabilizar-se pelos vícios e danos decorrentes do objeto, de acordo com o Código de Defesa do Consumidor (</w:t>
      </w:r>
      <w:hyperlink r:id="rId15" w:history="1">
        <w:r w:rsidRPr="004827F2">
          <w:rPr>
            <w:rStyle w:val="Hyperlink"/>
          </w:rPr>
          <w:t>Lei nº 8.078, de 1990</w:t>
        </w:r>
      </w:hyperlink>
      <w:r w:rsidRPr="004827F2">
        <w:t>);</w:t>
      </w:r>
    </w:p>
    <w:p w:rsidR="00B01774" w:rsidRPr="004827F2" w:rsidRDefault="00B01774" w:rsidP="00B01774">
      <w:pPr>
        <w:pStyle w:val="Nivel2"/>
        <w:spacing w:afterLines="120" w:after="288" w:line="312" w:lineRule="auto"/>
        <w:ind w:left="0" w:firstLine="567"/>
        <w:rPr>
          <w:color w:val="000000" w:themeColor="text1"/>
        </w:rPr>
      </w:pPr>
      <w:r w:rsidRPr="004827F2">
        <w:rPr>
          <w:color w:val="000000" w:themeColor="text1"/>
        </w:rPr>
        <w:t>Comunicar ao contratante, no prazo máximo de 24 (vinte e quatro) horas que antecede a data da entrega, os motivos que impossibilitem o cumprimento do prazo previsto, com a devida comprovação;</w:t>
      </w:r>
    </w:p>
    <w:p w:rsidR="00B01774" w:rsidRPr="004827F2" w:rsidRDefault="00B01774" w:rsidP="00B01774">
      <w:pPr>
        <w:pStyle w:val="Nivel2"/>
        <w:spacing w:afterLines="120" w:after="288" w:line="312" w:lineRule="auto"/>
        <w:ind w:left="0" w:firstLine="567"/>
        <w:rPr>
          <w:color w:val="000000" w:themeColor="text1"/>
        </w:rPr>
      </w:pPr>
      <w:r w:rsidRPr="004827F2">
        <w:rPr>
          <w:color w:val="000000" w:themeColor="text1"/>
        </w:rPr>
        <w:t>Atender às determinações regulares emitidas pelo fiscal ou gestor do contrato ou autoridade superior (</w:t>
      </w:r>
      <w:hyperlink r:id="rId16"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B01774" w:rsidRPr="004827F2" w:rsidRDefault="00B01774" w:rsidP="00B01774">
      <w:pPr>
        <w:pStyle w:val="Nivel2"/>
        <w:spacing w:afterLines="120" w:after="288" w:line="312" w:lineRule="auto"/>
        <w:ind w:left="0" w:firstLine="567"/>
        <w:rPr>
          <w:color w:val="000000" w:themeColor="text1"/>
        </w:rPr>
      </w:pPr>
      <w:r w:rsidRPr="004827F2">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B01774" w:rsidRPr="004827F2" w:rsidRDefault="00B01774" w:rsidP="00B01774">
      <w:pPr>
        <w:pStyle w:val="Nivel2"/>
        <w:spacing w:afterLines="120" w:after="288" w:line="312" w:lineRule="auto"/>
        <w:ind w:left="0" w:firstLine="567"/>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B01774" w:rsidRPr="004827F2" w:rsidRDefault="00B01774" w:rsidP="00B01774">
      <w:pPr>
        <w:pStyle w:val="Nivel2"/>
        <w:spacing w:afterLines="120" w:after="288" w:line="312" w:lineRule="auto"/>
        <w:ind w:left="0" w:firstLine="567"/>
      </w:pPr>
      <w:r w:rsidRPr="004827F2">
        <w:t xml:space="preserve">Responsabilizar-se pelo cumprimento de todas as obrigações trabalhistas, previdenciárias, fiscais, comerciais e as demais previstas em legislação específica, cuja </w:t>
      </w:r>
      <w:r w:rsidRPr="004827F2">
        <w:lastRenderedPageBreak/>
        <w:t>inadimplência não transfere a responsabilidade ao contratante e não poderá onerar o objeto do contrato;</w:t>
      </w:r>
    </w:p>
    <w:p w:rsidR="00B01774" w:rsidRPr="004827F2" w:rsidRDefault="00B01774" w:rsidP="00B01774">
      <w:pPr>
        <w:pStyle w:val="Nivel2"/>
        <w:spacing w:afterLines="120" w:after="288" w:line="312" w:lineRule="auto"/>
        <w:ind w:left="0" w:firstLine="567"/>
      </w:pPr>
      <w:r w:rsidRPr="004827F2">
        <w:t>Comunicar ao Fiscal do contrato, no prazo de 24 (vinte e quatro) horas, qualquer ocorrência anormal ou acidente que se verifique no local da execução do objeto contratual.</w:t>
      </w:r>
    </w:p>
    <w:p w:rsidR="00B01774" w:rsidRPr="004827F2" w:rsidRDefault="00B01774" w:rsidP="00B01774">
      <w:pPr>
        <w:pStyle w:val="Nivel2"/>
        <w:spacing w:afterLines="120" w:after="288" w:line="312" w:lineRule="auto"/>
        <w:ind w:left="0" w:firstLine="567"/>
      </w:pPr>
      <w:r w:rsidRPr="004827F2">
        <w:t xml:space="preserve">Manter durante toda a vigência do contrato, em compatibilidade com as obrigações assumidas, todas as condições exigidas para habilitação na licitação; </w:t>
      </w:r>
    </w:p>
    <w:p w:rsidR="00B01774" w:rsidRPr="004827F2" w:rsidRDefault="00B01774" w:rsidP="00B01774">
      <w:pPr>
        <w:pStyle w:val="Nivel2"/>
        <w:spacing w:afterLines="120" w:after="288" w:line="312" w:lineRule="auto"/>
        <w:ind w:left="0" w:firstLine="567"/>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7" w:anchor="art124" w:history="1">
        <w:r w:rsidRPr="004827F2">
          <w:rPr>
            <w:rStyle w:val="Hyperlink"/>
          </w:rPr>
          <w:t>art. 124, II, d, da Lei nº 14.133, de 2021.</w:t>
        </w:r>
      </w:hyperlink>
    </w:p>
    <w:p w:rsidR="00B01774" w:rsidRPr="004827F2" w:rsidRDefault="00B01774" w:rsidP="00B01774">
      <w:pPr>
        <w:pStyle w:val="Nivel01"/>
        <w:spacing w:before="120" w:afterLines="120" w:after="288" w:line="312" w:lineRule="auto"/>
        <w:ind w:left="0" w:firstLine="0"/>
        <w:rPr>
          <w:color w:val="FFFFFF" w:themeColor="background1"/>
        </w:rPr>
      </w:pPr>
      <w:r w:rsidRPr="004827F2">
        <w:t>CLÁUSULA DÉCIMA– GARANTIA DE EXECUÇÃO (</w:t>
      </w:r>
      <w:hyperlink r:id="rId18" w:anchor="art92" w:history="1">
        <w:r w:rsidRPr="004827F2">
          <w:rPr>
            <w:rStyle w:val="Hyperlink"/>
          </w:rPr>
          <w:t>art. 92, XII e XIII</w:t>
        </w:r>
      </w:hyperlink>
      <w:r w:rsidRPr="004827F2">
        <w:t>)</w:t>
      </w:r>
    </w:p>
    <w:p w:rsidR="00B01774" w:rsidRPr="00937205" w:rsidRDefault="00B01774" w:rsidP="00B01774">
      <w:pPr>
        <w:pStyle w:val="Nvel2-Red"/>
        <w:spacing w:afterLines="120" w:after="288" w:line="312" w:lineRule="auto"/>
        <w:ind w:left="0" w:firstLine="567"/>
        <w:rPr>
          <w:color w:val="auto"/>
        </w:rPr>
      </w:pPr>
      <w:r w:rsidRPr="004827F2">
        <w:t xml:space="preserve">  </w:t>
      </w:r>
      <w:r w:rsidRPr="00937205">
        <w:rPr>
          <w:color w:val="auto"/>
        </w:rPr>
        <w:t>Não haverá exigência de garantia contratual da execução.</w:t>
      </w:r>
    </w:p>
    <w:p w:rsidR="00B01774" w:rsidRPr="004827F2" w:rsidRDefault="00B01774" w:rsidP="00B01774">
      <w:pPr>
        <w:pStyle w:val="Nivel01"/>
        <w:spacing w:before="120" w:afterLines="120" w:after="288" w:line="312" w:lineRule="auto"/>
        <w:ind w:left="0" w:firstLine="0"/>
        <w:rPr>
          <w:color w:val="FFFFFF" w:themeColor="background1"/>
        </w:rPr>
      </w:pPr>
      <w:r w:rsidRPr="004827F2">
        <w:t>CLÁUSULA DÉCIMA PRIMEIRA – INFRAÇÕES E SANÇÕES ADMINISTRATIVAS (</w:t>
      </w:r>
      <w:hyperlink r:id="rId19" w:anchor="art92" w:history="1">
        <w:r w:rsidRPr="004827F2">
          <w:rPr>
            <w:rStyle w:val="Hyperlink"/>
          </w:rPr>
          <w:t>art. 92, XIV</w:t>
        </w:r>
      </w:hyperlink>
      <w:r w:rsidRPr="004827F2">
        <w:t>)</w:t>
      </w:r>
    </w:p>
    <w:p w:rsidR="00B01774" w:rsidRPr="004827F2" w:rsidRDefault="00B01774" w:rsidP="00B01774">
      <w:pPr>
        <w:pStyle w:val="Nivel2"/>
        <w:spacing w:afterLines="120" w:after="288" w:line="312" w:lineRule="auto"/>
        <w:ind w:left="0" w:firstLine="567"/>
      </w:pPr>
      <w:r w:rsidRPr="004827F2">
        <w:t xml:space="preserve">Comete infração administrativa, nos termos da </w:t>
      </w:r>
      <w:hyperlink r:id="rId20" w:history="1">
        <w:r w:rsidRPr="004827F2">
          <w:rPr>
            <w:rStyle w:val="Hyperlink"/>
          </w:rPr>
          <w:t>Lei nº 14.133, de 2021</w:t>
        </w:r>
      </w:hyperlink>
      <w:r w:rsidRPr="004827F2">
        <w:t>, o contratado que:</w:t>
      </w:r>
    </w:p>
    <w:p w:rsidR="00B01774" w:rsidRPr="004827F2" w:rsidRDefault="00B01774" w:rsidP="00B01774">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der causa à inexecução parcial do contrato;</w:t>
      </w:r>
    </w:p>
    <w:p w:rsidR="00B01774" w:rsidRPr="004827F2" w:rsidRDefault="00B01774" w:rsidP="00B01774">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rsidR="00B01774" w:rsidRPr="004827F2" w:rsidRDefault="00B01774" w:rsidP="00B01774">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der causa à inexecução total do contrato;</w:t>
      </w:r>
    </w:p>
    <w:p w:rsidR="00B01774" w:rsidRPr="004827F2" w:rsidRDefault="00B01774" w:rsidP="00B01774">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rsidR="00B01774" w:rsidRPr="004827F2" w:rsidRDefault="00B01774" w:rsidP="00B01774">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rsidR="00B01774" w:rsidRPr="004827F2" w:rsidRDefault="00B01774" w:rsidP="00B01774">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rsidR="00B01774" w:rsidRPr="004827F2" w:rsidRDefault="00B01774" w:rsidP="00B01774">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rsidR="00B01774" w:rsidRPr="004827F2" w:rsidRDefault="00B01774" w:rsidP="00B01774">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1"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B01774" w:rsidRPr="004827F2" w:rsidRDefault="00B01774" w:rsidP="00B01774">
      <w:pPr>
        <w:pStyle w:val="Nivel2"/>
        <w:spacing w:afterLines="120" w:after="288" w:line="312" w:lineRule="auto"/>
        <w:ind w:left="0" w:firstLine="567"/>
      </w:pPr>
      <w:r w:rsidRPr="004827F2">
        <w:t>Serão aplicadas ao contratado que incorrer nas infrações acima descritas as seguintes sanções:</w:t>
      </w:r>
    </w:p>
    <w:p w:rsidR="00B01774" w:rsidRPr="004827F2" w:rsidRDefault="00B01774" w:rsidP="00B01774">
      <w:pPr>
        <w:pStyle w:val="PargrafodaLista"/>
        <w:numPr>
          <w:ilvl w:val="0"/>
          <w:numId w:val="7"/>
        </w:numPr>
        <w:suppressAutoHyphens/>
        <w:spacing w:before="120" w:afterLines="120" w:after="288" w:line="312" w:lineRule="auto"/>
        <w:ind w:left="924" w:firstLine="851"/>
        <w:jc w:val="both"/>
        <w:rPr>
          <w:rFonts w:ascii="Arial" w:eastAsia="Arial" w:hAnsi="Arial" w:cs="Arial"/>
          <w:sz w:val="20"/>
          <w:szCs w:val="20"/>
        </w:rPr>
      </w:pPr>
      <w:r w:rsidRPr="004827F2">
        <w:rPr>
          <w:rFonts w:ascii="Arial" w:eastAsia="Arial" w:hAnsi="Arial" w:cs="Arial"/>
          <w:b/>
          <w:bCs/>
          <w:sz w:val="20"/>
          <w:szCs w:val="20"/>
        </w:rPr>
        <w:lastRenderedPageBreak/>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2" w:anchor="art156§2" w:history="1">
        <w:r w:rsidRPr="004827F2">
          <w:rPr>
            <w:rStyle w:val="Hyperlink"/>
            <w:rFonts w:ascii="Arial" w:eastAsia="Arial" w:hAnsi="Arial" w:cs="Arial"/>
            <w:sz w:val="20"/>
            <w:szCs w:val="20"/>
          </w:rPr>
          <w:t xml:space="preserve">art. 156, §2º, da </w:t>
        </w:r>
        <w:bookmarkStart w:id="1" w:name="_Hlk114504069"/>
        <w:r w:rsidRPr="004827F2">
          <w:rPr>
            <w:rStyle w:val="Hyperlink"/>
            <w:rFonts w:ascii="Arial" w:eastAsia="Arial" w:hAnsi="Arial" w:cs="Arial"/>
            <w:sz w:val="20"/>
            <w:szCs w:val="20"/>
          </w:rPr>
          <w:t>Lei nº 14.133, de 2021</w:t>
        </w:r>
        <w:bookmarkEnd w:id="1"/>
      </w:hyperlink>
      <w:r w:rsidRPr="004827F2">
        <w:rPr>
          <w:rFonts w:ascii="Arial" w:eastAsia="Arial" w:hAnsi="Arial" w:cs="Arial"/>
          <w:sz w:val="20"/>
          <w:szCs w:val="20"/>
        </w:rPr>
        <w:t>);</w:t>
      </w:r>
    </w:p>
    <w:p w:rsidR="00B01774" w:rsidRPr="004827F2" w:rsidRDefault="00B01774" w:rsidP="00B01774">
      <w:pPr>
        <w:pStyle w:val="PargrafodaLista"/>
        <w:numPr>
          <w:ilvl w:val="0"/>
          <w:numId w:val="7"/>
        </w:numPr>
        <w:suppressAutoHyphens/>
        <w:spacing w:before="120" w:afterLines="120" w:after="288" w:line="312" w:lineRule="auto"/>
        <w:ind w:left="924" w:firstLine="851"/>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3"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B01774" w:rsidRPr="004827F2" w:rsidRDefault="00B01774" w:rsidP="00B01774">
      <w:pPr>
        <w:pStyle w:val="PargrafodaLista"/>
        <w:numPr>
          <w:ilvl w:val="0"/>
          <w:numId w:val="7"/>
        </w:numPr>
        <w:suppressAutoHyphens/>
        <w:spacing w:before="120" w:afterLines="120" w:after="288" w:line="312" w:lineRule="auto"/>
        <w:ind w:left="924" w:firstLine="851"/>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4"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B01774" w:rsidRPr="004827F2" w:rsidRDefault="00B01774" w:rsidP="00B01774">
      <w:pPr>
        <w:pStyle w:val="PargrafodaLista"/>
        <w:numPr>
          <w:ilvl w:val="0"/>
          <w:numId w:val="7"/>
        </w:numPr>
        <w:suppressAutoHyphens/>
        <w:spacing w:before="120" w:afterLines="120" w:after="288" w:line="312" w:lineRule="auto"/>
        <w:ind w:left="924" w:firstLine="851"/>
        <w:jc w:val="both"/>
        <w:rPr>
          <w:rFonts w:ascii="Arial" w:eastAsia="Arial" w:hAnsi="Arial" w:cs="Arial"/>
          <w:sz w:val="20"/>
          <w:szCs w:val="20"/>
        </w:rPr>
      </w:pPr>
      <w:r w:rsidRPr="004827F2">
        <w:rPr>
          <w:rFonts w:ascii="Arial" w:eastAsia="Arial" w:hAnsi="Arial" w:cs="Arial"/>
          <w:b/>
          <w:bCs/>
          <w:sz w:val="20"/>
          <w:szCs w:val="20"/>
        </w:rPr>
        <w:t>Multa:</w:t>
      </w:r>
    </w:p>
    <w:p w:rsidR="00B01774" w:rsidRPr="004827F2" w:rsidRDefault="00B01774" w:rsidP="00B01774">
      <w:pPr>
        <w:pStyle w:val="PargrafodaLista"/>
        <w:suppressAutoHyphens/>
        <w:spacing w:before="120" w:afterLines="120" w:after="288" w:line="312" w:lineRule="auto"/>
        <w:ind w:left="1775"/>
        <w:jc w:val="both"/>
        <w:rPr>
          <w:rFonts w:ascii="Arial" w:eastAsia="Arial" w:hAnsi="Arial" w:cs="Arial"/>
          <w:sz w:val="20"/>
          <w:szCs w:val="20"/>
        </w:rPr>
      </w:pPr>
    </w:p>
    <w:p w:rsidR="00B01774" w:rsidRPr="00937205" w:rsidRDefault="00B01774" w:rsidP="00B01774">
      <w:pPr>
        <w:pStyle w:val="PargrafodaLista"/>
        <w:numPr>
          <w:ilvl w:val="1"/>
          <w:numId w:val="7"/>
        </w:numPr>
        <w:suppressAutoHyphens/>
        <w:spacing w:before="120" w:afterLines="120" w:after="288" w:line="312" w:lineRule="auto"/>
        <w:ind w:left="2127" w:hanging="284"/>
        <w:jc w:val="both"/>
        <w:rPr>
          <w:rFonts w:ascii="Arial" w:eastAsia="Arial" w:hAnsi="Arial" w:cs="Arial"/>
          <w:sz w:val="20"/>
          <w:szCs w:val="20"/>
        </w:rPr>
      </w:pPr>
      <w:r w:rsidRPr="004827F2">
        <w:rPr>
          <w:rFonts w:ascii="Arial" w:eastAsia="Arial" w:hAnsi="Arial" w:cs="Arial"/>
          <w:sz w:val="20"/>
          <w:szCs w:val="20"/>
        </w:rPr>
        <w:t xml:space="preserve">moratória de </w:t>
      </w:r>
      <w:proofErr w:type="gramStart"/>
      <w:r w:rsidRPr="00937205">
        <w:rPr>
          <w:rFonts w:ascii="Arial" w:eastAsia="Arial" w:hAnsi="Arial" w:cs="Arial"/>
          <w:sz w:val="20"/>
          <w:szCs w:val="20"/>
        </w:rPr>
        <w:t>10.%</w:t>
      </w:r>
      <w:proofErr w:type="gramEnd"/>
      <w:r w:rsidRPr="00937205">
        <w:rPr>
          <w:rFonts w:ascii="Arial" w:eastAsia="Arial" w:hAnsi="Arial" w:cs="Arial"/>
          <w:sz w:val="20"/>
          <w:szCs w:val="20"/>
        </w:rPr>
        <w:t xml:space="preserve"> (dez por cento) por dia de atraso injustificado sobre o valor da parcela inadimplida, até o limite de 30 (trinta) dias;</w:t>
      </w:r>
    </w:p>
    <w:p w:rsidR="00B01774" w:rsidRPr="004827F2" w:rsidRDefault="00B01774" w:rsidP="00B01774">
      <w:pPr>
        <w:pStyle w:val="PargrafodaLista"/>
        <w:numPr>
          <w:ilvl w:val="1"/>
          <w:numId w:val="7"/>
        </w:numPr>
        <w:suppressAutoHyphens/>
        <w:spacing w:before="120" w:afterLines="120" w:after="288" w:line="312" w:lineRule="auto"/>
        <w:ind w:left="2127" w:hanging="284"/>
        <w:jc w:val="both"/>
        <w:rPr>
          <w:rFonts w:ascii="Arial" w:eastAsia="Arial" w:hAnsi="Arial" w:cs="Arial"/>
          <w:sz w:val="20"/>
          <w:szCs w:val="20"/>
        </w:rPr>
      </w:pPr>
      <w:r w:rsidRPr="00937205">
        <w:rPr>
          <w:rFonts w:ascii="Arial" w:eastAsia="Arial" w:hAnsi="Arial" w:cs="Arial"/>
          <w:sz w:val="20"/>
          <w:szCs w:val="20"/>
        </w:rPr>
        <w:t>compensatória de 10% (dez por cento) sobre o valor total do contrato, no caso de inexecução total do objeto</w:t>
      </w:r>
      <w:r w:rsidRPr="004827F2">
        <w:rPr>
          <w:rFonts w:ascii="Arial" w:eastAsia="Arial" w:hAnsi="Arial" w:cs="Arial"/>
          <w:sz w:val="20"/>
          <w:szCs w:val="20"/>
        </w:rPr>
        <w:t>.</w:t>
      </w:r>
    </w:p>
    <w:p w:rsidR="00B01774" w:rsidRPr="004827F2" w:rsidRDefault="00B01774" w:rsidP="00B01774">
      <w:pPr>
        <w:pStyle w:val="Nivel2"/>
        <w:spacing w:afterLines="120" w:after="288" w:line="312" w:lineRule="auto"/>
        <w:ind w:left="0" w:firstLine="567"/>
      </w:pPr>
      <w:r w:rsidRPr="004827F2">
        <w:t>A aplicação das sanções previstas neste Contrato não exclui, em hipótese alguma, a obrigação de reparação integral do dano causado ao Contratante (</w:t>
      </w:r>
      <w:hyperlink r:id="rId25" w:anchor="art156§9" w:history="1">
        <w:r w:rsidRPr="004827F2">
          <w:rPr>
            <w:rStyle w:val="Hyperlink"/>
          </w:rPr>
          <w:t>art. 156, §9º, da Lei nº 14.133, de 2021</w:t>
        </w:r>
      </w:hyperlink>
      <w:r w:rsidRPr="004827F2">
        <w:t>)</w:t>
      </w:r>
    </w:p>
    <w:p w:rsidR="00B01774" w:rsidRPr="004827F2" w:rsidRDefault="00B01774" w:rsidP="00B01774">
      <w:pPr>
        <w:pStyle w:val="Nivel2"/>
        <w:spacing w:afterLines="120" w:after="288" w:line="312" w:lineRule="auto"/>
        <w:ind w:left="0" w:firstLine="567"/>
      </w:pPr>
      <w:r w:rsidRPr="004827F2">
        <w:t>Todas as sanções previstas neste Contrato poderão ser aplicadas cumulativamente com a multa (</w:t>
      </w:r>
      <w:hyperlink r:id="rId26" w:anchor="art156§7" w:history="1">
        <w:r w:rsidRPr="004827F2">
          <w:rPr>
            <w:rStyle w:val="Hyperlink"/>
          </w:rPr>
          <w:t>art. 156, §7º, da Lei nº 14.133, de 2021</w:t>
        </w:r>
      </w:hyperlink>
      <w:r w:rsidRPr="004827F2">
        <w:t>).</w:t>
      </w:r>
    </w:p>
    <w:p w:rsidR="00B01774" w:rsidRPr="004827F2" w:rsidRDefault="00B01774" w:rsidP="00B01774">
      <w:pPr>
        <w:pStyle w:val="Nivel3"/>
        <w:spacing w:afterLines="120" w:after="288" w:line="312" w:lineRule="auto"/>
        <w:ind w:left="0" w:firstLine="709"/>
      </w:pPr>
      <w:r w:rsidRPr="004827F2">
        <w:t>Antes da aplicação da multa será facultada a defesa do interessado no prazo de 15 (quinze) dias úteis, contado da data de sua intimação (</w:t>
      </w:r>
      <w:hyperlink r:id="rId27" w:anchor="art157" w:history="1">
        <w:r w:rsidRPr="004827F2">
          <w:rPr>
            <w:rStyle w:val="Hyperlink"/>
          </w:rPr>
          <w:t>art. 157, da Lei nº 14.133, de 2021</w:t>
        </w:r>
      </w:hyperlink>
      <w:r w:rsidRPr="004827F2">
        <w:t>)</w:t>
      </w:r>
    </w:p>
    <w:p w:rsidR="00B01774" w:rsidRPr="004827F2" w:rsidRDefault="00B01774" w:rsidP="00B01774">
      <w:pPr>
        <w:pStyle w:val="Nivel3"/>
        <w:spacing w:afterLines="120" w:after="288" w:line="312" w:lineRule="auto"/>
        <w:ind w:left="0" w:firstLine="709"/>
      </w:pPr>
      <w:r w:rsidRPr="004827F2">
        <w:t>Se a multa aplicada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sidRPr="004827F2">
          <w:rPr>
            <w:rStyle w:val="Hyperlink"/>
          </w:rPr>
          <w:t>art. 156, §8º, da Lei nº 14.133, de 2021</w:t>
        </w:r>
      </w:hyperlink>
      <w:r w:rsidRPr="004827F2">
        <w:t>).</w:t>
      </w:r>
    </w:p>
    <w:p w:rsidR="00B01774" w:rsidRPr="004827F2" w:rsidRDefault="00B01774" w:rsidP="00B01774">
      <w:pPr>
        <w:pStyle w:val="Nivel3"/>
        <w:spacing w:afterLines="120" w:after="288" w:line="312" w:lineRule="auto"/>
        <w:ind w:left="0" w:firstLine="709"/>
      </w:pPr>
      <w:r w:rsidRPr="004827F2">
        <w:t xml:space="preserve">Previamente ao </w:t>
      </w:r>
      <w:r w:rsidRPr="00937205">
        <w:rPr>
          <w:color w:val="auto"/>
        </w:rPr>
        <w:t xml:space="preserve">encaminhamento à cobrança judicial, a multa poderá ser recolhida administrativamente no prazo máximo de </w:t>
      </w:r>
      <w:r w:rsidRPr="00937205">
        <w:rPr>
          <w:i/>
          <w:iCs/>
          <w:color w:val="auto"/>
        </w:rPr>
        <w:t xml:space="preserve">30 (trinta) </w:t>
      </w:r>
      <w:r w:rsidRPr="004827F2">
        <w:t>dias, a contar da data do recebimento da comunicação enviada pela autoridade competente.</w:t>
      </w:r>
      <w:bookmarkStart w:id="2" w:name="_Hlk78351618"/>
      <w:bookmarkEnd w:id="2"/>
    </w:p>
    <w:p w:rsidR="00B01774" w:rsidRPr="004827F2" w:rsidRDefault="00B01774" w:rsidP="00B01774">
      <w:pPr>
        <w:pStyle w:val="Nivel2"/>
        <w:spacing w:afterLines="120" w:after="288" w:line="312" w:lineRule="auto"/>
        <w:ind w:left="0" w:firstLine="567"/>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9"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B01774" w:rsidRPr="004827F2" w:rsidRDefault="00B01774" w:rsidP="00B01774">
      <w:pPr>
        <w:pStyle w:val="Nivel2"/>
        <w:spacing w:afterLines="120" w:after="288" w:line="312" w:lineRule="auto"/>
        <w:ind w:left="0" w:firstLine="567"/>
      </w:pPr>
      <w:r w:rsidRPr="004827F2">
        <w:t>Na aplicação das sanções serão considerados (</w:t>
      </w:r>
      <w:hyperlink r:id="rId30" w:anchor="art156§1" w:history="1">
        <w:r w:rsidRPr="004827F2">
          <w:rPr>
            <w:rStyle w:val="Hyperlink"/>
          </w:rPr>
          <w:t>art. 156, §1º, da Lei nº 14.133, de 2021</w:t>
        </w:r>
      </w:hyperlink>
      <w:r w:rsidRPr="004827F2">
        <w:t>):</w:t>
      </w:r>
    </w:p>
    <w:p w:rsidR="00B01774" w:rsidRPr="004827F2" w:rsidRDefault="00B01774" w:rsidP="00B01774">
      <w:pPr>
        <w:numPr>
          <w:ilvl w:val="0"/>
          <w:numId w:val="3"/>
        </w:numPr>
        <w:suppressAutoHyphens/>
        <w:spacing w:before="120" w:afterLines="120" w:after="288" w:line="312" w:lineRule="auto"/>
        <w:ind w:left="340" w:firstLine="567"/>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rsidR="00B01774" w:rsidRPr="004827F2" w:rsidRDefault="00B01774" w:rsidP="00B01774">
      <w:pPr>
        <w:numPr>
          <w:ilvl w:val="0"/>
          <w:numId w:val="3"/>
        </w:numPr>
        <w:suppressAutoHyphens/>
        <w:spacing w:before="120" w:afterLines="120" w:after="288" w:line="312" w:lineRule="auto"/>
        <w:ind w:left="340" w:firstLine="567"/>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rsidR="00B01774" w:rsidRPr="004827F2" w:rsidRDefault="00B01774" w:rsidP="00B01774">
      <w:pPr>
        <w:numPr>
          <w:ilvl w:val="0"/>
          <w:numId w:val="3"/>
        </w:numPr>
        <w:suppressAutoHyphens/>
        <w:spacing w:before="120" w:afterLines="120" w:after="288" w:line="312" w:lineRule="auto"/>
        <w:ind w:left="340" w:firstLine="567"/>
        <w:contextualSpacing/>
        <w:jc w:val="both"/>
        <w:rPr>
          <w:rFonts w:ascii="Arial" w:eastAsia="Arial" w:hAnsi="Arial" w:cs="Arial"/>
          <w:sz w:val="20"/>
          <w:szCs w:val="20"/>
        </w:rPr>
      </w:pPr>
      <w:r w:rsidRPr="004827F2">
        <w:rPr>
          <w:rFonts w:ascii="Arial" w:eastAsia="Arial" w:hAnsi="Arial" w:cs="Arial"/>
          <w:sz w:val="20"/>
          <w:szCs w:val="20"/>
        </w:rPr>
        <w:lastRenderedPageBreak/>
        <w:t>as circunstâncias agravantes ou atenuantes;</w:t>
      </w:r>
    </w:p>
    <w:p w:rsidR="00B01774" w:rsidRPr="004827F2" w:rsidRDefault="00B01774" w:rsidP="00B01774">
      <w:pPr>
        <w:numPr>
          <w:ilvl w:val="0"/>
          <w:numId w:val="3"/>
        </w:numPr>
        <w:suppressAutoHyphens/>
        <w:spacing w:before="120" w:afterLines="120" w:after="288" w:line="312" w:lineRule="auto"/>
        <w:ind w:left="340" w:firstLine="567"/>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rsidR="00B01774" w:rsidRPr="004827F2" w:rsidRDefault="00B01774" w:rsidP="00B01774">
      <w:pPr>
        <w:numPr>
          <w:ilvl w:val="0"/>
          <w:numId w:val="3"/>
        </w:numPr>
        <w:suppressAutoHyphens/>
        <w:spacing w:before="120" w:afterLines="120" w:after="288" w:line="312" w:lineRule="auto"/>
        <w:ind w:left="340" w:firstLine="567"/>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rsidR="00B01774" w:rsidRPr="004827F2" w:rsidRDefault="00B01774" w:rsidP="00B01774">
      <w:pPr>
        <w:pStyle w:val="Nivel2"/>
        <w:spacing w:afterLines="120" w:after="288" w:line="312" w:lineRule="auto"/>
        <w:ind w:left="0" w:firstLine="567"/>
      </w:pPr>
      <w:r w:rsidRPr="004827F2">
        <w:t xml:space="preserve">Os atos previstos como infrações administrativas na </w:t>
      </w:r>
      <w:hyperlink r:id="rId31" w:history="1">
        <w:r w:rsidRPr="004827F2">
          <w:rPr>
            <w:rStyle w:val="Hyperlink"/>
          </w:rPr>
          <w:t>Lei nº 14.133, de 2021</w:t>
        </w:r>
      </w:hyperlink>
      <w:r w:rsidRPr="004827F2">
        <w:t xml:space="preserve">, ou em outras leis de licitações e contratos da Administração Pública que também sejam tipificados como atos lesivos na </w:t>
      </w:r>
      <w:hyperlink r:id="rId32"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33" w:history="1">
        <w:r w:rsidRPr="004827F2">
          <w:rPr>
            <w:rStyle w:val="Hyperlink"/>
          </w:rPr>
          <w:t>art. 159</w:t>
        </w:r>
      </w:hyperlink>
      <w:r w:rsidRPr="004827F2">
        <w:t>).</w:t>
      </w:r>
    </w:p>
    <w:p w:rsidR="00B01774" w:rsidRPr="004827F2" w:rsidRDefault="00B01774" w:rsidP="00B01774">
      <w:pPr>
        <w:pStyle w:val="Nivel2"/>
        <w:spacing w:afterLines="120" w:after="288" w:line="312" w:lineRule="auto"/>
        <w:ind w:left="0" w:firstLine="567"/>
        <w:rPr>
          <w:i/>
          <w:iCs/>
        </w:rPr>
      </w:pPr>
      <w:r w:rsidRPr="004827F2">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4" w:anchor="art160" w:history="1">
        <w:r w:rsidRPr="004827F2">
          <w:rPr>
            <w:rStyle w:val="Hyperlink"/>
          </w:rPr>
          <w:t>art. 160, da Lei nº 14.133, de 2021</w:t>
        </w:r>
      </w:hyperlink>
      <w:r w:rsidRPr="004827F2">
        <w:t>).</w:t>
      </w:r>
    </w:p>
    <w:p w:rsidR="00B01774" w:rsidRPr="004827F2" w:rsidRDefault="00B01774" w:rsidP="00B01774">
      <w:pPr>
        <w:pStyle w:val="Nivel2"/>
        <w:spacing w:afterLines="120" w:after="288" w:line="312" w:lineRule="auto"/>
        <w:ind w:left="0" w:firstLine="567"/>
        <w:rPr>
          <w:i/>
          <w:iCs/>
        </w:rPr>
      </w:pPr>
      <w:r w:rsidRPr="004827F2">
        <w:t xml:space="preserve">As sanções de impedimento de licitar e contratar e declaração de inidoneidade para licitar ou contratar são passíveis de reabilitação na forma do </w:t>
      </w:r>
      <w:hyperlink r:id="rId35" w:anchor="163" w:history="1">
        <w:r w:rsidRPr="004827F2">
          <w:rPr>
            <w:rStyle w:val="Hyperlink"/>
          </w:rPr>
          <w:t>art. 163 da Lei nº 14.133/21</w:t>
        </w:r>
      </w:hyperlink>
      <w:r w:rsidRPr="004827F2">
        <w:t>.</w:t>
      </w:r>
    </w:p>
    <w:p w:rsidR="00B01774" w:rsidRPr="004827F2" w:rsidRDefault="00B01774" w:rsidP="00B01774">
      <w:pPr>
        <w:pStyle w:val="Nivel2"/>
        <w:spacing w:afterLines="120" w:after="288" w:line="312" w:lineRule="auto"/>
        <w:ind w:left="0" w:firstLine="567"/>
      </w:pPr>
      <w:r w:rsidRPr="004827F2">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6" w:history="1">
        <w:r w:rsidRPr="004827F2">
          <w:rPr>
            <w:rStyle w:val="Hyperlink"/>
          </w:rPr>
          <w:t>Normativa SEGES/ME nº 26, de 13 de abril de 2022</w:t>
        </w:r>
      </w:hyperlink>
      <w:r w:rsidRPr="004827F2">
        <w:t xml:space="preserve">. </w:t>
      </w:r>
    </w:p>
    <w:p w:rsidR="00B01774" w:rsidRPr="00937205" w:rsidRDefault="00B01774" w:rsidP="00B01774">
      <w:pPr>
        <w:pStyle w:val="Nivel01"/>
        <w:spacing w:before="120" w:afterLines="120" w:after="288" w:line="312" w:lineRule="auto"/>
        <w:ind w:left="0" w:firstLine="0"/>
      </w:pPr>
      <w:r w:rsidRPr="00937205">
        <w:t>CLÁUSULA DÉCIMA SEGUNDA– DA EXTINÇÃO CONTRATUAL (</w:t>
      </w:r>
      <w:hyperlink r:id="rId37" w:anchor="art92" w:history="1">
        <w:r w:rsidRPr="00937205">
          <w:rPr>
            <w:rStyle w:val="Hyperlink"/>
          </w:rPr>
          <w:t>art. 92, XIX</w:t>
        </w:r>
      </w:hyperlink>
      <w:r w:rsidRPr="00937205">
        <w:t>)</w:t>
      </w:r>
    </w:p>
    <w:p w:rsidR="00B01774" w:rsidRPr="00937205" w:rsidRDefault="00B01774" w:rsidP="00B01774">
      <w:pPr>
        <w:pStyle w:val="Nvel2-Red"/>
        <w:spacing w:afterLines="120" w:after="288" w:line="312" w:lineRule="auto"/>
        <w:ind w:left="0" w:firstLine="567"/>
        <w:rPr>
          <w:color w:val="auto"/>
        </w:rPr>
      </w:pPr>
      <w:r w:rsidRPr="00937205">
        <w:rPr>
          <w:color w:val="auto"/>
        </w:rPr>
        <w:t>O contrato se extingue quando cumpridas as obrigações de ambas as partes, ainda que isso ocorra antes do prazo estipulado para tanto.</w:t>
      </w:r>
    </w:p>
    <w:p w:rsidR="00B01774" w:rsidRPr="00937205" w:rsidRDefault="00B01774" w:rsidP="00B01774">
      <w:pPr>
        <w:pStyle w:val="Nvel2-Red"/>
        <w:spacing w:afterLines="120" w:after="288" w:line="312" w:lineRule="auto"/>
        <w:ind w:left="0" w:firstLine="567"/>
        <w:rPr>
          <w:color w:val="auto"/>
        </w:rPr>
      </w:pPr>
      <w:r w:rsidRPr="00937205">
        <w:rPr>
          <w:color w:val="auto"/>
        </w:rPr>
        <w:t>Se as obrigações não forem cumpridas no prazo estipulado, a vigência ficará prorrogada até a conclusão do objeto, caso em que deverá a Administração providenciar a readequação do cronograma fixado para o contrato.</w:t>
      </w:r>
    </w:p>
    <w:p w:rsidR="00B01774" w:rsidRPr="00937205" w:rsidRDefault="00B01774" w:rsidP="00B01774">
      <w:pPr>
        <w:pStyle w:val="Nvel3-R"/>
        <w:spacing w:afterLines="120" w:after="288" w:line="312" w:lineRule="auto"/>
        <w:ind w:left="170" w:firstLine="709"/>
        <w:rPr>
          <w:color w:val="auto"/>
        </w:rPr>
      </w:pPr>
      <w:r w:rsidRPr="00937205">
        <w:rPr>
          <w:color w:val="auto"/>
        </w:rPr>
        <w:t>Quando a não conclusão do contrato referida no item anterior decorrer de culpa do contratado:</w:t>
      </w:r>
    </w:p>
    <w:p w:rsidR="00B01774" w:rsidRPr="00937205" w:rsidRDefault="00B01774" w:rsidP="00B01774">
      <w:pPr>
        <w:pStyle w:val="PargrafodaLista"/>
        <w:numPr>
          <w:ilvl w:val="0"/>
          <w:numId w:val="4"/>
        </w:numPr>
        <w:suppressAutoHyphens/>
        <w:spacing w:before="120" w:afterLines="120" w:after="288" w:line="312" w:lineRule="auto"/>
        <w:ind w:left="0" w:firstLine="709"/>
        <w:jc w:val="both"/>
        <w:rPr>
          <w:rFonts w:ascii="Arial" w:eastAsia="Arial" w:hAnsi="Arial" w:cs="Arial"/>
          <w:i/>
          <w:iCs/>
          <w:sz w:val="20"/>
          <w:szCs w:val="20"/>
        </w:rPr>
      </w:pPr>
      <w:r w:rsidRPr="00937205">
        <w:rPr>
          <w:rFonts w:ascii="Arial" w:eastAsia="Arial" w:hAnsi="Arial" w:cs="Arial"/>
          <w:i/>
          <w:iCs/>
          <w:sz w:val="20"/>
          <w:szCs w:val="20"/>
        </w:rPr>
        <w:t xml:space="preserve">ficará ele constituído em mora, sendo-lhe aplicáveis as respectivas sanções administrativas; e  </w:t>
      </w:r>
    </w:p>
    <w:p w:rsidR="00B01774" w:rsidRPr="00937205" w:rsidRDefault="00B01774" w:rsidP="00B01774">
      <w:pPr>
        <w:pStyle w:val="PargrafodaLista"/>
        <w:numPr>
          <w:ilvl w:val="0"/>
          <w:numId w:val="4"/>
        </w:numPr>
        <w:suppressAutoHyphens/>
        <w:spacing w:before="120" w:afterLines="120" w:after="288" w:line="312" w:lineRule="auto"/>
        <w:ind w:left="0" w:firstLine="709"/>
        <w:jc w:val="both"/>
        <w:rPr>
          <w:rFonts w:ascii="Arial" w:eastAsia="Arial" w:hAnsi="Arial" w:cs="Arial"/>
          <w:i/>
          <w:iCs/>
          <w:sz w:val="20"/>
          <w:szCs w:val="20"/>
        </w:rPr>
      </w:pPr>
      <w:r w:rsidRPr="00937205">
        <w:rPr>
          <w:rFonts w:ascii="Arial" w:eastAsia="Arial" w:hAnsi="Arial" w:cs="Arial"/>
          <w:i/>
          <w:iCs/>
          <w:sz w:val="20"/>
          <w:szCs w:val="20"/>
        </w:rPr>
        <w:t>poderá a Administração optar pela extinção do contrato e, nesse caso, adotará as medidas admitidas em lei para a continuidade da execução contratual.</w:t>
      </w:r>
    </w:p>
    <w:p w:rsidR="00B01774" w:rsidRPr="004827F2" w:rsidRDefault="00B01774" w:rsidP="00B01774">
      <w:pPr>
        <w:pStyle w:val="Nivel2"/>
        <w:spacing w:afterLines="120" w:after="288" w:line="312" w:lineRule="auto"/>
        <w:ind w:left="0" w:firstLine="567"/>
      </w:pPr>
      <w:r w:rsidRPr="004827F2">
        <w:lastRenderedPageBreak/>
        <w:t xml:space="preserve">O contrato pode ser extinto antes de cumpridas as obrigações nele estipuladas, ou antes do prazo nele fixado, por algum dos motivos previstos no </w:t>
      </w:r>
      <w:hyperlink r:id="rId38"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rsidR="00B01774" w:rsidRPr="004827F2" w:rsidRDefault="00B01774" w:rsidP="00B01774">
      <w:pPr>
        <w:pStyle w:val="Nivel3"/>
        <w:spacing w:afterLines="120" w:after="288" w:line="312" w:lineRule="auto"/>
        <w:ind w:left="170" w:firstLine="709"/>
      </w:pPr>
      <w:r w:rsidRPr="004827F2">
        <w:t xml:space="preserve">Nesta hipótese, aplicam-se também os </w:t>
      </w:r>
      <w:hyperlink r:id="rId39" w:anchor="art138" w:history="1">
        <w:r w:rsidRPr="004827F2">
          <w:rPr>
            <w:rStyle w:val="Hyperlink"/>
          </w:rPr>
          <w:t>artigos 138 e 139 da mesma Lei</w:t>
        </w:r>
      </w:hyperlink>
      <w:r w:rsidRPr="004827F2">
        <w:t>.</w:t>
      </w:r>
    </w:p>
    <w:p w:rsidR="00B01774" w:rsidRPr="004827F2" w:rsidRDefault="00B01774" w:rsidP="00B01774">
      <w:pPr>
        <w:pStyle w:val="Nivel3"/>
        <w:spacing w:afterLines="120" w:after="288" w:line="312" w:lineRule="auto"/>
        <w:ind w:left="170" w:firstLine="709"/>
      </w:pPr>
      <w:r w:rsidRPr="004827F2">
        <w:t xml:space="preserve">A </w:t>
      </w:r>
      <w:r w:rsidRPr="004827F2">
        <w:rPr>
          <w:color w:val="000000" w:themeColor="text1"/>
        </w:rPr>
        <w:t>alteração social ou a modificação da finalidade ou da estrutura da empresa</w:t>
      </w:r>
      <w:r w:rsidRPr="004827F2">
        <w:t xml:space="preserve"> não ensejará a rescisão se não </w:t>
      </w:r>
      <w:r w:rsidRPr="004827F2">
        <w:rPr>
          <w:color w:val="000000" w:themeColor="text1"/>
        </w:rPr>
        <w:t>restringir sua capacidade de concluir o contrato.</w:t>
      </w:r>
    </w:p>
    <w:p w:rsidR="00B01774" w:rsidRPr="004827F2" w:rsidRDefault="00B01774" w:rsidP="00B01774">
      <w:pPr>
        <w:pStyle w:val="Nivel4"/>
        <w:spacing w:afterLines="120" w:after="288" w:line="312" w:lineRule="auto"/>
        <w:ind w:left="284" w:firstLine="709"/>
      </w:pPr>
      <w:r w:rsidRPr="004827F2">
        <w:rPr>
          <w:color w:val="000000" w:themeColor="text1"/>
        </w:rPr>
        <w:t xml:space="preserve">Se a operação </w:t>
      </w:r>
      <w:r w:rsidRPr="004827F2">
        <w:t>implicar mudança da pessoa jurídica contratada, deverá ser formalizado termo aditivo para alteração subjetiva.</w:t>
      </w:r>
    </w:p>
    <w:p w:rsidR="00B01774" w:rsidRPr="004827F2" w:rsidRDefault="00B01774" w:rsidP="00B01774">
      <w:pPr>
        <w:pStyle w:val="Nivel2"/>
        <w:spacing w:afterLines="120" w:after="288" w:line="312" w:lineRule="auto"/>
        <w:ind w:left="0" w:firstLine="567"/>
      </w:pPr>
      <w:r w:rsidRPr="004827F2">
        <w:t>O termo de rescisão, sempre que possível, será precedido:</w:t>
      </w:r>
    </w:p>
    <w:p w:rsidR="00B01774" w:rsidRPr="004827F2" w:rsidRDefault="00B01774" w:rsidP="00B01774">
      <w:pPr>
        <w:pStyle w:val="Nivel3"/>
        <w:spacing w:afterLines="120" w:after="288" w:line="312" w:lineRule="auto"/>
        <w:ind w:left="170" w:firstLine="709"/>
      </w:pPr>
      <w:r w:rsidRPr="004827F2">
        <w:t>Balanço dos eventos contratuais já cumpridos ou parcialmente cumpridos;</w:t>
      </w:r>
    </w:p>
    <w:p w:rsidR="00B01774" w:rsidRPr="004827F2" w:rsidRDefault="00B01774" w:rsidP="00B01774">
      <w:pPr>
        <w:pStyle w:val="Nivel3"/>
        <w:spacing w:afterLines="120" w:after="288" w:line="312" w:lineRule="auto"/>
        <w:ind w:left="170" w:firstLine="709"/>
      </w:pPr>
      <w:r w:rsidRPr="004827F2">
        <w:t>Relação dos pagamentos já efetuados e ainda devidos;</w:t>
      </w:r>
    </w:p>
    <w:p w:rsidR="00B01774" w:rsidRPr="004827F2" w:rsidRDefault="00B01774" w:rsidP="00B01774">
      <w:pPr>
        <w:pStyle w:val="Nivel3"/>
        <w:spacing w:afterLines="120" w:after="288" w:line="312" w:lineRule="auto"/>
        <w:ind w:left="170" w:firstLine="709"/>
      </w:pPr>
      <w:r w:rsidRPr="004827F2">
        <w:t>Indenizações e multas.</w:t>
      </w:r>
    </w:p>
    <w:p w:rsidR="00B01774" w:rsidRPr="004827F2" w:rsidRDefault="00B01774" w:rsidP="00B01774">
      <w:pPr>
        <w:pStyle w:val="Nivel2"/>
        <w:spacing w:afterLines="120" w:after="288" w:line="312" w:lineRule="auto"/>
        <w:ind w:left="0" w:firstLine="567"/>
      </w:pPr>
      <w:r w:rsidRPr="004827F2">
        <w:t>A extinção do contrato não configura óbice para o reconhecimento do desequilíbrio econômico-financeiro, hipótese em que será concedida indenização por meio de termo indenizatório (</w:t>
      </w:r>
      <w:hyperlink r:id="rId40" w:anchor="art131" w:history="1">
        <w:r w:rsidRPr="004827F2">
          <w:rPr>
            <w:rStyle w:val="Hyperlink"/>
          </w:rPr>
          <w:t xml:space="preserve">art. 131, </w:t>
        </w:r>
        <w:r w:rsidRPr="004827F2">
          <w:rPr>
            <w:rStyle w:val="Hyperlink"/>
            <w:i/>
            <w:iCs/>
          </w:rPr>
          <w:t xml:space="preserve">caput, </w:t>
        </w:r>
        <w:r w:rsidRPr="004827F2">
          <w:rPr>
            <w:rStyle w:val="Hyperlink"/>
          </w:rPr>
          <w:t>da Lei n.º 14.133, de 2021</w:t>
        </w:r>
      </w:hyperlink>
      <w:r w:rsidRPr="004827F2">
        <w:t xml:space="preserve">). </w:t>
      </w:r>
    </w:p>
    <w:p w:rsidR="00B01774" w:rsidRPr="004827F2" w:rsidRDefault="00B01774" w:rsidP="00B01774">
      <w:pPr>
        <w:pStyle w:val="Nivel01"/>
        <w:spacing w:before="120" w:afterLines="120" w:after="288" w:line="312" w:lineRule="auto"/>
        <w:ind w:left="0" w:firstLine="0"/>
        <w:rPr>
          <w:color w:val="FFFFFF" w:themeColor="background1"/>
        </w:rPr>
      </w:pPr>
      <w:r w:rsidRPr="004827F2">
        <w:t>CLÁUSULA DÉCIMA TERCEIRA – DOTAÇÃO ORÇAMENTÁRIA (</w:t>
      </w:r>
      <w:hyperlink r:id="rId41" w:anchor="art92" w:history="1">
        <w:r w:rsidRPr="004827F2">
          <w:rPr>
            <w:rStyle w:val="Hyperlink"/>
          </w:rPr>
          <w:t>art. 92, VIII</w:t>
        </w:r>
      </w:hyperlink>
      <w:r w:rsidRPr="004827F2">
        <w:t>)</w:t>
      </w:r>
    </w:p>
    <w:p w:rsidR="00B01774" w:rsidRDefault="00B01774" w:rsidP="00B01774">
      <w:pPr>
        <w:pStyle w:val="Nivel2"/>
        <w:spacing w:afterLines="120" w:after="288" w:line="312" w:lineRule="auto"/>
        <w:ind w:left="0" w:firstLine="567"/>
      </w:pPr>
      <w:r w:rsidRPr="004827F2">
        <w:t>As despesas decorrentes da presente contratação correrão à conta de recursos específicos consignados no Orçamento deste exercício, na dotação abaixo discriminada:</w:t>
      </w:r>
    </w:p>
    <w:p w:rsidR="00B01774" w:rsidRPr="00777404" w:rsidRDefault="00B01774" w:rsidP="00B01774">
      <w:pPr>
        <w:pStyle w:val="Nivel01"/>
        <w:numPr>
          <w:ilvl w:val="0"/>
          <w:numId w:val="0"/>
        </w:numPr>
        <w:ind w:left="360"/>
      </w:pPr>
      <w:r w:rsidRPr="00777404">
        <w:t>2.6.1. 10.301.005.2.0028-33.90.39</w:t>
      </w:r>
    </w:p>
    <w:p w:rsidR="00B01774" w:rsidRPr="00937205" w:rsidRDefault="00B01774" w:rsidP="00B01774">
      <w:pPr>
        <w:pStyle w:val="Nvel2-Red"/>
        <w:spacing w:afterLines="120" w:after="288" w:line="312" w:lineRule="auto"/>
        <w:ind w:left="0" w:firstLine="567"/>
        <w:rPr>
          <w:color w:val="auto"/>
        </w:rPr>
      </w:pPr>
      <w:r w:rsidRPr="00937205">
        <w:rPr>
          <w:color w:val="auto"/>
        </w:rPr>
        <w:t>A dotação relativa aos exercícios financeiros subsequentes será indicada após aprovação da Lei Orçamentária respectiva e liberação dos créditos correspondentes, mediante apostilamento.</w:t>
      </w:r>
    </w:p>
    <w:p w:rsidR="00B01774" w:rsidRPr="004827F2" w:rsidRDefault="00B01774" w:rsidP="00B01774">
      <w:pPr>
        <w:pStyle w:val="Nivel01"/>
        <w:spacing w:before="120" w:afterLines="120" w:after="288" w:line="312" w:lineRule="auto"/>
        <w:ind w:left="0" w:firstLine="0"/>
        <w:rPr>
          <w:color w:val="FFFFFF" w:themeColor="background1"/>
        </w:rPr>
      </w:pPr>
      <w:r w:rsidRPr="004827F2">
        <w:t>CLÁUSULA DÉCIMA QUARTA – DOS CASOS OMISSOS (</w:t>
      </w:r>
      <w:hyperlink r:id="rId42" w:anchor="art92" w:history="1">
        <w:r w:rsidRPr="004827F2">
          <w:rPr>
            <w:rStyle w:val="Hyperlink"/>
          </w:rPr>
          <w:t>art. 92, III</w:t>
        </w:r>
      </w:hyperlink>
      <w:r w:rsidRPr="004827F2">
        <w:t>)</w:t>
      </w:r>
    </w:p>
    <w:p w:rsidR="00B01774" w:rsidRPr="004827F2" w:rsidRDefault="00B01774" w:rsidP="00B01774">
      <w:pPr>
        <w:pStyle w:val="Nivel2"/>
        <w:spacing w:afterLines="120" w:after="288" w:line="312" w:lineRule="auto"/>
        <w:ind w:left="0" w:firstLine="567"/>
      </w:pPr>
      <w:r w:rsidRPr="004827F2">
        <w:t xml:space="preserve">Os casos omissos serão decididos pelo contratante, segundo as disposições contidas na Lei </w:t>
      </w:r>
      <w:hyperlink r:id="rId43" w:history="1">
        <w:r w:rsidRPr="004827F2">
          <w:rPr>
            <w:rStyle w:val="Hyperlink"/>
          </w:rPr>
          <w:t>nº 14.133, de 2021</w:t>
        </w:r>
      </w:hyperlink>
      <w:r w:rsidRPr="004827F2">
        <w:t xml:space="preserve">, e demais normas federais aplicáveis e, subsidiariamente, segundo as disposições contidas na </w:t>
      </w:r>
      <w:hyperlink r:id="rId44" w:history="1">
        <w:r w:rsidRPr="004827F2">
          <w:rPr>
            <w:rStyle w:val="Hyperlink"/>
          </w:rPr>
          <w:t>Lei nº 8.078, de 1990 – Código de Defesa do Consumidor</w:t>
        </w:r>
      </w:hyperlink>
      <w:r w:rsidRPr="004827F2">
        <w:t xml:space="preserve"> – e normas e princípios gerais dos contratos.</w:t>
      </w:r>
    </w:p>
    <w:p w:rsidR="00B01774" w:rsidRPr="004827F2" w:rsidRDefault="00B01774" w:rsidP="00B01774">
      <w:pPr>
        <w:pStyle w:val="Nivel01"/>
        <w:spacing w:before="120" w:afterLines="120" w:after="288" w:line="312" w:lineRule="auto"/>
        <w:ind w:left="0" w:firstLine="0"/>
        <w:rPr>
          <w:color w:val="FFFFFF" w:themeColor="background1"/>
        </w:rPr>
      </w:pPr>
      <w:r w:rsidRPr="004827F2">
        <w:t>CLÁUSULA DÉCIMA QUINTA – ALTERAÇÕES</w:t>
      </w:r>
    </w:p>
    <w:p w:rsidR="00B01774" w:rsidRPr="004827F2" w:rsidRDefault="00B01774" w:rsidP="00B01774">
      <w:pPr>
        <w:pStyle w:val="Nivel2"/>
        <w:spacing w:afterLines="120" w:after="288" w:line="312" w:lineRule="auto"/>
        <w:ind w:left="0" w:firstLine="567"/>
      </w:pPr>
      <w:r w:rsidRPr="004827F2">
        <w:t xml:space="preserve">Eventuais alterações contratuais reger-se-ão pela disciplina dos </w:t>
      </w:r>
      <w:hyperlink r:id="rId45"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B01774" w:rsidRPr="004827F2" w:rsidRDefault="00B01774" w:rsidP="00B01774">
      <w:pPr>
        <w:pStyle w:val="Nivel2"/>
        <w:spacing w:afterLines="120" w:after="288" w:line="312" w:lineRule="auto"/>
        <w:ind w:left="0" w:firstLine="567"/>
      </w:pPr>
      <w:r w:rsidRPr="004827F2">
        <w:lastRenderedPageBreak/>
        <w:t>O contratado é obrigado a aceitar, nas mesmas condições contratuais, os acréscimos ou supressões que se fizerem necessários, até o limite de 25% (vinte e cinco por cento) do valor inicial atualizado do contrato.</w:t>
      </w:r>
    </w:p>
    <w:p w:rsidR="00B01774" w:rsidRPr="004827F2" w:rsidRDefault="00B01774" w:rsidP="00B01774">
      <w:pPr>
        <w:pStyle w:val="Nivel2"/>
        <w:spacing w:afterLines="120" w:after="288" w:line="312" w:lineRule="auto"/>
        <w:ind w:left="0" w:firstLine="567"/>
      </w:pPr>
      <w:r w:rsidRPr="004827F2">
        <w:t xml:space="preserve">Registros que não caracterizam alteração do contrato podem ser realizados por simples apostila, dispensada a celebração de termo aditivo, na forma do </w:t>
      </w:r>
      <w:hyperlink r:id="rId46" w:anchor="art136" w:history="1">
        <w:r w:rsidRPr="004827F2">
          <w:rPr>
            <w:rStyle w:val="Hyperlink"/>
          </w:rPr>
          <w:t>art. 136 da Lei nº 14.133, de 2021</w:t>
        </w:r>
      </w:hyperlink>
      <w:r w:rsidRPr="004827F2">
        <w:t>.</w:t>
      </w:r>
    </w:p>
    <w:p w:rsidR="00B01774" w:rsidRPr="004827F2" w:rsidRDefault="00B01774" w:rsidP="00B01774">
      <w:pPr>
        <w:pStyle w:val="Nivel01"/>
        <w:spacing w:before="120" w:afterLines="120" w:after="288" w:line="312" w:lineRule="auto"/>
        <w:ind w:left="0" w:firstLine="0"/>
        <w:rPr>
          <w:color w:val="FFFFFF" w:themeColor="background1"/>
        </w:rPr>
      </w:pPr>
      <w:r w:rsidRPr="004827F2">
        <w:t>CLÁUSULA DÉCIMA SEXTA – PUBLICAÇÃO</w:t>
      </w:r>
    </w:p>
    <w:p w:rsidR="00B01774" w:rsidRPr="004827F2" w:rsidRDefault="00B01774" w:rsidP="00B01774">
      <w:pPr>
        <w:pStyle w:val="Nivel2"/>
        <w:spacing w:afterLines="120" w:after="288" w:line="312" w:lineRule="auto"/>
        <w:ind w:left="0" w:firstLine="567"/>
      </w:pPr>
      <w:r w:rsidRPr="004827F2">
        <w:t xml:space="preserve">Incumbirá ao contratante divulgar o presente instrumento na forma prevista </w:t>
      </w:r>
      <w:r>
        <w:t xml:space="preserve">na </w:t>
      </w:r>
      <w:hyperlink r:id="rId47" w:anchor="art94" w:history="1">
        <w:r w:rsidRPr="004827F2">
          <w:rPr>
            <w:rStyle w:val="Hyperlink"/>
          </w:rPr>
          <w:t>Lei 14.133, de 2021</w:t>
        </w:r>
      </w:hyperlink>
      <w:r w:rsidRPr="004827F2">
        <w:t xml:space="preserve">, bem como no respectivo sítio oficial na Internet, em atenção ao </w:t>
      </w:r>
      <w:hyperlink r:id="rId48" w:anchor="art8§2" w:history="1">
        <w:r w:rsidRPr="004827F2">
          <w:rPr>
            <w:rStyle w:val="Hyperlink"/>
          </w:rPr>
          <w:t>art. 8º, §2º, da Lei n. 12.527, de 2011</w:t>
        </w:r>
      </w:hyperlink>
      <w:r w:rsidRPr="004827F2">
        <w:t xml:space="preserve">, c/c </w:t>
      </w:r>
      <w:hyperlink r:id="rId49" w:anchor="art7§3" w:history="1">
        <w:r w:rsidRPr="004827F2">
          <w:rPr>
            <w:rStyle w:val="Hyperlink"/>
          </w:rPr>
          <w:t>art. 7º, §3º, inciso V, do Decreto n. 7.724, de 2012</w:t>
        </w:r>
      </w:hyperlink>
      <w:r w:rsidRPr="004827F2">
        <w:t>.</w:t>
      </w:r>
    </w:p>
    <w:p w:rsidR="00B01774" w:rsidRPr="004827F2" w:rsidRDefault="00B01774" w:rsidP="00B01774">
      <w:pPr>
        <w:pStyle w:val="Nivel01"/>
        <w:spacing w:before="120" w:afterLines="120" w:after="288" w:line="312" w:lineRule="auto"/>
        <w:ind w:left="0" w:firstLine="0"/>
        <w:rPr>
          <w:color w:val="FFFFFF" w:themeColor="background1"/>
        </w:rPr>
      </w:pPr>
      <w:r w:rsidRPr="004827F2">
        <w:t>CLÁUSULA DÉCIMA SÉTIMA– FORO (</w:t>
      </w:r>
      <w:hyperlink r:id="rId50" w:anchor="art92§1" w:history="1">
        <w:r w:rsidRPr="004827F2">
          <w:rPr>
            <w:rStyle w:val="Hyperlink"/>
          </w:rPr>
          <w:t>art. 92, §1º</w:t>
        </w:r>
      </w:hyperlink>
      <w:r w:rsidRPr="004827F2">
        <w:t>)</w:t>
      </w:r>
    </w:p>
    <w:p w:rsidR="00B01774" w:rsidRPr="004827F2" w:rsidRDefault="00B01774" w:rsidP="00B01774">
      <w:pPr>
        <w:pStyle w:val="Nivel2"/>
        <w:spacing w:afterLines="120" w:after="288" w:line="312" w:lineRule="auto"/>
        <w:ind w:left="0" w:firstLine="567"/>
      </w:pPr>
      <w:r w:rsidRPr="004827F2">
        <w:rPr>
          <w:color w:val="auto"/>
          <w:lang w:eastAsia="en-US"/>
        </w:rPr>
        <w:t xml:space="preserve">Fica eleito o Foro </w:t>
      </w:r>
      <w:r>
        <w:rPr>
          <w:color w:val="auto"/>
          <w:lang w:eastAsia="en-US"/>
        </w:rPr>
        <w:t>de Santos Dumont/MG</w:t>
      </w:r>
      <w:r w:rsidRPr="004827F2">
        <w:t xml:space="preserve"> para dirimir os litígios que decorrerem da execução deste Termo de Contrato que não puderem ser compostos pela conciliação, conforme </w:t>
      </w:r>
      <w:hyperlink r:id="rId51" w:anchor="art92§1" w:history="1">
        <w:r w:rsidRPr="004827F2">
          <w:rPr>
            <w:rStyle w:val="Hyperlink"/>
          </w:rPr>
          <w:t>art. 92, §1º, da Lei nº 14.133/21</w:t>
        </w:r>
      </w:hyperlink>
      <w:r w:rsidRPr="004827F2">
        <w:t>.</w:t>
      </w:r>
    </w:p>
    <w:p w:rsidR="00B01774" w:rsidRPr="00E376E7" w:rsidRDefault="00E376E7" w:rsidP="00B01774">
      <w:pPr>
        <w:pStyle w:val="Nivel2"/>
        <w:numPr>
          <w:ilvl w:val="0"/>
          <w:numId w:val="0"/>
        </w:numPr>
        <w:spacing w:afterLines="120" w:after="288" w:line="312" w:lineRule="auto"/>
        <w:ind w:firstLine="567"/>
        <w:rPr>
          <w:i/>
          <w:iCs/>
          <w:color w:val="auto"/>
        </w:rPr>
      </w:pPr>
      <w:proofErr w:type="spellStart"/>
      <w:r w:rsidRPr="00E376E7">
        <w:rPr>
          <w:i/>
          <w:iCs/>
          <w:color w:val="auto"/>
        </w:rPr>
        <w:t>Aracitaba</w:t>
      </w:r>
      <w:proofErr w:type="spellEnd"/>
      <w:r w:rsidRPr="00E376E7">
        <w:rPr>
          <w:i/>
          <w:iCs/>
          <w:color w:val="auto"/>
        </w:rPr>
        <w:t>, 10 de junho de 2024</w:t>
      </w:r>
      <w:r w:rsidR="00B01774" w:rsidRPr="00E376E7">
        <w:rPr>
          <w:i/>
          <w:iCs/>
          <w:color w:val="auto"/>
        </w:rPr>
        <w:t>.</w:t>
      </w:r>
    </w:p>
    <w:p w:rsidR="00B01774" w:rsidRPr="004827F2" w:rsidRDefault="00B01774" w:rsidP="00B01774">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E376E7" w:rsidRDefault="00E376E7" w:rsidP="00B01774">
      <w:pPr>
        <w:spacing w:before="120" w:afterLines="120" w:after="288" w:line="312" w:lineRule="auto"/>
        <w:ind w:firstLine="567"/>
        <w:jc w:val="center"/>
        <w:rPr>
          <w:rFonts w:ascii="Arial" w:hAnsi="Arial" w:cs="Arial"/>
          <w:sz w:val="20"/>
          <w:szCs w:val="20"/>
        </w:rPr>
      </w:pPr>
      <w:r w:rsidRPr="00B01774">
        <w:rPr>
          <w:rFonts w:ascii="Arial" w:hAnsi="Arial" w:cs="Arial"/>
          <w:sz w:val="20"/>
          <w:szCs w:val="20"/>
        </w:rPr>
        <w:t>Terezinha Marcília do Amaral Toledo</w:t>
      </w:r>
      <w:r w:rsidRPr="004827F2">
        <w:rPr>
          <w:rFonts w:ascii="Arial" w:hAnsi="Arial" w:cs="Arial"/>
          <w:sz w:val="20"/>
          <w:szCs w:val="20"/>
        </w:rPr>
        <w:t xml:space="preserve"> </w:t>
      </w:r>
    </w:p>
    <w:p w:rsidR="00E376E7" w:rsidRDefault="00E376E7" w:rsidP="00B01774">
      <w:pPr>
        <w:spacing w:before="120" w:afterLines="120" w:after="288" w:line="312" w:lineRule="auto"/>
        <w:ind w:firstLine="567"/>
        <w:jc w:val="center"/>
        <w:rPr>
          <w:rFonts w:ascii="Arial" w:hAnsi="Arial" w:cs="Arial"/>
          <w:sz w:val="20"/>
          <w:szCs w:val="20"/>
        </w:rPr>
      </w:pPr>
      <w:r>
        <w:rPr>
          <w:rFonts w:ascii="Arial" w:hAnsi="Arial" w:cs="Arial"/>
          <w:sz w:val="20"/>
          <w:szCs w:val="20"/>
        </w:rPr>
        <w:t>Prefeita Municipal</w:t>
      </w:r>
    </w:p>
    <w:p w:rsidR="00B01774" w:rsidRDefault="00B01774" w:rsidP="00B01774">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3F0CFC" w:rsidRDefault="003F0CFC" w:rsidP="003F0CFC">
      <w:pPr>
        <w:pStyle w:val="Default"/>
      </w:pPr>
    </w:p>
    <w:p w:rsidR="004034D9" w:rsidRDefault="003F0CFC" w:rsidP="003F0CFC">
      <w:pPr>
        <w:spacing w:before="120" w:afterLines="120" w:after="288" w:line="312" w:lineRule="auto"/>
        <w:ind w:firstLine="567"/>
        <w:jc w:val="center"/>
        <w:rPr>
          <w:rFonts w:ascii="Arial" w:hAnsi="Arial" w:cs="Arial"/>
          <w:bCs/>
          <w:sz w:val="20"/>
          <w:szCs w:val="20"/>
        </w:rPr>
      </w:pPr>
      <w:r>
        <w:t xml:space="preserve"> </w:t>
      </w:r>
      <w:r>
        <w:rPr>
          <w:sz w:val="23"/>
          <w:szCs w:val="23"/>
        </w:rPr>
        <w:t>Raphael de Castro Rocha da Costa</w:t>
      </w:r>
    </w:p>
    <w:p w:rsidR="00B01774" w:rsidRPr="00E376E7" w:rsidRDefault="00B01774" w:rsidP="00B01774">
      <w:pPr>
        <w:spacing w:before="120" w:afterLines="120" w:after="288" w:line="312" w:lineRule="auto"/>
        <w:ind w:firstLine="567"/>
        <w:jc w:val="center"/>
        <w:rPr>
          <w:rFonts w:ascii="Arial" w:hAnsi="Arial" w:cs="Arial"/>
          <w:sz w:val="20"/>
          <w:szCs w:val="20"/>
        </w:rPr>
      </w:pPr>
      <w:r w:rsidRPr="00E376E7">
        <w:rPr>
          <w:rFonts w:ascii="Arial" w:hAnsi="Arial" w:cs="Arial"/>
          <w:bCs/>
          <w:sz w:val="20"/>
          <w:szCs w:val="20"/>
        </w:rPr>
        <w:t>Representante</w:t>
      </w:r>
      <w:r w:rsidRPr="00E376E7">
        <w:rPr>
          <w:rFonts w:ascii="Arial" w:hAnsi="Arial" w:cs="Arial"/>
          <w:sz w:val="20"/>
          <w:szCs w:val="20"/>
        </w:rPr>
        <w:t xml:space="preserve"> legal do CONTRATADO</w:t>
      </w:r>
    </w:p>
    <w:p w:rsidR="00B01774" w:rsidRPr="00E376E7" w:rsidRDefault="00B01774" w:rsidP="00B01774">
      <w:pPr>
        <w:spacing w:before="120" w:afterLines="120" w:after="288" w:line="312" w:lineRule="auto"/>
        <w:ind w:firstLine="567"/>
        <w:jc w:val="both"/>
        <w:rPr>
          <w:rFonts w:ascii="Arial" w:hAnsi="Arial" w:cs="Arial"/>
          <w:i/>
          <w:iCs/>
          <w:sz w:val="20"/>
          <w:szCs w:val="20"/>
        </w:rPr>
      </w:pPr>
      <w:r w:rsidRPr="00E376E7">
        <w:rPr>
          <w:rFonts w:ascii="Arial" w:hAnsi="Arial" w:cs="Arial"/>
          <w:i/>
          <w:iCs/>
          <w:sz w:val="20"/>
          <w:szCs w:val="20"/>
        </w:rPr>
        <w:t>TESTEMUNHAS:</w:t>
      </w:r>
    </w:p>
    <w:p w:rsidR="00B01774" w:rsidRPr="00E376E7" w:rsidRDefault="00B01774" w:rsidP="00B01774">
      <w:pPr>
        <w:spacing w:before="120" w:afterLines="120" w:after="288" w:line="312" w:lineRule="auto"/>
        <w:ind w:firstLine="567"/>
        <w:rPr>
          <w:rFonts w:ascii="Arial" w:hAnsi="Arial" w:cs="Arial"/>
          <w:i/>
          <w:iCs/>
          <w:sz w:val="20"/>
          <w:szCs w:val="20"/>
        </w:rPr>
      </w:pPr>
      <w:r w:rsidRPr="00E376E7">
        <w:rPr>
          <w:rFonts w:ascii="Arial" w:hAnsi="Arial" w:cs="Arial"/>
          <w:i/>
          <w:iCs/>
          <w:sz w:val="20"/>
          <w:szCs w:val="20"/>
        </w:rPr>
        <w:t>1-</w:t>
      </w:r>
    </w:p>
    <w:p w:rsidR="00B01774" w:rsidRPr="00E376E7" w:rsidRDefault="00B01774" w:rsidP="00B01774">
      <w:pPr>
        <w:spacing w:before="120" w:afterLines="120" w:after="288" w:line="312" w:lineRule="auto"/>
        <w:ind w:firstLine="567"/>
        <w:rPr>
          <w:rFonts w:ascii="Arial" w:hAnsi="Arial" w:cs="Arial"/>
          <w:sz w:val="20"/>
          <w:szCs w:val="20"/>
        </w:rPr>
      </w:pPr>
      <w:r w:rsidRPr="00E376E7">
        <w:rPr>
          <w:rFonts w:ascii="Arial" w:hAnsi="Arial" w:cs="Arial"/>
          <w:i/>
          <w:iCs/>
          <w:sz w:val="20"/>
          <w:szCs w:val="20"/>
        </w:rPr>
        <w:t xml:space="preserve">2- </w:t>
      </w:r>
    </w:p>
    <w:p w:rsidR="00B01774" w:rsidRDefault="00B01774" w:rsidP="00B01774">
      <w:pPr>
        <w:spacing w:beforeLines="120" w:before="288" w:afterLines="120" w:after="288" w:line="312" w:lineRule="auto"/>
        <w:ind w:firstLine="567"/>
        <w:jc w:val="center"/>
        <w:rPr>
          <w:rFonts w:ascii="Arial" w:hAnsi="Arial" w:cs="Arial"/>
        </w:rPr>
      </w:pPr>
    </w:p>
    <w:p w:rsidR="00B01774" w:rsidRDefault="00B01774" w:rsidP="00B01774">
      <w:pPr>
        <w:spacing w:beforeLines="120" w:before="288" w:afterLines="120" w:after="288" w:line="312" w:lineRule="auto"/>
        <w:ind w:firstLine="567"/>
        <w:jc w:val="center"/>
        <w:rPr>
          <w:rFonts w:ascii="Arial" w:hAnsi="Arial" w:cs="Arial"/>
        </w:rPr>
      </w:pPr>
    </w:p>
    <w:p w:rsidR="00B01774" w:rsidRDefault="00B01774" w:rsidP="00B01774">
      <w:pPr>
        <w:spacing w:beforeLines="120" w:before="288" w:afterLines="120" w:after="288" w:line="312" w:lineRule="auto"/>
        <w:ind w:firstLine="567"/>
        <w:jc w:val="center"/>
        <w:rPr>
          <w:rFonts w:ascii="Arial" w:hAnsi="Arial" w:cs="Arial"/>
        </w:rPr>
      </w:pPr>
    </w:p>
    <w:p w:rsidR="00B01774" w:rsidRDefault="00B01774" w:rsidP="00B01774">
      <w:pPr>
        <w:spacing w:beforeLines="120" w:before="288" w:afterLines="120" w:after="288" w:line="312" w:lineRule="auto"/>
        <w:ind w:firstLine="567"/>
        <w:jc w:val="center"/>
        <w:rPr>
          <w:rFonts w:ascii="Arial" w:hAnsi="Arial" w:cs="Arial"/>
        </w:rPr>
      </w:pPr>
    </w:p>
    <w:p w:rsidR="00B01774" w:rsidRDefault="00B01774" w:rsidP="00B01774">
      <w:pPr>
        <w:spacing w:beforeLines="120" w:before="288" w:afterLines="120" w:after="288" w:line="312" w:lineRule="auto"/>
        <w:ind w:firstLine="567"/>
        <w:jc w:val="center"/>
        <w:rPr>
          <w:rFonts w:ascii="Arial" w:hAnsi="Arial" w:cs="Arial"/>
        </w:rPr>
      </w:pPr>
    </w:p>
    <w:p w:rsidR="00B01774" w:rsidRDefault="00B01774" w:rsidP="00B01774">
      <w:pPr>
        <w:spacing w:beforeLines="120" w:before="288" w:afterLines="120" w:after="288" w:line="312" w:lineRule="auto"/>
        <w:ind w:firstLine="567"/>
        <w:jc w:val="center"/>
        <w:rPr>
          <w:rFonts w:ascii="Arial" w:hAnsi="Arial" w:cs="Arial"/>
        </w:rPr>
      </w:pPr>
    </w:p>
    <w:p w:rsidR="00B01774" w:rsidRDefault="00B01774" w:rsidP="00B01774">
      <w:pPr>
        <w:spacing w:beforeLines="120" w:before="288" w:afterLines="120" w:after="288" w:line="312" w:lineRule="auto"/>
        <w:ind w:firstLine="567"/>
        <w:jc w:val="center"/>
        <w:rPr>
          <w:rFonts w:ascii="Arial" w:hAnsi="Arial" w:cs="Arial"/>
        </w:rPr>
      </w:pPr>
    </w:p>
    <w:p w:rsidR="00B01774" w:rsidRDefault="00B01774" w:rsidP="00B01774">
      <w:pPr>
        <w:spacing w:beforeLines="120" w:before="288" w:afterLines="120" w:after="288" w:line="312" w:lineRule="auto"/>
        <w:ind w:firstLine="567"/>
        <w:jc w:val="center"/>
        <w:rPr>
          <w:rFonts w:ascii="Arial" w:hAnsi="Arial" w:cs="Arial"/>
        </w:rPr>
      </w:pPr>
    </w:p>
    <w:p w:rsidR="00B01774" w:rsidRDefault="00B01774" w:rsidP="00B01774">
      <w:pPr>
        <w:spacing w:beforeLines="120" w:before="288" w:afterLines="120" w:after="288" w:line="312" w:lineRule="auto"/>
        <w:ind w:firstLine="567"/>
        <w:jc w:val="center"/>
        <w:rPr>
          <w:rFonts w:ascii="Arial" w:hAnsi="Arial" w:cs="Arial"/>
        </w:rPr>
      </w:pPr>
    </w:p>
    <w:p w:rsidR="00A837B2" w:rsidRDefault="00A837B2"/>
    <w:sectPr w:rsidR="00A837B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4A5331D"/>
    <w:multiLevelType w:val="hybridMultilevel"/>
    <w:tmpl w:val="4648BF62"/>
    <w:lvl w:ilvl="0" w:tplc="9F5AA9D4">
      <w:numFmt w:val="bullet"/>
      <w:lvlText w:val="-"/>
      <w:lvlJc w:val="left"/>
      <w:pPr>
        <w:ind w:left="86" w:hanging="74"/>
      </w:pPr>
      <w:rPr>
        <w:rFonts w:ascii="Arial MT" w:eastAsia="Arial MT" w:hAnsi="Arial MT" w:cs="Arial MT" w:hint="default"/>
        <w:b w:val="0"/>
        <w:bCs w:val="0"/>
        <w:i w:val="0"/>
        <w:iCs w:val="0"/>
        <w:color w:val="231F20"/>
        <w:spacing w:val="0"/>
        <w:w w:val="100"/>
        <w:sz w:val="12"/>
        <w:szCs w:val="12"/>
        <w:lang w:val="pt-PT" w:eastAsia="en-US" w:bidi="ar-SA"/>
      </w:rPr>
    </w:lvl>
    <w:lvl w:ilvl="1" w:tplc="9DBCE5FA">
      <w:numFmt w:val="bullet"/>
      <w:lvlText w:val="•"/>
      <w:lvlJc w:val="left"/>
      <w:pPr>
        <w:ind w:left="358" w:hanging="74"/>
      </w:pPr>
      <w:rPr>
        <w:rFonts w:hint="default"/>
        <w:lang w:val="pt-PT" w:eastAsia="en-US" w:bidi="ar-SA"/>
      </w:rPr>
    </w:lvl>
    <w:lvl w:ilvl="2" w:tplc="2EE0D7A0">
      <w:numFmt w:val="bullet"/>
      <w:lvlText w:val="•"/>
      <w:lvlJc w:val="left"/>
      <w:pPr>
        <w:ind w:left="636" w:hanging="74"/>
      </w:pPr>
      <w:rPr>
        <w:rFonts w:hint="default"/>
        <w:lang w:val="pt-PT" w:eastAsia="en-US" w:bidi="ar-SA"/>
      </w:rPr>
    </w:lvl>
    <w:lvl w:ilvl="3" w:tplc="CD5CE5DE">
      <w:numFmt w:val="bullet"/>
      <w:lvlText w:val="•"/>
      <w:lvlJc w:val="left"/>
      <w:pPr>
        <w:ind w:left="914" w:hanging="74"/>
      </w:pPr>
      <w:rPr>
        <w:rFonts w:hint="default"/>
        <w:lang w:val="pt-PT" w:eastAsia="en-US" w:bidi="ar-SA"/>
      </w:rPr>
    </w:lvl>
    <w:lvl w:ilvl="4" w:tplc="3B907A68">
      <w:numFmt w:val="bullet"/>
      <w:lvlText w:val="•"/>
      <w:lvlJc w:val="left"/>
      <w:pPr>
        <w:ind w:left="1193" w:hanging="74"/>
      </w:pPr>
      <w:rPr>
        <w:rFonts w:hint="default"/>
        <w:lang w:val="pt-PT" w:eastAsia="en-US" w:bidi="ar-SA"/>
      </w:rPr>
    </w:lvl>
    <w:lvl w:ilvl="5" w:tplc="7674C7F8">
      <w:numFmt w:val="bullet"/>
      <w:lvlText w:val="•"/>
      <w:lvlJc w:val="left"/>
      <w:pPr>
        <w:ind w:left="1471" w:hanging="74"/>
      </w:pPr>
      <w:rPr>
        <w:rFonts w:hint="default"/>
        <w:lang w:val="pt-PT" w:eastAsia="en-US" w:bidi="ar-SA"/>
      </w:rPr>
    </w:lvl>
    <w:lvl w:ilvl="6" w:tplc="E7D44E96">
      <w:numFmt w:val="bullet"/>
      <w:lvlText w:val="•"/>
      <w:lvlJc w:val="left"/>
      <w:pPr>
        <w:ind w:left="1749" w:hanging="74"/>
      </w:pPr>
      <w:rPr>
        <w:rFonts w:hint="default"/>
        <w:lang w:val="pt-PT" w:eastAsia="en-US" w:bidi="ar-SA"/>
      </w:rPr>
    </w:lvl>
    <w:lvl w:ilvl="7" w:tplc="61BCF036">
      <w:numFmt w:val="bullet"/>
      <w:lvlText w:val="•"/>
      <w:lvlJc w:val="left"/>
      <w:pPr>
        <w:ind w:left="2028" w:hanging="74"/>
      </w:pPr>
      <w:rPr>
        <w:rFonts w:hint="default"/>
        <w:lang w:val="pt-PT" w:eastAsia="en-US" w:bidi="ar-SA"/>
      </w:rPr>
    </w:lvl>
    <w:lvl w:ilvl="8" w:tplc="E40402C4">
      <w:numFmt w:val="bullet"/>
      <w:lvlText w:val="•"/>
      <w:lvlJc w:val="left"/>
      <w:pPr>
        <w:ind w:left="2306" w:hanging="74"/>
      </w:pPr>
      <w:rPr>
        <w:rFonts w:hint="default"/>
        <w:lang w:val="pt-PT" w:eastAsia="en-US" w:bidi="ar-SA"/>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9E81D97"/>
    <w:multiLevelType w:val="hybridMultilevel"/>
    <w:tmpl w:val="B6DE0CBA"/>
    <w:lvl w:ilvl="0" w:tplc="802A2896">
      <w:numFmt w:val="bullet"/>
      <w:lvlText w:val="-"/>
      <w:lvlJc w:val="left"/>
      <w:pPr>
        <w:ind w:left="159" w:hanging="74"/>
      </w:pPr>
      <w:rPr>
        <w:rFonts w:ascii="Arial MT" w:eastAsia="Arial MT" w:hAnsi="Arial MT" w:cs="Arial MT" w:hint="default"/>
        <w:b w:val="0"/>
        <w:bCs w:val="0"/>
        <w:i w:val="0"/>
        <w:iCs w:val="0"/>
        <w:color w:val="231F20"/>
        <w:spacing w:val="0"/>
        <w:w w:val="100"/>
        <w:sz w:val="12"/>
        <w:szCs w:val="12"/>
        <w:lang w:val="pt-PT" w:eastAsia="en-US" w:bidi="ar-SA"/>
      </w:rPr>
    </w:lvl>
    <w:lvl w:ilvl="1" w:tplc="72D4880C">
      <w:numFmt w:val="bullet"/>
      <w:lvlText w:val="•"/>
      <w:lvlJc w:val="left"/>
      <w:pPr>
        <w:ind w:left="430" w:hanging="74"/>
      </w:pPr>
      <w:rPr>
        <w:rFonts w:hint="default"/>
        <w:lang w:val="pt-PT" w:eastAsia="en-US" w:bidi="ar-SA"/>
      </w:rPr>
    </w:lvl>
    <w:lvl w:ilvl="2" w:tplc="A49A517E">
      <w:numFmt w:val="bullet"/>
      <w:lvlText w:val="•"/>
      <w:lvlJc w:val="left"/>
      <w:pPr>
        <w:ind w:left="700" w:hanging="74"/>
      </w:pPr>
      <w:rPr>
        <w:rFonts w:hint="default"/>
        <w:lang w:val="pt-PT" w:eastAsia="en-US" w:bidi="ar-SA"/>
      </w:rPr>
    </w:lvl>
    <w:lvl w:ilvl="3" w:tplc="A43AB4B0">
      <w:numFmt w:val="bullet"/>
      <w:lvlText w:val="•"/>
      <w:lvlJc w:val="left"/>
      <w:pPr>
        <w:ind w:left="970" w:hanging="74"/>
      </w:pPr>
      <w:rPr>
        <w:rFonts w:hint="default"/>
        <w:lang w:val="pt-PT" w:eastAsia="en-US" w:bidi="ar-SA"/>
      </w:rPr>
    </w:lvl>
    <w:lvl w:ilvl="4" w:tplc="3F10C488">
      <w:numFmt w:val="bullet"/>
      <w:lvlText w:val="•"/>
      <w:lvlJc w:val="left"/>
      <w:pPr>
        <w:ind w:left="1241" w:hanging="74"/>
      </w:pPr>
      <w:rPr>
        <w:rFonts w:hint="default"/>
        <w:lang w:val="pt-PT" w:eastAsia="en-US" w:bidi="ar-SA"/>
      </w:rPr>
    </w:lvl>
    <w:lvl w:ilvl="5" w:tplc="486833DA">
      <w:numFmt w:val="bullet"/>
      <w:lvlText w:val="•"/>
      <w:lvlJc w:val="left"/>
      <w:pPr>
        <w:ind w:left="1511" w:hanging="74"/>
      </w:pPr>
      <w:rPr>
        <w:rFonts w:hint="default"/>
        <w:lang w:val="pt-PT" w:eastAsia="en-US" w:bidi="ar-SA"/>
      </w:rPr>
    </w:lvl>
    <w:lvl w:ilvl="6" w:tplc="C35402C6">
      <w:numFmt w:val="bullet"/>
      <w:lvlText w:val="•"/>
      <w:lvlJc w:val="left"/>
      <w:pPr>
        <w:ind w:left="1781" w:hanging="74"/>
      </w:pPr>
      <w:rPr>
        <w:rFonts w:hint="default"/>
        <w:lang w:val="pt-PT" w:eastAsia="en-US" w:bidi="ar-SA"/>
      </w:rPr>
    </w:lvl>
    <w:lvl w:ilvl="7" w:tplc="BC9E8654">
      <w:numFmt w:val="bullet"/>
      <w:lvlText w:val="•"/>
      <w:lvlJc w:val="left"/>
      <w:pPr>
        <w:ind w:left="2052" w:hanging="74"/>
      </w:pPr>
      <w:rPr>
        <w:rFonts w:hint="default"/>
        <w:lang w:val="pt-PT" w:eastAsia="en-US" w:bidi="ar-SA"/>
      </w:rPr>
    </w:lvl>
    <w:lvl w:ilvl="8" w:tplc="A38466F8">
      <w:numFmt w:val="bullet"/>
      <w:lvlText w:val="•"/>
      <w:lvlJc w:val="left"/>
      <w:pPr>
        <w:ind w:left="2322" w:hanging="74"/>
      </w:pPr>
      <w:rPr>
        <w:rFonts w:hint="default"/>
        <w:lang w:val="pt-PT" w:eastAsia="en-US" w:bidi="ar-SA"/>
      </w:rPr>
    </w:lvl>
  </w:abstractNum>
  <w:abstractNum w:abstractNumId="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07173D"/>
    <w:multiLevelType w:val="multilevel"/>
    <w:tmpl w:val="DA5C744E"/>
    <w:styleLink w:val="Estilo7"/>
    <w:lvl w:ilvl="0">
      <w:start w:val="1"/>
      <w:numFmt w:val="none"/>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F741F43"/>
    <w:multiLevelType w:val="hybridMultilevel"/>
    <w:tmpl w:val="1B026A48"/>
    <w:lvl w:ilvl="0" w:tplc="D43ECEB4">
      <w:numFmt w:val="bullet"/>
      <w:lvlText w:val="-"/>
      <w:lvlJc w:val="left"/>
      <w:pPr>
        <w:ind w:left="159" w:hanging="74"/>
      </w:pPr>
      <w:rPr>
        <w:rFonts w:ascii="Arial MT" w:eastAsia="Arial MT" w:hAnsi="Arial MT" w:cs="Arial MT" w:hint="default"/>
        <w:b w:val="0"/>
        <w:bCs w:val="0"/>
        <w:i w:val="0"/>
        <w:iCs w:val="0"/>
        <w:color w:val="231F20"/>
        <w:spacing w:val="0"/>
        <w:w w:val="100"/>
        <w:sz w:val="12"/>
        <w:szCs w:val="12"/>
        <w:lang w:val="pt-PT" w:eastAsia="en-US" w:bidi="ar-SA"/>
      </w:rPr>
    </w:lvl>
    <w:lvl w:ilvl="1" w:tplc="6860C5BC">
      <w:numFmt w:val="bullet"/>
      <w:lvlText w:val="•"/>
      <w:lvlJc w:val="left"/>
      <w:pPr>
        <w:ind w:left="430" w:hanging="74"/>
      </w:pPr>
      <w:rPr>
        <w:rFonts w:hint="default"/>
        <w:lang w:val="pt-PT" w:eastAsia="en-US" w:bidi="ar-SA"/>
      </w:rPr>
    </w:lvl>
    <w:lvl w:ilvl="2" w:tplc="43D6BCE4">
      <w:numFmt w:val="bullet"/>
      <w:lvlText w:val="•"/>
      <w:lvlJc w:val="left"/>
      <w:pPr>
        <w:ind w:left="700" w:hanging="74"/>
      </w:pPr>
      <w:rPr>
        <w:rFonts w:hint="default"/>
        <w:lang w:val="pt-PT" w:eastAsia="en-US" w:bidi="ar-SA"/>
      </w:rPr>
    </w:lvl>
    <w:lvl w:ilvl="3" w:tplc="1D4075A8">
      <w:numFmt w:val="bullet"/>
      <w:lvlText w:val="•"/>
      <w:lvlJc w:val="left"/>
      <w:pPr>
        <w:ind w:left="970" w:hanging="74"/>
      </w:pPr>
      <w:rPr>
        <w:rFonts w:hint="default"/>
        <w:lang w:val="pt-PT" w:eastAsia="en-US" w:bidi="ar-SA"/>
      </w:rPr>
    </w:lvl>
    <w:lvl w:ilvl="4" w:tplc="4F7468CE">
      <w:numFmt w:val="bullet"/>
      <w:lvlText w:val="•"/>
      <w:lvlJc w:val="left"/>
      <w:pPr>
        <w:ind w:left="1241" w:hanging="74"/>
      </w:pPr>
      <w:rPr>
        <w:rFonts w:hint="default"/>
        <w:lang w:val="pt-PT" w:eastAsia="en-US" w:bidi="ar-SA"/>
      </w:rPr>
    </w:lvl>
    <w:lvl w:ilvl="5" w:tplc="1C3CAE58">
      <w:numFmt w:val="bullet"/>
      <w:lvlText w:val="•"/>
      <w:lvlJc w:val="left"/>
      <w:pPr>
        <w:ind w:left="1511" w:hanging="74"/>
      </w:pPr>
      <w:rPr>
        <w:rFonts w:hint="default"/>
        <w:lang w:val="pt-PT" w:eastAsia="en-US" w:bidi="ar-SA"/>
      </w:rPr>
    </w:lvl>
    <w:lvl w:ilvl="6" w:tplc="0C02E878">
      <w:numFmt w:val="bullet"/>
      <w:lvlText w:val="•"/>
      <w:lvlJc w:val="left"/>
      <w:pPr>
        <w:ind w:left="1781" w:hanging="74"/>
      </w:pPr>
      <w:rPr>
        <w:rFonts w:hint="default"/>
        <w:lang w:val="pt-PT" w:eastAsia="en-US" w:bidi="ar-SA"/>
      </w:rPr>
    </w:lvl>
    <w:lvl w:ilvl="7" w:tplc="FCE0B5F2">
      <w:numFmt w:val="bullet"/>
      <w:lvlText w:val="•"/>
      <w:lvlJc w:val="left"/>
      <w:pPr>
        <w:ind w:left="2052" w:hanging="74"/>
      </w:pPr>
      <w:rPr>
        <w:rFonts w:hint="default"/>
        <w:lang w:val="pt-PT" w:eastAsia="en-US" w:bidi="ar-SA"/>
      </w:rPr>
    </w:lvl>
    <w:lvl w:ilvl="8" w:tplc="A18023C8">
      <w:numFmt w:val="bullet"/>
      <w:lvlText w:val="•"/>
      <w:lvlJc w:val="left"/>
      <w:pPr>
        <w:ind w:left="2322" w:hanging="74"/>
      </w:pPr>
      <w:rPr>
        <w:rFonts w:hint="default"/>
        <w:lang w:val="pt-PT" w:eastAsia="en-US" w:bidi="ar-SA"/>
      </w:rPr>
    </w:lvl>
  </w:abstractNum>
  <w:abstractNum w:abstractNumId="8" w15:restartNumberingAfterBreak="0">
    <w:nsid w:val="434272CF"/>
    <w:multiLevelType w:val="hybridMultilevel"/>
    <w:tmpl w:val="67988D88"/>
    <w:lvl w:ilvl="0" w:tplc="241EE142">
      <w:numFmt w:val="bullet"/>
      <w:lvlText w:val="-"/>
      <w:lvlJc w:val="left"/>
      <w:pPr>
        <w:ind w:left="159" w:hanging="74"/>
      </w:pPr>
      <w:rPr>
        <w:rFonts w:ascii="Arial MT" w:eastAsia="Arial MT" w:hAnsi="Arial MT" w:cs="Arial MT" w:hint="default"/>
        <w:b w:val="0"/>
        <w:bCs w:val="0"/>
        <w:i w:val="0"/>
        <w:iCs w:val="0"/>
        <w:color w:val="231F20"/>
        <w:spacing w:val="0"/>
        <w:w w:val="100"/>
        <w:sz w:val="12"/>
        <w:szCs w:val="12"/>
        <w:lang w:val="pt-PT" w:eastAsia="en-US" w:bidi="ar-SA"/>
      </w:rPr>
    </w:lvl>
    <w:lvl w:ilvl="1" w:tplc="51129AEA">
      <w:numFmt w:val="bullet"/>
      <w:lvlText w:val="•"/>
      <w:lvlJc w:val="left"/>
      <w:pPr>
        <w:ind w:left="429" w:hanging="74"/>
      </w:pPr>
      <w:rPr>
        <w:rFonts w:hint="default"/>
        <w:lang w:val="pt-PT" w:eastAsia="en-US" w:bidi="ar-SA"/>
      </w:rPr>
    </w:lvl>
    <w:lvl w:ilvl="2" w:tplc="AD24EF16">
      <w:numFmt w:val="bullet"/>
      <w:lvlText w:val="•"/>
      <w:lvlJc w:val="left"/>
      <w:pPr>
        <w:ind w:left="699" w:hanging="74"/>
      </w:pPr>
      <w:rPr>
        <w:rFonts w:hint="default"/>
        <w:lang w:val="pt-PT" w:eastAsia="en-US" w:bidi="ar-SA"/>
      </w:rPr>
    </w:lvl>
    <w:lvl w:ilvl="3" w:tplc="A11415BA">
      <w:numFmt w:val="bullet"/>
      <w:lvlText w:val="•"/>
      <w:lvlJc w:val="left"/>
      <w:pPr>
        <w:ind w:left="969" w:hanging="74"/>
      </w:pPr>
      <w:rPr>
        <w:rFonts w:hint="default"/>
        <w:lang w:val="pt-PT" w:eastAsia="en-US" w:bidi="ar-SA"/>
      </w:rPr>
    </w:lvl>
    <w:lvl w:ilvl="4" w:tplc="EE12DDD6">
      <w:numFmt w:val="bullet"/>
      <w:lvlText w:val="•"/>
      <w:lvlJc w:val="left"/>
      <w:pPr>
        <w:ind w:left="1238" w:hanging="74"/>
      </w:pPr>
      <w:rPr>
        <w:rFonts w:hint="default"/>
        <w:lang w:val="pt-PT" w:eastAsia="en-US" w:bidi="ar-SA"/>
      </w:rPr>
    </w:lvl>
    <w:lvl w:ilvl="5" w:tplc="1E481FEC">
      <w:numFmt w:val="bullet"/>
      <w:lvlText w:val="•"/>
      <w:lvlJc w:val="left"/>
      <w:pPr>
        <w:ind w:left="1508" w:hanging="74"/>
      </w:pPr>
      <w:rPr>
        <w:rFonts w:hint="default"/>
        <w:lang w:val="pt-PT" w:eastAsia="en-US" w:bidi="ar-SA"/>
      </w:rPr>
    </w:lvl>
    <w:lvl w:ilvl="6" w:tplc="08748DAE">
      <w:numFmt w:val="bullet"/>
      <w:lvlText w:val="•"/>
      <w:lvlJc w:val="left"/>
      <w:pPr>
        <w:ind w:left="1778" w:hanging="74"/>
      </w:pPr>
      <w:rPr>
        <w:rFonts w:hint="default"/>
        <w:lang w:val="pt-PT" w:eastAsia="en-US" w:bidi="ar-SA"/>
      </w:rPr>
    </w:lvl>
    <w:lvl w:ilvl="7" w:tplc="ECE2438C">
      <w:numFmt w:val="bullet"/>
      <w:lvlText w:val="•"/>
      <w:lvlJc w:val="left"/>
      <w:pPr>
        <w:ind w:left="2047" w:hanging="74"/>
      </w:pPr>
      <w:rPr>
        <w:rFonts w:hint="default"/>
        <w:lang w:val="pt-PT" w:eastAsia="en-US" w:bidi="ar-SA"/>
      </w:rPr>
    </w:lvl>
    <w:lvl w:ilvl="8" w:tplc="A21EE982">
      <w:numFmt w:val="bullet"/>
      <w:lvlText w:val="•"/>
      <w:lvlJc w:val="left"/>
      <w:pPr>
        <w:ind w:left="2317" w:hanging="74"/>
      </w:pPr>
      <w:rPr>
        <w:rFonts w:hint="default"/>
        <w:lang w:val="pt-PT" w:eastAsia="en-US" w:bidi="ar-SA"/>
      </w:rPr>
    </w:lvl>
  </w:abstractNum>
  <w:abstractNum w:abstractNumId="9" w15:restartNumberingAfterBreak="0">
    <w:nsid w:val="47554BC4"/>
    <w:multiLevelType w:val="hybridMultilevel"/>
    <w:tmpl w:val="CC740D30"/>
    <w:lvl w:ilvl="0" w:tplc="453221D4">
      <w:numFmt w:val="bullet"/>
      <w:lvlText w:val="-"/>
      <w:lvlJc w:val="left"/>
      <w:pPr>
        <w:ind w:left="86" w:hanging="74"/>
      </w:pPr>
      <w:rPr>
        <w:rFonts w:ascii="Arial MT" w:eastAsia="Arial MT" w:hAnsi="Arial MT" w:cs="Arial MT" w:hint="default"/>
        <w:b w:val="0"/>
        <w:bCs w:val="0"/>
        <w:i w:val="0"/>
        <w:iCs w:val="0"/>
        <w:color w:val="231F20"/>
        <w:spacing w:val="0"/>
        <w:w w:val="100"/>
        <w:sz w:val="12"/>
        <w:szCs w:val="12"/>
        <w:lang w:val="pt-PT" w:eastAsia="en-US" w:bidi="ar-SA"/>
      </w:rPr>
    </w:lvl>
    <w:lvl w:ilvl="1" w:tplc="04708F08">
      <w:numFmt w:val="bullet"/>
      <w:lvlText w:val="•"/>
      <w:lvlJc w:val="left"/>
      <w:pPr>
        <w:ind w:left="358" w:hanging="74"/>
      </w:pPr>
      <w:rPr>
        <w:rFonts w:hint="default"/>
        <w:lang w:val="pt-PT" w:eastAsia="en-US" w:bidi="ar-SA"/>
      </w:rPr>
    </w:lvl>
    <w:lvl w:ilvl="2" w:tplc="9BE64F50">
      <w:numFmt w:val="bullet"/>
      <w:lvlText w:val="•"/>
      <w:lvlJc w:val="left"/>
      <w:pPr>
        <w:ind w:left="636" w:hanging="74"/>
      </w:pPr>
      <w:rPr>
        <w:rFonts w:hint="default"/>
        <w:lang w:val="pt-PT" w:eastAsia="en-US" w:bidi="ar-SA"/>
      </w:rPr>
    </w:lvl>
    <w:lvl w:ilvl="3" w:tplc="3EAA5010">
      <w:numFmt w:val="bullet"/>
      <w:lvlText w:val="•"/>
      <w:lvlJc w:val="left"/>
      <w:pPr>
        <w:ind w:left="914" w:hanging="74"/>
      </w:pPr>
      <w:rPr>
        <w:rFonts w:hint="default"/>
        <w:lang w:val="pt-PT" w:eastAsia="en-US" w:bidi="ar-SA"/>
      </w:rPr>
    </w:lvl>
    <w:lvl w:ilvl="4" w:tplc="C4B8751E">
      <w:numFmt w:val="bullet"/>
      <w:lvlText w:val="•"/>
      <w:lvlJc w:val="left"/>
      <w:pPr>
        <w:ind w:left="1193" w:hanging="74"/>
      </w:pPr>
      <w:rPr>
        <w:rFonts w:hint="default"/>
        <w:lang w:val="pt-PT" w:eastAsia="en-US" w:bidi="ar-SA"/>
      </w:rPr>
    </w:lvl>
    <w:lvl w:ilvl="5" w:tplc="82AA2D3C">
      <w:numFmt w:val="bullet"/>
      <w:lvlText w:val="•"/>
      <w:lvlJc w:val="left"/>
      <w:pPr>
        <w:ind w:left="1471" w:hanging="74"/>
      </w:pPr>
      <w:rPr>
        <w:rFonts w:hint="default"/>
        <w:lang w:val="pt-PT" w:eastAsia="en-US" w:bidi="ar-SA"/>
      </w:rPr>
    </w:lvl>
    <w:lvl w:ilvl="6" w:tplc="C8BEB98C">
      <w:numFmt w:val="bullet"/>
      <w:lvlText w:val="•"/>
      <w:lvlJc w:val="left"/>
      <w:pPr>
        <w:ind w:left="1749" w:hanging="74"/>
      </w:pPr>
      <w:rPr>
        <w:rFonts w:hint="default"/>
        <w:lang w:val="pt-PT" w:eastAsia="en-US" w:bidi="ar-SA"/>
      </w:rPr>
    </w:lvl>
    <w:lvl w:ilvl="7" w:tplc="AAFAA640">
      <w:numFmt w:val="bullet"/>
      <w:lvlText w:val="•"/>
      <w:lvlJc w:val="left"/>
      <w:pPr>
        <w:ind w:left="2028" w:hanging="74"/>
      </w:pPr>
      <w:rPr>
        <w:rFonts w:hint="default"/>
        <w:lang w:val="pt-PT" w:eastAsia="en-US" w:bidi="ar-SA"/>
      </w:rPr>
    </w:lvl>
    <w:lvl w:ilvl="8" w:tplc="7F1E4114">
      <w:numFmt w:val="bullet"/>
      <w:lvlText w:val="•"/>
      <w:lvlJc w:val="left"/>
      <w:pPr>
        <w:ind w:left="2306" w:hanging="74"/>
      </w:pPr>
      <w:rPr>
        <w:rFonts w:hint="default"/>
        <w:lang w:val="pt-PT" w:eastAsia="en-US" w:bidi="ar-SA"/>
      </w:rPr>
    </w:lvl>
  </w:abstractNum>
  <w:abstractNum w:abstractNumId="10" w15:restartNumberingAfterBreak="0">
    <w:nsid w:val="4B6818AF"/>
    <w:multiLevelType w:val="hybridMultilevel"/>
    <w:tmpl w:val="4EF8D85C"/>
    <w:lvl w:ilvl="0" w:tplc="C630BA78">
      <w:numFmt w:val="bullet"/>
      <w:lvlText w:val="-"/>
      <w:lvlJc w:val="left"/>
      <w:pPr>
        <w:ind w:left="86" w:hanging="74"/>
      </w:pPr>
      <w:rPr>
        <w:rFonts w:ascii="Arial MT" w:eastAsia="Arial MT" w:hAnsi="Arial MT" w:cs="Arial MT" w:hint="default"/>
        <w:b w:val="0"/>
        <w:bCs w:val="0"/>
        <w:i w:val="0"/>
        <w:iCs w:val="0"/>
        <w:color w:val="231F20"/>
        <w:spacing w:val="0"/>
        <w:w w:val="100"/>
        <w:sz w:val="12"/>
        <w:szCs w:val="12"/>
        <w:lang w:val="pt-PT" w:eastAsia="en-US" w:bidi="ar-SA"/>
      </w:rPr>
    </w:lvl>
    <w:lvl w:ilvl="1" w:tplc="1D7EC41C">
      <w:numFmt w:val="bullet"/>
      <w:lvlText w:val="•"/>
      <w:lvlJc w:val="left"/>
      <w:pPr>
        <w:ind w:left="358" w:hanging="74"/>
      </w:pPr>
      <w:rPr>
        <w:rFonts w:hint="default"/>
        <w:lang w:val="pt-PT" w:eastAsia="en-US" w:bidi="ar-SA"/>
      </w:rPr>
    </w:lvl>
    <w:lvl w:ilvl="2" w:tplc="DDDCF57C">
      <w:numFmt w:val="bullet"/>
      <w:lvlText w:val="•"/>
      <w:lvlJc w:val="left"/>
      <w:pPr>
        <w:ind w:left="636" w:hanging="74"/>
      </w:pPr>
      <w:rPr>
        <w:rFonts w:hint="default"/>
        <w:lang w:val="pt-PT" w:eastAsia="en-US" w:bidi="ar-SA"/>
      </w:rPr>
    </w:lvl>
    <w:lvl w:ilvl="3" w:tplc="387EBBCC">
      <w:numFmt w:val="bullet"/>
      <w:lvlText w:val="•"/>
      <w:lvlJc w:val="left"/>
      <w:pPr>
        <w:ind w:left="914" w:hanging="74"/>
      </w:pPr>
      <w:rPr>
        <w:rFonts w:hint="default"/>
        <w:lang w:val="pt-PT" w:eastAsia="en-US" w:bidi="ar-SA"/>
      </w:rPr>
    </w:lvl>
    <w:lvl w:ilvl="4" w:tplc="F4BEC6AA">
      <w:numFmt w:val="bullet"/>
      <w:lvlText w:val="•"/>
      <w:lvlJc w:val="left"/>
      <w:pPr>
        <w:ind w:left="1193" w:hanging="74"/>
      </w:pPr>
      <w:rPr>
        <w:rFonts w:hint="default"/>
        <w:lang w:val="pt-PT" w:eastAsia="en-US" w:bidi="ar-SA"/>
      </w:rPr>
    </w:lvl>
    <w:lvl w:ilvl="5" w:tplc="F9E2D99E">
      <w:numFmt w:val="bullet"/>
      <w:lvlText w:val="•"/>
      <w:lvlJc w:val="left"/>
      <w:pPr>
        <w:ind w:left="1471" w:hanging="74"/>
      </w:pPr>
      <w:rPr>
        <w:rFonts w:hint="default"/>
        <w:lang w:val="pt-PT" w:eastAsia="en-US" w:bidi="ar-SA"/>
      </w:rPr>
    </w:lvl>
    <w:lvl w:ilvl="6" w:tplc="097069F0">
      <w:numFmt w:val="bullet"/>
      <w:lvlText w:val="•"/>
      <w:lvlJc w:val="left"/>
      <w:pPr>
        <w:ind w:left="1749" w:hanging="74"/>
      </w:pPr>
      <w:rPr>
        <w:rFonts w:hint="default"/>
        <w:lang w:val="pt-PT" w:eastAsia="en-US" w:bidi="ar-SA"/>
      </w:rPr>
    </w:lvl>
    <w:lvl w:ilvl="7" w:tplc="9AAAEAB4">
      <w:numFmt w:val="bullet"/>
      <w:lvlText w:val="•"/>
      <w:lvlJc w:val="left"/>
      <w:pPr>
        <w:ind w:left="2028" w:hanging="74"/>
      </w:pPr>
      <w:rPr>
        <w:rFonts w:hint="default"/>
        <w:lang w:val="pt-PT" w:eastAsia="en-US" w:bidi="ar-SA"/>
      </w:rPr>
    </w:lvl>
    <w:lvl w:ilvl="8" w:tplc="7C90FC4A">
      <w:numFmt w:val="bullet"/>
      <w:lvlText w:val="•"/>
      <w:lvlJc w:val="left"/>
      <w:pPr>
        <w:ind w:left="2306" w:hanging="74"/>
      </w:pPr>
      <w:rPr>
        <w:rFonts w:hint="default"/>
        <w:lang w:val="pt-PT" w:eastAsia="en-US" w:bidi="ar-SA"/>
      </w:rPr>
    </w:lvl>
  </w:abstractNum>
  <w:abstractNum w:abstractNumId="11" w15:restartNumberingAfterBreak="0">
    <w:nsid w:val="50175872"/>
    <w:multiLevelType w:val="hybridMultilevel"/>
    <w:tmpl w:val="CA92D3E8"/>
    <w:lvl w:ilvl="0" w:tplc="108AC750">
      <w:numFmt w:val="bullet"/>
      <w:lvlText w:val="-"/>
      <w:lvlJc w:val="left"/>
      <w:pPr>
        <w:ind w:left="223" w:hanging="74"/>
      </w:pPr>
      <w:rPr>
        <w:rFonts w:ascii="Arial MT" w:eastAsia="Arial MT" w:hAnsi="Arial MT" w:cs="Arial MT" w:hint="default"/>
        <w:b w:val="0"/>
        <w:bCs w:val="0"/>
        <w:i w:val="0"/>
        <w:iCs w:val="0"/>
        <w:color w:val="231F20"/>
        <w:spacing w:val="0"/>
        <w:w w:val="100"/>
        <w:sz w:val="12"/>
        <w:szCs w:val="12"/>
        <w:lang w:val="pt-PT" w:eastAsia="en-US" w:bidi="ar-SA"/>
      </w:rPr>
    </w:lvl>
    <w:lvl w:ilvl="1" w:tplc="D256CA0A">
      <w:numFmt w:val="bullet"/>
      <w:lvlText w:val="•"/>
      <w:lvlJc w:val="left"/>
      <w:pPr>
        <w:ind w:left="601" w:hanging="74"/>
      </w:pPr>
      <w:rPr>
        <w:rFonts w:hint="default"/>
        <w:lang w:val="pt-PT" w:eastAsia="en-US" w:bidi="ar-SA"/>
      </w:rPr>
    </w:lvl>
    <w:lvl w:ilvl="2" w:tplc="8EF4A758">
      <w:numFmt w:val="bullet"/>
      <w:lvlText w:val="•"/>
      <w:lvlJc w:val="left"/>
      <w:pPr>
        <w:ind w:left="983" w:hanging="74"/>
      </w:pPr>
      <w:rPr>
        <w:rFonts w:hint="default"/>
        <w:lang w:val="pt-PT" w:eastAsia="en-US" w:bidi="ar-SA"/>
      </w:rPr>
    </w:lvl>
    <w:lvl w:ilvl="3" w:tplc="6712ABC6">
      <w:numFmt w:val="bullet"/>
      <w:lvlText w:val="•"/>
      <w:lvlJc w:val="left"/>
      <w:pPr>
        <w:ind w:left="1365" w:hanging="74"/>
      </w:pPr>
      <w:rPr>
        <w:rFonts w:hint="default"/>
        <w:lang w:val="pt-PT" w:eastAsia="en-US" w:bidi="ar-SA"/>
      </w:rPr>
    </w:lvl>
    <w:lvl w:ilvl="4" w:tplc="7402E5FA">
      <w:numFmt w:val="bullet"/>
      <w:lvlText w:val="•"/>
      <w:lvlJc w:val="left"/>
      <w:pPr>
        <w:ind w:left="1746" w:hanging="74"/>
      </w:pPr>
      <w:rPr>
        <w:rFonts w:hint="default"/>
        <w:lang w:val="pt-PT" w:eastAsia="en-US" w:bidi="ar-SA"/>
      </w:rPr>
    </w:lvl>
    <w:lvl w:ilvl="5" w:tplc="31DC4814">
      <w:numFmt w:val="bullet"/>
      <w:lvlText w:val="•"/>
      <w:lvlJc w:val="left"/>
      <w:pPr>
        <w:ind w:left="2128" w:hanging="74"/>
      </w:pPr>
      <w:rPr>
        <w:rFonts w:hint="default"/>
        <w:lang w:val="pt-PT" w:eastAsia="en-US" w:bidi="ar-SA"/>
      </w:rPr>
    </w:lvl>
    <w:lvl w:ilvl="6" w:tplc="A3466150">
      <w:numFmt w:val="bullet"/>
      <w:lvlText w:val="•"/>
      <w:lvlJc w:val="left"/>
      <w:pPr>
        <w:ind w:left="2510" w:hanging="74"/>
      </w:pPr>
      <w:rPr>
        <w:rFonts w:hint="default"/>
        <w:lang w:val="pt-PT" w:eastAsia="en-US" w:bidi="ar-SA"/>
      </w:rPr>
    </w:lvl>
    <w:lvl w:ilvl="7" w:tplc="D878F526">
      <w:numFmt w:val="bullet"/>
      <w:lvlText w:val="•"/>
      <w:lvlJc w:val="left"/>
      <w:pPr>
        <w:ind w:left="2891" w:hanging="74"/>
      </w:pPr>
      <w:rPr>
        <w:rFonts w:hint="default"/>
        <w:lang w:val="pt-PT" w:eastAsia="en-US" w:bidi="ar-SA"/>
      </w:rPr>
    </w:lvl>
    <w:lvl w:ilvl="8" w:tplc="5E0C6700">
      <w:numFmt w:val="bullet"/>
      <w:lvlText w:val="•"/>
      <w:lvlJc w:val="left"/>
      <w:pPr>
        <w:ind w:left="3273" w:hanging="74"/>
      </w:pPr>
      <w:rPr>
        <w:rFonts w:hint="default"/>
        <w:lang w:val="pt-PT" w:eastAsia="en-US" w:bidi="ar-SA"/>
      </w:rPr>
    </w:lvl>
  </w:abstractNum>
  <w:abstractNum w:abstractNumId="12" w15:restartNumberingAfterBreak="0">
    <w:nsid w:val="58FB4DCC"/>
    <w:multiLevelType w:val="hybridMultilevel"/>
    <w:tmpl w:val="9F7A8734"/>
    <w:lvl w:ilvl="0" w:tplc="3FB0CE2A">
      <w:numFmt w:val="bullet"/>
      <w:lvlText w:val="-"/>
      <w:lvlJc w:val="left"/>
      <w:pPr>
        <w:ind w:left="85" w:hanging="74"/>
      </w:pPr>
      <w:rPr>
        <w:rFonts w:ascii="Arial MT" w:eastAsia="Arial MT" w:hAnsi="Arial MT" w:cs="Arial MT" w:hint="default"/>
        <w:b w:val="0"/>
        <w:bCs w:val="0"/>
        <w:i w:val="0"/>
        <w:iCs w:val="0"/>
        <w:color w:val="231F20"/>
        <w:spacing w:val="0"/>
        <w:w w:val="100"/>
        <w:sz w:val="12"/>
        <w:szCs w:val="12"/>
        <w:lang w:val="pt-PT" w:eastAsia="en-US" w:bidi="ar-SA"/>
      </w:rPr>
    </w:lvl>
    <w:lvl w:ilvl="1" w:tplc="D6D8B64C">
      <w:numFmt w:val="bullet"/>
      <w:lvlText w:val="•"/>
      <w:lvlJc w:val="left"/>
      <w:pPr>
        <w:ind w:left="357" w:hanging="74"/>
      </w:pPr>
      <w:rPr>
        <w:rFonts w:hint="default"/>
        <w:lang w:val="pt-PT" w:eastAsia="en-US" w:bidi="ar-SA"/>
      </w:rPr>
    </w:lvl>
    <w:lvl w:ilvl="2" w:tplc="13FC2A14">
      <w:numFmt w:val="bullet"/>
      <w:lvlText w:val="•"/>
      <w:lvlJc w:val="left"/>
      <w:pPr>
        <w:ind w:left="635" w:hanging="74"/>
      </w:pPr>
      <w:rPr>
        <w:rFonts w:hint="default"/>
        <w:lang w:val="pt-PT" w:eastAsia="en-US" w:bidi="ar-SA"/>
      </w:rPr>
    </w:lvl>
    <w:lvl w:ilvl="3" w:tplc="9C3648A8">
      <w:numFmt w:val="bullet"/>
      <w:lvlText w:val="•"/>
      <w:lvlJc w:val="left"/>
      <w:pPr>
        <w:ind w:left="913" w:hanging="74"/>
      </w:pPr>
      <w:rPr>
        <w:rFonts w:hint="default"/>
        <w:lang w:val="pt-PT" w:eastAsia="en-US" w:bidi="ar-SA"/>
      </w:rPr>
    </w:lvl>
    <w:lvl w:ilvl="4" w:tplc="DB280EE4">
      <w:numFmt w:val="bullet"/>
      <w:lvlText w:val="•"/>
      <w:lvlJc w:val="left"/>
      <w:pPr>
        <w:ind w:left="1190" w:hanging="74"/>
      </w:pPr>
      <w:rPr>
        <w:rFonts w:hint="default"/>
        <w:lang w:val="pt-PT" w:eastAsia="en-US" w:bidi="ar-SA"/>
      </w:rPr>
    </w:lvl>
    <w:lvl w:ilvl="5" w:tplc="8DEE6304">
      <w:numFmt w:val="bullet"/>
      <w:lvlText w:val="•"/>
      <w:lvlJc w:val="left"/>
      <w:pPr>
        <w:ind w:left="1468" w:hanging="74"/>
      </w:pPr>
      <w:rPr>
        <w:rFonts w:hint="default"/>
        <w:lang w:val="pt-PT" w:eastAsia="en-US" w:bidi="ar-SA"/>
      </w:rPr>
    </w:lvl>
    <w:lvl w:ilvl="6" w:tplc="1D42EE36">
      <w:numFmt w:val="bullet"/>
      <w:lvlText w:val="•"/>
      <w:lvlJc w:val="left"/>
      <w:pPr>
        <w:ind w:left="1746" w:hanging="74"/>
      </w:pPr>
      <w:rPr>
        <w:rFonts w:hint="default"/>
        <w:lang w:val="pt-PT" w:eastAsia="en-US" w:bidi="ar-SA"/>
      </w:rPr>
    </w:lvl>
    <w:lvl w:ilvl="7" w:tplc="16506962">
      <w:numFmt w:val="bullet"/>
      <w:lvlText w:val="•"/>
      <w:lvlJc w:val="left"/>
      <w:pPr>
        <w:ind w:left="2023" w:hanging="74"/>
      </w:pPr>
      <w:rPr>
        <w:rFonts w:hint="default"/>
        <w:lang w:val="pt-PT" w:eastAsia="en-US" w:bidi="ar-SA"/>
      </w:rPr>
    </w:lvl>
    <w:lvl w:ilvl="8" w:tplc="6114B7FA">
      <w:numFmt w:val="bullet"/>
      <w:lvlText w:val="•"/>
      <w:lvlJc w:val="left"/>
      <w:pPr>
        <w:ind w:left="2301" w:hanging="74"/>
      </w:pPr>
      <w:rPr>
        <w:rFonts w:hint="default"/>
        <w:lang w:val="pt-PT" w:eastAsia="en-US" w:bidi="ar-SA"/>
      </w:rPr>
    </w:lvl>
  </w:abstractNum>
  <w:abstractNum w:abstractNumId="13" w15:restartNumberingAfterBreak="0">
    <w:nsid w:val="68CF1F0F"/>
    <w:multiLevelType w:val="hybridMultilevel"/>
    <w:tmpl w:val="7B84F78E"/>
    <w:lvl w:ilvl="0" w:tplc="AF06F136">
      <w:numFmt w:val="bullet"/>
      <w:lvlText w:val="-"/>
      <w:lvlJc w:val="left"/>
      <w:pPr>
        <w:ind w:left="149" w:hanging="74"/>
      </w:pPr>
      <w:rPr>
        <w:rFonts w:ascii="Arial MT" w:eastAsia="Arial MT" w:hAnsi="Arial MT" w:cs="Arial MT" w:hint="default"/>
        <w:b w:val="0"/>
        <w:bCs w:val="0"/>
        <w:i w:val="0"/>
        <w:iCs w:val="0"/>
        <w:color w:val="231F20"/>
        <w:spacing w:val="0"/>
        <w:w w:val="100"/>
        <w:sz w:val="12"/>
        <w:szCs w:val="12"/>
        <w:lang w:val="pt-PT" w:eastAsia="en-US" w:bidi="ar-SA"/>
      </w:rPr>
    </w:lvl>
    <w:lvl w:ilvl="1" w:tplc="2F6EEDEC">
      <w:numFmt w:val="bullet"/>
      <w:lvlText w:val="•"/>
      <w:lvlJc w:val="left"/>
      <w:pPr>
        <w:ind w:left="529" w:hanging="74"/>
      </w:pPr>
      <w:rPr>
        <w:rFonts w:hint="default"/>
        <w:lang w:val="pt-PT" w:eastAsia="en-US" w:bidi="ar-SA"/>
      </w:rPr>
    </w:lvl>
    <w:lvl w:ilvl="2" w:tplc="3AEA7C7E">
      <w:numFmt w:val="bullet"/>
      <w:lvlText w:val="•"/>
      <w:lvlJc w:val="left"/>
      <w:pPr>
        <w:ind w:left="919" w:hanging="74"/>
      </w:pPr>
      <w:rPr>
        <w:rFonts w:hint="default"/>
        <w:lang w:val="pt-PT" w:eastAsia="en-US" w:bidi="ar-SA"/>
      </w:rPr>
    </w:lvl>
    <w:lvl w:ilvl="3" w:tplc="49969414">
      <w:numFmt w:val="bullet"/>
      <w:lvlText w:val="•"/>
      <w:lvlJc w:val="left"/>
      <w:pPr>
        <w:ind w:left="1309" w:hanging="74"/>
      </w:pPr>
      <w:rPr>
        <w:rFonts w:hint="default"/>
        <w:lang w:val="pt-PT" w:eastAsia="en-US" w:bidi="ar-SA"/>
      </w:rPr>
    </w:lvl>
    <w:lvl w:ilvl="4" w:tplc="57F48BC2">
      <w:numFmt w:val="bullet"/>
      <w:lvlText w:val="•"/>
      <w:lvlJc w:val="left"/>
      <w:pPr>
        <w:ind w:left="1698" w:hanging="74"/>
      </w:pPr>
      <w:rPr>
        <w:rFonts w:hint="default"/>
        <w:lang w:val="pt-PT" w:eastAsia="en-US" w:bidi="ar-SA"/>
      </w:rPr>
    </w:lvl>
    <w:lvl w:ilvl="5" w:tplc="0DF4AFD4">
      <w:numFmt w:val="bullet"/>
      <w:lvlText w:val="•"/>
      <w:lvlJc w:val="left"/>
      <w:pPr>
        <w:ind w:left="2088" w:hanging="74"/>
      </w:pPr>
      <w:rPr>
        <w:rFonts w:hint="default"/>
        <w:lang w:val="pt-PT" w:eastAsia="en-US" w:bidi="ar-SA"/>
      </w:rPr>
    </w:lvl>
    <w:lvl w:ilvl="6" w:tplc="F8C41D80">
      <w:numFmt w:val="bullet"/>
      <w:lvlText w:val="•"/>
      <w:lvlJc w:val="left"/>
      <w:pPr>
        <w:ind w:left="2478" w:hanging="74"/>
      </w:pPr>
      <w:rPr>
        <w:rFonts w:hint="default"/>
        <w:lang w:val="pt-PT" w:eastAsia="en-US" w:bidi="ar-SA"/>
      </w:rPr>
    </w:lvl>
    <w:lvl w:ilvl="7" w:tplc="32CACEC0">
      <w:numFmt w:val="bullet"/>
      <w:lvlText w:val="•"/>
      <w:lvlJc w:val="left"/>
      <w:pPr>
        <w:ind w:left="2867" w:hanging="74"/>
      </w:pPr>
      <w:rPr>
        <w:rFonts w:hint="default"/>
        <w:lang w:val="pt-PT" w:eastAsia="en-US" w:bidi="ar-SA"/>
      </w:rPr>
    </w:lvl>
    <w:lvl w:ilvl="8" w:tplc="3348A140">
      <w:numFmt w:val="bullet"/>
      <w:lvlText w:val="•"/>
      <w:lvlJc w:val="left"/>
      <w:pPr>
        <w:ind w:left="3257" w:hanging="74"/>
      </w:pPr>
      <w:rPr>
        <w:rFonts w:hint="default"/>
        <w:lang w:val="pt-PT" w:eastAsia="en-US" w:bidi="ar-SA"/>
      </w:rPr>
    </w:lvl>
  </w:abstractNum>
  <w:abstractNum w:abstractNumId="14" w15:restartNumberingAfterBreak="0">
    <w:nsid w:val="790E631F"/>
    <w:multiLevelType w:val="hybridMultilevel"/>
    <w:tmpl w:val="C79E765C"/>
    <w:lvl w:ilvl="0" w:tplc="11F8CEA2">
      <w:numFmt w:val="bullet"/>
      <w:lvlText w:val="-"/>
      <w:lvlJc w:val="left"/>
      <w:pPr>
        <w:ind w:left="86" w:hanging="74"/>
      </w:pPr>
      <w:rPr>
        <w:rFonts w:ascii="Arial MT" w:eastAsia="Arial MT" w:hAnsi="Arial MT" w:cs="Arial MT" w:hint="default"/>
        <w:b w:val="0"/>
        <w:bCs w:val="0"/>
        <w:i w:val="0"/>
        <w:iCs w:val="0"/>
        <w:color w:val="231F20"/>
        <w:spacing w:val="0"/>
        <w:w w:val="100"/>
        <w:sz w:val="12"/>
        <w:szCs w:val="12"/>
        <w:lang w:val="pt-PT" w:eastAsia="en-US" w:bidi="ar-SA"/>
      </w:rPr>
    </w:lvl>
    <w:lvl w:ilvl="1" w:tplc="DBD2AE52">
      <w:numFmt w:val="bullet"/>
      <w:lvlText w:val="•"/>
      <w:lvlJc w:val="left"/>
      <w:pPr>
        <w:ind w:left="358" w:hanging="74"/>
      </w:pPr>
      <w:rPr>
        <w:rFonts w:hint="default"/>
        <w:lang w:val="pt-PT" w:eastAsia="en-US" w:bidi="ar-SA"/>
      </w:rPr>
    </w:lvl>
    <w:lvl w:ilvl="2" w:tplc="1E423048">
      <w:numFmt w:val="bullet"/>
      <w:lvlText w:val="•"/>
      <w:lvlJc w:val="left"/>
      <w:pPr>
        <w:ind w:left="636" w:hanging="74"/>
      </w:pPr>
      <w:rPr>
        <w:rFonts w:hint="default"/>
        <w:lang w:val="pt-PT" w:eastAsia="en-US" w:bidi="ar-SA"/>
      </w:rPr>
    </w:lvl>
    <w:lvl w:ilvl="3" w:tplc="935011B2">
      <w:numFmt w:val="bullet"/>
      <w:lvlText w:val="•"/>
      <w:lvlJc w:val="left"/>
      <w:pPr>
        <w:ind w:left="914" w:hanging="74"/>
      </w:pPr>
      <w:rPr>
        <w:rFonts w:hint="default"/>
        <w:lang w:val="pt-PT" w:eastAsia="en-US" w:bidi="ar-SA"/>
      </w:rPr>
    </w:lvl>
    <w:lvl w:ilvl="4" w:tplc="4052F312">
      <w:numFmt w:val="bullet"/>
      <w:lvlText w:val="•"/>
      <w:lvlJc w:val="left"/>
      <w:pPr>
        <w:ind w:left="1193" w:hanging="74"/>
      </w:pPr>
      <w:rPr>
        <w:rFonts w:hint="default"/>
        <w:lang w:val="pt-PT" w:eastAsia="en-US" w:bidi="ar-SA"/>
      </w:rPr>
    </w:lvl>
    <w:lvl w:ilvl="5" w:tplc="9B16106C">
      <w:numFmt w:val="bullet"/>
      <w:lvlText w:val="•"/>
      <w:lvlJc w:val="left"/>
      <w:pPr>
        <w:ind w:left="1471" w:hanging="74"/>
      </w:pPr>
      <w:rPr>
        <w:rFonts w:hint="default"/>
        <w:lang w:val="pt-PT" w:eastAsia="en-US" w:bidi="ar-SA"/>
      </w:rPr>
    </w:lvl>
    <w:lvl w:ilvl="6" w:tplc="4E44DA42">
      <w:numFmt w:val="bullet"/>
      <w:lvlText w:val="•"/>
      <w:lvlJc w:val="left"/>
      <w:pPr>
        <w:ind w:left="1749" w:hanging="74"/>
      </w:pPr>
      <w:rPr>
        <w:rFonts w:hint="default"/>
        <w:lang w:val="pt-PT" w:eastAsia="en-US" w:bidi="ar-SA"/>
      </w:rPr>
    </w:lvl>
    <w:lvl w:ilvl="7" w:tplc="A626AF70">
      <w:numFmt w:val="bullet"/>
      <w:lvlText w:val="•"/>
      <w:lvlJc w:val="left"/>
      <w:pPr>
        <w:ind w:left="2028" w:hanging="74"/>
      </w:pPr>
      <w:rPr>
        <w:rFonts w:hint="default"/>
        <w:lang w:val="pt-PT" w:eastAsia="en-US" w:bidi="ar-SA"/>
      </w:rPr>
    </w:lvl>
    <w:lvl w:ilvl="8" w:tplc="05341998">
      <w:numFmt w:val="bullet"/>
      <w:lvlText w:val="•"/>
      <w:lvlJc w:val="left"/>
      <w:pPr>
        <w:ind w:left="2306" w:hanging="74"/>
      </w:pPr>
      <w:rPr>
        <w:rFonts w:hint="default"/>
        <w:lang w:val="pt-PT" w:eastAsia="en-US" w:bidi="ar-SA"/>
      </w:rPr>
    </w:lvl>
  </w:abstractNum>
  <w:abstractNum w:abstractNumId="1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5"/>
  </w:num>
  <w:num w:numId="3">
    <w:abstractNumId w:val="0"/>
  </w:num>
  <w:num w:numId="4">
    <w:abstractNumId w:val="1"/>
  </w:num>
  <w:num w:numId="5">
    <w:abstractNumId w:val="1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9"/>
  </w:num>
  <w:num w:numId="9">
    <w:abstractNumId w:val="14"/>
  </w:num>
  <w:num w:numId="10">
    <w:abstractNumId w:val="7"/>
  </w:num>
  <w:num w:numId="11">
    <w:abstractNumId w:val="4"/>
  </w:num>
  <w:num w:numId="12">
    <w:abstractNumId w:val="10"/>
  </w:num>
  <w:num w:numId="13">
    <w:abstractNumId w:val="2"/>
  </w:num>
  <w:num w:numId="14">
    <w:abstractNumId w:val="11"/>
  </w:num>
  <w:num w:numId="15">
    <w:abstractNumId w:val="13"/>
  </w:num>
  <w:num w:numId="16">
    <w:abstractNumId w:val="8"/>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774"/>
    <w:rsid w:val="00105138"/>
    <w:rsid w:val="003F0CFC"/>
    <w:rsid w:val="004034D9"/>
    <w:rsid w:val="00550331"/>
    <w:rsid w:val="00696A22"/>
    <w:rsid w:val="006A331B"/>
    <w:rsid w:val="0088466C"/>
    <w:rsid w:val="008E10D0"/>
    <w:rsid w:val="00A837B2"/>
    <w:rsid w:val="00B01774"/>
    <w:rsid w:val="00E376E7"/>
    <w:rsid w:val="00EB26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10F8D"/>
  <w15:chartTrackingRefBased/>
  <w15:docId w15:val="{577A9A72-C68B-49E9-B30D-2A424338C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01774"/>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B0177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Estilo7">
    <w:name w:val="Estilo7"/>
    <w:uiPriority w:val="99"/>
    <w:rsid w:val="00550331"/>
    <w:pPr>
      <w:numPr>
        <w:numId w:val="1"/>
      </w:numPr>
    </w:pPr>
  </w:style>
  <w:style w:type="paragraph" w:styleId="PargrafodaLista">
    <w:name w:val="List Paragraph"/>
    <w:aliases w:val="Segundo,List I Paragraph"/>
    <w:basedOn w:val="Normal"/>
    <w:link w:val="PargrafodaListaChar"/>
    <w:uiPriority w:val="34"/>
    <w:qFormat/>
    <w:rsid w:val="00B01774"/>
    <w:pPr>
      <w:ind w:left="720"/>
      <w:contextualSpacing/>
    </w:pPr>
  </w:style>
  <w:style w:type="character" w:styleId="Hyperlink">
    <w:name w:val="Hyperlink"/>
    <w:rsid w:val="00B01774"/>
    <w:rPr>
      <w:color w:val="000080"/>
      <w:u w:val="single"/>
    </w:rPr>
  </w:style>
  <w:style w:type="paragraph" w:customStyle="1" w:styleId="Nivel01">
    <w:name w:val="Nivel 01"/>
    <w:basedOn w:val="Ttulo1"/>
    <w:next w:val="Normal"/>
    <w:link w:val="Nivel01Char"/>
    <w:qFormat/>
    <w:rsid w:val="00B01774"/>
    <w:pPr>
      <w:numPr>
        <w:numId w:val="2"/>
      </w:numPr>
      <w:tabs>
        <w:tab w:val="left" w:pos="567"/>
      </w:tabs>
      <w:jc w:val="both"/>
    </w:pPr>
    <w:rPr>
      <w:rFonts w:ascii="Arial" w:hAnsi="Arial" w:cs="Arial"/>
      <w:b/>
      <w:bCs/>
      <w:color w:val="auto"/>
      <w:sz w:val="20"/>
      <w:szCs w:val="20"/>
    </w:rPr>
  </w:style>
  <w:style w:type="character" w:customStyle="1" w:styleId="Nivel01Char">
    <w:name w:val="Nivel 01 Char"/>
    <w:basedOn w:val="Fontepargpadro"/>
    <w:link w:val="Nivel01"/>
    <w:rsid w:val="00B01774"/>
    <w:rPr>
      <w:rFonts w:ascii="Arial" w:eastAsiaTheme="majorEastAsia" w:hAnsi="Arial" w:cs="Arial"/>
      <w:b/>
      <w:bCs/>
      <w:sz w:val="20"/>
      <w:szCs w:val="20"/>
      <w:lang w:eastAsia="pt-BR"/>
    </w:rPr>
  </w:style>
  <w:style w:type="paragraph" w:customStyle="1" w:styleId="Nivel2">
    <w:name w:val="Nivel 2"/>
    <w:basedOn w:val="Normal"/>
    <w:link w:val="Nivel2Char"/>
    <w:qFormat/>
    <w:rsid w:val="00B01774"/>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B01774"/>
    <w:pPr>
      <w:numPr>
        <w:ilvl w:val="2"/>
        <w:numId w:val="2"/>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B01774"/>
    <w:pPr>
      <w:numPr>
        <w:ilvl w:val="3"/>
      </w:numPr>
      <w:ind w:left="851" w:firstLine="0"/>
    </w:pPr>
    <w:rPr>
      <w:color w:val="auto"/>
    </w:rPr>
  </w:style>
  <w:style w:type="paragraph" w:customStyle="1" w:styleId="Nivel5">
    <w:name w:val="Nivel 5"/>
    <w:basedOn w:val="Nivel4"/>
    <w:qFormat/>
    <w:rsid w:val="00B01774"/>
    <w:pPr>
      <w:numPr>
        <w:ilvl w:val="4"/>
      </w:numPr>
      <w:ind w:left="1276" w:firstLine="0"/>
    </w:pPr>
  </w:style>
  <w:style w:type="character" w:customStyle="1" w:styleId="Nivel4Char">
    <w:name w:val="Nivel 4 Char"/>
    <w:basedOn w:val="Fontepargpadro"/>
    <w:link w:val="Nivel4"/>
    <w:rsid w:val="00B01774"/>
    <w:rPr>
      <w:rFonts w:ascii="Arial" w:eastAsiaTheme="minorEastAsia" w:hAnsi="Arial" w:cs="Arial"/>
      <w:sz w:val="20"/>
      <w:szCs w:val="20"/>
      <w:lang w:eastAsia="pt-BR"/>
    </w:rPr>
  </w:style>
  <w:style w:type="character" w:customStyle="1" w:styleId="Nivel2Char">
    <w:name w:val="Nivel 2 Char"/>
    <w:basedOn w:val="Fontepargpadro"/>
    <w:link w:val="Nivel2"/>
    <w:locked/>
    <w:rsid w:val="00B01774"/>
    <w:rPr>
      <w:rFonts w:ascii="Arial" w:eastAsiaTheme="minorEastAsia" w:hAnsi="Arial" w:cs="Arial"/>
      <w:color w:val="000000"/>
      <w:sz w:val="20"/>
      <w:szCs w:val="20"/>
      <w:lang w:eastAsia="pt-BR"/>
    </w:rPr>
  </w:style>
  <w:style w:type="character" w:customStyle="1" w:styleId="PargrafodaListaChar">
    <w:name w:val="Parágrafo da Lista Char"/>
    <w:aliases w:val="Segundo Char,List I Paragraph Char"/>
    <w:basedOn w:val="Fontepargpadro"/>
    <w:link w:val="PargrafodaLista"/>
    <w:uiPriority w:val="34"/>
    <w:rsid w:val="00B01774"/>
    <w:rPr>
      <w:rFonts w:ascii="Ecofont_Spranq_eco_Sans" w:eastAsiaTheme="minorEastAsia" w:hAnsi="Ecofont_Spranq_eco_Sans" w:cs="Tahoma"/>
      <w:sz w:val="24"/>
      <w:szCs w:val="24"/>
      <w:lang w:eastAsia="pt-BR"/>
    </w:rPr>
  </w:style>
  <w:style w:type="paragraph" w:customStyle="1" w:styleId="Nvel2-Red">
    <w:name w:val="Nível 2 -Red"/>
    <w:basedOn w:val="Nivel2"/>
    <w:link w:val="Nvel2-RedChar"/>
    <w:qFormat/>
    <w:rsid w:val="00B01774"/>
    <w:rPr>
      <w:i/>
      <w:iCs/>
      <w:color w:val="FF0000"/>
    </w:rPr>
  </w:style>
  <w:style w:type="paragraph" w:customStyle="1" w:styleId="Nvel3-R">
    <w:name w:val="Nível 3-R"/>
    <w:basedOn w:val="Nivel3"/>
    <w:link w:val="Nvel3-RChar"/>
    <w:qFormat/>
    <w:rsid w:val="00B01774"/>
    <w:rPr>
      <w:i/>
      <w:iCs/>
      <w:color w:val="FF0000"/>
    </w:rPr>
  </w:style>
  <w:style w:type="character" w:customStyle="1" w:styleId="Nvel2-RedChar">
    <w:name w:val="Nível 2 -Red Char"/>
    <w:basedOn w:val="Nivel2Char"/>
    <w:link w:val="Nvel2-Red"/>
    <w:rsid w:val="00B01774"/>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B01774"/>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01774"/>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0177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01774"/>
    <w:rPr>
      <w:rFonts w:ascii="Arial" w:eastAsia="Arial" w:hAnsi="Arial" w:cs="Arial"/>
      <w:bCs/>
      <w:sz w:val="20"/>
      <w:szCs w:val="20"/>
      <w:lang w:eastAsia="pt-BR"/>
    </w:rPr>
  </w:style>
  <w:style w:type="character" w:customStyle="1" w:styleId="Ttulo1Char">
    <w:name w:val="Título 1 Char"/>
    <w:basedOn w:val="Fontepargpadro"/>
    <w:link w:val="Ttulo1"/>
    <w:uiPriority w:val="9"/>
    <w:rsid w:val="00B01774"/>
    <w:rPr>
      <w:rFonts w:asciiTheme="majorHAnsi" w:eastAsiaTheme="majorEastAsia" w:hAnsiTheme="majorHAnsi" w:cstheme="majorBidi"/>
      <w:color w:val="2F5496" w:themeColor="accent1" w:themeShade="BF"/>
      <w:sz w:val="32"/>
      <w:szCs w:val="32"/>
      <w:lang w:eastAsia="pt-BR"/>
    </w:rPr>
  </w:style>
  <w:style w:type="paragraph" w:styleId="Cabealho">
    <w:name w:val="header"/>
    <w:basedOn w:val="Normal"/>
    <w:link w:val="CabealhoChar"/>
    <w:uiPriority w:val="99"/>
    <w:unhideWhenUsed/>
    <w:rsid w:val="00B01774"/>
    <w:pPr>
      <w:tabs>
        <w:tab w:val="center" w:pos="4252"/>
        <w:tab w:val="right" w:pos="8504"/>
      </w:tabs>
    </w:pPr>
  </w:style>
  <w:style w:type="character" w:customStyle="1" w:styleId="CabealhoChar">
    <w:name w:val="Cabeçalho Char"/>
    <w:basedOn w:val="Fontepargpadro"/>
    <w:link w:val="Cabealho"/>
    <w:uiPriority w:val="99"/>
    <w:qFormat/>
    <w:rsid w:val="00B01774"/>
    <w:rPr>
      <w:rFonts w:ascii="Ecofont_Spranq_eco_Sans" w:eastAsiaTheme="minorEastAsia" w:hAnsi="Ecofont_Spranq_eco_Sans" w:cs="Tahoma"/>
      <w:sz w:val="24"/>
      <w:szCs w:val="24"/>
      <w:lang w:eastAsia="pt-BR"/>
    </w:rPr>
  </w:style>
  <w:style w:type="paragraph" w:customStyle="1" w:styleId="Estilo">
    <w:name w:val="Estilo"/>
    <w:rsid w:val="00B01774"/>
    <w:pPr>
      <w:widowControl w:val="0"/>
      <w:autoSpaceDE w:val="0"/>
      <w:autoSpaceDN w:val="0"/>
      <w:adjustRightInd w:val="0"/>
      <w:spacing w:after="0" w:line="240" w:lineRule="auto"/>
    </w:pPr>
    <w:rPr>
      <w:rFonts w:ascii="Arial" w:eastAsia="Times New Roman" w:hAnsi="Arial" w:cs="Arial"/>
      <w:sz w:val="24"/>
      <w:szCs w:val="24"/>
      <w:lang w:eastAsia="pt-BR"/>
    </w:rPr>
  </w:style>
  <w:style w:type="table" w:customStyle="1" w:styleId="TableNormal">
    <w:name w:val="Table Normal"/>
    <w:uiPriority w:val="2"/>
    <w:semiHidden/>
    <w:unhideWhenUsed/>
    <w:qFormat/>
    <w:rsid w:val="00B017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01774"/>
    <w:pPr>
      <w:widowControl w:val="0"/>
      <w:autoSpaceDE w:val="0"/>
      <w:autoSpaceDN w:val="0"/>
    </w:pPr>
    <w:rPr>
      <w:rFonts w:ascii="Arial MT" w:eastAsia="Arial MT" w:hAnsi="Arial MT" w:cs="Arial MT"/>
      <w:sz w:val="22"/>
      <w:szCs w:val="22"/>
      <w:lang w:val="pt-PT" w:eastAsia="en-US"/>
    </w:rPr>
  </w:style>
  <w:style w:type="paragraph" w:customStyle="1" w:styleId="Default">
    <w:name w:val="Default"/>
    <w:rsid w:val="003F0CF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8078compilado.htm"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25art159"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8078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26-de-13-de-abril-de-2022" TargetMode="External"/><Relationship Id="rId49" Type="http://schemas.openxmlformats.org/officeDocument/2006/relationships/hyperlink" Target="https://www.planalto.gov.br/ccivil_03/_ato2011-2014/2012/decreto/d7724.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10</Pages>
  <Words>3746</Words>
  <Characters>20234</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9</cp:revision>
  <dcterms:created xsi:type="dcterms:W3CDTF">2024-06-10T12:59:00Z</dcterms:created>
  <dcterms:modified xsi:type="dcterms:W3CDTF">2024-06-10T16:24:00Z</dcterms:modified>
</cp:coreProperties>
</file>