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2360F" w14:textId="77777777" w:rsidR="00695F69"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b/>
          <w:bCs/>
        </w:rPr>
        <w:t>DECISÃO ADMINISTRATIVA DE IMPUGNAÇÃO</w:t>
      </w:r>
    </w:p>
    <w:p w14:paraId="5080AD19" w14:textId="77777777" w:rsidR="00695F69" w:rsidRDefault="00695F69">
      <w:pPr>
        <w:spacing w:line="360" w:lineRule="auto"/>
        <w:jc w:val="both"/>
        <w:rPr>
          <w:rFonts w:ascii="Times New Roman" w:eastAsia="Times New Roman" w:hAnsi="Times New Roman" w:cs="Times New Roman"/>
        </w:rPr>
      </w:pPr>
    </w:p>
    <w:p w14:paraId="737D7524"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Pregão Eletrônico n°</w:t>
      </w:r>
      <w:r>
        <w:rPr>
          <w:rFonts w:ascii="Times New Roman" w:eastAsia="Times New Roman" w:hAnsi="Times New Roman" w:cs="Times New Roman"/>
        </w:rPr>
        <w:t xml:space="preserve"> 031/2025</w:t>
      </w:r>
    </w:p>
    <w:p w14:paraId="2F03D6D9"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 xml:space="preserve">Solicitante: </w:t>
      </w:r>
      <w:r>
        <w:rPr>
          <w:rFonts w:ascii="Times New Roman" w:eastAsia="Times New Roman" w:hAnsi="Times New Roman" w:cs="Times New Roman"/>
        </w:rPr>
        <w:t>BELA VISTA TÊXTIL LTDA</w:t>
      </w:r>
    </w:p>
    <w:p w14:paraId="4156048B"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Objeto:</w:t>
      </w:r>
      <w:r>
        <w:rPr>
          <w:rFonts w:ascii="Times New Roman" w:eastAsia="Times New Roman" w:hAnsi="Times New Roman" w:cs="Times New Roman"/>
        </w:rPr>
        <w:t xml:space="preserve"> REGISTRO DE PREÇOS PARA FUTURA E EVENTUAL AQUISIÇÃO DE MOCHILAS ESCOLARES, PORTA-LÁPIS E MALOTES TIPO ENVELOPE, DESTINADOS AO ATENDIMENTO DAS DEMANDAS DAS SECRETARIAS MUNICIPAIS DE FELÍCIO DOS SANTOS/MG.</w:t>
      </w:r>
    </w:p>
    <w:p w14:paraId="1BF92DCD" w14:textId="77777777" w:rsidR="00695F69" w:rsidRDefault="00695F69">
      <w:pPr>
        <w:spacing w:line="360" w:lineRule="auto"/>
        <w:jc w:val="both"/>
        <w:rPr>
          <w:rFonts w:ascii="Times New Roman" w:eastAsia="Times New Roman" w:hAnsi="Times New Roman" w:cs="Times New Roman"/>
        </w:rPr>
      </w:pPr>
    </w:p>
    <w:p w14:paraId="415EDB21"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 xml:space="preserve">I - ESCOPO </w:t>
      </w:r>
    </w:p>
    <w:p w14:paraId="6F0949AB"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O Município de Felício dos Santos/MG, considerando as demandas apresentadas pelas Secretarias Municipais, tornou público o Pregão Eletrônico nº 031/2025, cujo objeto é o registro de preços para futura e eventual aquisição de mochilas escolares, porta-lápis e malotes tipo envelope, conforme especificações constantes do Termo de Referência, com vistas ao atendimento das necessidades administrativas e educacionais do Município.</w:t>
      </w:r>
    </w:p>
    <w:p w14:paraId="525C064D"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Após a publicação do edital, foi apresentada impugnação pela empresa BELA VISTA TÊXTIL LTDA, inscrita no CNPJ sob o nº 30.824.284/0001-00, devidamente protocolada dentro do prazo legal.</w:t>
      </w:r>
    </w:p>
    <w:p w14:paraId="2F6AA871" w14:textId="77777777" w:rsidR="00695F69" w:rsidRDefault="00695F69">
      <w:pPr>
        <w:spacing w:line="360" w:lineRule="auto"/>
        <w:jc w:val="both"/>
        <w:rPr>
          <w:rFonts w:ascii="Times New Roman" w:eastAsia="Times New Roman" w:hAnsi="Times New Roman" w:cs="Times New Roman"/>
        </w:rPr>
      </w:pPr>
    </w:p>
    <w:p w14:paraId="29CCC32E"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II – DAS ALEGAÇÕES</w:t>
      </w:r>
    </w:p>
    <w:p w14:paraId="2F68842B"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Em síntese, a empresa BELA VISTA TÊXTIL LTDA alega que o prazo de entrega de 5 (cinco) dias úteis, previsto no instrumento convocatório, seria exíguo e restritivo, contrariando os princípios da competitividade e isonomia.</w:t>
      </w:r>
    </w:p>
    <w:p w14:paraId="57A331E6"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Aduz que os itens licitados — especialmente as mochilas, porta-lápis e malotes tipo envelope — possuem características personalizadas, exigindo processo de confecção e acabamento que não poderia ser realizado em prazo tão curto.</w:t>
      </w:r>
    </w:p>
    <w:p w14:paraId="2ABE1AF3"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Requer, portanto, a retificação do edital, com a readequação do prazo de entrega para, no mínimo, 10 (dez) dias úteis após a assinatura da Ata ou emissão da Nota de Empenho, ou, subsidiariamente, a suspensão do certame até a reavaliação das condições editalícias.</w:t>
      </w:r>
    </w:p>
    <w:p w14:paraId="5A1CA050" w14:textId="77777777" w:rsidR="00695F69" w:rsidRDefault="00695F69">
      <w:pPr>
        <w:spacing w:line="360" w:lineRule="auto"/>
        <w:jc w:val="both"/>
      </w:pPr>
    </w:p>
    <w:p w14:paraId="173EF435"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III – DOS REQUISITOS DE ADMISSIBILIDADE</w:t>
      </w:r>
    </w:p>
    <w:p w14:paraId="652B523E"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i/>
          <w:iCs/>
        </w:rPr>
        <w:t>A</w:t>
      </w:r>
      <w:r>
        <w:rPr>
          <w:rFonts w:ascii="Times New Roman" w:eastAsia="Times New Roman" w:hAnsi="Times New Roman" w:cs="Times New Roman"/>
        </w:rPr>
        <w:t>ntes de adentrarmos ao mérito propriamente dito, em virtude do princípio da legalidade e vinculação ao edital, cumpre à análise dos requisitos de admissibilidade.</w:t>
      </w:r>
    </w:p>
    <w:p w14:paraId="49FF0F2E" w14:textId="77777777" w:rsidR="00695F69" w:rsidRDefault="00695F69">
      <w:pPr>
        <w:spacing w:line="360" w:lineRule="auto"/>
        <w:jc w:val="both"/>
        <w:rPr>
          <w:rFonts w:ascii="Times New Roman" w:eastAsia="Times New Roman" w:hAnsi="Times New Roman" w:cs="Times New Roman"/>
          <w:color w:val="FF0000"/>
        </w:rPr>
      </w:pPr>
    </w:p>
    <w:p w14:paraId="58F63ED0" w14:textId="505EF47B"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O certame marcado para o dia </w:t>
      </w:r>
      <w:r w:rsidR="00C86AF1">
        <w:t>19</w:t>
      </w:r>
      <w:r>
        <w:t xml:space="preserve"> de </w:t>
      </w:r>
      <w:proofErr w:type="gramStart"/>
      <w:r w:rsidR="00C86AF1">
        <w:t>Novembro</w:t>
      </w:r>
      <w:proofErr w:type="gramEnd"/>
      <w:r>
        <w:t xml:space="preserve"> </w:t>
      </w:r>
      <w:r>
        <w:rPr>
          <w:rFonts w:ascii="Times New Roman" w:eastAsia="Times New Roman" w:hAnsi="Times New Roman" w:cs="Times New Roman"/>
        </w:rPr>
        <w:t>de 2025 às 0</w:t>
      </w:r>
      <w:r w:rsidR="00E83955">
        <w:rPr>
          <w:rFonts w:ascii="Times New Roman" w:eastAsia="Times New Roman" w:hAnsi="Times New Roman" w:cs="Times New Roman"/>
        </w:rPr>
        <w:t>9</w:t>
      </w:r>
      <w:r>
        <w:rPr>
          <w:rFonts w:ascii="Times New Roman" w:eastAsia="Times New Roman" w:hAnsi="Times New Roman" w:cs="Times New Roman"/>
        </w:rPr>
        <w:t>:</w:t>
      </w:r>
      <w:r w:rsidR="00E83955">
        <w:rPr>
          <w:rFonts w:ascii="Times New Roman" w:eastAsia="Times New Roman" w:hAnsi="Times New Roman" w:cs="Times New Roman"/>
        </w:rPr>
        <w:t>00</w:t>
      </w:r>
      <w:r>
        <w:rPr>
          <w:rFonts w:ascii="Times New Roman" w:eastAsia="Times New Roman" w:hAnsi="Times New Roman" w:cs="Times New Roman"/>
        </w:rPr>
        <w:t xml:space="preserve"> horas, sendo que o Pedido de Impugnação fora recebida no dia</w:t>
      </w:r>
      <w:r w:rsidR="007F47DE">
        <w:rPr>
          <w:rFonts w:ascii="Times New Roman" w:eastAsia="Times New Roman" w:hAnsi="Times New Roman" w:cs="Times New Roman"/>
        </w:rPr>
        <w:t xml:space="preserve"> 10 </w:t>
      </w:r>
      <w:r>
        <w:rPr>
          <w:rFonts w:ascii="Times New Roman" w:eastAsia="Times New Roman" w:hAnsi="Times New Roman" w:cs="Times New Roman"/>
        </w:rPr>
        <w:t xml:space="preserve">de </w:t>
      </w:r>
      <w:proofErr w:type="gramStart"/>
      <w:r w:rsidR="007F47DE">
        <w:rPr>
          <w:rFonts w:ascii="Times New Roman" w:eastAsia="Times New Roman" w:hAnsi="Times New Roman" w:cs="Times New Roman"/>
        </w:rPr>
        <w:t>Novembro</w:t>
      </w:r>
      <w:proofErr w:type="gramEnd"/>
      <w:r>
        <w:rPr>
          <w:rFonts w:ascii="Times New Roman" w:eastAsia="Times New Roman" w:hAnsi="Times New Roman" w:cs="Times New Roman"/>
        </w:rPr>
        <w:t xml:space="preserve"> de 2025.</w:t>
      </w:r>
    </w:p>
    <w:p w14:paraId="79D48900" w14:textId="77777777" w:rsidR="00695F69" w:rsidRDefault="00695F69">
      <w:pPr>
        <w:spacing w:line="360" w:lineRule="auto"/>
        <w:jc w:val="both"/>
        <w:rPr>
          <w:rFonts w:ascii="Times New Roman" w:eastAsia="Times New Roman" w:hAnsi="Times New Roman" w:cs="Times New Roman"/>
        </w:rPr>
      </w:pPr>
    </w:p>
    <w:p w14:paraId="6998C43A"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Com efeito, imprime-se a que a referida impugnação é tempestiva, visto que cumpriu com os prazos estabelecidos no art. 164 da Lei n° 14.133/2021. Vejamos:</w:t>
      </w:r>
    </w:p>
    <w:p w14:paraId="24ACCF65" w14:textId="77777777" w:rsidR="00695F69" w:rsidRDefault="00695F69">
      <w:pPr>
        <w:spacing w:line="360" w:lineRule="auto"/>
        <w:jc w:val="both"/>
        <w:rPr>
          <w:rFonts w:ascii="Times New Roman" w:eastAsia="Times New Roman" w:hAnsi="Times New Roman" w:cs="Times New Roman"/>
        </w:rPr>
      </w:pPr>
      <w:bookmarkStart w:id="0" w:name="bookmark=id.bac7mrd9d7hx" w:colFirst="0" w:colLast="0"/>
      <w:bookmarkEnd w:id="0"/>
    </w:p>
    <w:p w14:paraId="149D25DE" w14:textId="77777777" w:rsidR="00695F69" w:rsidRDefault="00000000">
      <w:pPr>
        <w:ind w:left="1701"/>
        <w:jc w:val="both"/>
        <w:rPr>
          <w:rFonts w:ascii="Times New Roman" w:eastAsia="Times New Roman" w:hAnsi="Times New Roman" w:cs="Times New Roman"/>
        </w:rPr>
      </w:pPr>
      <w:r>
        <w:rPr>
          <w:rFonts w:ascii="Times New Roman" w:eastAsia="Times New Roman" w:hAnsi="Times New Roman" w:cs="Times New Roman"/>
          <w:i/>
          <w:iCs/>
        </w:rPr>
        <w:t xml:space="preserve">Art. 164. Qualquer pessoa é parte legítima para </w:t>
      </w:r>
      <w:r>
        <w:rPr>
          <w:rFonts w:ascii="Times New Roman" w:eastAsia="Times New Roman" w:hAnsi="Times New Roman" w:cs="Times New Roman"/>
          <w:i/>
          <w:iCs/>
          <w:u w:val="single"/>
        </w:rPr>
        <w:t>impugnar</w:t>
      </w:r>
      <w:r>
        <w:rPr>
          <w:rFonts w:ascii="Times New Roman" w:eastAsia="Times New Roman" w:hAnsi="Times New Roman" w:cs="Times New Roman"/>
          <w:i/>
          <w:iCs/>
        </w:rPr>
        <w:t xml:space="preserve"> edital de licitação por irregularidade na aplicação desta Lei ou para </w:t>
      </w:r>
      <w:r>
        <w:rPr>
          <w:rFonts w:ascii="Times New Roman" w:eastAsia="Times New Roman" w:hAnsi="Times New Roman" w:cs="Times New Roman"/>
        </w:rPr>
        <w:t>solicitar esclarecimento</w:t>
      </w:r>
      <w:r>
        <w:rPr>
          <w:rFonts w:ascii="Times New Roman" w:eastAsia="Times New Roman" w:hAnsi="Times New Roman" w:cs="Times New Roman"/>
          <w:i/>
          <w:iCs/>
        </w:rPr>
        <w:t xml:space="preserve"> sobre os seus termos, devendo protocolar o pedido </w:t>
      </w:r>
      <w:r>
        <w:rPr>
          <w:rFonts w:ascii="Times New Roman" w:eastAsia="Times New Roman" w:hAnsi="Times New Roman" w:cs="Times New Roman"/>
          <w:i/>
          <w:iCs/>
          <w:u w:val="single"/>
        </w:rPr>
        <w:t>até 3 (três) dias úteis antes da data de abertura do certame</w:t>
      </w:r>
      <w:bookmarkStart w:id="1" w:name="bookmark=id.rna8an7va4qj" w:colFirst="0" w:colLast="0"/>
      <w:bookmarkEnd w:id="1"/>
      <w:r>
        <w:rPr>
          <w:rFonts w:ascii="Times New Roman" w:eastAsia="Times New Roman" w:hAnsi="Times New Roman" w:cs="Times New Roman"/>
          <w:i/>
          <w:iCs/>
        </w:rPr>
        <w:t>.</w:t>
      </w:r>
    </w:p>
    <w:p w14:paraId="6BC276C2" w14:textId="77777777" w:rsidR="00695F69" w:rsidRDefault="00000000">
      <w:pPr>
        <w:ind w:left="1701"/>
        <w:jc w:val="both"/>
        <w:rPr>
          <w:rFonts w:ascii="Times New Roman" w:eastAsia="Times New Roman" w:hAnsi="Times New Roman" w:cs="Times New Roman"/>
        </w:rPr>
      </w:pPr>
      <w:r>
        <w:rPr>
          <w:rFonts w:ascii="Times New Roman" w:eastAsia="Times New Roman" w:hAnsi="Times New Roman" w:cs="Times New Roman"/>
          <w:i/>
          <w:iCs/>
        </w:rPr>
        <w:t>Parágrafo único. A resposta à impugnação ou ao pedido de esclarecimento será divulgada em sítio eletrônico oficial no prazo de até 3 (três) dias úteis, limitado ao último dia útil anterior à data da abertura do certame. (grifo nosso)</w:t>
      </w:r>
    </w:p>
    <w:p w14:paraId="1E52EAC3" w14:textId="77777777" w:rsidR="00695F69" w:rsidRDefault="00695F69">
      <w:pPr>
        <w:spacing w:line="360" w:lineRule="auto"/>
        <w:jc w:val="both"/>
        <w:rPr>
          <w:rFonts w:ascii="Times New Roman" w:eastAsia="Times New Roman" w:hAnsi="Times New Roman" w:cs="Times New Roman"/>
        </w:rPr>
      </w:pPr>
    </w:p>
    <w:p w14:paraId="6E04FF19"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Desse modo, tendo em vista que a mesma é </w:t>
      </w:r>
      <w:r>
        <w:rPr>
          <w:rFonts w:ascii="Times New Roman" w:eastAsia="Times New Roman" w:hAnsi="Times New Roman" w:cs="Times New Roman"/>
          <w:b/>
          <w:bCs/>
        </w:rPr>
        <w:t>tempestiva</w:t>
      </w:r>
      <w:r>
        <w:rPr>
          <w:rFonts w:ascii="Times New Roman" w:eastAsia="Times New Roman" w:hAnsi="Times New Roman" w:cs="Times New Roman"/>
        </w:rPr>
        <w:t>, analisaremos os fundamentos apresentados, conforme segue.</w:t>
      </w:r>
    </w:p>
    <w:p w14:paraId="50BB4E21" w14:textId="77777777" w:rsidR="00695F69" w:rsidRDefault="00695F69">
      <w:pPr>
        <w:spacing w:line="360" w:lineRule="auto"/>
        <w:jc w:val="both"/>
        <w:rPr>
          <w:rFonts w:ascii="Times New Roman" w:eastAsia="Times New Roman" w:hAnsi="Times New Roman" w:cs="Times New Roman"/>
        </w:rPr>
      </w:pPr>
    </w:p>
    <w:p w14:paraId="3CB11F21" w14:textId="77777777" w:rsidR="00695F69"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IV – DOS FUNDAMENTOS</w:t>
      </w:r>
    </w:p>
    <w:p w14:paraId="72041857" w14:textId="77777777" w:rsidR="00695F69" w:rsidRDefault="00000000">
      <w:p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color w:val="000000"/>
        </w:rPr>
        <w:tab/>
      </w:r>
      <w:r>
        <w:rPr>
          <w:rFonts w:ascii="Times New Roman" w:eastAsia="Times New Roman" w:hAnsi="Times New Roman" w:cs="Times New Roman"/>
        </w:rPr>
        <w:t xml:space="preserve">Inicialmente, cumpre assentar que a Administração Pública </w:t>
      </w:r>
      <w:proofErr w:type="gramStart"/>
      <w:r>
        <w:rPr>
          <w:rFonts w:ascii="Times New Roman" w:eastAsia="Times New Roman" w:hAnsi="Times New Roman" w:cs="Times New Roman"/>
        </w:rPr>
        <w:t>rege-se</w:t>
      </w:r>
      <w:proofErr w:type="gramEnd"/>
      <w:r>
        <w:rPr>
          <w:rFonts w:ascii="Times New Roman" w:eastAsia="Times New Roman" w:hAnsi="Times New Roman" w:cs="Times New Roman"/>
        </w:rPr>
        <w:t>, especialmente, pelo princípio da legalidade, de modo que toda contratação no âmbito da mesma será precedida de Processo Administrativo Licitatório, conforme se insere do disposto no art. 37, inciso XXI, da Constituição Federal de 1988.</w:t>
      </w:r>
    </w:p>
    <w:p w14:paraId="2226BC44"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Neste interregno, a Lei Federal nº 14.133/2021 (Lei de Licitações e Contratos Administrativos) regulamentou a matéria, prevendo as normas gerais que regerão o certame público, cabendo ao instrumento convocatório estabelecer as condições necessárias para a obtenção da proposta mais vantajosa e que atenda adequadamente às necessidades da Administração.</w:t>
      </w:r>
    </w:p>
    <w:p w14:paraId="43113D84"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Partindo deste pressuposto, esclarece-se que o prazo de entrega previsto no edital — 5 (cinco) dias úteis contados da emissão da ordem de fornecimento — visa, unicamente, garantir a continuidade dos serviços públicos e a regularidade do abastecimento das unidades administrativas, considerando que eventual morosidade no fornecimento dos materiais acarretaria prejuízo às atividades essenciais do Município.</w:t>
      </w:r>
    </w:p>
    <w:p w14:paraId="0771CF5E" w14:textId="77777777" w:rsidR="00695F69" w:rsidRDefault="00000000">
      <w:pPr>
        <w:spacing w:before="240" w:after="240" w:line="360" w:lineRule="auto"/>
        <w:jc w:val="both"/>
        <w:rPr>
          <w:rFonts w:ascii="Times New Roman" w:eastAsia="Times New Roman" w:hAnsi="Times New Roman" w:cs="Times New Roman"/>
          <w:color w:val="000000"/>
        </w:rPr>
      </w:pPr>
      <w:r>
        <w:rPr>
          <w:rFonts w:ascii="Times New Roman" w:eastAsia="Times New Roman" w:hAnsi="Times New Roman" w:cs="Times New Roman"/>
        </w:rPr>
        <w:t>Além disso, cumpre destacar que o instrumento convocatório prevê, expressamente, no item 11.6, a possibilidade de prorrogação desse prazo, a qual poderá ser concedida mediante solicitação formal e justificativa do fornecedor, antes do vencimento do prazo originalmente fixado, a critério da Administração. Vejamos:</w:t>
      </w:r>
    </w:p>
    <w:p w14:paraId="342CF788" w14:textId="77777777" w:rsidR="00695F69"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noProof/>
        </w:rPr>
        <w:drawing>
          <wp:inline distT="114300" distB="114300" distL="114300" distR="114300" wp14:anchorId="4B5E25B2" wp14:editId="75D8FD1F">
            <wp:extent cx="5399730" cy="95250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99730" cy="952500"/>
                    </a:xfrm>
                    <a:prstGeom prst="rect">
                      <a:avLst/>
                    </a:prstGeom>
                    <a:ln/>
                  </pic:spPr>
                </pic:pic>
              </a:graphicData>
            </a:graphic>
          </wp:inline>
        </w:drawing>
      </w:r>
    </w:p>
    <w:p w14:paraId="3C20E097"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Assim, verifica-se que o edital não é rígido nem restritivo, pois permite a análise individual de prorrogação em casos devidamente fundamentados, garantindo razoabilidade e proporcionalidade sem comprometer a celeridade e a eficiência administrativa.</w:t>
      </w:r>
    </w:p>
    <w:p w14:paraId="5454E5EF"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Importa ressaltar, ainda, que o procedimento em questão se destina à formação de registro de preços, com entregas futuras e parceladas, conforme demanda da Administração, de modo que o prazo de 5 (cinco) dias úteis se refere a cada fornecimento específico, e não ao cumprimento global de todo o objeto licitado.</w:t>
      </w:r>
    </w:p>
    <w:p w14:paraId="5805DCF0"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Por fim, cabe recordar que a licitação tem como objetivo primordial o atendimento do interesse público, e não os interesses particulares dos licitantes. Assim, a ampliação do prazo de entrega de 5 (cinco) para 10 (dez) dias úteis, como requerido pela impugnante, não se revela necessária nem vantajosa para a Administração, considerando que poderia comprometer o fornecimento regular dos itens e prejudicar a continuidade das atividades administrativas e escolares.</w:t>
      </w:r>
    </w:p>
    <w:p w14:paraId="73F9B83A"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Tal alteração contraria o princípio da eficiência, previsto no caput do art. 37 da Constituição Federal, e não se coaduna com o interesse público que norteia os processos licitatórios.</w:t>
      </w:r>
    </w:p>
    <w:p w14:paraId="4E1D8F7E" w14:textId="77777777" w:rsidR="00695F69" w:rsidRDefault="00000000">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Dessa forma, mantém-se o prazo estabelecido no edital, o qual foi fixado de maneira razoável, proporcional e compatível com as necessidades da Administração, não havendo qualquer afronta aos princípios da legalidade, isonomia, competitividade ou eficiência.</w:t>
      </w:r>
    </w:p>
    <w:p w14:paraId="5F16A984" w14:textId="77777777" w:rsidR="00695F69" w:rsidRDefault="00695F69">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03721781" w14:textId="77777777" w:rsidR="00695F69"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V – DA DECISÃO </w:t>
      </w:r>
    </w:p>
    <w:p w14:paraId="4AFC6E94" w14:textId="77777777" w:rsidR="00695F69"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ab/>
        <w:t>Considerando</w:t>
      </w:r>
      <w:r>
        <w:rPr>
          <w:rFonts w:ascii="Times New Roman" w:eastAsia="Times New Roman" w:hAnsi="Times New Roman" w:cs="Times New Roman"/>
          <w:color w:val="000000"/>
        </w:rPr>
        <w:t xml:space="preserve">, o princípio da </w:t>
      </w:r>
      <w:r>
        <w:rPr>
          <w:rFonts w:ascii="Times New Roman" w:eastAsia="Times New Roman" w:hAnsi="Times New Roman" w:cs="Times New Roman"/>
          <w:b/>
          <w:bCs/>
          <w:color w:val="000000"/>
        </w:rPr>
        <w:t>legalidade, da razoabilidade, da eficiência e da economicidade</w:t>
      </w:r>
      <w:r>
        <w:rPr>
          <w:rFonts w:ascii="Times New Roman" w:eastAsia="Times New Roman" w:hAnsi="Times New Roman" w:cs="Times New Roman"/>
          <w:color w:val="000000"/>
        </w:rPr>
        <w:t>, onde a licitação está sujeita aos ditames da legislação que rege todos os atos administrativos;</w:t>
      </w:r>
    </w:p>
    <w:p w14:paraId="512AFEE1" w14:textId="77777777" w:rsidR="00695F69"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t>Ante o exposto, e considerando as razões e argumentos trazidos no teor desta Resposta Administrativa, vista que, presentes os pressupostos de admissibilidade, conhecemos da Impugnação</w:t>
      </w:r>
      <w:r>
        <w:rPr>
          <w:rFonts w:ascii="Times New Roman" w:eastAsia="Times New Roman" w:hAnsi="Times New Roman" w:cs="Times New Roman"/>
          <w:i/>
          <w:iCs/>
          <w:color w:val="000000"/>
        </w:rPr>
        <w:t xml:space="preserve">, TEMPESTIVA </w:t>
      </w:r>
      <w:r>
        <w:rPr>
          <w:rFonts w:ascii="Times New Roman" w:eastAsia="Times New Roman" w:hAnsi="Times New Roman" w:cs="Times New Roman"/>
          <w:color w:val="000000"/>
        </w:rPr>
        <w:t>e, no mérito,</w:t>
      </w:r>
      <w:r>
        <w:rPr>
          <w:rFonts w:ascii="Times New Roman" w:eastAsia="Times New Roman" w:hAnsi="Times New Roman" w:cs="Times New Roman"/>
          <w:b/>
          <w:bCs/>
          <w:i/>
          <w:iCs/>
          <w:color w:val="000000"/>
        </w:rPr>
        <w:t xml:space="preserve"> JULGÁ-LA IMPROCEDENTE</w:t>
      </w:r>
      <w:r>
        <w:rPr>
          <w:rFonts w:ascii="Times New Roman" w:eastAsia="Times New Roman" w:hAnsi="Times New Roman" w:cs="Times New Roman"/>
          <w:color w:val="000000"/>
        </w:rPr>
        <w:t>.</w:t>
      </w:r>
    </w:p>
    <w:p w14:paraId="7980D2C7" w14:textId="77777777" w:rsidR="00695F69" w:rsidRDefault="00695F69">
      <w:pPr>
        <w:pBdr>
          <w:top w:val="nil"/>
          <w:left w:val="nil"/>
          <w:bottom w:val="nil"/>
          <w:right w:val="nil"/>
          <w:between w:val="nil"/>
        </w:pBdr>
        <w:spacing w:line="360" w:lineRule="auto"/>
        <w:jc w:val="both"/>
        <w:rPr>
          <w:rFonts w:ascii="Times New Roman" w:eastAsia="Times New Roman" w:hAnsi="Times New Roman" w:cs="Times New Roman"/>
          <w:color w:val="000000"/>
        </w:rPr>
      </w:pPr>
    </w:p>
    <w:p w14:paraId="5E2322B6" w14:textId="77777777" w:rsidR="00695F69" w:rsidRDefault="00000000">
      <w:pPr>
        <w:pBdr>
          <w:top w:val="nil"/>
          <w:left w:val="nil"/>
          <w:bottom w:val="nil"/>
          <w:right w:val="nil"/>
          <w:between w:val="nil"/>
        </w:pBdr>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É a Resposta à Impugnação.</w:t>
      </w:r>
    </w:p>
    <w:p w14:paraId="04F79B3A" w14:textId="5B0AC069" w:rsidR="00695F69" w:rsidRDefault="00000000">
      <w:pPr>
        <w:pBdr>
          <w:top w:val="nil"/>
          <w:left w:val="nil"/>
          <w:bottom w:val="nil"/>
          <w:right w:val="nil"/>
          <w:between w:val="nil"/>
        </w:pBdr>
        <w:spacing w:line="360" w:lineRule="auto"/>
        <w:rPr>
          <w:rFonts w:ascii="Times New Roman" w:eastAsia="Times New Roman" w:hAnsi="Times New Roman" w:cs="Times New Roman"/>
          <w:color w:val="000000"/>
        </w:rPr>
      </w:pPr>
      <w:r>
        <w:rPr>
          <w:rFonts w:ascii="Times New Roman" w:eastAsia="Times New Roman" w:hAnsi="Times New Roman" w:cs="Times New Roman"/>
        </w:rPr>
        <w:t>Felício dos Santos</w:t>
      </w:r>
      <w:r>
        <w:rPr>
          <w:rFonts w:ascii="Times New Roman" w:eastAsia="Times New Roman" w:hAnsi="Times New Roman" w:cs="Times New Roman"/>
          <w:color w:val="000000"/>
        </w:rPr>
        <w:t>/MG</w:t>
      </w:r>
      <w:r w:rsidRPr="00DB0551">
        <w:rPr>
          <w:rFonts w:ascii="Times New Roman" w:eastAsia="Times New Roman" w:hAnsi="Times New Roman" w:cs="Times New Roman"/>
          <w:color w:val="000000"/>
        </w:rPr>
        <w:t xml:space="preserve">, </w:t>
      </w:r>
      <w:r w:rsidR="00DB0551" w:rsidRPr="00DB0551">
        <w:rPr>
          <w:rFonts w:ascii="Times New Roman" w:eastAsia="Times New Roman" w:hAnsi="Times New Roman" w:cs="Times New Roman"/>
          <w:color w:val="000000"/>
        </w:rPr>
        <w:t>1</w:t>
      </w:r>
      <w:r w:rsidR="00E83955">
        <w:rPr>
          <w:rFonts w:ascii="Times New Roman" w:eastAsia="Times New Roman" w:hAnsi="Times New Roman" w:cs="Times New Roman"/>
          <w:color w:val="000000"/>
        </w:rPr>
        <w:t>3</w:t>
      </w:r>
      <w:r w:rsidRPr="00DB0551">
        <w:rPr>
          <w:rFonts w:ascii="Times New Roman" w:eastAsia="Times New Roman" w:hAnsi="Times New Roman" w:cs="Times New Roman"/>
          <w:color w:val="000000"/>
        </w:rPr>
        <w:t xml:space="preserve"> de</w:t>
      </w:r>
      <w:r w:rsidR="00DB0551" w:rsidRPr="00DB0551">
        <w:rPr>
          <w:rFonts w:ascii="Times New Roman" w:eastAsia="Times New Roman" w:hAnsi="Times New Roman" w:cs="Times New Roman"/>
          <w:color w:val="000000"/>
        </w:rPr>
        <w:t xml:space="preserve"> Novembro</w:t>
      </w:r>
      <w:r w:rsidRPr="00DB0551">
        <w:rPr>
          <w:rFonts w:ascii="Times New Roman" w:eastAsia="Times New Roman" w:hAnsi="Times New Roman" w:cs="Times New Roman"/>
          <w:color w:val="000000"/>
        </w:rPr>
        <w:t xml:space="preserve"> de 2025</w:t>
      </w:r>
      <w:r>
        <w:rPr>
          <w:rFonts w:ascii="Times New Roman" w:eastAsia="Times New Roman" w:hAnsi="Times New Roman" w:cs="Times New Roman"/>
          <w:color w:val="000000"/>
        </w:rPr>
        <w:t>.</w:t>
      </w:r>
    </w:p>
    <w:p w14:paraId="2A0AC442" w14:textId="77777777" w:rsidR="00695F69" w:rsidRDefault="00695F69">
      <w:pPr>
        <w:pBdr>
          <w:top w:val="nil"/>
          <w:left w:val="nil"/>
          <w:bottom w:val="nil"/>
          <w:right w:val="nil"/>
          <w:between w:val="nil"/>
        </w:pBdr>
        <w:spacing w:line="360" w:lineRule="auto"/>
        <w:rPr>
          <w:rFonts w:ascii="Times New Roman" w:eastAsia="Times New Roman" w:hAnsi="Times New Roman" w:cs="Times New Roman"/>
          <w:color w:val="000000"/>
        </w:rPr>
      </w:pPr>
    </w:p>
    <w:p w14:paraId="7A17D6B0" w14:textId="77777777" w:rsidR="00695F69" w:rsidRDefault="00695F69" w:rsidP="00DB0551">
      <w:pPr>
        <w:pStyle w:val="Assuntodocomentrio"/>
        <w:ind w:left="0" w:hanging="2"/>
        <w:jc w:val="center"/>
      </w:pPr>
    </w:p>
    <w:p w14:paraId="7F941F69" w14:textId="7AD3CF6A" w:rsidR="00695F69" w:rsidRDefault="00695F69" w:rsidP="00C86AF1">
      <w:pPr>
        <w:pStyle w:val="Assuntodocomentrio"/>
        <w:ind w:left="0" w:hanging="2"/>
      </w:pPr>
    </w:p>
    <w:p w14:paraId="00D6C77C" w14:textId="77777777" w:rsidR="00C86AF1" w:rsidRPr="00C86AF1" w:rsidRDefault="00C86AF1" w:rsidP="00C86AF1">
      <w:pPr>
        <w:pStyle w:val="Textodecomentrio"/>
        <w:ind w:left="0" w:hanging="2"/>
      </w:pPr>
    </w:p>
    <w:p w14:paraId="7085FA8C" w14:textId="0AB96623" w:rsidR="00695F69" w:rsidRPr="00C86AF1" w:rsidRDefault="00DB0551" w:rsidP="00DB0551">
      <w:pPr>
        <w:pStyle w:val="Assuntodocomentrio"/>
        <w:ind w:left="0" w:hanging="2"/>
        <w:jc w:val="center"/>
        <w:rPr>
          <w:rFonts w:ascii="Times New Roman" w:eastAsia="Times New Roman" w:hAnsi="Times New Roman" w:cs="Times New Roman"/>
          <w:b w:val="0"/>
          <w:bCs w:val="0"/>
          <w:color w:val="000000"/>
          <w:position w:val="0"/>
          <w:sz w:val="24"/>
          <w:szCs w:val="24"/>
        </w:rPr>
      </w:pPr>
      <w:r w:rsidRPr="00C86AF1">
        <w:rPr>
          <w:rFonts w:ascii="Times New Roman" w:eastAsia="Times New Roman" w:hAnsi="Times New Roman" w:cs="Times New Roman"/>
          <w:b w:val="0"/>
          <w:bCs w:val="0"/>
          <w:color w:val="000000"/>
          <w:position w:val="0"/>
          <w:sz w:val="24"/>
          <w:szCs w:val="24"/>
        </w:rPr>
        <w:t>Jucilene de Jesus Santos</w:t>
      </w:r>
    </w:p>
    <w:p w14:paraId="0B38B3B6" w14:textId="3A5B6E75" w:rsidR="00DB0551" w:rsidRPr="00C86AF1" w:rsidRDefault="00DB0551" w:rsidP="00DB0551">
      <w:pPr>
        <w:pStyle w:val="Assuntodocomentrio"/>
        <w:ind w:left="0" w:hanging="2"/>
        <w:jc w:val="center"/>
        <w:rPr>
          <w:rFonts w:ascii="Times New Roman" w:eastAsia="Times New Roman" w:hAnsi="Times New Roman" w:cs="Times New Roman"/>
          <w:b w:val="0"/>
          <w:bCs w:val="0"/>
          <w:color w:val="000000"/>
          <w:position w:val="0"/>
          <w:sz w:val="24"/>
          <w:szCs w:val="24"/>
        </w:rPr>
      </w:pPr>
      <w:r w:rsidRPr="00C86AF1">
        <w:rPr>
          <w:rFonts w:ascii="Times New Roman" w:eastAsia="Times New Roman" w:hAnsi="Times New Roman" w:cs="Times New Roman"/>
          <w:b w:val="0"/>
          <w:bCs w:val="0"/>
          <w:color w:val="000000"/>
          <w:position w:val="0"/>
          <w:sz w:val="24"/>
          <w:szCs w:val="24"/>
        </w:rPr>
        <w:t>Agente de Contratação</w:t>
      </w:r>
    </w:p>
    <w:p w14:paraId="5EE9D35B" w14:textId="77777777" w:rsidR="00695F69" w:rsidRPr="00C86AF1" w:rsidRDefault="00695F69">
      <w:pPr>
        <w:tabs>
          <w:tab w:val="left" w:pos="6030"/>
        </w:tabs>
        <w:rPr>
          <w:rFonts w:ascii="Times New Roman" w:eastAsia="Times New Roman" w:hAnsi="Times New Roman" w:cs="Times New Roman"/>
          <w:color w:val="000000"/>
        </w:rPr>
      </w:pPr>
    </w:p>
    <w:sectPr w:rsidR="00695F69" w:rsidRPr="00C86AF1">
      <w:headerReference w:type="default" r:id="rId8"/>
      <w:footerReference w:type="even" r:id="rId9"/>
      <w:footerReference w:type="default" r:id="rId10"/>
      <w:footerReference w:type="first" r:id="rId11"/>
      <w:pgSz w:w="11906" w:h="16838"/>
      <w:pgMar w:top="1417" w:right="1701" w:bottom="1417" w:left="1701" w:header="283"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B8CE0" w14:textId="77777777" w:rsidR="00977970" w:rsidRDefault="00977970">
      <w:r>
        <w:separator/>
      </w:r>
    </w:p>
  </w:endnote>
  <w:endnote w:type="continuationSeparator" w:id="0">
    <w:p w14:paraId="58010A6A" w14:textId="77777777" w:rsidR="00977970" w:rsidRDefault="00977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0FEC7CF6-CB7D-4645-9FFD-22DCC39E257B}"/>
    <w:embedBold r:id="rId2" w:fontKey="{FA772167-5BFE-4ABE-8E0B-48E5393CE9BB}"/>
    <w:embedItalic r:id="rId3" w:fontKey="{1FA284E3-F42A-46B1-BB5C-02753E1B7B4D}"/>
    <w:embedBoldItalic r:id="rId4" w:fontKey="{D7C095E7-2C88-455A-8DDC-B14CBD333C3D}"/>
  </w:font>
  <w:font w:name="Cambria">
    <w:panose1 w:val="02040503050406030204"/>
    <w:charset w:val="00"/>
    <w:family w:val="roman"/>
    <w:pitch w:val="variable"/>
    <w:sig w:usb0="E00006FF" w:usb1="420024FF" w:usb2="02000000" w:usb3="00000000" w:csb0="0000019F" w:csb1="00000000"/>
    <w:embedRegular r:id="rId5" w:fontKey="{5A12BFD1-DFD7-40E9-BF24-AD4CA220BDDC}"/>
    <w:embedBold r:id="rId6" w:fontKey="{3B2D6516-626D-41B9-A6EB-63D6F8BE6201}"/>
    <w:embedBoldItalic r:id="rId7" w:fontKey="{C5276DDF-5CCD-4EF1-979E-8B4D91AC2958}"/>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8" w:fontKey="{55B56A88-4F32-45DA-808E-168D73A15BD2}"/>
  </w:font>
  <w:font w:name="Arial Narrow">
    <w:panose1 w:val="020B0606020202030204"/>
    <w:charset w:val="00"/>
    <w:family w:val="swiss"/>
    <w:pitch w:val="variable"/>
    <w:sig w:usb0="00000287" w:usb1="00000800" w:usb2="00000000" w:usb3="00000000" w:csb0="0000009F" w:csb1="00000000"/>
    <w:embedRegular r:id="rId9" w:fontKey="{977E4944-D36C-4D52-98BE-DE0FF8FAC737}"/>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0" w:fontKey="{6047BF87-5801-4CF5-B047-8CD2056002B5}"/>
  </w:font>
  <w:font w:name="Century Gothic">
    <w:panose1 w:val="020B0502020202020204"/>
    <w:charset w:val="00"/>
    <w:family w:val="swiss"/>
    <w:pitch w:val="variable"/>
    <w:sig w:usb0="00000287" w:usb1="00000000" w:usb2="00000000" w:usb3="00000000" w:csb0="0000009F" w:csb1="00000000"/>
    <w:embedRegular r:id="rId11" w:fontKey="{0831AA00-795E-4C29-8B3B-D566271215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37D7" w14:textId="77777777" w:rsidR="000B0156" w:rsidRDefault="000B0156">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A100D" w14:textId="77777777" w:rsidR="00695F69" w:rsidRDefault="00695F69">
    <w:pPr>
      <w:pBdr>
        <w:top w:val="nil"/>
        <w:left w:val="nil"/>
        <w:bottom w:val="nil"/>
        <w:right w:val="nil"/>
        <w:between w:val="nil"/>
      </w:pBdr>
      <w:rPr>
        <w:color w:val="000000"/>
        <w:sz w:val="20"/>
        <w:szCs w:val="20"/>
      </w:rPr>
    </w:pPr>
  </w:p>
  <w:p w14:paraId="4FF67CB7" w14:textId="77777777" w:rsidR="00695F69" w:rsidRDefault="00695F69">
    <w:pPr>
      <w:pBdr>
        <w:top w:val="nil"/>
        <w:left w:val="nil"/>
        <w:bottom w:val="nil"/>
        <w:right w:val="nil"/>
        <w:between w:val="nil"/>
      </w:pBdr>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F40EA" w14:textId="77777777" w:rsidR="000B0156" w:rsidRDefault="000B0156">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40392" w14:textId="77777777" w:rsidR="00977970" w:rsidRDefault="00977970">
      <w:r>
        <w:separator/>
      </w:r>
    </w:p>
  </w:footnote>
  <w:footnote w:type="continuationSeparator" w:id="0">
    <w:p w14:paraId="791847A0" w14:textId="77777777" w:rsidR="00977970" w:rsidRDefault="009779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94A7B" w14:textId="77777777" w:rsidR="000B0156" w:rsidRDefault="000B0156" w:rsidP="000B0156">
    <w:pPr>
      <w:pStyle w:val="Cabealho"/>
    </w:pPr>
    <w:bookmarkStart w:id="2" w:name="_Hlk212193579"/>
    <w:r>
      <w:rPr>
        <w:noProof/>
      </w:rPr>
      <w:drawing>
        <wp:inline distT="0" distB="0" distL="0" distR="0" wp14:anchorId="615B0535" wp14:editId="7BE3A8C1">
          <wp:extent cx="5200650" cy="11334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0650" cy="1133475"/>
                  </a:xfrm>
                  <a:prstGeom prst="rect">
                    <a:avLst/>
                  </a:prstGeom>
                  <a:noFill/>
                  <a:ln>
                    <a:noFill/>
                  </a:ln>
                </pic:spPr>
              </pic:pic>
            </a:graphicData>
          </a:graphic>
        </wp:inline>
      </w:drawing>
    </w:r>
  </w:p>
  <w:bookmarkEnd w:id="2"/>
  <w:p w14:paraId="3BEBEE2B" w14:textId="77777777" w:rsidR="00695F69" w:rsidRDefault="00695F69">
    <w:pPr>
      <w:pBdr>
        <w:top w:val="nil"/>
        <w:left w:val="nil"/>
        <w:bottom w:val="nil"/>
        <w:right w:val="nil"/>
        <w:between w:val="nil"/>
      </w:pBdr>
      <w:rPr>
        <w:color w:val="000000"/>
        <w:sz w:val="20"/>
        <w:szCs w:val="20"/>
      </w:rPr>
    </w:pPr>
  </w:p>
  <w:p w14:paraId="651CBA7D" w14:textId="77777777" w:rsidR="00695F69" w:rsidRDefault="00695F69">
    <w:pPr>
      <w:pBdr>
        <w:top w:val="nil"/>
        <w:left w:val="nil"/>
        <w:bottom w:val="nil"/>
        <w:right w:val="nil"/>
        <w:between w:val="nil"/>
      </w:pBdr>
      <w:rPr>
        <w:color w:val="000000"/>
        <w:sz w:val="20"/>
        <w:szCs w:val="20"/>
      </w:rPr>
    </w:pPr>
  </w:p>
  <w:p w14:paraId="1A2B4992" w14:textId="77777777" w:rsidR="00695F69" w:rsidRDefault="00695F69">
    <w:pPr>
      <w:pBdr>
        <w:top w:val="nil"/>
        <w:left w:val="nil"/>
        <w:bottom w:val="nil"/>
        <w:right w:val="nil"/>
        <w:between w:val="nil"/>
      </w:pBdr>
      <w:rPr>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F69"/>
    <w:rsid w:val="000B0156"/>
    <w:rsid w:val="002C6A24"/>
    <w:rsid w:val="00390773"/>
    <w:rsid w:val="00695F69"/>
    <w:rsid w:val="007F47DE"/>
    <w:rsid w:val="00977970"/>
    <w:rsid w:val="009E74BB"/>
    <w:rsid w:val="00C86AF1"/>
    <w:rsid w:val="00DB0551"/>
    <w:rsid w:val="00E83955"/>
    <w:rsid w:val="00E973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2846F"/>
  <w15:docId w15:val="{C2070A97-6B93-4FC2-A1C4-B4AB0BC51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uppressAutoHyphens/>
      <w:spacing w:before="240" w:after="60" w:line="1" w:lineRule="atLeast"/>
      <w:ind w:leftChars="-1" w:left="-1" w:hangingChars="1" w:hanging="1"/>
      <w:textDirection w:val="btLr"/>
      <w:textAlignment w:val="top"/>
      <w:outlineLvl w:val="0"/>
    </w:pPr>
    <w:rPr>
      <w:rFonts w:ascii="Cambria" w:hAnsi="Cambria"/>
      <w:b/>
      <w:bCs/>
      <w:kern w:val="32"/>
      <w:position w:val="-1"/>
      <w:sz w:val="32"/>
      <w:szCs w:val="32"/>
    </w:rPr>
  </w:style>
  <w:style w:type="paragraph" w:styleId="Ttulo2">
    <w:name w:val="heading 2"/>
    <w:basedOn w:val="Normal"/>
    <w:next w:val="Normal"/>
    <w:uiPriority w:val="9"/>
    <w:semiHidden/>
    <w:unhideWhenUsed/>
    <w:qFormat/>
    <w:pPr>
      <w:keepNext/>
      <w:suppressAutoHyphens/>
      <w:spacing w:before="240" w:after="60" w:line="1" w:lineRule="atLeast"/>
      <w:ind w:leftChars="-1" w:left="-1" w:hangingChars="1" w:hanging="1"/>
      <w:textDirection w:val="btLr"/>
      <w:textAlignment w:val="top"/>
      <w:outlineLvl w:val="1"/>
    </w:pPr>
    <w:rPr>
      <w:rFonts w:ascii="Cambria" w:hAnsi="Cambria"/>
      <w:b/>
      <w:bCs/>
      <w:i/>
      <w:iCs/>
      <w:position w:val="-1"/>
      <w:sz w:val="28"/>
      <w:szCs w:val="28"/>
    </w:rPr>
  </w:style>
  <w:style w:type="paragraph" w:styleId="Ttulo3">
    <w:name w:val="heading 3"/>
    <w:basedOn w:val="Normal"/>
    <w:next w:val="Normal"/>
    <w:uiPriority w:val="9"/>
    <w:semiHidden/>
    <w:unhideWhenUsed/>
    <w:qFormat/>
    <w:pPr>
      <w:keepNext/>
      <w:suppressAutoHyphens/>
      <w:spacing w:before="240" w:after="60" w:line="1" w:lineRule="atLeast"/>
      <w:ind w:leftChars="-1" w:left="-1" w:hangingChars="1" w:hanging="1"/>
      <w:textDirection w:val="btLr"/>
      <w:textAlignment w:val="top"/>
      <w:outlineLvl w:val="2"/>
    </w:pPr>
    <w:rPr>
      <w:rFonts w:ascii="Cambria" w:hAnsi="Cambria"/>
      <w:b/>
      <w:bCs/>
      <w:position w:val="-1"/>
      <w:sz w:val="26"/>
      <w:szCs w:val="26"/>
    </w:rPr>
  </w:style>
  <w:style w:type="paragraph" w:styleId="Ttulo4">
    <w:name w:val="heading 4"/>
    <w:basedOn w:val="Normal"/>
    <w:next w:val="Normal"/>
    <w:uiPriority w:val="9"/>
    <w:semiHidden/>
    <w:unhideWhenUsed/>
    <w:qFormat/>
    <w:pPr>
      <w:keepNext/>
      <w:suppressAutoHyphens/>
      <w:spacing w:before="240" w:after="60" w:line="1" w:lineRule="atLeast"/>
      <w:ind w:leftChars="-1" w:left="-1" w:hangingChars="1" w:hanging="1"/>
      <w:textDirection w:val="btLr"/>
      <w:textAlignment w:val="top"/>
      <w:outlineLvl w:val="3"/>
    </w:pPr>
    <w:rPr>
      <w:b/>
      <w:bCs/>
      <w:position w:val="-1"/>
      <w:sz w:val="28"/>
      <w:szCs w:val="28"/>
    </w:rPr>
  </w:style>
  <w:style w:type="paragraph" w:styleId="Ttulo5">
    <w:name w:val="heading 5"/>
    <w:basedOn w:val="Normal"/>
    <w:next w:val="Normal"/>
    <w:uiPriority w:val="9"/>
    <w:semiHidden/>
    <w:unhideWhenUsed/>
    <w:qFormat/>
    <w:pPr>
      <w:suppressAutoHyphens/>
      <w:spacing w:before="240" w:after="60" w:line="1" w:lineRule="atLeast"/>
      <w:ind w:leftChars="-1" w:left="-1" w:hangingChars="1" w:hanging="1"/>
      <w:textDirection w:val="btLr"/>
      <w:textAlignment w:val="top"/>
      <w:outlineLvl w:val="4"/>
    </w:pPr>
    <w:rPr>
      <w:b/>
      <w:bCs/>
      <w:i/>
      <w:iCs/>
      <w:position w:val="-1"/>
      <w:sz w:val="26"/>
      <w:szCs w:val="26"/>
    </w:rPr>
  </w:style>
  <w:style w:type="paragraph" w:styleId="Ttulo6">
    <w:name w:val="heading 6"/>
    <w:basedOn w:val="Normal"/>
    <w:next w:val="Normal"/>
    <w:uiPriority w:val="9"/>
    <w:semiHidden/>
    <w:unhideWhenUsed/>
    <w:qFormat/>
    <w:pPr>
      <w:suppressAutoHyphens/>
      <w:spacing w:before="240" w:after="60" w:line="1" w:lineRule="atLeast"/>
      <w:ind w:leftChars="-1" w:left="-1" w:hangingChars="1" w:hanging="1"/>
      <w:textDirection w:val="btLr"/>
      <w:textAlignment w:val="top"/>
      <w:outlineLvl w:val="5"/>
    </w:pPr>
    <w:rPr>
      <w:b/>
      <w:bCs/>
      <w:position w:val="-1"/>
      <w:sz w:val="20"/>
      <w:szCs w:val="20"/>
    </w:rPr>
  </w:style>
  <w:style w:type="paragraph" w:styleId="Ttulo7">
    <w:name w:val="heading 7"/>
    <w:basedOn w:val="Normal"/>
    <w:next w:val="Normal"/>
    <w:qFormat/>
    <w:pPr>
      <w:suppressAutoHyphens/>
      <w:spacing w:before="240" w:after="60" w:line="1" w:lineRule="atLeast"/>
      <w:ind w:leftChars="-1" w:left="-1" w:hangingChars="1" w:hanging="1"/>
      <w:textDirection w:val="btLr"/>
      <w:textAlignment w:val="top"/>
      <w:outlineLvl w:val="6"/>
    </w:pPr>
    <w:rPr>
      <w:position w:val="-1"/>
    </w:rPr>
  </w:style>
  <w:style w:type="paragraph" w:styleId="Ttulo8">
    <w:name w:val="heading 8"/>
    <w:basedOn w:val="Normal"/>
    <w:next w:val="Normal"/>
    <w:qFormat/>
    <w:pPr>
      <w:suppressAutoHyphens/>
      <w:spacing w:before="240" w:after="60" w:line="1" w:lineRule="atLeast"/>
      <w:ind w:leftChars="-1" w:left="-1" w:hangingChars="1" w:hanging="1"/>
      <w:textDirection w:val="btLr"/>
      <w:textAlignment w:val="top"/>
      <w:outlineLvl w:val="7"/>
    </w:pPr>
    <w:rPr>
      <w:i/>
      <w:iCs/>
      <w:position w:val="-1"/>
    </w:rPr>
  </w:style>
  <w:style w:type="paragraph" w:styleId="Ttulo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mbria" w:hAnsi="Cambria"/>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uppressAutoHyphens/>
      <w:spacing w:before="240" w:after="60" w:line="1" w:lineRule="atLeast"/>
      <w:ind w:leftChars="-1" w:left="-1" w:hangingChars="1" w:hanging="1"/>
      <w:jc w:val="center"/>
      <w:textDirection w:val="btLr"/>
      <w:textAlignment w:val="top"/>
      <w:outlineLvl w:val="0"/>
    </w:pPr>
    <w:rPr>
      <w:rFonts w:ascii="Cambria" w:hAnsi="Cambria"/>
      <w:b/>
      <w:bCs/>
      <w:kern w:val="28"/>
      <w:position w:val="-1"/>
      <w:sz w:val="32"/>
      <w:szCs w:val="32"/>
    </w:rPr>
  </w:style>
  <w:style w:type="character" w:styleId="Hyperlink">
    <w:name w:val="Hyperlink"/>
    <w:rPr>
      <w:color w:val="0000FF"/>
      <w:w w:val="100"/>
      <w:position w:val="-1"/>
      <w:u w:val="single"/>
      <w:effect w:val="none"/>
      <w:vertAlign w:val="baseline"/>
      <w:cs w:val="0"/>
      <w:em w:val="none"/>
    </w:rPr>
  </w:style>
  <w:style w:type="paragraph" w:styleId="NormalWeb">
    <w:name w:val="Normal (Web)"/>
    <w:basedOn w:val="Normal"/>
    <w:pPr>
      <w:suppressAutoHyphens/>
      <w:spacing w:line="1" w:lineRule="atLeast"/>
      <w:ind w:leftChars="-1" w:left="-1" w:hangingChars="1" w:hanging="1"/>
      <w:textDirection w:val="btLr"/>
      <w:textAlignment w:val="top"/>
      <w:outlineLvl w:val="0"/>
    </w:pPr>
    <w:rPr>
      <w:rFonts w:ascii="Times New Roman" w:hAnsi="Times New Roman"/>
      <w:position w:val="-1"/>
    </w:rPr>
  </w:style>
  <w:style w:type="character" w:styleId="HiperlinkVisitado">
    <w:name w:val="FollowedHyperlink"/>
    <w:rPr>
      <w:color w:val="800080"/>
      <w:w w:val="100"/>
      <w:position w:val="-1"/>
      <w:u w:val="single"/>
      <w:effect w:val="none"/>
      <w:vertAlign w:val="baseline"/>
      <w:cs w:val="0"/>
      <w:em w:val="none"/>
    </w:rPr>
  </w:style>
  <w:style w:type="paragraph" w:customStyle="1" w:styleId="CabealhoCharCharCharCharCharCharCharCharCharCharCharhdheCabealhosuperiorCharCharCharChar2foote">
    <w:name w:val="Cabeçalho;Char Char Char Char Char Char;Char Char Char Char;Char;hd;he;Cabeçalho superior;Char Char Char;Char2;foote"/>
    <w:basedOn w:val="Normal"/>
    <w:qFormat/>
    <w:pPr>
      <w:suppressAutoHyphens/>
      <w:spacing w:line="1" w:lineRule="atLeast"/>
      <w:ind w:leftChars="-1" w:left="-1" w:hangingChars="1" w:hanging="1"/>
      <w:textDirection w:val="btLr"/>
      <w:textAlignment w:val="top"/>
      <w:outlineLvl w:val="0"/>
    </w:pPr>
    <w:rPr>
      <w:position w:val="-1"/>
      <w:sz w:val="20"/>
      <w:szCs w:val="20"/>
      <w:lang w:eastAsia="en-US"/>
    </w:rPr>
  </w:style>
  <w:style w:type="character" w:customStyle="1" w:styleId="CabealhoCharCharCharCharCharCharCharCharCharCharCharCharCharCharCharhdCharheCharCabealhosuperiorCharCharCharCharChar1Char2Char">
    <w:name w:val="Cabeçalho Char;Char Char Char Char Char Char Char;Char Char Char Char Char;Char Char;hd Char;he Char;Cabeçalho superior Char;Char Char Char Char1;Char2 Char"/>
    <w:rPr>
      <w:w w:val="100"/>
      <w:position w:val="-1"/>
      <w:effect w:val="none"/>
      <w:vertAlign w:val="baseline"/>
      <w:cs w:val="0"/>
      <w:em w:val="none"/>
      <w:lang w:eastAsia="en-US"/>
    </w:rPr>
  </w:style>
  <w:style w:type="paragraph" w:styleId="Rodap">
    <w:name w:val="footer"/>
    <w:basedOn w:val="Normal"/>
    <w:qFormat/>
    <w:pPr>
      <w:suppressAutoHyphens/>
      <w:spacing w:line="1" w:lineRule="atLeast"/>
      <w:ind w:leftChars="-1" w:left="-1" w:hangingChars="1" w:hanging="1"/>
      <w:textDirection w:val="btLr"/>
      <w:textAlignment w:val="top"/>
      <w:outlineLvl w:val="0"/>
    </w:pPr>
    <w:rPr>
      <w:position w:val="-1"/>
      <w:sz w:val="20"/>
      <w:szCs w:val="20"/>
      <w:lang w:eastAsia="en-US"/>
    </w:rPr>
  </w:style>
  <w:style w:type="character" w:customStyle="1" w:styleId="RodapChar">
    <w:name w:val="Rodapé Char"/>
    <w:rPr>
      <w:w w:val="100"/>
      <w:position w:val="-1"/>
      <w:effect w:val="none"/>
      <w:vertAlign w:val="baseline"/>
      <w:cs w:val="0"/>
      <w:em w:val="none"/>
      <w:lang w:eastAsia="en-US"/>
    </w:rPr>
  </w:style>
  <w:style w:type="paragraph" w:styleId="Textodebalo">
    <w:name w:val="Balloon Text"/>
    <w:basedOn w:val="Normal"/>
    <w:qFormat/>
    <w:pPr>
      <w:suppressAutoHyphens/>
      <w:spacing w:line="1" w:lineRule="atLeast"/>
      <w:ind w:leftChars="-1" w:left="-1" w:hangingChars="1" w:hanging="1"/>
      <w:textDirection w:val="btLr"/>
      <w:textAlignment w:val="top"/>
      <w:outlineLvl w:val="0"/>
    </w:pPr>
    <w:rPr>
      <w:rFonts w:ascii="Tahoma" w:hAnsi="Tahoma"/>
      <w:position w:val="-1"/>
      <w:sz w:val="16"/>
      <w:szCs w:val="16"/>
      <w:lang w:eastAsia="en-US"/>
    </w:rPr>
  </w:style>
  <w:style w:type="character" w:customStyle="1" w:styleId="TextodebaloChar">
    <w:name w:val="Texto de balão Char"/>
    <w:rPr>
      <w:rFonts w:ascii="Tahoma" w:hAnsi="Tahoma" w:cs="Tahoma"/>
      <w:w w:val="100"/>
      <w:position w:val="-1"/>
      <w:sz w:val="16"/>
      <w:szCs w:val="16"/>
      <w:effect w:val="none"/>
      <w:vertAlign w:val="baseline"/>
      <w:cs w:val="0"/>
      <w:em w:val="none"/>
      <w:lang w:eastAsia="en-US"/>
    </w:rPr>
  </w:style>
  <w:style w:type="character" w:customStyle="1" w:styleId="Ttulo7Char">
    <w:name w:val="Título 7 Char"/>
    <w:rPr>
      <w:w w:val="100"/>
      <w:position w:val="-1"/>
      <w:sz w:val="24"/>
      <w:szCs w:val="24"/>
      <w:effect w:val="none"/>
      <w:vertAlign w:val="baseline"/>
      <w:cs w:val="0"/>
      <w:em w:val="none"/>
    </w:rPr>
  </w:style>
  <w:style w:type="paragraph" w:styleId="Textodenotaderodap">
    <w:name w:val="footnote text"/>
    <w:basedOn w:val="Normal"/>
    <w:qFormat/>
    <w:pPr>
      <w:suppressAutoHyphens/>
      <w:spacing w:line="1" w:lineRule="atLeast"/>
      <w:ind w:leftChars="-1" w:left="-1" w:hangingChars="1" w:hanging="1"/>
      <w:textDirection w:val="btLr"/>
      <w:textAlignment w:val="top"/>
      <w:outlineLvl w:val="0"/>
    </w:pPr>
    <w:rPr>
      <w:position w:val="-1"/>
      <w:sz w:val="20"/>
      <w:szCs w:val="20"/>
      <w:lang w:eastAsia="en-US"/>
    </w:rPr>
  </w:style>
  <w:style w:type="character" w:customStyle="1" w:styleId="TextodenotaderodapChar">
    <w:name w:val="Texto de nota de rodapé Char"/>
    <w:rPr>
      <w:w w:val="100"/>
      <w:position w:val="-1"/>
      <w:effect w:val="none"/>
      <w:vertAlign w:val="baseline"/>
      <w:cs w:val="0"/>
      <w:em w:val="none"/>
      <w:lang w:eastAsia="en-US"/>
    </w:rPr>
  </w:style>
  <w:style w:type="character" w:styleId="Refdenotaderodap">
    <w:name w:val="footnote reference"/>
    <w:qFormat/>
    <w:rPr>
      <w:w w:val="100"/>
      <w:position w:val="-1"/>
      <w:effect w:val="none"/>
      <w:vertAlign w:val="superscript"/>
      <w:cs w:val="0"/>
      <w:em w:val="none"/>
    </w:rPr>
  </w:style>
  <w:style w:type="paragraph" w:styleId="Corpodetexto">
    <w:name w:val="Body Text"/>
    <w:basedOn w:val="Normal"/>
    <w:pPr>
      <w:widowControl w:val="0"/>
      <w:suppressAutoHyphens/>
      <w:spacing w:line="1" w:lineRule="atLeast"/>
      <w:ind w:leftChars="-1" w:left="112" w:hangingChars="1" w:hanging="1"/>
      <w:textDirection w:val="btLr"/>
      <w:textAlignment w:val="top"/>
      <w:outlineLvl w:val="0"/>
    </w:pPr>
    <w:rPr>
      <w:rFonts w:ascii="Arial Narrow" w:eastAsia="Arial Narrow" w:hAnsi="Arial Narrow"/>
      <w:position w:val="-1"/>
      <w:sz w:val="20"/>
      <w:szCs w:val="20"/>
      <w:lang w:val="en-US" w:eastAsia="en-US"/>
    </w:rPr>
  </w:style>
  <w:style w:type="character" w:customStyle="1" w:styleId="CorpodetextoChar">
    <w:name w:val="Corpo de texto Char"/>
    <w:rPr>
      <w:rFonts w:ascii="Arial Narrow" w:eastAsia="Arial Narrow" w:hAnsi="Arial Narrow" w:cs="Times New Roman"/>
      <w:w w:val="100"/>
      <w:position w:val="-1"/>
      <w:effect w:val="none"/>
      <w:vertAlign w:val="baseline"/>
      <w:cs w:val="0"/>
      <w:em w:val="none"/>
      <w:lang w:val="en-US" w:eastAsia="en-US"/>
    </w:rPr>
  </w:style>
  <w:style w:type="character" w:customStyle="1" w:styleId="Ttulo1Char">
    <w:name w:val="Título 1 Char"/>
    <w:rPr>
      <w:rFonts w:ascii="Cambria" w:eastAsia="Times New Roman" w:hAnsi="Cambria"/>
      <w:b/>
      <w:bCs/>
      <w:w w:val="100"/>
      <w:kern w:val="32"/>
      <w:position w:val="-1"/>
      <w:sz w:val="32"/>
      <w:szCs w:val="32"/>
      <w:effect w:val="none"/>
      <w:vertAlign w:val="baseline"/>
      <w:cs w:val="0"/>
      <w:em w:val="none"/>
    </w:rPr>
  </w:style>
  <w:style w:type="character" w:customStyle="1" w:styleId="Ttulo2Char">
    <w:name w:val="Título 2 Char"/>
    <w:rPr>
      <w:rFonts w:ascii="Cambria" w:eastAsia="Times New Roman" w:hAnsi="Cambria" w:cs="Arial"/>
      <w:b/>
      <w:bCs/>
      <w:i/>
      <w:iCs/>
      <w:w w:val="100"/>
      <w:position w:val="-1"/>
      <w:sz w:val="28"/>
      <w:szCs w:val="28"/>
      <w:effect w:val="none"/>
      <w:vertAlign w:val="baseline"/>
      <w:cs w:val="0"/>
      <w:em w:val="none"/>
    </w:rPr>
  </w:style>
  <w:style w:type="character" w:customStyle="1" w:styleId="Ttulo3Char">
    <w:name w:val="Título 3 Char"/>
    <w:rPr>
      <w:rFonts w:ascii="Cambria" w:eastAsia="Times New Roman" w:hAnsi="Cambria" w:cs="Arial"/>
      <w:b/>
      <w:bCs/>
      <w:w w:val="100"/>
      <w:position w:val="-1"/>
      <w:sz w:val="26"/>
      <w:szCs w:val="26"/>
      <w:effect w:val="none"/>
      <w:vertAlign w:val="baseline"/>
      <w:cs w:val="0"/>
      <w:em w:val="none"/>
    </w:rPr>
  </w:style>
  <w:style w:type="character" w:customStyle="1" w:styleId="Ttulo4Char">
    <w:name w:val="Título 4 Char"/>
    <w:rPr>
      <w:b/>
      <w:bCs/>
      <w:w w:val="100"/>
      <w:position w:val="-1"/>
      <w:sz w:val="28"/>
      <w:szCs w:val="28"/>
      <w:effect w:val="none"/>
      <w:vertAlign w:val="baseline"/>
      <w:cs w:val="0"/>
      <w:em w:val="none"/>
    </w:rPr>
  </w:style>
  <w:style w:type="character" w:customStyle="1" w:styleId="Ttulo5Char">
    <w:name w:val="Título 5 Char"/>
    <w:rPr>
      <w:b/>
      <w:bCs/>
      <w:i/>
      <w:iCs/>
      <w:w w:val="100"/>
      <w:position w:val="-1"/>
      <w:sz w:val="26"/>
      <w:szCs w:val="26"/>
      <w:effect w:val="none"/>
      <w:vertAlign w:val="baseline"/>
      <w:cs w:val="0"/>
      <w:em w:val="none"/>
    </w:rPr>
  </w:style>
  <w:style w:type="character" w:customStyle="1" w:styleId="Ttulo6Char">
    <w:name w:val="Título 6 Char"/>
    <w:rPr>
      <w:b/>
      <w:bCs/>
      <w:w w:val="100"/>
      <w:position w:val="-1"/>
      <w:effect w:val="none"/>
      <w:vertAlign w:val="baseline"/>
      <w:cs w:val="0"/>
      <w:em w:val="none"/>
    </w:rPr>
  </w:style>
  <w:style w:type="character" w:customStyle="1" w:styleId="Ttulo8Char">
    <w:name w:val="Título 8 Char"/>
    <w:rPr>
      <w:i/>
      <w:iCs/>
      <w:w w:val="100"/>
      <w:position w:val="-1"/>
      <w:sz w:val="24"/>
      <w:szCs w:val="24"/>
      <w:effect w:val="none"/>
      <w:vertAlign w:val="baseline"/>
      <w:cs w:val="0"/>
      <w:em w:val="none"/>
    </w:rPr>
  </w:style>
  <w:style w:type="character" w:customStyle="1" w:styleId="Ttulo9Char">
    <w:name w:val="Título 9 Char"/>
    <w:rPr>
      <w:rFonts w:ascii="Cambria" w:eastAsia="Times New Roman" w:hAnsi="Cambria"/>
      <w:w w:val="100"/>
      <w:position w:val="-1"/>
      <w:effect w:val="none"/>
      <w:vertAlign w:val="baseline"/>
      <w:cs w:val="0"/>
      <w:em w:val="none"/>
    </w:rPr>
  </w:style>
  <w:style w:type="character" w:customStyle="1" w:styleId="TtuloChar">
    <w:name w:val="Título Char"/>
    <w:rPr>
      <w:rFonts w:ascii="Cambria" w:eastAsia="Times New Roman" w:hAnsi="Cambria"/>
      <w:b/>
      <w:bCs/>
      <w:w w:val="100"/>
      <w:kern w:val="28"/>
      <w:position w:val="-1"/>
      <w:sz w:val="32"/>
      <w:szCs w:val="32"/>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SubttuloChar">
    <w:name w:val="Subtítulo Char"/>
    <w:rPr>
      <w:rFonts w:ascii="Cambria" w:eastAsia="Times New Roman" w:hAnsi="Cambria"/>
      <w:w w:val="100"/>
      <w:position w:val="-1"/>
      <w:sz w:val="24"/>
      <w:szCs w:val="24"/>
      <w:effect w:val="none"/>
      <w:vertAlign w:val="baseline"/>
      <w:cs w:val="0"/>
      <w:em w:val="none"/>
    </w:rPr>
  </w:style>
  <w:style w:type="character" w:styleId="Forte">
    <w:name w:val="Strong"/>
    <w:rPr>
      <w:b/>
      <w:bCs/>
      <w:w w:val="100"/>
      <w:position w:val="-1"/>
      <w:effect w:val="none"/>
      <w:vertAlign w:val="baseline"/>
      <w:cs w:val="0"/>
      <w:em w:val="none"/>
    </w:rPr>
  </w:style>
  <w:style w:type="character" w:styleId="nfase">
    <w:name w:val="Emphasis"/>
    <w:rPr>
      <w:rFonts w:ascii="Calibri" w:hAnsi="Calibri"/>
      <w:b/>
      <w:i/>
      <w:iCs/>
      <w:w w:val="100"/>
      <w:position w:val="-1"/>
      <w:effect w:val="none"/>
      <w:vertAlign w:val="baseline"/>
      <w:cs w:val="0"/>
      <w:em w:val="none"/>
    </w:rPr>
  </w:style>
  <w:style w:type="paragraph" w:styleId="SemEspaamento">
    <w:name w:val="No Spacing"/>
    <w:basedOn w:val="Normal"/>
    <w:pPr>
      <w:suppressAutoHyphens/>
      <w:spacing w:line="1" w:lineRule="atLeast"/>
      <w:ind w:leftChars="-1" w:left="-1" w:hangingChars="1" w:hanging="1"/>
      <w:textDirection w:val="btLr"/>
      <w:textAlignment w:val="top"/>
      <w:outlineLvl w:val="0"/>
    </w:pPr>
    <w:rPr>
      <w:position w:val="-1"/>
      <w:szCs w:val="32"/>
    </w:rPr>
  </w:style>
  <w:style w:type="paragraph" w:styleId="PargrafodaLista">
    <w:name w:val="List Paragraph"/>
    <w:basedOn w:val="Normal"/>
    <w:pPr>
      <w:suppressAutoHyphens/>
      <w:spacing w:line="1" w:lineRule="atLeast"/>
      <w:ind w:leftChars="-1" w:left="720" w:hangingChars="1" w:hanging="1"/>
      <w:contextualSpacing/>
      <w:textDirection w:val="btLr"/>
      <w:textAlignment w:val="top"/>
      <w:outlineLvl w:val="0"/>
    </w:pPr>
    <w:rPr>
      <w:position w:val="-1"/>
    </w:rPr>
  </w:style>
  <w:style w:type="paragraph" w:styleId="Citao">
    <w:name w:val="Quote"/>
    <w:basedOn w:val="Normal"/>
    <w:next w:val="Normal"/>
    <w:pPr>
      <w:suppressAutoHyphens/>
      <w:spacing w:line="1" w:lineRule="atLeast"/>
      <w:ind w:leftChars="-1" w:left="-1" w:hangingChars="1" w:hanging="1"/>
      <w:textDirection w:val="btLr"/>
      <w:textAlignment w:val="top"/>
      <w:outlineLvl w:val="0"/>
    </w:pPr>
    <w:rPr>
      <w:i/>
      <w:position w:val="-1"/>
    </w:rPr>
  </w:style>
  <w:style w:type="character" w:customStyle="1" w:styleId="CitaoChar">
    <w:name w:val="Citação Char"/>
    <w:rPr>
      <w:i/>
      <w:w w:val="100"/>
      <w:position w:val="-1"/>
      <w:sz w:val="24"/>
      <w:szCs w:val="24"/>
      <w:effect w:val="none"/>
      <w:vertAlign w:val="baseline"/>
      <w:cs w:val="0"/>
      <w:em w:val="none"/>
    </w:rPr>
  </w:style>
  <w:style w:type="paragraph" w:styleId="CitaoIntensa">
    <w:name w:val="Intense Quote"/>
    <w:basedOn w:val="Normal"/>
    <w:next w:val="Normal"/>
    <w:pPr>
      <w:suppressAutoHyphens/>
      <w:spacing w:line="1" w:lineRule="atLeast"/>
      <w:ind w:leftChars="-1" w:left="720" w:right="720" w:hangingChars="1" w:hanging="1"/>
      <w:textDirection w:val="btLr"/>
      <w:textAlignment w:val="top"/>
      <w:outlineLvl w:val="0"/>
    </w:pPr>
    <w:rPr>
      <w:b/>
      <w:i/>
      <w:position w:val="-1"/>
      <w:szCs w:val="20"/>
    </w:rPr>
  </w:style>
  <w:style w:type="character" w:customStyle="1" w:styleId="CitaoIntensaChar">
    <w:name w:val="Citação Intensa Char"/>
    <w:rPr>
      <w:b/>
      <w:i/>
      <w:w w:val="100"/>
      <w:position w:val="-1"/>
      <w:sz w:val="24"/>
      <w:effect w:val="none"/>
      <w:vertAlign w:val="baseline"/>
      <w:cs w:val="0"/>
      <w:em w:val="none"/>
    </w:rPr>
  </w:style>
  <w:style w:type="character" w:styleId="nfaseSutil">
    <w:name w:val="Subtle Emphasis"/>
    <w:rPr>
      <w:i/>
      <w:color w:val="5A5A5A"/>
      <w:w w:val="100"/>
      <w:position w:val="-1"/>
      <w:effect w:val="none"/>
      <w:vertAlign w:val="baseline"/>
      <w:cs w:val="0"/>
      <w:em w:val="none"/>
    </w:rPr>
  </w:style>
  <w:style w:type="character" w:styleId="nfaseIntensa">
    <w:name w:val="Intense Emphasis"/>
    <w:rPr>
      <w:b/>
      <w:i/>
      <w:w w:val="100"/>
      <w:position w:val="-1"/>
      <w:sz w:val="24"/>
      <w:szCs w:val="24"/>
      <w:u w:val="single"/>
      <w:effect w:val="none"/>
      <w:vertAlign w:val="baseline"/>
      <w:cs w:val="0"/>
      <w:em w:val="none"/>
    </w:rPr>
  </w:style>
  <w:style w:type="character" w:styleId="RefernciaSutil">
    <w:name w:val="Subtle Reference"/>
    <w:rPr>
      <w:w w:val="100"/>
      <w:position w:val="-1"/>
      <w:sz w:val="24"/>
      <w:szCs w:val="24"/>
      <w:u w:val="single"/>
      <w:effect w:val="none"/>
      <w:vertAlign w:val="baseline"/>
      <w:cs w:val="0"/>
      <w:em w:val="none"/>
    </w:rPr>
  </w:style>
  <w:style w:type="character" w:styleId="RefernciaIntensa">
    <w:name w:val="Intense Reference"/>
    <w:rPr>
      <w:b/>
      <w:w w:val="100"/>
      <w:position w:val="-1"/>
      <w:sz w:val="24"/>
      <w:u w:val="single"/>
      <w:effect w:val="none"/>
      <w:vertAlign w:val="baseline"/>
      <w:cs w:val="0"/>
      <w:em w:val="none"/>
    </w:rPr>
  </w:style>
  <w:style w:type="character" w:styleId="TtulodoLivro">
    <w:name w:val="Book Title"/>
    <w:rPr>
      <w:rFonts w:ascii="Cambria" w:eastAsia="Times New Roman" w:hAnsi="Cambria"/>
      <w:b/>
      <w:i/>
      <w:w w:val="100"/>
      <w:position w:val="-1"/>
      <w:sz w:val="24"/>
      <w:szCs w:val="24"/>
      <w:effect w:val="none"/>
      <w:vertAlign w:val="baseline"/>
      <w:cs w:val="0"/>
      <w:em w:val="none"/>
    </w:rPr>
  </w:style>
  <w:style w:type="paragraph" w:styleId="CabealhodoSumrio">
    <w:name w:val="TOC Heading"/>
    <w:basedOn w:val="Ttulo1"/>
    <w:next w:val="Normal"/>
    <w:qFormat/>
    <w:pPr>
      <w:outlineLvl w:val="9"/>
    </w:pPr>
  </w:style>
  <w:style w:type="paragraph" w:customStyle="1" w:styleId="textbody">
    <w:name w:val="textbody"/>
    <w:basedOn w:val="Normal"/>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rPr>
  </w:style>
  <w:style w:type="character" w:customStyle="1" w:styleId="apple-converted-space">
    <w:name w:val="apple-converted-space"/>
    <w:rPr>
      <w:w w:val="100"/>
      <w:position w:val="-1"/>
      <w:effect w:val="none"/>
      <w:vertAlign w:val="baseline"/>
      <w:cs w:val="0"/>
      <w:em w:val="none"/>
    </w:rPr>
  </w:style>
  <w:style w:type="paragraph" w:customStyle="1" w:styleId="Corpodetexto31">
    <w:name w:val="Corpo de texto 31"/>
    <w:basedOn w:val="Normal"/>
    <w:pPr>
      <w:spacing w:line="1" w:lineRule="atLeast"/>
      <w:ind w:leftChars="-1" w:left="-1" w:hangingChars="1" w:hanging="1"/>
      <w:jc w:val="both"/>
      <w:textDirection w:val="btLr"/>
      <w:textAlignment w:val="top"/>
      <w:outlineLvl w:val="0"/>
    </w:pPr>
    <w:rPr>
      <w:rFonts w:ascii="Arial" w:hAnsi="Arial"/>
      <w:position w:val="-1"/>
      <w:sz w:val="18"/>
      <w:szCs w:val="20"/>
      <w:lang w:eastAsia="ar-SA"/>
    </w:rPr>
  </w:style>
  <w:style w:type="character" w:customStyle="1" w:styleId="Corpodetexto31Char">
    <w:name w:val="Corpo de texto 31 Char"/>
    <w:rPr>
      <w:rFonts w:ascii="Arial" w:eastAsia="Times New Roman" w:hAnsi="Arial"/>
      <w:w w:val="100"/>
      <w:position w:val="-1"/>
      <w:sz w:val="18"/>
      <w:szCs w:val="20"/>
      <w:effect w:val="none"/>
      <w:vertAlign w:val="baseline"/>
      <w:cs w:val="0"/>
      <w:em w:val="none"/>
      <w:lang w:eastAsia="ar-SA"/>
    </w:rPr>
  </w:style>
  <w:style w:type="character" w:customStyle="1" w:styleId="WW-Fontepargpadro">
    <w:name w:val="WW-Fonte parág. padrão"/>
    <w:rPr>
      <w:w w:val="100"/>
      <w:position w:val="-1"/>
      <w:effect w:val="none"/>
      <w:vertAlign w:val="baseline"/>
      <w:cs w:val="0"/>
      <w:em w:val="none"/>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pPr>
      <w:suppressAutoHyphens/>
      <w:spacing w:line="1" w:lineRule="atLeast"/>
      <w:ind w:leftChars="-1" w:left="-1" w:hangingChars="1" w:hanging="1"/>
      <w:textDirection w:val="btLr"/>
      <w:textAlignment w:val="top"/>
      <w:outlineLvl w:val="0"/>
    </w:pPr>
    <w:rPr>
      <w:position w:val="-1"/>
      <w:sz w:val="20"/>
      <w:szCs w:val="20"/>
    </w:rPr>
  </w:style>
  <w:style w:type="character" w:customStyle="1" w:styleId="TextodecomentrioChar">
    <w:name w:val="Texto de comentário Char"/>
    <w:basedOn w:val="Fontepargpadro"/>
    <w:rPr>
      <w:w w:val="100"/>
      <w:position w:val="-1"/>
      <w:effect w:val="none"/>
      <w:vertAlign w:val="baseline"/>
      <w:cs w:val="0"/>
      <w:em w:val="none"/>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b/>
      <w:b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entury Gothic" w:hAnsi="Century Gothic" w:cs="Century Gothic"/>
      <w:color w:val="000000"/>
      <w:position w:val="-1"/>
    </w:rPr>
  </w:style>
  <w:style w:type="paragraph" w:customStyle="1" w:styleId="tj">
    <w:name w:val="tj"/>
    <w:basedOn w:val="Normal"/>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rPr>
  </w:style>
  <w:style w:type="character" w:customStyle="1" w:styleId="hlhilite">
    <w:name w:val="hl hilite"/>
    <w:basedOn w:val="Fontepargpadro"/>
    <w:rPr>
      <w:w w:val="100"/>
      <w:position w:val="-1"/>
      <w:effect w:val="none"/>
      <w:vertAlign w:val="baseline"/>
      <w:cs w:val="0"/>
      <w:em w:val="none"/>
    </w:rPr>
  </w:style>
  <w:style w:type="character" w:customStyle="1" w:styleId="markedcontent">
    <w:name w:val="markedcontent"/>
    <w:basedOn w:val="Fontepargpadro"/>
    <w:rPr>
      <w:w w:val="100"/>
      <w:position w:val="-1"/>
      <w:effect w:val="none"/>
      <w:vertAlign w:val="baseline"/>
      <w:cs w:val="0"/>
      <w:em w:val="none"/>
    </w:rPr>
  </w:style>
  <w:style w:type="paragraph" w:customStyle="1" w:styleId="tex3">
    <w:name w:val="tex3"/>
    <w:basedOn w:val="Normal"/>
    <w:pPr>
      <w:suppressAutoHyphens/>
      <w:spacing w:before="100" w:beforeAutospacing="1" w:after="100" w:afterAutospacing="1" w:line="1" w:lineRule="atLeast"/>
      <w:ind w:leftChars="-1" w:left="-1" w:hangingChars="1" w:hanging="1"/>
      <w:textDirection w:val="btLr"/>
      <w:textAlignment w:val="top"/>
      <w:outlineLvl w:val="0"/>
    </w:pPr>
    <w:rPr>
      <w:rFonts w:ascii="Times New Roman" w:hAnsi="Times New Roman"/>
      <w:position w:val="-1"/>
    </w:rPr>
  </w:style>
  <w:style w:type="paragraph" w:styleId="Textodenotadefim">
    <w:name w:val="endnote text"/>
    <w:basedOn w:val="Normal"/>
    <w:qFormat/>
    <w:pPr>
      <w:suppressAutoHyphens/>
      <w:spacing w:line="1" w:lineRule="atLeast"/>
      <w:ind w:leftChars="-1" w:left="-1" w:hangingChars="1" w:hanging="1"/>
      <w:textDirection w:val="btLr"/>
      <w:textAlignment w:val="top"/>
      <w:outlineLvl w:val="0"/>
    </w:pPr>
    <w:rPr>
      <w:position w:val="-1"/>
      <w:sz w:val="20"/>
      <w:szCs w:val="20"/>
    </w:rPr>
  </w:style>
  <w:style w:type="character" w:customStyle="1" w:styleId="TextodenotadefimChar">
    <w:name w:val="Texto de nota de fim Char"/>
    <w:basedOn w:val="Fontepargpadro"/>
    <w:rPr>
      <w:w w:val="100"/>
      <w:position w:val="-1"/>
      <w:effect w:val="none"/>
      <w:vertAlign w:val="baseline"/>
      <w:cs w:val="0"/>
      <w:em w:val="none"/>
    </w:rPr>
  </w:style>
  <w:style w:type="character" w:styleId="Refdenotadefim">
    <w:name w:val="endnote reference"/>
    <w:qFormat/>
    <w:rPr>
      <w:w w:val="100"/>
      <w:position w:val="-1"/>
      <w:effect w:val="none"/>
      <w:vertAlign w:val="superscript"/>
      <w:cs w:val="0"/>
      <w:em w:val="none"/>
    </w:rPr>
  </w:style>
  <w:style w:type="character" w:styleId="MenoPendente">
    <w:name w:val="Unresolved Mention"/>
    <w:qFormat/>
    <w:rPr>
      <w:color w:val="605E5C"/>
      <w:w w:val="100"/>
      <w:position w:val="-1"/>
      <w:effect w:val="none"/>
      <w:shd w:val="clear" w:color="auto" w:fill="E1DFDD"/>
      <w:vertAlign w:val="baseline"/>
      <w:cs w:val="0"/>
      <w:em w:val="none"/>
    </w:rPr>
  </w:style>
  <w:style w:type="paragraph" w:styleId="Cabealho">
    <w:name w:val="header"/>
    <w:basedOn w:val="Normal"/>
    <w:link w:val="CabealhoChar"/>
    <w:uiPriority w:val="99"/>
    <w:unhideWhenUsed/>
    <w:rsid w:val="000B0156"/>
    <w:pPr>
      <w:tabs>
        <w:tab w:val="center" w:pos="4252"/>
        <w:tab w:val="right" w:pos="8504"/>
      </w:tabs>
    </w:pPr>
  </w:style>
  <w:style w:type="character" w:customStyle="1" w:styleId="CabealhoChar">
    <w:name w:val="Cabeçalho Char"/>
    <w:basedOn w:val="Fontepargpadro"/>
    <w:link w:val="Cabealho"/>
    <w:uiPriority w:val="99"/>
    <w:rsid w:val="000B0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s6Sc9IjbfMqfVFXTTD3SClNjQ==">CgMxLjAyD2lkLmJhYzdtcmQ5ZDdoeDIPaWQucm5hOGFuN3ZhNHFqOAByITFDV0cxUGR6dmhZcGFkUWgxd2FJZ0U0MEtyc1FESEptcw==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975</Words>
  <Characters>5267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Gabriel Moreira</cp:lastModifiedBy>
  <cp:revision>4</cp:revision>
  <dcterms:created xsi:type="dcterms:W3CDTF">2025-11-12T19:22:00Z</dcterms:created>
  <dcterms:modified xsi:type="dcterms:W3CDTF">2025-11-13T10:53:00Z</dcterms:modified>
</cp:coreProperties>
</file>