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BA5" w:rsidRDefault="00FA5BA5">
      <w:pPr>
        <w:spacing w:after="0" w:line="360" w:lineRule="auto"/>
        <w:jc w:val="center"/>
        <w:rPr>
          <w:rFonts w:ascii="Arial" w:eastAsia="Roboto" w:hAnsi="Arial" w:cs="Arial"/>
          <w:b/>
          <w:sz w:val="24"/>
        </w:rPr>
      </w:pPr>
    </w:p>
    <w:p w:rsidR="00BD4980" w:rsidRDefault="00F84869">
      <w:pPr>
        <w:spacing w:after="0" w:line="360" w:lineRule="auto"/>
        <w:jc w:val="center"/>
        <w:rPr>
          <w:rFonts w:ascii="Arial" w:eastAsia="Roboto" w:hAnsi="Arial" w:cs="Arial"/>
          <w:b/>
          <w:sz w:val="24"/>
        </w:rPr>
      </w:pPr>
      <w:r>
        <w:rPr>
          <w:rFonts w:ascii="Arial" w:eastAsia="Roboto" w:hAnsi="Arial" w:cs="Arial"/>
          <w:b/>
          <w:sz w:val="24"/>
        </w:rPr>
        <w:t>ESTUDO TÉCNICO PRELIMINAR (ETP)</w:t>
      </w:r>
    </w:p>
    <w:p w:rsidR="00BD4980" w:rsidRDefault="00BD4980">
      <w:pPr>
        <w:spacing w:after="0" w:line="360" w:lineRule="auto"/>
        <w:jc w:val="center"/>
        <w:rPr>
          <w:rFonts w:ascii="Arial" w:eastAsia="Roboto" w:hAnsi="Arial" w:cs="Arial"/>
          <w:b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I - DESCRIÇÃO DA NECESSIDADE DA CONTRATAÇÃO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 xml:space="preserve">1.1. </w:t>
      </w:r>
      <w:r w:rsidR="00206F9F" w:rsidRPr="00206F9F">
        <w:rPr>
          <w:rFonts w:ascii="Arial" w:eastAsia="Roboto" w:hAnsi="Arial" w:cs="Arial"/>
        </w:rPr>
        <w:t xml:space="preserve">A execução da obra de calçamento em pavimento </w:t>
      </w:r>
      <w:proofErr w:type="spellStart"/>
      <w:r w:rsidR="00206F9F" w:rsidRPr="00206F9F">
        <w:rPr>
          <w:rFonts w:ascii="Arial" w:eastAsia="Roboto" w:hAnsi="Arial" w:cs="Arial"/>
        </w:rPr>
        <w:t>intertravado</w:t>
      </w:r>
      <w:proofErr w:type="spellEnd"/>
      <w:r w:rsidR="00206F9F" w:rsidRPr="00206F9F">
        <w:rPr>
          <w:rFonts w:ascii="Arial" w:eastAsia="Roboto" w:hAnsi="Arial" w:cs="Arial"/>
        </w:rPr>
        <w:t xml:space="preserve"> com bloco sextavado nas seguintes vias: Rua </w:t>
      </w:r>
      <w:proofErr w:type="spellStart"/>
      <w:r w:rsidR="00206F9F" w:rsidRPr="00206F9F">
        <w:rPr>
          <w:rFonts w:ascii="Arial" w:eastAsia="Roboto" w:hAnsi="Arial" w:cs="Arial"/>
        </w:rPr>
        <w:t>Hermelindo</w:t>
      </w:r>
      <w:proofErr w:type="spellEnd"/>
      <w:r w:rsidR="00206F9F" w:rsidRPr="00206F9F">
        <w:rPr>
          <w:rFonts w:ascii="Arial" w:eastAsia="Roboto" w:hAnsi="Arial" w:cs="Arial"/>
        </w:rPr>
        <w:t xml:space="preserve"> José de Sá (Bairro Itatiaia), Rua Jacinto Mota e Travessa Diamantina (Bairro Arraial), </w:t>
      </w:r>
      <w:r w:rsidR="00206F9F">
        <w:rPr>
          <w:rFonts w:ascii="Arial" w:eastAsia="Roboto" w:hAnsi="Arial" w:cs="Arial"/>
        </w:rPr>
        <w:t>e</w:t>
      </w:r>
      <w:r w:rsidR="00206F9F" w:rsidRPr="00206F9F">
        <w:rPr>
          <w:rFonts w:ascii="Arial" w:eastAsia="Roboto" w:hAnsi="Arial" w:cs="Arial"/>
        </w:rPr>
        <w:t xml:space="preserve"> implantação de sistema de drenagem pluvial na Rua </w:t>
      </w:r>
      <w:proofErr w:type="spellStart"/>
      <w:r w:rsidR="00206F9F" w:rsidRPr="00206F9F">
        <w:rPr>
          <w:rFonts w:ascii="Arial" w:eastAsia="Roboto" w:hAnsi="Arial" w:cs="Arial"/>
        </w:rPr>
        <w:t>Hermelindo</w:t>
      </w:r>
      <w:proofErr w:type="spellEnd"/>
      <w:r w:rsidR="00206F9F" w:rsidRPr="00206F9F">
        <w:rPr>
          <w:rFonts w:ascii="Arial" w:eastAsia="Roboto" w:hAnsi="Arial" w:cs="Arial"/>
        </w:rPr>
        <w:t xml:space="preserve"> José de Sá, no Município de Araçuaí/MG</w:t>
      </w:r>
      <w:r w:rsidR="00B84C47" w:rsidRPr="00B84C47">
        <w:rPr>
          <w:rFonts w:ascii="Arial" w:eastAsia="Roboto" w:hAnsi="Arial" w:cs="Arial"/>
        </w:rPr>
        <w:t>, conforme estabelecido no Contrato de Repasse nº 1491001758/2025, firmado entre a Secretaria de Estado de Governo – SEGOV e o Município de Araçuaí/MG, mostra-se fundamental para a melhoria das condições de vida dos moradores. A intervenção proporcionará infraestrutura adequada, contribuirá para a mobilidade urbana e minimizará os impactos negativos decorrentes da ausência de pavimentação e de drenagem eficiente.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1.2. Justificativa:</w:t>
      </w:r>
    </w:p>
    <w:p w:rsidR="00206F9F" w:rsidRDefault="00206F9F">
      <w:pPr>
        <w:spacing w:after="0" w:line="360" w:lineRule="auto"/>
        <w:jc w:val="both"/>
        <w:rPr>
          <w:rFonts w:ascii="Arial" w:eastAsia="Roboto" w:hAnsi="Arial" w:cs="Arial"/>
        </w:rPr>
      </w:pPr>
      <w:r w:rsidRPr="00206F9F">
        <w:rPr>
          <w:rFonts w:ascii="Arial" w:eastAsia="Roboto" w:hAnsi="Arial" w:cs="Arial"/>
        </w:rPr>
        <w:t xml:space="preserve">A ausência de pavimentação nas ruas citadas, aliada à inexistência de drenagem pluvial na Rua </w:t>
      </w:r>
      <w:proofErr w:type="spellStart"/>
      <w:r w:rsidRPr="00206F9F">
        <w:rPr>
          <w:rFonts w:ascii="Arial" w:eastAsia="Roboto" w:hAnsi="Arial" w:cs="Arial"/>
        </w:rPr>
        <w:t>Hermelindo</w:t>
      </w:r>
      <w:proofErr w:type="spellEnd"/>
      <w:r w:rsidRPr="00206F9F">
        <w:rPr>
          <w:rFonts w:ascii="Arial" w:eastAsia="Roboto" w:hAnsi="Arial" w:cs="Arial"/>
        </w:rPr>
        <w:t xml:space="preserve"> José de Sá, tem gerado prejuízos à mobilidade, deterioração da infraestrutura, riscos sanitários, problemas de segurança e desvalorização imobiliária. Trata-se de uma demanda antiga dos moradores e de uma necessidade urgente de intervenção pública. Assim, a realização do processo licitatório para pavimentação em blocos sextavados e implantação de drenagem pluvial na referida rua é fundamental para atender às necessidades locais, promover o desenvolvimento urbano e melhorar significativamente a qualidade de vida da comunidade.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1.3. Objetivos:</w:t>
      </w:r>
    </w:p>
    <w:p w:rsidR="00BD4980" w:rsidRDefault="00F84869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t>Executar a obra dentro dos padrões de segurança e qualidade.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1.4. Legislação Aplicável:</w:t>
      </w:r>
    </w:p>
    <w:p w:rsidR="00BD4980" w:rsidRDefault="00F8486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t>Lei Federal N° 14.133/2021.</w:t>
      </w:r>
    </w:p>
    <w:p w:rsidR="00BD4980" w:rsidRDefault="00BD4980">
      <w:pPr>
        <w:spacing w:after="0" w:line="360" w:lineRule="auto"/>
        <w:jc w:val="both"/>
        <w:rPr>
          <w:rFonts w:ascii="Arial" w:eastAsia="Roboto" w:hAnsi="Arial" w:cs="Arial"/>
          <w:b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II - REQUISITOS DA CONTRATAÇÃO</w:t>
      </w:r>
    </w:p>
    <w:p w:rsidR="00BD4980" w:rsidRDefault="00F84869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t>Adesão às normas técnicas e de segurança.</w:t>
      </w:r>
    </w:p>
    <w:p w:rsidR="00BD4980" w:rsidRDefault="00F84869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t>Respeito aos critérios ambientais.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2.1. Modalidade de Licitação:</w:t>
      </w:r>
    </w:p>
    <w:p w:rsidR="00BD4980" w:rsidRDefault="00F84869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t>Modalidade: Concorrência, conforme Art. 6°, XXXVIII da Lei Nacional N° 14.133/2021. Esta modalidade é apropriada para contratos de grande vulto, característica comum em obras de engenharia.</w:t>
      </w:r>
    </w:p>
    <w:p w:rsidR="00BD4980" w:rsidRDefault="00F84869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lastRenderedPageBreak/>
        <w:t>Critério de Julgamento: Menor Preço Global, em linha com o Art. 6°, inciso XXXVIII, alínea "a" da Lei Nacional N° 14.133/2021. Este critério busca a proposta mais vantajosa para a administração pública, considerando o custo total da obra.</w:t>
      </w:r>
    </w:p>
    <w:p w:rsidR="00BD4980" w:rsidRDefault="00F84869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t>Regime de Execução: Empreitada por Preço Unitário, de acordo com o Art. 6°, inciso XXVIII, e Art. 46, inciso I da Lei Nacional N° 14.133/2021. Este regime permite a contratação de serviços com quantitativos e custos unitários previamente definidos, facilitando o controle e a fiscalização da execução da obra.</w:t>
      </w:r>
    </w:p>
    <w:p w:rsidR="00BD4980" w:rsidRDefault="00BD4980">
      <w:pPr>
        <w:spacing w:after="0" w:line="360" w:lineRule="auto"/>
        <w:ind w:left="720"/>
        <w:jc w:val="both"/>
        <w:rPr>
          <w:rFonts w:ascii="Arial" w:hAnsi="Arial" w:cs="Arial"/>
          <w:color w:val="000000"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III - ESTIMATIVAS DE QUANTIDADES E CUSTOS</w:t>
      </w:r>
      <w:bookmarkStart w:id="0" w:name="_GoBack"/>
      <w:bookmarkEnd w:id="0"/>
    </w:p>
    <w:p w:rsidR="00BD4980" w:rsidRDefault="00F84869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Roboto" w:hAnsi="Arial" w:cs="Arial"/>
        </w:rPr>
        <w:t>Detalhamento das estimativas de custo e prazo.</w:t>
      </w:r>
    </w:p>
    <w:p w:rsidR="00BD4980" w:rsidRDefault="00BD4980">
      <w:pPr>
        <w:spacing w:after="0" w:line="360" w:lineRule="auto"/>
        <w:ind w:left="720"/>
        <w:jc w:val="both"/>
        <w:rPr>
          <w:rFonts w:ascii="Arial" w:hAnsi="Arial" w:cs="Arial"/>
          <w:color w:val="000000"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IV - LEVANTAMENTO DE MERCADO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Conforme o Art. 23, § 2º da Lei Nacional 14.133/2021, o levantamento de mercado para a obra de pavimentação será realizado seguindo os seguintes parâmetros:</w:t>
      </w:r>
    </w:p>
    <w:p w:rsidR="00B84C47" w:rsidRDefault="00B84C47" w:rsidP="00B84C47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Arial" w:eastAsia="Roboto" w:hAnsi="Arial" w:cs="Arial"/>
        </w:rPr>
      </w:pPr>
      <w:r w:rsidRPr="00B84C47">
        <w:rPr>
          <w:rFonts w:ascii="Arial" w:eastAsia="Roboto" w:hAnsi="Arial" w:cs="Arial"/>
          <w:b/>
        </w:rPr>
        <w:t>Composição de Custos Unitários (Art. 23, § 2º, I)</w:t>
      </w:r>
      <w:r w:rsidRPr="00B84C47">
        <w:rPr>
          <w:rFonts w:ascii="Arial" w:eastAsia="Roboto" w:hAnsi="Arial" w:cs="Arial"/>
        </w:rPr>
        <w:t xml:space="preserve">: A estimativa de custos será elaborada com base nas referências oficiais aplicáveis, utilizando-se o </w:t>
      </w:r>
      <w:r w:rsidRPr="00B84C47">
        <w:rPr>
          <w:rFonts w:ascii="Arial" w:eastAsia="Roboto" w:hAnsi="Arial" w:cs="Arial"/>
          <w:b/>
        </w:rPr>
        <w:t>Sistema Nacional de Pesquisa de Custos e Índices da Construção Civil (SINAPI</w:t>
      </w:r>
      <w:r>
        <w:rPr>
          <w:rFonts w:ascii="Arial" w:eastAsia="Roboto" w:hAnsi="Arial" w:cs="Arial"/>
          <w:b/>
        </w:rPr>
        <w:t>/MG</w:t>
      </w:r>
      <w:r w:rsidRPr="00B84C47">
        <w:rPr>
          <w:rFonts w:ascii="Arial" w:eastAsia="Roboto" w:hAnsi="Arial" w:cs="Arial"/>
          <w:b/>
        </w:rPr>
        <w:t>)</w:t>
      </w:r>
      <w:r w:rsidRPr="00B84C47">
        <w:rPr>
          <w:rFonts w:ascii="Arial" w:eastAsia="Roboto" w:hAnsi="Arial" w:cs="Arial"/>
        </w:rPr>
        <w:t xml:space="preserve">, o </w:t>
      </w:r>
      <w:r w:rsidRPr="00B84C47">
        <w:rPr>
          <w:rFonts w:ascii="Arial" w:eastAsia="Roboto" w:hAnsi="Arial" w:cs="Arial"/>
          <w:b/>
        </w:rPr>
        <w:t>Sistema de Custos e Orçamentos Referenciais de Minas Gerais (SICOR/MG)</w:t>
      </w:r>
      <w:r w:rsidRPr="00B84C47">
        <w:rPr>
          <w:rFonts w:ascii="Arial" w:eastAsia="Roboto" w:hAnsi="Arial" w:cs="Arial"/>
        </w:rPr>
        <w:t xml:space="preserve"> e o </w:t>
      </w:r>
      <w:r w:rsidRPr="00B84C47">
        <w:rPr>
          <w:rFonts w:ascii="Arial" w:eastAsia="Roboto" w:hAnsi="Arial" w:cs="Arial"/>
          <w:b/>
        </w:rPr>
        <w:t>Sistema de Custos Rodoviários de Minas Gerais (SICRO/MG)</w:t>
      </w:r>
      <w:r w:rsidRPr="00B84C47">
        <w:rPr>
          <w:rFonts w:ascii="Arial" w:eastAsia="Roboto" w:hAnsi="Arial" w:cs="Arial"/>
        </w:rPr>
        <w:t>, quando pertinente. Tais sistemas oferecem composições, insumos e preços atualizados, assegurando precisão orçamentária, padronização e conformidade com as diretrizes legais para obras de engenharia.</w:t>
      </w:r>
    </w:p>
    <w:p w:rsidR="00B84C47" w:rsidRPr="00B84C47" w:rsidRDefault="00B84C47" w:rsidP="00B84C47">
      <w:pPr>
        <w:pStyle w:val="PargrafodaLista"/>
        <w:spacing w:after="0" w:line="360" w:lineRule="auto"/>
        <w:jc w:val="both"/>
        <w:rPr>
          <w:rFonts w:ascii="Arial" w:eastAsia="Roboto" w:hAnsi="Arial" w:cs="Arial"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V - DESCRIÇÃO DA SOLUÇÃO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Terceirização dos serviços de execução, assegurando eficiência e qualidade.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Conformidade com o Art. 18, § 3º da Lei 14.133/2021 e a Nota Técnica do IBRAOP, demonstrando a natureza de obra comum de engenharia.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 xml:space="preserve">A Nota Técnica do IBRAOP (Instituto Brasileiro de Auditoria de Obras Públicas) sobre obra comum e obra especial de engenharia, conforme a Lei nº 14.133/2021, define obras </w:t>
      </w:r>
      <w:r>
        <w:rPr>
          <w:rFonts w:ascii="Arial" w:eastAsia="Roboto" w:hAnsi="Arial" w:cs="Arial"/>
          <w:b/>
        </w:rPr>
        <w:t>comuns de engenharia como aquelas que envolvem técnicas padrão e amplamente disponíveis no mercado, com métodos construtivos, materiais e mão-de-obra padronizáveis e de conhecimento geral.</w:t>
      </w:r>
      <w:r>
        <w:rPr>
          <w:rFonts w:ascii="Arial" w:eastAsia="Roboto" w:hAnsi="Arial" w:cs="Arial"/>
        </w:rPr>
        <w:t xml:space="preserve"> Essas obras são caracterizadas por sua baixa complexidade técnica, risco de engenharia reduzido, e geralmente são de pequeno e médio porte.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 xml:space="preserve">Com base nesta definição, o projeto de pavimentação em blocos de concreto sextavados se enquadra como uma obra comum de engenharia. A terceirização dos serviços de execução desta </w:t>
      </w:r>
      <w:r>
        <w:rPr>
          <w:rFonts w:ascii="Arial" w:eastAsia="Roboto" w:hAnsi="Arial" w:cs="Arial"/>
        </w:rPr>
        <w:lastRenderedPageBreak/>
        <w:t>obra, portanto, segue o Art. 18, § 3º da Lei 14.133/2021, que permite a especificação do objeto em termo de referência ou projeto básico, dispensando a elaboração de projetos detalhados, desde que isso não prejudique os padrões de desempenho e qualidade almejados. Isso indica que, para esta obra comum de engenharia, a especificação mais simplificada do projeto é suficiente para atender aos requisitos necessários, mantendo a eficiência e qualidade esperadas.</w:t>
      </w:r>
    </w:p>
    <w:p w:rsidR="00BD4980" w:rsidRDefault="00BD4980">
      <w:pPr>
        <w:spacing w:after="0" w:line="360" w:lineRule="auto"/>
        <w:ind w:left="720"/>
        <w:jc w:val="both"/>
        <w:rPr>
          <w:rFonts w:ascii="Arial" w:eastAsia="Roboto" w:hAnsi="Arial" w:cs="Arial"/>
        </w:rPr>
      </w:pPr>
    </w:p>
    <w:p w:rsidR="00A538FF" w:rsidRDefault="00A538FF">
      <w:pPr>
        <w:spacing w:after="0" w:line="360" w:lineRule="auto"/>
        <w:ind w:left="720"/>
        <w:jc w:val="both"/>
        <w:rPr>
          <w:rFonts w:ascii="Arial" w:eastAsia="Roboto" w:hAnsi="Arial" w:cs="Arial"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VI - JUSTIFICATIVAS PARA A ESCOLHA DO REGIME DE CONTRATAÇÃO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 xml:space="preserve">Optou-se pelo regime de </w:t>
      </w:r>
      <w:r>
        <w:rPr>
          <w:rFonts w:ascii="Arial" w:eastAsia="Roboto" w:hAnsi="Arial" w:cs="Arial"/>
          <w:b/>
        </w:rPr>
        <w:t>empreitada por preço unitário</w:t>
      </w:r>
      <w:r>
        <w:rPr>
          <w:rFonts w:ascii="Arial" w:eastAsia="Roboto" w:hAnsi="Arial" w:cs="Arial"/>
        </w:rPr>
        <w:t>, alinhado com o Art. 46, inciso I da Lei Nacional N° 14.133/2021. Esta escolha permite uma avaliação mais detalhada dos custos associados a cada etapa da obra, promovendo transparência e eficiência no controle dos gastos. Tal abordagem é ideal para obras comuns de engenharia, como é o caso da pavimentação</w:t>
      </w:r>
      <w:r w:rsidR="00206F9F">
        <w:rPr>
          <w:rFonts w:ascii="Arial" w:eastAsia="Roboto" w:hAnsi="Arial" w:cs="Arial"/>
        </w:rPr>
        <w:t xml:space="preserve"> e drenagem</w:t>
      </w:r>
      <w:r>
        <w:rPr>
          <w:rFonts w:ascii="Arial" w:eastAsia="Roboto" w:hAnsi="Arial" w:cs="Arial"/>
        </w:rPr>
        <w:t>, onde os serviços e materiais podem ser claramente quantificados e valorados.</w:t>
      </w:r>
    </w:p>
    <w:p w:rsidR="00BD4980" w:rsidRDefault="00BD4980">
      <w:pPr>
        <w:spacing w:after="0" w:line="360" w:lineRule="auto"/>
        <w:jc w:val="both"/>
        <w:rPr>
          <w:rFonts w:ascii="Arial" w:eastAsia="Roboto" w:hAnsi="Arial" w:cs="Arial"/>
          <w:b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VII - RESULTADOS ESPERADOS COM A OBRA</w:t>
      </w:r>
    </w:p>
    <w:p w:rsidR="00BD4980" w:rsidRDefault="00206F9F">
      <w:pPr>
        <w:spacing w:after="0" w:line="360" w:lineRule="auto"/>
        <w:jc w:val="both"/>
        <w:rPr>
          <w:rFonts w:ascii="Arial" w:eastAsia="Roboto" w:hAnsi="Arial" w:cs="Arial"/>
        </w:rPr>
      </w:pPr>
      <w:r w:rsidRPr="00206F9F">
        <w:rPr>
          <w:rFonts w:ascii="Arial" w:eastAsia="Roboto" w:hAnsi="Arial" w:cs="Arial"/>
        </w:rPr>
        <w:t xml:space="preserve">A pavimentação das Ruas </w:t>
      </w:r>
      <w:proofErr w:type="spellStart"/>
      <w:r w:rsidRPr="00206F9F">
        <w:rPr>
          <w:rFonts w:ascii="Arial" w:eastAsia="Roboto" w:hAnsi="Arial" w:cs="Arial"/>
        </w:rPr>
        <w:t>Hermelindo</w:t>
      </w:r>
      <w:proofErr w:type="spellEnd"/>
      <w:r w:rsidRPr="00206F9F">
        <w:rPr>
          <w:rFonts w:ascii="Arial" w:eastAsia="Roboto" w:hAnsi="Arial" w:cs="Arial"/>
        </w:rPr>
        <w:t xml:space="preserve"> José de Sá, Jacinto Mota e Travessa Diamantina, juntamente com a execução da drenagem pluvial na Rua </w:t>
      </w:r>
      <w:proofErr w:type="spellStart"/>
      <w:r w:rsidRPr="00206F9F">
        <w:rPr>
          <w:rFonts w:ascii="Arial" w:eastAsia="Roboto" w:hAnsi="Arial" w:cs="Arial"/>
        </w:rPr>
        <w:t>Hermelindo</w:t>
      </w:r>
      <w:proofErr w:type="spellEnd"/>
      <w:r w:rsidRPr="00206F9F">
        <w:rPr>
          <w:rFonts w:ascii="Arial" w:eastAsia="Roboto" w:hAnsi="Arial" w:cs="Arial"/>
        </w:rPr>
        <w:t xml:space="preserve"> José de Sá, permitirá melhorar a mobilidade urbana, reduzir poeira e lama, aumentar a segurança viária e valorizar os imóveis da região. A drenagem garantirá o escoamento adequado das águas das chuvas, prevenindo alagamentos, erosões e danos ao pavimento, além de contribuir para melhores condições de saúde pública. As intervenções atenderão a uma demanda antiga dos moradores e fortalecerão o compromisso do poder público com o desenvolvimento urbano e o bem-estar da </w:t>
      </w:r>
      <w:r>
        <w:rPr>
          <w:rFonts w:ascii="Arial" w:eastAsia="Roboto" w:hAnsi="Arial" w:cs="Arial"/>
        </w:rPr>
        <w:t>população local.</w:t>
      </w:r>
    </w:p>
    <w:p w:rsidR="00206F9F" w:rsidRDefault="00206F9F">
      <w:pPr>
        <w:spacing w:after="0" w:line="360" w:lineRule="auto"/>
        <w:jc w:val="both"/>
        <w:rPr>
          <w:rFonts w:ascii="Arial" w:eastAsia="Roboto" w:hAnsi="Arial" w:cs="Arial"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VIII - PROVIDÊNCIAS PRÉVIAS À EXECUÇÃO DA OBRA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Incluirá treinamento e preparação das equipes responsáveis pela fiscalização e gestão do contrato, garantindo que todos os envolvidos estejam alinhados com os padrões técnicos e normas de segurança exigidos.</w:t>
      </w:r>
    </w:p>
    <w:p w:rsidR="00BD4980" w:rsidRDefault="00BD4980">
      <w:pPr>
        <w:spacing w:after="0" w:line="360" w:lineRule="auto"/>
        <w:jc w:val="both"/>
        <w:rPr>
          <w:rFonts w:ascii="Arial" w:eastAsia="Roboto" w:hAnsi="Arial" w:cs="Arial"/>
          <w:b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IX - CONTRATAÇÕES RELACIONADAS E INTERDEPENDÊNCIAS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Deve-se avaliar se existem outras obras ou serviços necessários que estejam relacionados à pavimentação de ruas nos Bairros São Francisco I e São Francisco II, para garantir uma execução coordenada e eficiente.</w:t>
      </w:r>
    </w:p>
    <w:p w:rsidR="00B84C47" w:rsidRDefault="00B84C47">
      <w:pPr>
        <w:spacing w:after="0" w:line="360" w:lineRule="auto"/>
        <w:jc w:val="both"/>
        <w:rPr>
          <w:rFonts w:ascii="Arial" w:eastAsia="Roboto" w:hAnsi="Arial" w:cs="Arial"/>
        </w:rPr>
      </w:pPr>
    </w:p>
    <w:p w:rsidR="00B84C47" w:rsidRDefault="00B84C47">
      <w:pPr>
        <w:spacing w:after="0" w:line="360" w:lineRule="auto"/>
        <w:jc w:val="both"/>
        <w:rPr>
          <w:rFonts w:ascii="Arial" w:eastAsia="Roboto" w:hAnsi="Arial" w:cs="Arial"/>
        </w:rPr>
      </w:pPr>
    </w:p>
    <w:p w:rsidR="00BD4980" w:rsidRDefault="00BD4980">
      <w:pPr>
        <w:spacing w:after="0" w:line="360" w:lineRule="auto"/>
        <w:jc w:val="both"/>
        <w:rPr>
          <w:rFonts w:ascii="Arial" w:eastAsia="Roboto" w:hAnsi="Arial" w:cs="Arial"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X - IMPACTO AMBIENTAL E MEDIDAS DE MITIGAÇÃO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Será realizada uma avaliação do impacto ambiental da obra, com o estabelecimento de medidas mitigadoras para minimizar quaisquer efeitos negativos no entorno da escola.</w:t>
      </w:r>
    </w:p>
    <w:p w:rsidR="00C10AC6" w:rsidRDefault="00C10AC6">
      <w:pPr>
        <w:spacing w:after="0" w:line="360" w:lineRule="auto"/>
        <w:jc w:val="both"/>
        <w:rPr>
          <w:rFonts w:ascii="Arial" w:eastAsia="Roboto" w:hAnsi="Arial" w:cs="Arial"/>
          <w:b/>
        </w:rPr>
      </w:pP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  <w:b/>
        </w:rPr>
      </w:pPr>
      <w:r>
        <w:rPr>
          <w:rFonts w:ascii="Arial" w:eastAsia="Roboto" w:hAnsi="Arial" w:cs="Arial"/>
          <w:b/>
        </w:rPr>
        <w:t>XI - CONCLUSÃO E POSICIONAMENTO SOBRE A CONTRATAÇÃO</w:t>
      </w:r>
    </w:p>
    <w:p w:rsidR="00BD4980" w:rsidRDefault="00F84869">
      <w:pPr>
        <w:spacing w:after="0" w:line="360" w:lineRule="auto"/>
        <w:jc w:val="both"/>
        <w:rPr>
          <w:rFonts w:ascii="Arial" w:eastAsia="Roboto" w:hAnsi="Arial" w:cs="Arial"/>
        </w:rPr>
      </w:pPr>
      <w:r>
        <w:rPr>
          <w:rFonts w:ascii="Arial" w:eastAsia="Roboto" w:hAnsi="Arial" w:cs="Arial"/>
        </w:rPr>
        <w:t>Conclui-se que a contratação para a obra de pavimentação é essencial ao interesse público e está alinhada com os objetivos de desenvolvimento do município de Araçuaí.</w:t>
      </w:r>
    </w:p>
    <w:p w:rsidR="00BD4980" w:rsidRDefault="00BD4980">
      <w:pPr>
        <w:spacing w:after="0" w:line="360" w:lineRule="auto"/>
        <w:jc w:val="both"/>
        <w:rPr>
          <w:rFonts w:ascii="Arial" w:eastAsia="Roboto" w:hAnsi="Arial" w:cs="Arial"/>
        </w:rPr>
      </w:pPr>
    </w:p>
    <w:p w:rsidR="00BD4980" w:rsidRDefault="00F84869">
      <w:pPr>
        <w:spacing w:after="0" w:line="360" w:lineRule="auto"/>
        <w:jc w:val="right"/>
        <w:rPr>
          <w:rFonts w:ascii="Arial" w:eastAsia="Trebuchet MS" w:hAnsi="Arial" w:cs="Arial"/>
        </w:rPr>
      </w:pPr>
      <w:r>
        <w:rPr>
          <w:rFonts w:ascii="Arial" w:eastAsia="Trebuchet MS" w:hAnsi="Arial" w:cs="Arial"/>
        </w:rPr>
        <w:t xml:space="preserve">Araçuaí, </w:t>
      </w:r>
      <w:r w:rsidR="00B84C47">
        <w:rPr>
          <w:rFonts w:ascii="Arial" w:eastAsia="Trebuchet MS" w:hAnsi="Arial" w:cs="Arial"/>
        </w:rPr>
        <w:t>24</w:t>
      </w:r>
      <w:r w:rsidR="00C10AC6">
        <w:rPr>
          <w:rFonts w:ascii="Arial" w:eastAsia="Trebuchet MS" w:hAnsi="Arial" w:cs="Arial"/>
        </w:rPr>
        <w:t xml:space="preserve"> de </w:t>
      </w:r>
      <w:r w:rsidR="00B84C47">
        <w:rPr>
          <w:rFonts w:ascii="Arial" w:eastAsia="Trebuchet MS" w:hAnsi="Arial" w:cs="Arial"/>
        </w:rPr>
        <w:t>novembro</w:t>
      </w:r>
      <w:r w:rsidR="00C10AC6">
        <w:rPr>
          <w:rFonts w:ascii="Arial" w:eastAsia="Trebuchet MS" w:hAnsi="Arial" w:cs="Arial"/>
        </w:rPr>
        <w:t xml:space="preserve"> de 202</w:t>
      </w:r>
      <w:r w:rsidR="00B84C47">
        <w:rPr>
          <w:rFonts w:ascii="Arial" w:eastAsia="Trebuchet MS" w:hAnsi="Arial" w:cs="Arial"/>
        </w:rPr>
        <w:t>5</w:t>
      </w:r>
      <w:r w:rsidR="00C10AC6">
        <w:rPr>
          <w:rFonts w:ascii="Arial" w:eastAsia="Trebuchet MS" w:hAnsi="Arial" w:cs="Arial"/>
        </w:rPr>
        <w:t>.</w:t>
      </w:r>
    </w:p>
    <w:p w:rsidR="00BD4980" w:rsidRDefault="00BD4980">
      <w:pPr>
        <w:spacing w:after="0" w:line="360" w:lineRule="auto"/>
        <w:jc w:val="both"/>
        <w:rPr>
          <w:rFonts w:ascii="Arial" w:eastAsia="Trebuchet MS" w:hAnsi="Arial" w:cs="Arial"/>
        </w:rPr>
      </w:pPr>
    </w:p>
    <w:p w:rsidR="00BD4980" w:rsidRDefault="00BD4980">
      <w:pPr>
        <w:spacing w:after="0" w:line="360" w:lineRule="auto"/>
        <w:jc w:val="center"/>
        <w:rPr>
          <w:rFonts w:ascii="Arial" w:eastAsia="Trebuchet MS" w:hAnsi="Arial" w:cs="Arial"/>
        </w:rPr>
      </w:pPr>
    </w:p>
    <w:p w:rsidR="00BD4980" w:rsidRDefault="00BD4980">
      <w:pPr>
        <w:spacing w:after="0" w:line="360" w:lineRule="auto"/>
        <w:jc w:val="center"/>
        <w:rPr>
          <w:rFonts w:ascii="Arial" w:eastAsia="Trebuchet MS" w:hAnsi="Arial" w:cs="Arial"/>
        </w:rPr>
      </w:pPr>
    </w:p>
    <w:p w:rsidR="00BD4980" w:rsidRDefault="00B84C4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Hélio Costa dos Santos </w:t>
      </w:r>
    </w:p>
    <w:p w:rsidR="00BD4980" w:rsidRDefault="00F8486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 Municipal de Desenvolvimento Urbano</w:t>
      </w:r>
    </w:p>
    <w:p w:rsidR="00BD4980" w:rsidRDefault="00BD498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10AC6" w:rsidRDefault="00C10AC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10AC6" w:rsidRDefault="00C10AC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D4980" w:rsidRDefault="00F8486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Géssica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Maria Santos Andrade</w:t>
      </w:r>
    </w:p>
    <w:p w:rsidR="00BD4980" w:rsidRDefault="00F84869">
      <w:pPr>
        <w:spacing w:after="0" w:line="360" w:lineRule="auto"/>
        <w:jc w:val="center"/>
        <w:rPr>
          <w:rFonts w:ascii="Arial" w:eastAsia="Arial Nova Light" w:hAnsi="Arial" w:cs="Arial"/>
          <w:sz w:val="24"/>
          <w:szCs w:val="24"/>
        </w:rPr>
      </w:pPr>
      <w:r>
        <w:rPr>
          <w:rFonts w:ascii="Arial" w:eastAsia="Roboto" w:hAnsi="Arial" w:cs="Arial"/>
          <w:sz w:val="24"/>
          <w:szCs w:val="24"/>
        </w:rPr>
        <w:t>CREA/MG nº 195775/D</w:t>
      </w:r>
    </w:p>
    <w:sectPr w:rsidR="00BD4980">
      <w:headerReference w:type="default" r:id="rId8"/>
      <w:pgSz w:w="11906" w:h="16838"/>
      <w:pgMar w:top="1276" w:right="1080" w:bottom="1440" w:left="108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B54" w:rsidRDefault="00443B54" w:rsidP="00FA5BA5">
      <w:pPr>
        <w:spacing w:after="0" w:line="240" w:lineRule="auto"/>
      </w:pPr>
      <w:r>
        <w:separator/>
      </w:r>
    </w:p>
  </w:endnote>
  <w:endnote w:type="continuationSeparator" w:id="0">
    <w:p w:rsidR="00443B54" w:rsidRDefault="00443B54" w:rsidP="00FA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B54" w:rsidRDefault="00443B54" w:rsidP="00FA5BA5">
      <w:pPr>
        <w:spacing w:after="0" w:line="240" w:lineRule="auto"/>
      </w:pPr>
      <w:r>
        <w:separator/>
      </w:r>
    </w:p>
  </w:footnote>
  <w:footnote w:type="continuationSeparator" w:id="0">
    <w:p w:rsidR="00443B54" w:rsidRDefault="00443B54" w:rsidP="00FA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BA5" w:rsidRDefault="00FA5BA5">
    <w:pPr>
      <w:pStyle w:val="Cabealho"/>
    </w:pPr>
  </w:p>
  <w:tbl>
    <w:tblPr>
      <w:tblStyle w:val="Tabelacomgrade"/>
      <w:tblW w:w="9072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2"/>
      <w:gridCol w:w="6520"/>
    </w:tblGrid>
    <w:tr w:rsidR="00FA5BA5" w:rsidTr="008A5E61">
      <w:trPr>
        <w:trHeight w:val="1135"/>
      </w:trPr>
      <w:tc>
        <w:tcPr>
          <w:tcW w:w="2552" w:type="dxa"/>
          <w:vMerge w:val="restart"/>
          <w:tcBorders>
            <w:top w:val="nil"/>
            <w:left w:val="nil"/>
            <w:bottom w:val="nil"/>
            <w:right w:val="single" w:sz="4" w:space="0" w:color="1F497D" w:themeColor="text2"/>
          </w:tcBorders>
          <w:hideMark/>
        </w:tcPr>
        <w:p w:rsidR="00FA5BA5" w:rsidRDefault="00FA5BA5" w:rsidP="00FA5BA5">
          <w:pPr>
            <w:pStyle w:val="Cabealho"/>
            <w:tabs>
              <w:tab w:val="clear" w:pos="4252"/>
            </w:tabs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2DEEE2E" wp14:editId="4D6431ED">
                <wp:simplePos x="0" y="0"/>
                <wp:positionH relativeFrom="column">
                  <wp:posOffset>-53340</wp:posOffset>
                </wp:positionH>
                <wp:positionV relativeFrom="paragraph">
                  <wp:posOffset>17145</wp:posOffset>
                </wp:positionV>
                <wp:extent cx="1134110" cy="990600"/>
                <wp:effectExtent l="0" t="0" r="8890" b="0"/>
                <wp:wrapNone/>
                <wp:docPr id="2" name="Imagem 2" descr="BRASÃO ARAÇUAÍ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1" descr="BRASÃO ARAÇUAÍ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4110" cy="990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0" w:type="dxa"/>
          <w:tcBorders>
            <w:top w:val="nil"/>
            <w:left w:val="single" w:sz="4" w:space="0" w:color="1F497D" w:themeColor="text2"/>
            <w:bottom w:val="nil"/>
            <w:right w:val="single" w:sz="4" w:space="0" w:color="1F497D" w:themeColor="text2"/>
          </w:tcBorders>
          <w:vAlign w:val="center"/>
          <w:hideMark/>
        </w:tcPr>
        <w:p w:rsidR="00FA5BA5" w:rsidRDefault="00FA5BA5" w:rsidP="00FA5BA5">
          <w:pPr>
            <w:pStyle w:val="Cabealho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rFonts w:cs="Times New Roman"/>
              <w:noProof/>
            </w:rPr>
            <w:drawing>
              <wp:anchor distT="0" distB="0" distL="114300" distR="114300" simplePos="0" relativeHeight="251660288" behindDoc="1" locked="0" layoutInCell="1" allowOverlap="1" wp14:anchorId="17DC3B6C" wp14:editId="76E06E68">
                <wp:simplePos x="0" y="0"/>
                <wp:positionH relativeFrom="column">
                  <wp:posOffset>467360</wp:posOffset>
                </wp:positionH>
                <wp:positionV relativeFrom="paragraph">
                  <wp:posOffset>2540</wp:posOffset>
                </wp:positionV>
                <wp:extent cx="2984500" cy="791845"/>
                <wp:effectExtent l="0" t="0" r="6350" b="8255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874" t="33170" r="16093" b="4227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84500" cy="7918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FA5BA5" w:rsidTr="008A5E61">
      <w:trPr>
        <w:trHeight w:val="562"/>
      </w:trPr>
      <w:tc>
        <w:tcPr>
          <w:tcW w:w="0" w:type="auto"/>
          <w:vMerge/>
          <w:tcBorders>
            <w:top w:val="nil"/>
            <w:left w:val="nil"/>
            <w:bottom w:val="nil"/>
            <w:right w:val="single" w:sz="4" w:space="0" w:color="1F497D" w:themeColor="text2"/>
          </w:tcBorders>
          <w:vAlign w:val="center"/>
          <w:hideMark/>
        </w:tcPr>
        <w:p w:rsidR="00FA5BA5" w:rsidRDefault="00FA5BA5" w:rsidP="00FA5BA5">
          <w:pPr>
            <w:rPr>
              <w:rFonts w:ascii="Arial" w:hAnsi="Arial" w:cs="Arial"/>
              <w:b/>
              <w:bCs/>
              <w:sz w:val="32"/>
              <w:szCs w:val="32"/>
            </w:rPr>
          </w:pPr>
        </w:p>
      </w:tc>
      <w:tc>
        <w:tcPr>
          <w:tcW w:w="6520" w:type="dxa"/>
          <w:tcBorders>
            <w:top w:val="nil"/>
            <w:left w:val="single" w:sz="4" w:space="0" w:color="1F497D" w:themeColor="text2"/>
            <w:bottom w:val="nil"/>
            <w:right w:val="single" w:sz="4" w:space="0" w:color="1F497D" w:themeColor="text2"/>
          </w:tcBorders>
          <w:vAlign w:val="center"/>
          <w:hideMark/>
        </w:tcPr>
        <w:p w:rsidR="00FA5BA5" w:rsidRDefault="00FA5BA5" w:rsidP="00FA5BA5">
          <w:pPr>
            <w:pStyle w:val="Cabealho"/>
            <w:jc w:val="center"/>
            <w:rPr>
              <w:rFonts w:ascii="Arial" w:hAnsi="Arial" w:cs="Arial"/>
              <w:b/>
              <w:bCs/>
              <w:noProof/>
              <w:sz w:val="32"/>
              <w:szCs w:val="32"/>
            </w:rPr>
          </w:pPr>
          <w:r>
            <w:rPr>
              <w:rFonts w:ascii="Arial" w:hAnsi="Arial" w:cs="Arial"/>
              <w:b/>
              <w:bCs/>
              <w:noProof/>
              <w:sz w:val="28"/>
              <w:szCs w:val="32"/>
            </w:rPr>
            <w:t>SECRETARIA MUNICIPAL DE DESENVOLVIMENTO URBANO</w:t>
          </w:r>
        </w:p>
      </w:tc>
    </w:tr>
  </w:tbl>
  <w:p w:rsidR="00FA5BA5" w:rsidRDefault="00FA5B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B690E"/>
    <w:multiLevelType w:val="multilevel"/>
    <w:tmpl w:val="359AE5A0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Roboto" w:hAnsi="Roboto" w:cs="Roboto" w:hint="default"/>
        <w:color w:val="374151"/>
        <w:sz w:val="24"/>
        <w:szCs w:val="24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" w15:restartNumberingAfterBreak="0">
    <w:nsid w:val="149A1D46"/>
    <w:multiLevelType w:val="multilevel"/>
    <w:tmpl w:val="9CFCFD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374151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 w15:restartNumberingAfterBreak="0">
    <w:nsid w:val="208F3891"/>
    <w:multiLevelType w:val="hybridMultilevel"/>
    <w:tmpl w:val="37BA3B9A"/>
    <w:lvl w:ilvl="0" w:tplc="F924A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1647C"/>
    <w:multiLevelType w:val="hybridMultilevel"/>
    <w:tmpl w:val="68A047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B3E83"/>
    <w:multiLevelType w:val="multilevel"/>
    <w:tmpl w:val="BD84F6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3CD73FD"/>
    <w:multiLevelType w:val="multilevel"/>
    <w:tmpl w:val="E46CA314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Roboto" w:hAnsi="Roboto" w:cs="Roboto" w:hint="default"/>
        <w:color w:val="374151"/>
        <w:sz w:val="24"/>
        <w:szCs w:val="24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 w15:restartNumberingAfterBreak="0">
    <w:nsid w:val="38FA0E67"/>
    <w:multiLevelType w:val="multilevel"/>
    <w:tmpl w:val="8D44ED7A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Roboto" w:hAnsi="Roboto" w:cs="Roboto" w:hint="default"/>
        <w:color w:val="374151"/>
        <w:sz w:val="24"/>
        <w:szCs w:val="24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 w15:restartNumberingAfterBreak="0">
    <w:nsid w:val="5F5E5D39"/>
    <w:multiLevelType w:val="multilevel"/>
    <w:tmpl w:val="6040E858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Roboto" w:hAnsi="Roboto" w:cs="Roboto" w:hint="default"/>
        <w:color w:val="374151"/>
        <w:sz w:val="24"/>
        <w:szCs w:val="24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8" w15:restartNumberingAfterBreak="0">
    <w:nsid w:val="62CA2AC0"/>
    <w:multiLevelType w:val="multilevel"/>
    <w:tmpl w:val="82DC903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Roboto" w:hAnsi="Roboto" w:cs="Roboto" w:hint="default"/>
        <w:color w:val="374151"/>
        <w:sz w:val="24"/>
        <w:szCs w:val="24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D4980"/>
    <w:rsid w:val="00206F9F"/>
    <w:rsid w:val="003F7373"/>
    <w:rsid w:val="00443B54"/>
    <w:rsid w:val="007C58CA"/>
    <w:rsid w:val="008273D4"/>
    <w:rsid w:val="00A538FF"/>
    <w:rsid w:val="00B84C47"/>
    <w:rsid w:val="00BB6FE1"/>
    <w:rsid w:val="00BD4980"/>
    <w:rsid w:val="00C10AC6"/>
    <w:rsid w:val="00ED79FC"/>
    <w:rsid w:val="00F84869"/>
    <w:rsid w:val="00FA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C8D9A"/>
  <w15:docId w15:val="{98DE9947-F3E8-494E-B683-3F872539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A2B"/>
    <w:pPr>
      <w:spacing w:after="160" w:line="259" w:lineRule="auto"/>
    </w:pPr>
  </w:style>
  <w:style w:type="paragraph" w:styleId="Ttulo1">
    <w:name w:val="heading 1"/>
    <w:basedOn w:val="Normal"/>
    <w:next w:val="Normal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Ttulo2">
    <w:name w:val="heading 2"/>
    <w:basedOn w:val="Normal"/>
    <w:next w:val="Normal"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Ttulo3">
    <w:name w:val="heading 3"/>
    <w:basedOn w:val="Normal"/>
    <w:next w:val="Normal"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Ttulo4">
    <w:name w:val="heading 4"/>
    <w:basedOn w:val="Normal"/>
    <w:next w:val="Normal"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D56EBC"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FA5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A5BA5"/>
  </w:style>
  <w:style w:type="paragraph" w:styleId="Rodap">
    <w:name w:val="footer"/>
    <w:basedOn w:val="Normal"/>
    <w:link w:val="RodapChar"/>
    <w:uiPriority w:val="99"/>
    <w:unhideWhenUsed/>
    <w:rsid w:val="00FA5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5BA5"/>
  </w:style>
  <w:style w:type="table" w:styleId="Tabelacomgrade">
    <w:name w:val="Table Grid"/>
    <w:basedOn w:val="Tabelanormal"/>
    <w:uiPriority w:val="59"/>
    <w:rsid w:val="00FA5BA5"/>
    <w:pPr>
      <w:suppressAutoHyphens w:val="0"/>
    </w:pPr>
    <w:rPr>
      <w:rFonts w:asciiTheme="minorHAnsi" w:eastAsiaTheme="minorHAnsi" w:hAnsiTheme="minorHAnsi" w:cstheme="minorBid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27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3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QK8TntdkOBexTX1eSgwWc9pfuAQ==">CgMxLjA4AHIhMXl2QWc3SzZYUmhvd0VDeWlHVlFsWUp0aWhrLWk5SG56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1092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</dc:creator>
  <dc:description/>
  <cp:lastModifiedBy>aracuai</cp:lastModifiedBy>
  <cp:revision>48</cp:revision>
  <cp:lastPrinted>2025-11-24T17:25:00Z</cp:lastPrinted>
  <dcterms:created xsi:type="dcterms:W3CDTF">2024-01-23T13:35:00Z</dcterms:created>
  <dcterms:modified xsi:type="dcterms:W3CDTF">2025-11-24T17:38:00Z</dcterms:modified>
  <dc:language>pt-BR</dc:language>
</cp:coreProperties>
</file>