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09602" w14:textId="4D49936A" w:rsidR="009B55FB" w:rsidRDefault="009B55FB">
      <w:pPr>
        <w:shd w:val="clear" w:color="auto" w:fill="DBE5F1"/>
        <w:spacing w:after="120"/>
        <w:jc w:val="center"/>
        <w:rPr>
          <w:rFonts w:ascii="Calibri" w:eastAsia="Calibri" w:hAnsi="Calibri" w:cs="Calibri"/>
          <w:b/>
          <w:sz w:val="22"/>
          <w:szCs w:val="22"/>
        </w:rPr>
      </w:pPr>
    </w:p>
    <w:p w14:paraId="5937CB01" w14:textId="701E5EEF" w:rsidR="009B55FB" w:rsidRDefault="00000000">
      <w:pPr>
        <w:jc w:val="center"/>
        <w:rPr>
          <w:rFonts w:ascii="Calibri" w:eastAsia="Calibri" w:hAnsi="Calibri" w:cs="Calibri"/>
          <w:b/>
          <w:sz w:val="22"/>
          <w:szCs w:val="22"/>
        </w:rPr>
      </w:pPr>
      <w:r>
        <w:rPr>
          <w:rFonts w:ascii="Calibri" w:eastAsia="Calibri" w:hAnsi="Calibri" w:cs="Calibri"/>
          <w:b/>
          <w:sz w:val="22"/>
          <w:szCs w:val="22"/>
        </w:rPr>
        <w:t xml:space="preserve">INEXIGIBILIDADE Nº </w:t>
      </w:r>
      <w:r w:rsidR="002B3AEB">
        <w:rPr>
          <w:rFonts w:ascii="Calibri" w:eastAsia="Calibri" w:hAnsi="Calibri" w:cs="Calibri"/>
          <w:b/>
          <w:sz w:val="22"/>
          <w:szCs w:val="22"/>
        </w:rPr>
        <w:t>02</w:t>
      </w:r>
      <w:r>
        <w:rPr>
          <w:rFonts w:ascii="Calibri" w:eastAsia="Calibri" w:hAnsi="Calibri" w:cs="Calibri"/>
          <w:b/>
          <w:sz w:val="22"/>
          <w:szCs w:val="22"/>
        </w:rPr>
        <w:t>/2025</w:t>
      </w:r>
    </w:p>
    <w:p w14:paraId="4C73BE01" w14:textId="35DDB36F" w:rsidR="009B55FB" w:rsidRDefault="00000000">
      <w:pPr>
        <w:jc w:val="center"/>
        <w:rPr>
          <w:rFonts w:ascii="Calibri" w:eastAsia="Calibri" w:hAnsi="Calibri" w:cs="Calibri"/>
          <w:b/>
          <w:sz w:val="22"/>
          <w:szCs w:val="22"/>
        </w:rPr>
      </w:pPr>
      <w:r>
        <w:rPr>
          <w:rFonts w:ascii="Calibri" w:eastAsia="Calibri" w:hAnsi="Calibri" w:cs="Calibri"/>
          <w:b/>
          <w:sz w:val="22"/>
          <w:szCs w:val="22"/>
        </w:rPr>
        <w:t xml:space="preserve">PROCESSO ADMINISTRATIVO Nº </w:t>
      </w:r>
      <w:r w:rsidR="0041106A">
        <w:rPr>
          <w:rFonts w:ascii="Calibri" w:eastAsia="Calibri" w:hAnsi="Calibri" w:cs="Calibri"/>
          <w:b/>
          <w:sz w:val="22"/>
          <w:szCs w:val="22"/>
        </w:rPr>
        <w:t>10</w:t>
      </w:r>
      <w:r>
        <w:rPr>
          <w:rFonts w:ascii="Calibri" w:eastAsia="Calibri" w:hAnsi="Calibri" w:cs="Calibri"/>
          <w:b/>
          <w:sz w:val="22"/>
          <w:szCs w:val="22"/>
        </w:rPr>
        <w:t>/2025</w:t>
      </w:r>
    </w:p>
    <w:p w14:paraId="0F4D01A3" w14:textId="296220A4" w:rsidR="009B55FB" w:rsidRDefault="00000000">
      <w:pPr>
        <w:jc w:val="center"/>
        <w:rPr>
          <w:rFonts w:ascii="Calibri" w:eastAsia="Calibri" w:hAnsi="Calibri" w:cs="Calibri"/>
          <w:b/>
          <w:sz w:val="22"/>
          <w:szCs w:val="22"/>
        </w:rPr>
      </w:pPr>
      <w:r>
        <w:rPr>
          <w:rFonts w:ascii="Calibri" w:eastAsia="Calibri" w:hAnsi="Calibri" w:cs="Calibri"/>
          <w:b/>
          <w:sz w:val="22"/>
          <w:szCs w:val="22"/>
        </w:rPr>
        <w:t xml:space="preserve">CREDENCIAMENTO Nº </w:t>
      </w:r>
      <w:r w:rsidR="002B3AEB">
        <w:rPr>
          <w:rFonts w:ascii="Calibri" w:eastAsia="Calibri" w:hAnsi="Calibri" w:cs="Calibri"/>
          <w:b/>
          <w:sz w:val="22"/>
          <w:szCs w:val="22"/>
        </w:rPr>
        <w:t>01</w:t>
      </w:r>
      <w:r>
        <w:rPr>
          <w:rFonts w:ascii="Calibri" w:eastAsia="Calibri" w:hAnsi="Calibri" w:cs="Calibri"/>
          <w:b/>
          <w:sz w:val="22"/>
          <w:szCs w:val="22"/>
        </w:rPr>
        <w:t>/2025</w:t>
      </w:r>
    </w:p>
    <w:p w14:paraId="18447274"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bookmarkStart w:id="0" w:name="_heading=h.5b0l0c83i5k3" w:colFirst="0" w:colLast="0"/>
      <w:bookmarkEnd w:id="0"/>
      <w:r>
        <w:rPr>
          <w:rFonts w:ascii="Calibri" w:eastAsia="Calibri" w:hAnsi="Calibri" w:cs="Calibri"/>
          <w:color w:val="000000"/>
          <w:sz w:val="22"/>
          <w:szCs w:val="22"/>
        </w:rPr>
        <w:t>Torna-se público que a FUMSAT - Fundação Municipal de Saúde de Teixeiras – MG, inscrita no CNPJ sob o nº 18.134.122/0001-36, sediada na Rua Santa Teresa, nº 330, Centro, em Teixeiras, Estado de Minas Gerais, CEP 36.580-0000</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realizará no período indicado neste edital, a seleção e o credenciamento para contratação de </w:t>
      </w:r>
      <w:r>
        <w:rPr>
          <w:rFonts w:ascii="Calibri" w:eastAsia="Calibri" w:hAnsi="Calibri" w:cs="Calibri"/>
          <w:sz w:val="22"/>
          <w:szCs w:val="22"/>
        </w:rPr>
        <w:t>pessoas jurídicas para prestação de serviços de exames diagnósticos específicos e procedimentos cirúrgicos e ambulatoriais, com provimento de todos os equipamentos, aparelhos e insumos necessários, incluindo o fornecimento de próteses oftálmicas e óculos aos usuários, nos termos da Tipologia III da Deliberação CIB-SUS/MG nº 4.065, de 7 de dezembro de 2022</w:t>
      </w:r>
      <w:r>
        <w:rPr>
          <w:rFonts w:ascii="Calibri" w:eastAsia="Calibri" w:hAnsi="Calibri" w:cs="Calibri"/>
          <w:color w:val="000000"/>
          <w:sz w:val="22"/>
          <w:szCs w:val="22"/>
        </w:rPr>
        <w:t>, inciso III do art. 79 da Lei n° 14.133 de 1º de Abril de 2021, Decreto Federal Nº 11.878/2024 Decreto Municipal n° 553/2024, Lei Complementar nº 123 de 14 de dezembro de 2006, e as exigências estabelecidas neste Edital e seus anexos.</w:t>
      </w:r>
    </w:p>
    <w:p w14:paraId="5EB307F3" w14:textId="77777777" w:rsidR="0035000B" w:rsidRDefault="0035000B">
      <w:pPr>
        <w:spacing w:after="120"/>
        <w:jc w:val="both"/>
        <w:rPr>
          <w:rFonts w:ascii="Calibri" w:eastAsia="Calibri" w:hAnsi="Calibri" w:cs="Calibri"/>
          <w:bCs/>
          <w:sz w:val="22"/>
          <w:szCs w:val="22"/>
        </w:rPr>
      </w:pPr>
      <w:r w:rsidRPr="0035000B">
        <w:rPr>
          <w:rFonts w:ascii="Calibri" w:eastAsia="Calibri" w:hAnsi="Calibri" w:cs="Calibri"/>
          <w:b/>
          <w:bCs/>
          <w:sz w:val="22"/>
          <w:szCs w:val="22"/>
        </w:rPr>
        <w:t>Recebimento dos documentos de habilitação</w:t>
      </w:r>
      <w:r w:rsidRPr="0035000B">
        <w:rPr>
          <w:rFonts w:ascii="Calibri" w:eastAsia="Calibri" w:hAnsi="Calibri" w:cs="Calibri"/>
          <w:bCs/>
          <w:sz w:val="22"/>
          <w:szCs w:val="22"/>
        </w:rPr>
        <w:t>: início em 19/09/2025, às 8h.</w:t>
      </w:r>
    </w:p>
    <w:p w14:paraId="264D1296" w14:textId="77777777" w:rsidR="0035000B" w:rsidRDefault="0035000B">
      <w:pPr>
        <w:spacing w:after="120"/>
        <w:jc w:val="both"/>
        <w:rPr>
          <w:rFonts w:ascii="Calibri" w:eastAsia="Calibri" w:hAnsi="Calibri" w:cs="Calibri"/>
          <w:bCs/>
          <w:sz w:val="22"/>
          <w:szCs w:val="22"/>
        </w:rPr>
      </w:pPr>
      <w:r w:rsidRPr="0035000B">
        <w:rPr>
          <w:rFonts w:ascii="Calibri" w:eastAsia="Calibri" w:hAnsi="Calibri" w:cs="Calibri"/>
          <w:b/>
          <w:bCs/>
          <w:sz w:val="22"/>
          <w:szCs w:val="22"/>
        </w:rPr>
        <w:t>Primeira sessão de habilitação</w:t>
      </w:r>
      <w:r w:rsidRPr="0035000B">
        <w:rPr>
          <w:rFonts w:ascii="Calibri" w:eastAsia="Calibri" w:hAnsi="Calibri" w:cs="Calibri"/>
          <w:bCs/>
          <w:sz w:val="22"/>
          <w:szCs w:val="22"/>
        </w:rPr>
        <w:t>: 03/10/2025, às 8h.</w:t>
      </w:r>
    </w:p>
    <w:p w14:paraId="54F0876B" w14:textId="77777777" w:rsidR="0035000B" w:rsidRDefault="0035000B">
      <w:pPr>
        <w:spacing w:after="120"/>
        <w:jc w:val="both"/>
        <w:rPr>
          <w:rFonts w:ascii="Calibri" w:eastAsia="Calibri" w:hAnsi="Calibri" w:cs="Calibri"/>
          <w:bCs/>
          <w:sz w:val="22"/>
          <w:szCs w:val="22"/>
        </w:rPr>
      </w:pPr>
      <w:r w:rsidRPr="0035000B">
        <w:rPr>
          <w:rFonts w:ascii="Calibri" w:eastAsia="Calibri" w:hAnsi="Calibri" w:cs="Calibri"/>
          <w:b/>
          <w:bCs/>
          <w:sz w:val="22"/>
          <w:szCs w:val="22"/>
        </w:rPr>
        <w:t>Periodicidade das sessões</w:t>
      </w:r>
      <w:r w:rsidRPr="0035000B">
        <w:rPr>
          <w:rFonts w:ascii="Calibri" w:eastAsia="Calibri" w:hAnsi="Calibri" w:cs="Calibri"/>
          <w:bCs/>
          <w:sz w:val="22"/>
          <w:szCs w:val="22"/>
        </w:rPr>
        <w:t>: ocorrerão na primeira segunda-feira de cada mês subsequente, sempre às 8h.</w:t>
      </w:r>
    </w:p>
    <w:p w14:paraId="7D3BFD3C" w14:textId="77777777" w:rsidR="0035000B" w:rsidRDefault="0035000B">
      <w:pPr>
        <w:spacing w:after="120"/>
        <w:jc w:val="both"/>
        <w:rPr>
          <w:rFonts w:ascii="Calibri" w:eastAsia="Calibri" w:hAnsi="Calibri" w:cs="Calibri"/>
          <w:bCs/>
          <w:sz w:val="22"/>
          <w:szCs w:val="22"/>
        </w:rPr>
      </w:pPr>
      <w:r w:rsidRPr="0035000B">
        <w:rPr>
          <w:rFonts w:ascii="Calibri" w:eastAsia="Calibri" w:hAnsi="Calibri" w:cs="Calibri"/>
          <w:b/>
          <w:bCs/>
          <w:sz w:val="22"/>
          <w:szCs w:val="22"/>
        </w:rPr>
        <w:t>Horário da sessão</w:t>
      </w:r>
      <w:r w:rsidRPr="0035000B">
        <w:rPr>
          <w:rFonts w:ascii="Calibri" w:eastAsia="Calibri" w:hAnsi="Calibri" w:cs="Calibri"/>
          <w:bCs/>
          <w:sz w:val="22"/>
          <w:szCs w:val="22"/>
        </w:rPr>
        <w:t>: 08h00min.</w:t>
      </w:r>
    </w:p>
    <w:p w14:paraId="0B5509AD" w14:textId="202955DA" w:rsidR="0035000B" w:rsidRPr="0035000B" w:rsidRDefault="0035000B">
      <w:pPr>
        <w:spacing w:after="120"/>
        <w:jc w:val="both"/>
        <w:rPr>
          <w:rFonts w:ascii="Calibri" w:eastAsia="Calibri" w:hAnsi="Calibri" w:cs="Calibri"/>
          <w:bCs/>
          <w:sz w:val="22"/>
          <w:szCs w:val="22"/>
        </w:rPr>
      </w:pPr>
      <w:r w:rsidRPr="0035000B">
        <w:rPr>
          <w:rFonts w:ascii="Calibri" w:eastAsia="Calibri" w:hAnsi="Calibri" w:cs="Calibri"/>
          <w:b/>
          <w:bCs/>
          <w:sz w:val="22"/>
          <w:szCs w:val="22"/>
        </w:rPr>
        <w:t>Data limite para protocolo dos documentos</w:t>
      </w:r>
      <w:r w:rsidRPr="0035000B">
        <w:rPr>
          <w:rFonts w:ascii="Calibri" w:eastAsia="Calibri" w:hAnsi="Calibri" w:cs="Calibri"/>
          <w:bCs/>
          <w:sz w:val="22"/>
          <w:szCs w:val="22"/>
        </w:rPr>
        <w:t xml:space="preserve">: </w:t>
      </w:r>
      <w:r>
        <w:rPr>
          <w:rFonts w:ascii="Calibri" w:eastAsia="Calibri" w:hAnsi="Calibri" w:cs="Calibri"/>
          <w:bCs/>
          <w:sz w:val="22"/>
          <w:szCs w:val="22"/>
        </w:rPr>
        <w:t>03</w:t>
      </w:r>
      <w:r w:rsidRPr="0035000B">
        <w:rPr>
          <w:rFonts w:ascii="Calibri" w:eastAsia="Calibri" w:hAnsi="Calibri" w:cs="Calibri"/>
          <w:bCs/>
          <w:sz w:val="22"/>
          <w:szCs w:val="22"/>
        </w:rPr>
        <w:t>/10/2026, às 17h, observado o horário oficial do Município.</w:t>
      </w:r>
    </w:p>
    <w:p w14:paraId="4332F1DA" w14:textId="6EDC0FBF" w:rsidR="009B55FB" w:rsidRDefault="00000000">
      <w:pPr>
        <w:spacing w:after="120"/>
        <w:jc w:val="both"/>
        <w:rPr>
          <w:rFonts w:ascii="Calibri" w:eastAsia="Calibri" w:hAnsi="Calibri" w:cs="Calibri"/>
          <w:sz w:val="22"/>
          <w:szCs w:val="22"/>
        </w:rPr>
      </w:pPr>
      <w:r>
        <w:rPr>
          <w:rFonts w:ascii="Calibri" w:eastAsia="Calibri" w:hAnsi="Calibri" w:cs="Calibri"/>
          <w:b/>
          <w:sz w:val="22"/>
          <w:szCs w:val="22"/>
        </w:rPr>
        <w:t>Local</w:t>
      </w:r>
      <w:r>
        <w:rPr>
          <w:rFonts w:ascii="Calibri" w:eastAsia="Calibri" w:hAnsi="Calibri" w:cs="Calibri"/>
          <w:sz w:val="22"/>
          <w:szCs w:val="22"/>
        </w:rPr>
        <w:t xml:space="preserve">: Portal de Compras Públicas – </w:t>
      </w:r>
      <w:hyperlink r:id="rId8">
        <w:r w:rsidR="009B55FB">
          <w:rPr>
            <w:rFonts w:ascii="Calibri" w:eastAsia="Calibri" w:hAnsi="Calibri" w:cs="Calibri"/>
            <w:color w:val="000080"/>
            <w:sz w:val="22"/>
            <w:szCs w:val="22"/>
            <w:u w:val="single"/>
          </w:rPr>
          <w:t>https://www.portaldecompraspublicas.com.br/</w:t>
        </w:r>
      </w:hyperlink>
    </w:p>
    <w:p w14:paraId="6B6F875C" w14:textId="3AAE00B7" w:rsidR="009B55FB" w:rsidRPr="00FD7017" w:rsidRDefault="00000000" w:rsidP="00FD7017">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1" w:name="_heading=h.30j0zll" w:colFirst="0" w:colLast="0"/>
      <w:bookmarkEnd w:id="1"/>
      <w:r>
        <w:rPr>
          <w:rFonts w:ascii="Calibri" w:eastAsia="Calibri" w:hAnsi="Calibri" w:cs="Calibri"/>
          <w:b/>
          <w:color w:val="000000"/>
          <w:sz w:val="22"/>
          <w:szCs w:val="22"/>
        </w:rPr>
        <w:t>DO OBJETO</w:t>
      </w:r>
    </w:p>
    <w:p w14:paraId="67E6DD85" w14:textId="5313ADBC" w:rsidR="00FD7017" w:rsidRPr="00FD7017" w:rsidRDefault="00FD7017" w:rsidP="000376A4">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sidRPr="00FD7017">
        <w:rPr>
          <w:rFonts w:ascii="Calibri" w:eastAsia="Calibri" w:hAnsi="Calibri" w:cs="Calibri"/>
          <w:sz w:val="22"/>
          <w:szCs w:val="22"/>
        </w:rPr>
        <w:t xml:space="preserve">O objeto da presente licitação é o </w:t>
      </w:r>
      <w:r w:rsidRPr="00FD7017">
        <w:rPr>
          <w:rFonts w:ascii="Calibri" w:eastAsia="Calibri" w:hAnsi="Calibri" w:cs="Calibri"/>
          <w:b/>
          <w:bCs/>
          <w:sz w:val="22"/>
          <w:szCs w:val="22"/>
        </w:rPr>
        <w:t>Credenciamento de</w:t>
      </w:r>
      <w:r w:rsidRPr="00FD7017">
        <w:rPr>
          <w:rFonts w:ascii="Calibri" w:eastAsia="Calibri" w:hAnsi="Calibri" w:cs="Calibri"/>
          <w:b/>
          <w:sz w:val="22"/>
          <w:szCs w:val="22"/>
        </w:rPr>
        <w:t xml:space="preserve"> clínicas especializadas em oftalmologia para execução, em instalações próprias, de consultas, exames diagnósticos específicos e procedimentos cirúrgicos e ambulatoriais, com provimento de todos os equipamentos, aparelhos e insumos necessários, incluindo o fornecimento de próteses oftálmicas óculos e aos usuários, nos termos da Tipologia III da Deliberação CIB-SUS/MG nº 4.065, de 7 de dezembro de 2022</w:t>
      </w:r>
      <w:r w:rsidRPr="00FD7017">
        <w:rPr>
          <w:rFonts w:ascii="Calibri" w:eastAsia="Calibri" w:hAnsi="Calibri" w:cs="Calibri"/>
          <w:sz w:val="22"/>
          <w:szCs w:val="22"/>
        </w:rPr>
        <w:t>, conforme condições, quantidades e exigências estabelecidas neste Edital e seus anexos.</w:t>
      </w:r>
    </w:p>
    <w:p w14:paraId="30A8C976" w14:textId="27D66B80"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Credenciamento será em dividido por itens, conforme consta no Termo de Referência, Anexo I deste Edital.</w:t>
      </w:r>
    </w:p>
    <w:p w14:paraId="56458337" w14:textId="32293AF2"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Os prestadores de serviços serão remunerados de acordo com os valores previamente estabelecidos definidos </w:t>
      </w:r>
      <w:r w:rsidRPr="00A279CB">
        <w:rPr>
          <w:rFonts w:ascii="Calibri" w:eastAsia="Calibri" w:hAnsi="Calibri" w:cs="Calibri"/>
          <w:sz w:val="22"/>
          <w:szCs w:val="22"/>
        </w:rPr>
        <w:t>descritos na Tabela Sigtap - SUS, junto endereço digital http://</w:t>
      </w:r>
      <w:hyperlink r:id="rId9">
        <w:r w:rsidR="009B55FB" w:rsidRPr="00A279CB">
          <w:rPr>
            <w:rFonts w:ascii="Calibri" w:eastAsia="Calibri" w:hAnsi="Calibri" w:cs="Calibri"/>
            <w:sz w:val="22"/>
            <w:szCs w:val="22"/>
            <w:u w:val="single"/>
          </w:rPr>
          <w:t>sigtap.datasus.gov.br/tabela-unificada/app/sec/inicio.jsp</w:t>
        </w:r>
      </w:hyperlink>
      <w:r w:rsidRPr="00A279CB">
        <w:rPr>
          <w:rFonts w:ascii="Calibri" w:eastAsia="Calibri" w:hAnsi="Calibri" w:cs="Calibri"/>
          <w:sz w:val="22"/>
          <w:szCs w:val="22"/>
        </w:rPr>
        <w:t xml:space="preserve">  de Incentivos Federais de Políticas de Cirurgias e Procedimentos Ambulatoriais, de Incremento e de Incentivos Estaduais contidos nas políticas Valora Minas e Opera Mais, de acordo com as deliberações e valores unitários dos procedimentos a serem apresentados para linha cuidados da oftalmologia que vierem a serem pagos ao Fundo Municipal de Saúde de Teixeiras, </w:t>
      </w:r>
      <w:r w:rsidR="00A279CB" w:rsidRPr="00A279CB">
        <w:rPr>
          <w:rFonts w:ascii="Calibri" w:eastAsia="Calibri" w:hAnsi="Calibri" w:cs="Calibri"/>
          <w:sz w:val="22"/>
          <w:szCs w:val="22"/>
        </w:rPr>
        <w:t>através</w:t>
      </w:r>
      <w:r w:rsidRPr="00A279CB">
        <w:rPr>
          <w:rFonts w:ascii="Calibri" w:eastAsia="Calibri" w:hAnsi="Calibri" w:cs="Calibri"/>
          <w:sz w:val="22"/>
          <w:szCs w:val="22"/>
        </w:rPr>
        <w:t xml:space="preserve"> dos serviços prestados pela FUMSAT.</w:t>
      </w:r>
    </w:p>
    <w:p w14:paraId="43C7BC88"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sz w:val="22"/>
          <w:szCs w:val="22"/>
        </w:rPr>
        <w:t>O credenciamento não obriga a administração pública a contratar.</w:t>
      </w:r>
    </w:p>
    <w:p w14:paraId="6098884B"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sz w:val="22"/>
          <w:szCs w:val="22"/>
        </w:rPr>
      </w:pPr>
      <w:r>
        <w:rPr>
          <w:rFonts w:ascii="Calibri" w:eastAsia="Calibri" w:hAnsi="Calibri" w:cs="Calibri"/>
          <w:b/>
          <w:color w:val="000000"/>
          <w:sz w:val="22"/>
          <w:szCs w:val="22"/>
        </w:rPr>
        <w:lastRenderedPageBreak/>
        <w:t>DAS CONDIÇÕES DE PARTICIPAÇÃO</w:t>
      </w:r>
    </w:p>
    <w:p w14:paraId="56B18BBF"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bookmarkStart w:id="2" w:name="_heading=h.1fob9te" w:colFirst="0" w:colLast="0"/>
      <w:bookmarkEnd w:id="2"/>
      <w:r>
        <w:rPr>
          <w:rFonts w:ascii="Calibri" w:eastAsia="Calibri" w:hAnsi="Calibri" w:cs="Calibri"/>
          <w:color w:val="000000"/>
          <w:sz w:val="22"/>
          <w:szCs w:val="22"/>
        </w:rPr>
        <w:t>Poderão habilitar-se, para Credenciamento as pessoas jurídicas que atendam as condições deste Edital e seus Anexos, obedecida a legislação em vigor e observadas as condições de habilitação dispostas no Termo de Referência, anexo I deste edital.</w:t>
      </w:r>
    </w:p>
    <w:p w14:paraId="744B0ACE"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Prestadores de serviços com comprovação na atividade credenciada.</w:t>
      </w:r>
    </w:p>
    <w:p w14:paraId="7DEA7AAA"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14:paraId="2770D973"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52D6D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não observância do disposto no item anterior poderá ensejar desclassificação no momento da habilitação.</w:t>
      </w:r>
    </w:p>
    <w:p w14:paraId="1808A33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b/>
          <w:color w:val="000000"/>
          <w:sz w:val="22"/>
          <w:szCs w:val="22"/>
          <w:u w:val="single"/>
        </w:rPr>
        <w:t>Não</w:t>
      </w:r>
      <w:r>
        <w:rPr>
          <w:rFonts w:ascii="Calibri" w:eastAsia="Calibri" w:hAnsi="Calibri" w:cs="Calibri"/>
          <w:color w:val="000000"/>
          <w:sz w:val="22"/>
          <w:szCs w:val="22"/>
        </w:rPr>
        <w:t xml:space="preserve"> poderão participar deste </w:t>
      </w:r>
      <w:r>
        <w:rPr>
          <w:rFonts w:ascii="Calibri" w:eastAsia="Calibri" w:hAnsi="Calibri" w:cs="Calibri"/>
          <w:b/>
          <w:color w:val="000000"/>
          <w:sz w:val="22"/>
          <w:szCs w:val="22"/>
        </w:rPr>
        <w:t>CREDENCIAMENTO</w:t>
      </w:r>
      <w:r>
        <w:rPr>
          <w:rFonts w:ascii="Calibri" w:eastAsia="Calibri" w:hAnsi="Calibri" w:cs="Calibri"/>
          <w:color w:val="000000"/>
          <w:sz w:val="22"/>
          <w:szCs w:val="22"/>
        </w:rPr>
        <w:t>:</w:t>
      </w:r>
    </w:p>
    <w:p w14:paraId="1E6A35CC"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Pessoas jurídicas que estejam em situação irregular perante os órgãos competentes.</w:t>
      </w:r>
    </w:p>
    <w:p w14:paraId="6B9E8B27"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proponente que se enquadre no art. 14, Inciso IV da Lei nº 14.133/21, ou seja,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4D5247"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Empresa suspensa temporariamente de participar de licitação e impedida de contratar com o órgão, nos termos do art. 156, III, da Lei nº 14.133/2021, durante o prazo da sanção aplicada;  </w:t>
      </w:r>
    </w:p>
    <w:p w14:paraId="7D5A320D"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Empresa impedida de licitar e contratar, nos termos do art. 7º da Lei nº 10.520/2002, durante o prazo da sanção aplicada;  </w:t>
      </w:r>
    </w:p>
    <w:p w14:paraId="083F08C6"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Empresa declarada inidônea para licitar ou contratar com toda a Administração Pública, enquanto perdurarem os motivos determinantes da punição ou até que seja promovida sua reabilitação;  </w:t>
      </w:r>
    </w:p>
    <w:p w14:paraId="754044B5"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Sociedade estrangeira não autorizada a funcionar no País;</w:t>
      </w:r>
    </w:p>
    <w:p w14:paraId="3D98B71C"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Quaisquer interessadas enquadradas nas vedações previstas no art. 9º, §§ 1º e 2º, e art.14 da Lei nº 14.133/21;  </w:t>
      </w:r>
    </w:p>
    <w:p w14:paraId="26B5819E"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Empresa cujo estatuto ou contrato social não seja pertinente e compatível com o objeto deste credenciamento;  </w:t>
      </w:r>
    </w:p>
    <w:p w14:paraId="1C3A5913"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Pessoa jurídica que tenha como sócio aquele a quem foi dirigida as penalidades dos itens 2.2.1 a 2.2.3, durante o prazo que apontar a decisão condenatória;  </w:t>
      </w:r>
    </w:p>
    <w:p w14:paraId="0577FD1B"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lastRenderedPageBreak/>
        <w:t xml:space="preserve">Consórcio   de   empresa, qualquer   que   seja   sua   forma   de constituição.  </w:t>
      </w:r>
    </w:p>
    <w:p w14:paraId="6735A80F"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Com falência, recuperação judicial, concordata ou insolvência judicialmente decretadas, ou em processo de recuperação extrajudicial;</w:t>
      </w:r>
    </w:p>
    <w:p w14:paraId="107D2A95"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Em caso de empresas em recuperação judicial, admite-se a participação, desde que amparadas em certidão emitida pela instância judicial competente afirmando que a interessada está apta econômica e financeiramente a participar de procedimento licitatório;</w:t>
      </w:r>
    </w:p>
    <w:p w14:paraId="2CD75585" w14:textId="77777777" w:rsidR="009B55FB" w:rsidRDefault="00000000">
      <w:pPr>
        <w:numPr>
          <w:ilvl w:val="1"/>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Como condição para participação no Credenciamento, a licitante assinalará “sim” ou “não” em campo próprio do sistema eletrônico, relativo às seguintes declarações: </w:t>
      </w:r>
    </w:p>
    <w:p w14:paraId="5BF89C6B" w14:textId="77777777" w:rsidR="009B55FB" w:rsidRDefault="00000000">
      <w:pPr>
        <w:numPr>
          <w:ilvl w:val="2"/>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Que cumpre os requisitos estabelecidos no </w:t>
      </w:r>
      <w:hyperlink r:id="rId10" w:anchor="art3">
        <w:r w:rsidR="009B55FB">
          <w:rPr>
            <w:rFonts w:ascii="Calibri" w:eastAsia="Calibri" w:hAnsi="Calibri" w:cs="Calibri"/>
            <w:color w:val="000080"/>
            <w:sz w:val="22"/>
            <w:szCs w:val="22"/>
            <w:u w:val="single"/>
          </w:rPr>
          <w:t>art. 3º da Lei Complementar nº 123/2006</w:t>
        </w:r>
      </w:hyperlink>
      <w:r>
        <w:rPr>
          <w:rFonts w:ascii="Calibri" w:eastAsia="Calibri" w:hAnsi="Calibri" w:cs="Calibri"/>
          <w:color w:val="000000"/>
          <w:sz w:val="22"/>
          <w:szCs w:val="22"/>
        </w:rPr>
        <w:t>, estando apta a usufruir do tratamento favorecido estabelecido em seus arts. 42 a 49 e que não celebrou contratos com a Administração Pública cujos valores extrapolam a receita bruta máxima admitida para fins de enquadramento como empresa de pequeno porte;</w:t>
      </w:r>
    </w:p>
    <w:p w14:paraId="6B958B30" w14:textId="77777777" w:rsidR="009B55FB" w:rsidRDefault="00000000">
      <w:pPr>
        <w:numPr>
          <w:ilvl w:val="3"/>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630993DE" w14:textId="77777777" w:rsidR="009B55FB" w:rsidRDefault="00000000">
      <w:pPr>
        <w:numPr>
          <w:ilvl w:val="3"/>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17A86FD" w14:textId="77777777" w:rsidR="009B55FB" w:rsidRDefault="00000000">
      <w:pPr>
        <w:numPr>
          <w:ilvl w:val="2"/>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Que está ciente e concorda com as condições contidas no Edital e seus Anexos;</w:t>
      </w:r>
    </w:p>
    <w:p w14:paraId="54995B7F" w14:textId="77777777" w:rsidR="009B55FB" w:rsidRDefault="00000000">
      <w:pPr>
        <w:numPr>
          <w:ilvl w:val="2"/>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1A57EAD6" w14:textId="77777777" w:rsidR="009B55FB" w:rsidRDefault="00000000">
      <w:pPr>
        <w:numPr>
          <w:ilvl w:val="2"/>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39D8CE90" w14:textId="77777777" w:rsidR="009B55FB" w:rsidRDefault="00000000">
      <w:pPr>
        <w:numPr>
          <w:ilvl w:val="2"/>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w:t>
      </w:r>
      <w:hyperlink r:id="rId11" w:anchor="art7XXXIII">
        <w:r w:rsidR="009B55FB">
          <w:rPr>
            <w:rFonts w:ascii="Calibri" w:eastAsia="Calibri" w:hAnsi="Calibri" w:cs="Calibri"/>
            <w:color w:val="000080"/>
            <w:sz w:val="22"/>
            <w:szCs w:val="22"/>
            <w:u w:val="single"/>
          </w:rPr>
          <w:t>art. 7º, inciso XXXIII, da Constituição Federal de 1998</w:t>
        </w:r>
      </w:hyperlink>
      <w:r>
        <w:rPr>
          <w:rFonts w:ascii="Calibri" w:eastAsia="Calibri" w:hAnsi="Calibri" w:cs="Calibri"/>
          <w:color w:val="000000"/>
          <w:sz w:val="22"/>
          <w:szCs w:val="22"/>
        </w:rPr>
        <w:t xml:space="preserve">; </w:t>
      </w:r>
    </w:p>
    <w:p w14:paraId="4D793457" w14:textId="77777777" w:rsidR="009B55FB" w:rsidRDefault="00000000">
      <w:pPr>
        <w:numPr>
          <w:ilvl w:val="2"/>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Que a proposta foi elaborada de forma independente;</w:t>
      </w:r>
    </w:p>
    <w:p w14:paraId="3DD9D921" w14:textId="77777777" w:rsidR="009B55FB" w:rsidRDefault="00000000">
      <w:pPr>
        <w:numPr>
          <w:ilvl w:val="2"/>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Que não possui, em sua cadeia produtiva, empregados executando trabalho degradante ou forçado, observando o disposto nos incisos </w:t>
      </w:r>
      <w:hyperlink r:id="rId12" w:anchor="art1III">
        <w:r w:rsidR="009B55FB">
          <w:rPr>
            <w:rFonts w:ascii="Calibri" w:eastAsia="Calibri" w:hAnsi="Calibri" w:cs="Calibri"/>
            <w:color w:val="000080"/>
            <w:sz w:val="22"/>
            <w:szCs w:val="22"/>
            <w:u w:val="single"/>
          </w:rPr>
          <w:t>III</w:t>
        </w:r>
      </w:hyperlink>
      <w:r>
        <w:rPr>
          <w:rFonts w:ascii="Calibri" w:eastAsia="Calibri" w:hAnsi="Calibri" w:cs="Calibri"/>
          <w:color w:val="000000"/>
          <w:sz w:val="22"/>
          <w:szCs w:val="22"/>
        </w:rPr>
        <w:t xml:space="preserve"> e </w:t>
      </w:r>
      <w:hyperlink r:id="rId13" w:anchor="art1IV">
        <w:r w:rsidR="009B55FB">
          <w:rPr>
            <w:rFonts w:ascii="Calibri" w:eastAsia="Calibri" w:hAnsi="Calibri" w:cs="Calibri"/>
            <w:color w:val="000080"/>
            <w:sz w:val="22"/>
            <w:szCs w:val="22"/>
            <w:u w:val="single"/>
          </w:rPr>
          <w:t>IV</w:t>
        </w:r>
      </w:hyperlink>
      <w:r>
        <w:rPr>
          <w:rFonts w:ascii="Calibri" w:eastAsia="Calibri" w:hAnsi="Calibri" w:cs="Calibri"/>
          <w:color w:val="000000"/>
          <w:sz w:val="22"/>
          <w:szCs w:val="22"/>
        </w:rPr>
        <w:t xml:space="preserve"> do art. 1º e no </w:t>
      </w:r>
      <w:hyperlink r:id="rId14" w:anchor="art5III">
        <w:r w:rsidR="009B55FB">
          <w:rPr>
            <w:rFonts w:ascii="Calibri" w:eastAsia="Calibri" w:hAnsi="Calibri" w:cs="Calibri"/>
            <w:color w:val="000080"/>
            <w:sz w:val="22"/>
            <w:szCs w:val="22"/>
            <w:u w:val="single"/>
          </w:rPr>
          <w:t>inciso III do art. 5º da Constituição Federal de 1988</w:t>
        </w:r>
      </w:hyperlink>
      <w:r>
        <w:rPr>
          <w:rFonts w:ascii="Calibri" w:eastAsia="Calibri" w:hAnsi="Calibri" w:cs="Calibri"/>
          <w:color w:val="000000"/>
          <w:sz w:val="22"/>
          <w:szCs w:val="22"/>
        </w:rPr>
        <w:t>;</w:t>
      </w:r>
    </w:p>
    <w:p w14:paraId="696B9390" w14:textId="77777777" w:rsidR="009B55FB" w:rsidRDefault="00000000">
      <w:pPr>
        <w:numPr>
          <w:ilvl w:val="2"/>
          <w:numId w:val="1"/>
        </w:numPr>
        <w:pBdr>
          <w:top w:val="nil"/>
          <w:left w:val="nil"/>
          <w:bottom w:val="nil"/>
          <w:right w:val="nil"/>
          <w:between w:val="nil"/>
        </w:pBdr>
        <w:spacing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Que cumpre com a reserva de cargos prevista em lei para pessoa com deficiência ou para reabilitado da Previdência Social e que atendam às regras de acessibilidade previstas na legislação, conforme disposto no </w:t>
      </w:r>
      <w:hyperlink r:id="rId15" w:anchor="art93">
        <w:r w:rsidR="009B55FB">
          <w:rPr>
            <w:rFonts w:ascii="Calibri" w:eastAsia="Calibri" w:hAnsi="Calibri" w:cs="Calibri"/>
            <w:color w:val="000080"/>
            <w:sz w:val="22"/>
            <w:szCs w:val="22"/>
            <w:u w:val="single"/>
          </w:rPr>
          <w:t>art. 93 da Lei Federal nº 8.213/1991</w:t>
        </w:r>
      </w:hyperlink>
      <w:r>
        <w:rPr>
          <w:rFonts w:ascii="Calibri" w:eastAsia="Calibri" w:hAnsi="Calibri" w:cs="Calibri"/>
          <w:color w:val="000000"/>
          <w:sz w:val="22"/>
          <w:szCs w:val="22"/>
        </w:rPr>
        <w:t>.</w:t>
      </w:r>
    </w:p>
    <w:p w14:paraId="5F08ED9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sz w:val="22"/>
          <w:szCs w:val="22"/>
        </w:rPr>
        <w:t>A declaração falsa relativa ao cumprimento de qualquer condição sujeitará o licitante às sanções previstas em lei e neste Edital.</w:t>
      </w:r>
    </w:p>
    <w:p w14:paraId="748F20AD"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sz w:val="22"/>
          <w:szCs w:val="22"/>
        </w:rPr>
      </w:pPr>
      <w:r>
        <w:rPr>
          <w:rFonts w:ascii="Calibri" w:eastAsia="Calibri" w:hAnsi="Calibri" w:cs="Calibri"/>
          <w:b/>
          <w:color w:val="000000"/>
          <w:sz w:val="22"/>
          <w:szCs w:val="22"/>
        </w:rPr>
        <w:t>DA PARTICIPAÇÃO DE MICROEMPRESAS E EMPRESAS DE PEQUENO PORTE</w:t>
      </w:r>
    </w:p>
    <w:p w14:paraId="31E58BDA"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Nesta licitação NÃO será adotada a participação exclusiva das empresas qualificadas como microempresas e empresas de pequeno porte para os itens com valor igual ou inferior a R$ 80.000,00 (oitenta mil reais), nos termos do art. 48 da LC 123/06, tendo em vista a ocorrência do previsto no art. 49, inciso III da LC 123/06, ou seja, a participação exclusiva para as microempresas e empresas de pequeno porte poderá </w:t>
      </w:r>
      <w:r>
        <w:rPr>
          <w:rFonts w:ascii="Calibri" w:eastAsia="Calibri" w:hAnsi="Calibri" w:cs="Calibri"/>
          <w:sz w:val="22"/>
          <w:szCs w:val="22"/>
        </w:rPr>
        <w:lastRenderedPageBreak/>
        <w:t xml:space="preserve">não ser vantajoso para a administração pública ou representar prejuízo ao conjunto ou complexo do objeto a ser contratado. </w:t>
      </w:r>
    </w:p>
    <w:p w14:paraId="4E32FF8A"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sz w:val="22"/>
          <w:szCs w:val="22"/>
        </w:rPr>
        <w:t>Será concedido tratamento favorecido para as microempresas e empresas de pequeno porte, e para o microempreendedor individual - MEI, nos limites previstos da Lei Complementar nº 123/2006, Lei Complementar 147/2014, do Decreto nº 8.538, de 2015 e Decreto Municipal 553/2024.</w:t>
      </w:r>
    </w:p>
    <w:p w14:paraId="158226B4"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DO PROCEDIMENTO</w:t>
      </w:r>
    </w:p>
    <w:p w14:paraId="3D138B80"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procedimento obedecerá, integralmente, as disposições da Lei Federal nº 14.133/2021, da Lei n° 8.078/1990 e Lei Complementar nº 123/2006. </w:t>
      </w:r>
    </w:p>
    <w:p w14:paraId="31DB8B9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Os interessados deverão estar previamente cadastrados na plataforma </w:t>
      </w:r>
      <w:r>
        <w:rPr>
          <w:rFonts w:ascii="Calibri" w:eastAsia="Calibri" w:hAnsi="Calibri" w:cs="Calibri"/>
          <w:b/>
          <w:color w:val="000000"/>
          <w:sz w:val="22"/>
          <w:szCs w:val="22"/>
        </w:rPr>
        <w:t>PORTAL DE COMPRAS PÚBLICAS</w:t>
      </w:r>
      <w:r>
        <w:rPr>
          <w:rFonts w:ascii="Calibri" w:eastAsia="Calibri" w:hAnsi="Calibri" w:cs="Calibri"/>
          <w:color w:val="000000"/>
          <w:sz w:val="22"/>
          <w:szCs w:val="22"/>
        </w:rPr>
        <w:t>, e apresentar Requerimento de Participação com a indicação de sua intenção de se credenciar para o fornecimento dos bens ou para a prestação dos serviços.</w:t>
      </w:r>
    </w:p>
    <w:p w14:paraId="4E87BEE8" w14:textId="59EBAE8D"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É assegurado acesso permanente a qualquer interessado Pessoa Jurídica que preencha as exigências estabelecidas para o credenciamento, podendo realizar inscrição ordinária no período de </w:t>
      </w:r>
      <w:r w:rsidR="00D5086F" w:rsidRPr="00D5086F">
        <w:rPr>
          <w:rFonts w:ascii="Calibri" w:eastAsia="Calibri" w:hAnsi="Calibri" w:cs="Calibri"/>
          <w:color w:val="000000"/>
          <w:sz w:val="22"/>
          <w:szCs w:val="22"/>
        </w:rPr>
        <w:t>03</w:t>
      </w:r>
      <w:r w:rsidRPr="00D5086F">
        <w:rPr>
          <w:rFonts w:ascii="Calibri" w:eastAsia="Calibri" w:hAnsi="Calibri" w:cs="Calibri"/>
          <w:color w:val="000000"/>
          <w:sz w:val="22"/>
          <w:szCs w:val="22"/>
        </w:rPr>
        <w:t>/</w:t>
      </w:r>
      <w:r w:rsidR="00D5086F" w:rsidRPr="00D5086F">
        <w:rPr>
          <w:rFonts w:ascii="Calibri" w:eastAsia="Calibri" w:hAnsi="Calibri" w:cs="Calibri"/>
          <w:color w:val="000000"/>
          <w:sz w:val="22"/>
          <w:szCs w:val="22"/>
        </w:rPr>
        <w:t>10</w:t>
      </w:r>
      <w:r w:rsidRPr="00D5086F">
        <w:rPr>
          <w:rFonts w:ascii="Calibri" w:eastAsia="Calibri" w:hAnsi="Calibri" w:cs="Calibri"/>
          <w:color w:val="000000"/>
          <w:sz w:val="22"/>
          <w:szCs w:val="22"/>
        </w:rPr>
        <w:t xml:space="preserve">/2025 a </w:t>
      </w:r>
      <w:r w:rsidR="00D5086F" w:rsidRPr="00D5086F">
        <w:rPr>
          <w:rFonts w:ascii="Calibri" w:eastAsia="Calibri" w:hAnsi="Calibri" w:cs="Calibri"/>
          <w:color w:val="000000"/>
          <w:sz w:val="22"/>
          <w:szCs w:val="22"/>
        </w:rPr>
        <w:t>03</w:t>
      </w:r>
      <w:r w:rsidRPr="00D5086F">
        <w:rPr>
          <w:rFonts w:ascii="Calibri" w:eastAsia="Calibri" w:hAnsi="Calibri" w:cs="Calibri"/>
          <w:color w:val="000000"/>
          <w:sz w:val="22"/>
          <w:szCs w:val="22"/>
        </w:rPr>
        <w:t>/</w:t>
      </w:r>
      <w:r w:rsidR="00D5086F" w:rsidRPr="00D5086F">
        <w:rPr>
          <w:rFonts w:ascii="Calibri" w:eastAsia="Calibri" w:hAnsi="Calibri" w:cs="Calibri"/>
          <w:color w:val="000000"/>
          <w:sz w:val="22"/>
          <w:szCs w:val="22"/>
        </w:rPr>
        <w:t>10</w:t>
      </w:r>
      <w:r w:rsidRPr="00D5086F">
        <w:rPr>
          <w:rFonts w:ascii="Calibri" w:eastAsia="Calibri" w:hAnsi="Calibri" w:cs="Calibri"/>
          <w:color w:val="000000"/>
          <w:sz w:val="22"/>
          <w:szCs w:val="22"/>
        </w:rPr>
        <w:t>/2026</w:t>
      </w:r>
      <w:r>
        <w:rPr>
          <w:rFonts w:ascii="Calibri" w:eastAsia="Calibri" w:hAnsi="Calibri" w:cs="Calibri"/>
          <w:color w:val="000000"/>
          <w:sz w:val="22"/>
          <w:szCs w:val="22"/>
        </w:rPr>
        <w:t xml:space="preserve">, através do </w:t>
      </w:r>
      <w:r>
        <w:rPr>
          <w:rFonts w:ascii="Calibri" w:eastAsia="Calibri" w:hAnsi="Calibri" w:cs="Calibri"/>
          <w:b/>
          <w:color w:val="000000"/>
          <w:sz w:val="22"/>
          <w:szCs w:val="22"/>
        </w:rPr>
        <w:t>Portal de Compras Públicas</w:t>
      </w:r>
      <w:r>
        <w:rPr>
          <w:rFonts w:ascii="Calibri" w:eastAsia="Calibri" w:hAnsi="Calibri" w:cs="Calibri"/>
          <w:color w:val="000000"/>
          <w:sz w:val="22"/>
          <w:szCs w:val="22"/>
        </w:rPr>
        <w:t xml:space="preserve"> (</w:t>
      </w:r>
      <w:hyperlink r:id="rId16">
        <w:r w:rsidR="009B55FB">
          <w:rPr>
            <w:rFonts w:ascii="Calibri" w:eastAsia="Calibri" w:hAnsi="Calibri" w:cs="Calibri"/>
            <w:color w:val="000080"/>
            <w:sz w:val="22"/>
            <w:szCs w:val="22"/>
            <w:u w:val="single"/>
          </w:rPr>
          <w:t>https://www.portaldecompraspublicas.com.br/</w:t>
        </w:r>
      </w:hyperlink>
      <w:r>
        <w:rPr>
          <w:rFonts w:ascii="Calibri" w:eastAsia="Calibri" w:hAnsi="Calibri" w:cs="Calibri"/>
          <w:color w:val="000000"/>
          <w:sz w:val="22"/>
          <w:szCs w:val="22"/>
        </w:rPr>
        <w:t>), podendo ser prorrogado a critério da Administração Municipal, durante a vigência do Chamamento Público para fins de Credenciamento.</w:t>
      </w:r>
    </w:p>
    <w:p w14:paraId="48B39EF3" w14:textId="7B5120F2"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data da primeira habilitação ocorrerá no dia </w:t>
      </w:r>
      <w:r w:rsidR="00D5086F" w:rsidRPr="00D5086F">
        <w:rPr>
          <w:rFonts w:ascii="Calibri" w:eastAsia="Calibri" w:hAnsi="Calibri" w:cs="Calibri"/>
          <w:color w:val="000000"/>
          <w:sz w:val="22"/>
          <w:szCs w:val="22"/>
        </w:rPr>
        <w:t>03</w:t>
      </w:r>
      <w:r w:rsidRPr="00D5086F">
        <w:rPr>
          <w:rFonts w:ascii="Calibri" w:eastAsia="Calibri" w:hAnsi="Calibri" w:cs="Calibri"/>
          <w:color w:val="000000"/>
          <w:sz w:val="22"/>
          <w:szCs w:val="22"/>
        </w:rPr>
        <w:t>/</w:t>
      </w:r>
      <w:r w:rsidR="00D5086F" w:rsidRPr="00D5086F">
        <w:rPr>
          <w:rFonts w:ascii="Calibri" w:eastAsia="Calibri" w:hAnsi="Calibri" w:cs="Calibri"/>
          <w:color w:val="000000"/>
          <w:sz w:val="22"/>
          <w:szCs w:val="22"/>
        </w:rPr>
        <w:t>10</w:t>
      </w:r>
      <w:r w:rsidRPr="00D5086F">
        <w:rPr>
          <w:rFonts w:ascii="Calibri" w:eastAsia="Calibri" w:hAnsi="Calibri" w:cs="Calibri"/>
          <w:color w:val="000000"/>
          <w:sz w:val="22"/>
          <w:szCs w:val="22"/>
        </w:rPr>
        <w:t>/2025</w:t>
      </w:r>
      <w:r>
        <w:rPr>
          <w:rFonts w:ascii="Calibri" w:eastAsia="Calibri" w:hAnsi="Calibri" w:cs="Calibri"/>
          <w:color w:val="000000"/>
          <w:sz w:val="22"/>
          <w:szCs w:val="22"/>
        </w:rPr>
        <w:t>, e as demais habilitações ocorrerão em toda primeira s</w:t>
      </w:r>
      <w:r w:rsidR="00D5086F">
        <w:rPr>
          <w:rFonts w:ascii="Calibri" w:eastAsia="Calibri" w:hAnsi="Calibri" w:cs="Calibri"/>
          <w:color w:val="000000"/>
          <w:sz w:val="22"/>
          <w:szCs w:val="22"/>
        </w:rPr>
        <w:t>egunda</w:t>
      </w:r>
      <w:r>
        <w:rPr>
          <w:rFonts w:ascii="Calibri" w:eastAsia="Calibri" w:hAnsi="Calibri" w:cs="Calibri"/>
          <w:color w:val="000000"/>
          <w:sz w:val="22"/>
          <w:szCs w:val="22"/>
        </w:rPr>
        <w:t>-feira de cada mês, até a data de encerramento do Credenciamento.</w:t>
      </w:r>
    </w:p>
    <w:p w14:paraId="2DE5B3DC"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Caso algum dia de habilitação ocorra em dia de feriado, a mesma acontecerá no dia útil subsequente;</w:t>
      </w:r>
    </w:p>
    <w:p w14:paraId="6031C1C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prazo de vigência do credenciamento é de 12 (doze) meses, contados da data de sua publicação, durante o qual as interessadas poderão se inscrever, através do </w:t>
      </w:r>
      <w:r>
        <w:rPr>
          <w:rFonts w:ascii="Calibri" w:eastAsia="Calibri" w:hAnsi="Calibri" w:cs="Calibri"/>
          <w:b/>
          <w:color w:val="000000"/>
          <w:sz w:val="22"/>
          <w:szCs w:val="22"/>
        </w:rPr>
        <w:t>Portal de Compras Públicas</w:t>
      </w:r>
      <w:r>
        <w:rPr>
          <w:rFonts w:ascii="Calibri" w:eastAsia="Calibri" w:hAnsi="Calibri" w:cs="Calibri"/>
          <w:color w:val="000000"/>
          <w:sz w:val="22"/>
          <w:szCs w:val="22"/>
        </w:rPr>
        <w:t xml:space="preserve"> (</w:t>
      </w:r>
      <w:hyperlink r:id="rId17">
        <w:r w:rsidR="009B55FB">
          <w:rPr>
            <w:rFonts w:ascii="Calibri" w:eastAsia="Calibri" w:hAnsi="Calibri" w:cs="Calibri"/>
            <w:color w:val="000080"/>
            <w:sz w:val="22"/>
            <w:szCs w:val="22"/>
            <w:u w:val="single"/>
          </w:rPr>
          <w:t>https://www.portaldecompraspublicas.com.br/</w:t>
        </w:r>
      </w:hyperlink>
      <w:r>
        <w:rPr>
          <w:rFonts w:ascii="Calibri" w:eastAsia="Calibri" w:hAnsi="Calibri" w:cs="Calibri"/>
          <w:color w:val="000000"/>
          <w:sz w:val="22"/>
          <w:szCs w:val="22"/>
        </w:rPr>
        <w:t xml:space="preserve">), para compor o rol de interessados aptos a atender as demandas da municipalidade, desde que atendam às condições de habilitação, observadas as condições fixadas neste Edital e as normas pertinentes. </w:t>
      </w:r>
    </w:p>
    <w:p w14:paraId="6FE30A3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contratação será firmada por ato formal da autoridade administrativa competente, após o reconhecimento do cumprimento de todas as exigências estabelecidas, o que ensejará a subscrição do Termo de Contrato ao Credenciamento, o qual terá vigência consignada no Termo de Credenciamento, prorrogável, na forma dos artigos 106 e 107 da Lei n° 14.133, de 2021.</w:t>
      </w:r>
    </w:p>
    <w:p w14:paraId="740BB88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As informações prestadas, assim como a documentação entregue, são de inteira responsabilidade do interessado, cabendo-lhe certificar-se, antes da sua inscrição, de que atende a todos os requisitos para participar do credenciamento.</w:t>
      </w:r>
    </w:p>
    <w:p w14:paraId="00B3A150"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apresentação da documentação implica manifestação do interessado em participar do processo de credenciamento com a Fundação Municipal de Saúde de Teixeiras, aceitação e submissão, independentemente de declaração expressa, a todas as normas e condições estabelecidas no presente Edital e seus anexos.</w:t>
      </w:r>
    </w:p>
    <w:p w14:paraId="0640346F"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Será concedido tratamento favorecido para as microempresas e empresas de pequeno porte, e para o microempreendedor individual - MEI, nos limites previstos da Lei Complementar nº 123/2006, Lei Complementar 147/2014, do Decreto nº 8.538, de 2015 e Decreto Municipal 553/2024.</w:t>
      </w:r>
    </w:p>
    <w:p w14:paraId="68284CE8"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3" w:name="_heading=h.3znysh7" w:colFirst="0" w:colLast="0"/>
      <w:bookmarkEnd w:id="3"/>
      <w:r>
        <w:rPr>
          <w:rFonts w:ascii="Calibri" w:eastAsia="Calibri" w:hAnsi="Calibri" w:cs="Calibri"/>
          <w:b/>
          <w:color w:val="000000"/>
          <w:sz w:val="22"/>
          <w:szCs w:val="22"/>
        </w:rPr>
        <w:lastRenderedPageBreak/>
        <w:t>DA APRESENTAÇÃO DA PROPOSTA E DOS DOCUMENTOS PARA HABILITAÇÃO DO CREDENCIAMENTO</w:t>
      </w:r>
    </w:p>
    <w:p w14:paraId="6D1B49A9"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Para acesso ao sistema eletrônico, os interessados em participar do Credenciamento deverão dispor de chave de identificação e de senha pessoal e intransferível, obtidas junto ao </w:t>
      </w:r>
      <w:r>
        <w:rPr>
          <w:rFonts w:ascii="Calibri" w:eastAsia="Calibri" w:hAnsi="Calibri" w:cs="Calibri"/>
          <w:b/>
          <w:color w:val="000000"/>
          <w:sz w:val="22"/>
          <w:szCs w:val="22"/>
        </w:rPr>
        <w:t>Portal de Compras Públicas</w:t>
      </w:r>
      <w:r>
        <w:rPr>
          <w:rFonts w:ascii="Calibri" w:eastAsia="Calibri" w:hAnsi="Calibri" w:cs="Calibri"/>
          <w:color w:val="000000"/>
          <w:sz w:val="22"/>
          <w:szCs w:val="22"/>
        </w:rPr>
        <w:t xml:space="preserve"> (</w:t>
      </w:r>
      <w:hyperlink r:id="rId18">
        <w:r w:rsidR="009B55FB">
          <w:rPr>
            <w:rFonts w:ascii="Calibri" w:eastAsia="Calibri" w:hAnsi="Calibri" w:cs="Calibri"/>
            <w:color w:val="000080"/>
            <w:sz w:val="22"/>
            <w:szCs w:val="22"/>
            <w:u w:val="single"/>
          </w:rPr>
          <w:t>https://www.portaldecompraspublicas.com.br/</w:t>
        </w:r>
      </w:hyperlink>
      <w:r>
        <w:rPr>
          <w:rFonts w:ascii="Calibri" w:eastAsia="Calibri" w:hAnsi="Calibri" w:cs="Calibri"/>
          <w:color w:val="000000"/>
          <w:sz w:val="22"/>
          <w:szCs w:val="22"/>
        </w:rPr>
        <w:t>), devendo informar-se junto ao sistema a respeito de seu funcionamento e regulamento.</w:t>
      </w:r>
    </w:p>
    <w:p w14:paraId="4AE5D021"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licitante deverá se informar junto ao </w:t>
      </w:r>
      <w:r>
        <w:rPr>
          <w:rFonts w:ascii="Calibri" w:eastAsia="Calibri" w:hAnsi="Calibri" w:cs="Calibri"/>
          <w:b/>
          <w:color w:val="000000"/>
          <w:sz w:val="22"/>
          <w:szCs w:val="22"/>
        </w:rPr>
        <w:t>Portal de Compras Públicas</w:t>
      </w:r>
      <w:r>
        <w:rPr>
          <w:rFonts w:ascii="Calibri" w:eastAsia="Calibri" w:hAnsi="Calibri" w:cs="Calibri"/>
          <w:color w:val="000000"/>
          <w:sz w:val="22"/>
          <w:szCs w:val="22"/>
        </w:rPr>
        <w:t xml:space="preserve"> sobre os procedimentos e documentos necessários para o seu credenciamento e obtenção da chave de acesso.  </w:t>
      </w:r>
    </w:p>
    <w:p w14:paraId="6D6E660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Os interessados encaminharão, exclusivamente por meio do sistema eletrônico, concomitantemente com os documentos de habilitação exigidos no edital, Proposta Comercial, conforme o formulário do ANEXO II, até a data e o horário estabelecidos para abertura da sessão pública, quando, então, encerrar-se-á automaticamente a etapa de envio dessa documentação, sendo reaberta em datas posteriores, estabelecidas neste Edital. </w:t>
      </w:r>
    </w:p>
    <w:p w14:paraId="3F4C9419"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 declaração falsa relativa ao cumprimento de qualquer condição sujeitará o licitante às sanções previstas em lei e neste Edital. </w:t>
      </w:r>
    </w:p>
    <w:p w14:paraId="77DA6B9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Ficha de Inscrição (</w:t>
      </w:r>
      <w:r>
        <w:rPr>
          <w:rFonts w:ascii="Calibri" w:eastAsia="Calibri" w:hAnsi="Calibri" w:cs="Calibri"/>
          <w:b/>
          <w:color w:val="000000"/>
          <w:sz w:val="22"/>
          <w:szCs w:val="22"/>
        </w:rPr>
        <w:t>ANEXO II</w:t>
      </w:r>
      <w:r>
        <w:rPr>
          <w:rFonts w:ascii="Calibri" w:eastAsia="Calibri" w:hAnsi="Calibri" w:cs="Calibri"/>
          <w:color w:val="000000"/>
          <w:sz w:val="22"/>
          <w:szCs w:val="22"/>
        </w:rPr>
        <w:t>), deverá ser formulada e enviada em formulário específico, exclusivamente por meio do Sistema Eletrônico.</w:t>
      </w:r>
    </w:p>
    <w:p w14:paraId="115F0210"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uso da senha de acesso pelo licitante é de sua responsabilidade exclusiva, incluindo qualquer transação por ela efetuada diretamente, ou por seu representante, não cabendo ao provedor do sistema ou Fundação Municipal de Saúde de Teixeiras, responsabilidade por eventuais danos decorrentes do uso indevido da senha, ainda que por terceiros.</w:t>
      </w:r>
    </w:p>
    <w:p w14:paraId="04DED0E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inscrição de interessados no credenciamento implica a aceitação integral e irrestrita de todas as condições estabelecidas no edital de credenciamento.</w:t>
      </w:r>
    </w:p>
    <w:p w14:paraId="730093B1"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interessado que atender aos requisitos de habilitação previstos no edital será credenciado pelo órgão, com a possibilidade de, no interesse da administração, ser convocado para executar o objeto.</w:t>
      </w:r>
    </w:p>
    <w:p w14:paraId="782ED779"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Quando convocado para execução do objeto, o credenciado deverá comprovar que mantém todos os requisitos de habilitação exigidos no Edital de Credenciamento para fins de assinatura de contrato ou outro instrumento hábil.</w:t>
      </w:r>
    </w:p>
    <w:p w14:paraId="380D25A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Serão exigidos para fins de habilitação, os documentos previstos no </w:t>
      </w:r>
      <w:r>
        <w:rPr>
          <w:rFonts w:ascii="Calibri" w:eastAsia="Calibri" w:hAnsi="Calibri" w:cs="Calibri"/>
          <w:b/>
          <w:color w:val="000000"/>
          <w:sz w:val="22"/>
          <w:szCs w:val="22"/>
        </w:rPr>
        <w:t>ITEM 8 do Termo de Referência – ANEXO I</w:t>
      </w:r>
      <w:r>
        <w:rPr>
          <w:rFonts w:ascii="Calibri" w:eastAsia="Calibri" w:hAnsi="Calibri" w:cs="Calibri"/>
          <w:color w:val="000000"/>
          <w:sz w:val="22"/>
          <w:szCs w:val="22"/>
        </w:rPr>
        <w:t xml:space="preserve"> deste Edital, necessários e suficientes para demonstrar a capacidade do licitante de realizar o objeto. </w:t>
      </w:r>
    </w:p>
    <w:p w14:paraId="6B69883F"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documentos exigidos para fins de habilitação poderão ser apresentados em original, por cópia ou por ou outro meio expressamente admitido por esta Administração e poderão ser substituídos por registro cadastral emitido por órgão ou entidade pública, desde que o registro tenha sido feito em obediência ao disposto na Lei nº 14.133/2021.</w:t>
      </w:r>
    </w:p>
    <w:p w14:paraId="4A9CD54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Ficha de Inscrição deverá ser apresentada sem emendas, rasuras, entrelinhas ou ambiguidade, devendo ser seguido o modelo constante no ANEXO II deste edital, acompanhada da documentação descrita no Termo de Referência ANEXO I deste edital.</w:t>
      </w:r>
    </w:p>
    <w:p w14:paraId="7DAE7F9F"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Havendo divergência entre as informações apresentadas na Ficha de Inscrição (Anexo II) e as da Plataforma, prevalecerão as da Plataforma.</w:t>
      </w:r>
    </w:p>
    <w:p w14:paraId="2A62E283"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Previamente à celebração do Termo de Credenciamento, a Administração verificará o eventual descumprimento das condições para contratação, especialmente quanto à existência de sanção que a impeça, mediante a consulta a cadastros informativos oficiais.</w:t>
      </w:r>
    </w:p>
    <w:p w14:paraId="2E9876D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ausência de qualquer dos documentos exigidos neste Edital e seus anexos, bem como a presença de documentos incompletos, incorretos, em desacordo com este Edital, com rasuras, entrelinhas ou com a validade expirada, poderá acarretar o indeferimento da habilitação, podendo o interessado apresentar novo requerimento </w:t>
      </w:r>
      <w:r>
        <w:rPr>
          <w:rFonts w:ascii="Calibri" w:eastAsia="Calibri" w:hAnsi="Calibri" w:cs="Calibri"/>
          <w:sz w:val="22"/>
          <w:szCs w:val="22"/>
        </w:rPr>
        <w:t>escoimadas</w:t>
      </w:r>
      <w:r>
        <w:rPr>
          <w:rFonts w:ascii="Calibri" w:eastAsia="Calibri" w:hAnsi="Calibri" w:cs="Calibri"/>
          <w:color w:val="000000"/>
          <w:sz w:val="22"/>
          <w:szCs w:val="22"/>
        </w:rPr>
        <w:t xml:space="preserve"> das causas que ensejaram sua inépcia, nas futuras datas de habilitação de novos interessados.</w:t>
      </w:r>
    </w:p>
    <w:p w14:paraId="2A14A36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Todos os documentos emitidos em língua estrangeira deverão ser entregues acompanhados da tradução para língua portuguesa, efetuada por tradutor juramentado, e se for o caso, registrados no Cartório de Títulos e Documentos.</w:t>
      </w:r>
    </w:p>
    <w:p w14:paraId="74CD52D9"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proposta de credenciamento vincula o proponente, sujeitando-o, integralmente, às condições deste credenciamento.</w:t>
      </w:r>
    </w:p>
    <w:p w14:paraId="03F0440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Procedimentos de verificação da habilitação:</w:t>
      </w:r>
    </w:p>
    <w:p w14:paraId="336E50F4"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prazo para análise da documentação para habilitação de forma integral será de no máximo 05 (cinco) dias úteis, contados da data de habilitação estabelecida no Edital, prorrogável uma vez por igual período, admitida a hipótese de solicitação de esclarecimentos, retificações e complementações da documentação do interessado.</w:t>
      </w:r>
    </w:p>
    <w:p w14:paraId="2A247204"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Afim de prevalecer a supremacia do interesse público, e o alcance do máximo de interessados possível para a prestação dos serviços, os documentos complementares exigidos para habilitação que não estejam contemplados na Plataforma, serão enviados quando solicitado pela comissão de contratação, até a conclusão da fase de habilitação, ou seja, no prazo máximo de 05 (cinco) dias úteis a partir da respectiva data de habilitação.</w:t>
      </w:r>
    </w:p>
    <w:p w14:paraId="5336C0F8"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Na análise dos documentos de habilitação, a comissão de contratação poderá sanar erros ou falhas que não alterarem sua substância ou validade jurídica, atribuindo-lhes eficácia para fins de classificação, observado o disposto no </w:t>
      </w:r>
      <w:hyperlink r:id="rId19" w:anchor="art55">
        <w:r w:rsidR="009B55FB">
          <w:rPr>
            <w:rFonts w:ascii="Calibri" w:eastAsia="Calibri" w:hAnsi="Calibri" w:cs="Calibri"/>
            <w:color w:val="000080"/>
            <w:sz w:val="22"/>
            <w:szCs w:val="22"/>
            <w:u w:val="single"/>
          </w:rPr>
          <w:t>art. 55 da Lei nº 9.784, de 29 de janeiro de 1999.</w:t>
        </w:r>
      </w:hyperlink>
    </w:p>
    <w:p w14:paraId="7695C8CD"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verificação pela comissão de contratação, em sítios eletrônicos oficiais de órgãos e entidades emissores de certidões, constitui meio legal de prova para fins de habilitação.</w:t>
      </w:r>
    </w:p>
    <w:p w14:paraId="6B455116"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comprovação de regularidade fiscal e trabalhista das microempresas e das empresas de pequeno porte observará o disposto no  </w:t>
      </w:r>
      <w:hyperlink r:id="rId20" w:anchor="art42.">
        <w:r w:rsidR="009B55FB">
          <w:rPr>
            <w:rFonts w:ascii="Calibri" w:eastAsia="Calibri" w:hAnsi="Calibri" w:cs="Calibri"/>
            <w:color w:val="000080"/>
            <w:sz w:val="22"/>
            <w:szCs w:val="22"/>
            <w:u w:val="single"/>
          </w:rPr>
          <w:t>art. 42 da Lei Complementar nº 123, de 14 de agosto de 2006.</w:t>
        </w:r>
      </w:hyperlink>
    </w:p>
    <w:p w14:paraId="5D44B97E"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As demandas cuja sessão tenha sido cancelada poderão ser submetidas a nova convocação de todos os credenciados, em data a ser estabelecida e comunicada a todos os credenciados por meio eletrônico.</w:t>
      </w:r>
    </w:p>
    <w:p w14:paraId="308D046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Considerar-se-ão habilitado(s) o(s) interessado(s) cujos documentos tenham atendido às exigências constantes neste edital e seus anexos.</w:t>
      </w:r>
    </w:p>
    <w:p w14:paraId="2CEE6691"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sz w:val="22"/>
          <w:szCs w:val="22"/>
        </w:rPr>
      </w:pPr>
      <w:r>
        <w:rPr>
          <w:rFonts w:ascii="Calibri" w:eastAsia="Calibri" w:hAnsi="Calibri" w:cs="Calibri"/>
          <w:b/>
          <w:color w:val="000000"/>
          <w:sz w:val="22"/>
          <w:szCs w:val="22"/>
        </w:rPr>
        <w:lastRenderedPageBreak/>
        <w:t>DO CRITÉRIO PARA CONVOCAÇÃO DOS CREDENCIADOS</w:t>
      </w:r>
    </w:p>
    <w:p w14:paraId="50E1944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preferência para prestação dos serviços, quando houver mais de um interessado com competência técnica, será realizada através de rodízio, observada a ordem cronológica de protocolo dos documentos de Habilitação NA PLATAFORMA ELETRÔNICA (PORTAL DE COMPRAS PÚBLICAS) e observado o tipo de serviço a ser prestado.</w:t>
      </w:r>
    </w:p>
    <w:p w14:paraId="79024C3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 lista de classificação será elaborada, em ordem crescente, de acordo com a ordem cronológica de protocolo dos documentos de Habilitação, de modo que o primeiro a protocolar a documentação para credenciamento, </w:t>
      </w:r>
      <w:r>
        <w:rPr>
          <w:rFonts w:ascii="Calibri" w:eastAsia="Calibri" w:hAnsi="Calibri" w:cs="Calibri"/>
          <w:b/>
          <w:color w:val="000000"/>
          <w:sz w:val="22"/>
          <w:szCs w:val="22"/>
        </w:rPr>
        <w:t>devidamente aprovada e completa</w:t>
      </w:r>
      <w:r>
        <w:rPr>
          <w:rFonts w:ascii="Calibri" w:eastAsia="Calibri" w:hAnsi="Calibri" w:cs="Calibri"/>
          <w:color w:val="000000"/>
          <w:sz w:val="22"/>
          <w:szCs w:val="22"/>
        </w:rPr>
        <w:t>, será o primeiro na lista de classificação e assim sucessivamente.</w:t>
      </w:r>
    </w:p>
    <w:p w14:paraId="68320349"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Para a delimitação da ordem cronológica, será considerado a data e horário do último documento a ter sido anexado na plataforma PORTAL DE COMPRAS PÚBLICAS.</w:t>
      </w:r>
    </w:p>
    <w:p w14:paraId="61B501BA"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 lista de classificação será rigorosamente seguida para fins de convocação, mantendo-se a sequência, durante a validade do credenciamento. </w:t>
      </w:r>
    </w:p>
    <w:p w14:paraId="78102039"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Uma vez que o Credenciamento tem vigência de 01 (um) ano, podendo haver novos credenciados a qualquer momento, caso já tenha ocorrido a prestação do serviço, e considerando que haja habilitação de um novo credenciado, o quantitativo a ser </w:t>
      </w:r>
      <w:r>
        <w:rPr>
          <w:rFonts w:ascii="Calibri" w:eastAsia="Calibri" w:hAnsi="Calibri" w:cs="Calibri"/>
          <w:sz w:val="22"/>
          <w:szCs w:val="22"/>
        </w:rPr>
        <w:t>dividido</w:t>
      </w:r>
      <w:r>
        <w:rPr>
          <w:rFonts w:ascii="Calibri" w:eastAsia="Calibri" w:hAnsi="Calibri" w:cs="Calibri"/>
          <w:color w:val="000000"/>
          <w:sz w:val="22"/>
          <w:szCs w:val="22"/>
        </w:rPr>
        <w:t xml:space="preserve"> entre os prestadores será o do saldo do serviço restante, contado a partir da data de habilitação do novo credenciado para o respectivo item.</w:t>
      </w:r>
    </w:p>
    <w:p w14:paraId="1DB11AE1"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novo credenciado assumirá a última posição na ordem de fornecimento do objeto, ou seja, só será solicitado o serviço para o novo credenciado quando todos os prestadores anteriormente credenciados tiverem executado o objeto, segundo o rodízio anterior.</w:t>
      </w:r>
    </w:p>
    <w:p w14:paraId="2E60DA1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Não havendo mais de um prestador de serviços para determinado item, será contratado apenas aquele que atender o Edital, enquanto não houver outro credenciado.</w:t>
      </w:r>
    </w:p>
    <w:p w14:paraId="549A9E1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Porquanto a inviabilidade de competição configura-se pelo fato de a Administração dispor-se a contratar todos os que tiverem interesse e que satisfaçam as condições por ela estabelecidas, nos casos de contratações paralelas e não excludentes, isto é, quando a solução da necessidade pública demanda a contratação concomitante ou sucessiva de todos os particulares que preencherem os requisitos previamente fixados, caso o número de CREDENCIADOS se iguale à quantidade de serviços a serem solicitados, a seleção continuará a obedecer a ordem cronológica de credenciamento. Sendo assim, caso o quantitativo do serviço demandado se igualar ao número de prestadores interessados, não será possível novos credenciamentos, salvo em hipótese de descredenciamento daqueles já credenciados. </w:t>
      </w:r>
    </w:p>
    <w:p w14:paraId="4AAF78A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 algum interessado se recusar a prestar os serviços, faculta-se a Secretaria Municipal requisitante independentemente de aviso, notificação, ou interpelação judicial ou extrajudicial, repassar a ordem de serviço ao credenciado de classificação imediata e subsequente à daquele que recusou a prestar os serviços.</w:t>
      </w:r>
    </w:p>
    <w:p w14:paraId="48B45D28"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Caso não haja disponibilidade do CREDENCIADO para a prestação dos serviços devidamente solicitados, quando este CREDENCIADO for o primeiro posicionado da lista, será chamado o próximo colocado da referida lista, passando o CREDENCIADO anterior para a posição final da lista de CREDENCIADOS.</w:t>
      </w:r>
    </w:p>
    <w:p w14:paraId="4A66B41A"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b/>
          <w:color w:val="000000"/>
          <w:sz w:val="22"/>
          <w:szCs w:val="22"/>
        </w:rPr>
      </w:pPr>
      <w:r>
        <w:rPr>
          <w:rFonts w:ascii="Calibri" w:eastAsia="Calibri" w:hAnsi="Calibri" w:cs="Calibri"/>
          <w:color w:val="000000"/>
          <w:sz w:val="22"/>
          <w:szCs w:val="22"/>
        </w:rPr>
        <w:t xml:space="preserve">O prestador que realizar os serviços encaminhados na ordem de serviço emitida pela Secretaria Municipal requisitante será automaticamente realocado para o final da lista de classificação do referido serviço, ficando excluído da próxima convocação até que todos os prestadores credenciados sejam </w:t>
      </w:r>
      <w:r>
        <w:rPr>
          <w:rFonts w:ascii="Calibri" w:eastAsia="Calibri" w:hAnsi="Calibri" w:cs="Calibri"/>
          <w:color w:val="000000"/>
          <w:sz w:val="22"/>
          <w:szCs w:val="22"/>
        </w:rPr>
        <w:lastRenderedPageBreak/>
        <w:t xml:space="preserve">contemplados (incluindo os novos credenciados), ao menos, em uma oportunidade, salvo se for o único credenciado à época. </w:t>
      </w:r>
    </w:p>
    <w:p w14:paraId="61182ADA"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 caso de descredenciamento de prestador de serviços, sua posição será ocupada pelo próximo na ordem de classificação, reordenando os demais.</w:t>
      </w:r>
    </w:p>
    <w:p w14:paraId="7730CC20"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A habilitação e credenciamento não obriga a contratação pela administração pública.</w:t>
      </w:r>
    </w:p>
    <w:p w14:paraId="2613ED2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A qualquer tempo o Termo de Credenciamento/Contrato poderá ser alterado nos termos da lei, visando adequar o serviço às condições de execução previstas pelo Município.</w:t>
      </w:r>
    </w:p>
    <w:p w14:paraId="657D98A7"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DO DESCREDENCIAMENTO</w:t>
      </w:r>
    </w:p>
    <w:p w14:paraId="1E56344F"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credenciamentos regidos por este edital têm caráter precário, podendo, a qualquer momento, a CREDENCIADA ou a administração denunciá-lo, caso seja constatada qualquer irregularidade na observância e cumprimento das normas fixadas neste Edital e na legislação pertinente, sem prejuízo do exercício do contraditório e da ampla defesa.</w:t>
      </w:r>
    </w:p>
    <w:p w14:paraId="6C2174E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CREDENCIADA poderá, a qualquer tempo, solicitar seu descredenciamento mediante o envio de solicitação escrita ao Município.</w:t>
      </w:r>
    </w:p>
    <w:p w14:paraId="5A8F3A61"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pedido de descredenciamento não desincumbe o credenciado do cumprimento de eventuais contratos assumidos e das responsabilidades a eles inerentes, cabendo em casos de irregularidade na execução do serviço a aplicação das sanções aplicáveis à inexecução parcial e/ou total dos contratos definidas na Lei n° 14.133/2021;</w:t>
      </w:r>
    </w:p>
    <w:p w14:paraId="43BF815E"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 caso de convocação geral de todos os credenciados para a realização do serviço ou fornecimento do bem, a CREDENCIADA que se declarar impedida de atender às demandas deverá solicitar seu descredenciamento em até 02 (dois) dias úteis da convocação.</w:t>
      </w:r>
    </w:p>
    <w:p w14:paraId="24D2BCB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descredenciamento não proíbe que a CREDENCIADA requeira novo credenciamento para ele ou outro objeto a ser contratado.</w:t>
      </w:r>
    </w:p>
    <w:p w14:paraId="439F13A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CREDENCIANTE poderá, a qualquer tempo, avaliar a continuidade do credenciamento, observados, em especial, aos requisitos dispostos no Termo de Credenciamento.</w:t>
      </w:r>
    </w:p>
    <w:p w14:paraId="48C1863F"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DA FORMA E REGIME DE EXECUÇÃO</w:t>
      </w:r>
    </w:p>
    <w:p w14:paraId="4347E88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credenciados atenderão o Município em sistema de rodízio em ordem cronológica de credenciamento, e solicitação de serviços, mediante prévia solicitação da Secretaria Municipal de Infraestrutura, Obras e Meio Ambiente, conforme o Termo de Referência, Anexo I deste Edital.</w:t>
      </w:r>
    </w:p>
    <w:p w14:paraId="38B0E52D"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DAS OBRIGAÇÕES DA CONTRATANTE E DA CONTRATADA</w:t>
      </w:r>
    </w:p>
    <w:p w14:paraId="7554D08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As obrigações da Contratante e da Contratada são as estabelecidas na Minuta do Termo de Credenciamento, Anexo deste Edital.</w:t>
      </w:r>
    </w:p>
    <w:p w14:paraId="51D0BB6F"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 w:name="_heading=h.2et92p0" w:colFirst="0" w:colLast="0"/>
      <w:bookmarkEnd w:id="4"/>
      <w:r>
        <w:rPr>
          <w:rFonts w:ascii="Calibri" w:eastAsia="Calibri" w:hAnsi="Calibri" w:cs="Calibri"/>
          <w:b/>
          <w:color w:val="000000"/>
          <w:sz w:val="22"/>
          <w:szCs w:val="22"/>
        </w:rPr>
        <w:lastRenderedPageBreak/>
        <w:t>DA REMUNERAÇÃO DOS SERVIÇOS PRESTADOS</w:t>
      </w:r>
    </w:p>
    <w:p w14:paraId="4FB37CD8" w14:textId="4085BA66"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bookmarkStart w:id="5" w:name="_heading=h.tyjcwt" w:colFirst="0" w:colLast="0"/>
      <w:bookmarkEnd w:id="5"/>
      <w:r>
        <w:rPr>
          <w:rFonts w:ascii="Calibri" w:eastAsia="Calibri" w:hAnsi="Calibri" w:cs="Calibri"/>
          <w:color w:val="000000"/>
          <w:sz w:val="22"/>
          <w:szCs w:val="22"/>
        </w:rPr>
        <w:t xml:space="preserve">Os preços, bem como os procedimentos e orientações técnicas relativas ao faturamento e pagamento das despesas, são os constantes da tabela de preços estabelecida no </w:t>
      </w:r>
      <w:r>
        <w:rPr>
          <w:rFonts w:ascii="Calibri" w:eastAsia="Calibri" w:hAnsi="Calibri" w:cs="Calibri"/>
          <w:b/>
          <w:color w:val="000000"/>
          <w:sz w:val="22"/>
          <w:szCs w:val="22"/>
        </w:rPr>
        <w:t>Termo de Referência,</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Anexo I </w:t>
      </w:r>
      <w:r>
        <w:rPr>
          <w:rFonts w:ascii="Calibri" w:eastAsia="Calibri" w:hAnsi="Calibri" w:cs="Calibri"/>
          <w:color w:val="000000"/>
          <w:sz w:val="22"/>
          <w:szCs w:val="22"/>
        </w:rPr>
        <w:t>deste Edital.</w:t>
      </w:r>
    </w:p>
    <w:p w14:paraId="33C95D69"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6" w:name="_heading=h.3dy6vkm" w:colFirst="0" w:colLast="0"/>
      <w:bookmarkEnd w:id="6"/>
      <w:r>
        <w:rPr>
          <w:rFonts w:ascii="Calibri" w:eastAsia="Calibri" w:hAnsi="Calibri" w:cs="Calibri"/>
          <w:b/>
          <w:color w:val="000000"/>
          <w:sz w:val="22"/>
          <w:szCs w:val="22"/>
        </w:rPr>
        <w:t>DOS RECURSOS</w:t>
      </w:r>
    </w:p>
    <w:p w14:paraId="4F11510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 interposição de recurso referente à habilitação ou inabilitação de licitantes, à anulação ou revogação do credenciamento, observará o disposto no </w:t>
      </w:r>
      <w:hyperlink r:id="rId21" w:anchor="art165">
        <w:r w:rsidR="009B55FB">
          <w:rPr>
            <w:rFonts w:ascii="Calibri" w:eastAsia="Calibri" w:hAnsi="Calibri" w:cs="Calibri"/>
            <w:color w:val="000000"/>
            <w:sz w:val="22"/>
            <w:szCs w:val="22"/>
          </w:rPr>
          <w:t>art. 165 da Lei nº 14.133, de 2021</w:t>
        </w:r>
      </w:hyperlink>
      <w:r>
        <w:rPr>
          <w:rFonts w:ascii="Calibri" w:eastAsia="Calibri" w:hAnsi="Calibri" w:cs="Calibri"/>
          <w:color w:val="000000"/>
          <w:sz w:val="22"/>
          <w:szCs w:val="22"/>
        </w:rPr>
        <w:t>.</w:t>
      </w:r>
    </w:p>
    <w:p w14:paraId="665F134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prazo recursal é de 3 (três) dias úteis, contados da data de intimação ou de lavratura do Termo de Credenciamento ou instrumento equivalente.</w:t>
      </w:r>
    </w:p>
    <w:p w14:paraId="68733D11"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Dos atos praticados referentes ao indeferimento dos pedidos de credenciamento e demais procedimentos previstos neste Edital, caberão recursos administrativos, devendo o interessado apresentar recurso no prazo de 3 (três) dias úteis contados da resposta negativa.</w:t>
      </w:r>
    </w:p>
    <w:p w14:paraId="27FAB0CF"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demais interessados serão notificados da apresentação do recurso, para, querendo, apresentar contrarrazões, em outros 3 (três) dias úteis, sendo-lhes assegurada vista imediata dos elementos indispensáveis a defesa de seus interesses.</w:t>
      </w:r>
    </w:p>
    <w:p w14:paraId="575DC3C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2D57B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Os recursos deverão ser encaminhados SOMENTE em campo próprio do sistema.</w:t>
      </w:r>
    </w:p>
    <w:p w14:paraId="3D8A7220"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Os recursos interpostos fora do prazo não serão conhecidos. </w:t>
      </w:r>
    </w:p>
    <w:p w14:paraId="0349186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autos do processo permanecerão com vista franqueada aos interessados, no endereço constante neste Edital.</w:t>
      </w:r>
    </w:p>
    <w:p w14:paraId="26392A8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recurso e o pedido de reconsideração terão efeito suspensivo do ato ou da decisão recorrida até que sobrevenha decisão final da autoridade competente. </w:t>
      </w:r>
    </w:p>
    <w:p w14:paraId="7A20C54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acolhimento do recurso invalida tão somente os atos insuscetíveis de aproveitamento. </w:t>
      </w:r>
    </w:p>
    <w:p w14:paraId="563DE00E"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7" w:name="_heading=h.1t3h5sf" w:colFirst="0" w:colLast="0"/>
      <w:bookmarkEnd w:id="7"/>
      <w:r>
        <w:rPr>
          <w:rFonts w:ascii="Calibri" w:eastAsia="Calibri" w:hAnsi="Calibri" w:cs="Calibri"/>
          <w:b/>
          <w:color w:val="000000"/>
          <w:sz w:val="22"/>
          <w:szCs w:val="22"/>
        </w:rPr>
        <w:t>DA HOMOLOGAÇÃO E CONVOCAÇÃO</w:t>
      </w:r>
    </w:p>
    <w:p w14:paraId="1EC9653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Todos aqueles que preencherem os requisitos exigidos neste edital terão seus requerimentos de credenciamento homologados pela autoridade competente;</w:t>
      </w:r>
    </w:p>
    <w:p w14:paraId="2F3C803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Cumpridas as exigências de habilitação, o credenciamento será homologado, sendo formalizado mediante assinatura de Termo de Credenciamento ou instrumento equivalente;</w:t>
      </w:r>
    </w:p>
    <w:p w14:paraId="3F0F8F47"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8" w:name="_heading=h.4d34og8" w:colFirst="0" w:colLast="0"/>
      <w:bookmarkEnd w:id="8"/>
      <w:r>
        <w:rPr>
          <w:rFonts w:ascii="Calibri" w:eastAsia="Calibri" w:hAnsi="Calibri" w:cs="Calibri"/>
          <w:b/>
          <w:color w:val="000000"/>
          <w:sz w:val="22"/>
          <w:szCs w:val="22"/>
        </w:rPr>
        <w:t>DA GARANTIA DE EXECUÇÃO</w:t>
      </w:r>
    </w:p>
    <w:p w14:paraId="52F873B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14:paraId="207BA339"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9" w:name="_heading=h.2s8eyo1" w:colFirst="0" w:colLast="0"/>
      <w:bookmarkEnd w:id="9"/>
      <w:r>
        <w:rPr>
          <w:rFonts w:ascii="Calibri" w:eastAsia="Calibri" w:hAnsi="Calibri" w:cs="Calibri"/>
          <w:b/>
          <w:color w:val="000000"/>
          <w:sz w:val="22"/>
          <w:szCs w:val="22"/>
        </w:rPr>
        <w:lastRenderedPageBreak/>
        <w:t>DA RESCISÃO, ANULAÇÃO E REVOGAÇÃO</w:t>
      </w:r>
    </w:p>
    <w:p w14:paraId="42318B9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Termo de Credenciamento poderá ser rescindido na forma do disposto nos artigos 137 a 139, da Lei Federal nº 14.133/2021, sem prejuízo às sanções aplicáveis, na forma desta legislação. </w:t>
      </w:r>
    </w:p>
    <w:p w14:paraId="01C4D715" w14:textId="77777777" w:rsidR="009B55FB" w:rsidRDefault="00000000">
      <w:pPr>
        <w:numPr>
          <w:ilvl w:val="1"/>
          <w:numId w:val="1"/>
        </w:numPr>
        <w:pBdr>
          <w:top w:val="nil"/>
          <w:left w:val="nil"/>
          <w:bottom w:val="nil"/>
          <w:right w:val="nil"/>
          <w:between w:val="nil"/>
        </w:pBdr>
        <w:tabs>
          <w:tab w:val="left" w:pos="709"/>
        </w:tabs>
        <w:spacing w:before="240" w:after="240"/>
        <w:ind w:left="0" w:firstLine="0"/>
        <w:rPr>
          <w:rFonts w:ascii="Calibri" w:eastAsia="Calibri" w:hAnsi="Calibri" w:cs="Calibri"/>
          <w:sz w:val="22"/>
          <w:szCs w:val="22"/>
        </w:rPr>
      </w:pPr>
      <w:r>
        <w:rPr>
          <w:rFonts w:ascii="Calibri" w:eastAsia="Calibri" w:hAnsi="Calibri" w:cs="Calibri"/>
          <w:sz w:val="22"/>
          <w:szCs w:val="22"/>
        </w:rPr>
        <w:t>O edital de credenciamento poderá ser anulado, a qualquer tempo, em caso de vício de legalidade, ou revogado, por motivos de conveniência e de oportunidade da administração.</w:t>
      </w:r>
    </w:p>
    <w:p w14:paraId="777BEF1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Na hipótese de anulação do edital de credenciamento, os instrumentos que dele resultaram ficarão sujeitos ao disposto nos art. 147 ao art. 150 da Lei nº 14.133, de 2021.</w:t>
      </w:r>
    </w:p>
    <w:p w14:paraId="688FEA2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revogação do edital de credenciamento não repercutirá nos instrumentos já celebrados que dele resultaram.</w:t>
      </w:r>
    </w:p>
    <w:p w14:paraId="74168566"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DO TERMO DE CREDENCIAMENTO OU INSTRUMENTO EQUIVALENTE</w:t>
      </w:r>
    </w:p>
    <w:p w14:paraId="1F0892D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Após a homologação, em sendo realizada a contratação, será firmado Termo de Credenciamento ou emitido instrumento equivalente.</w:t>
      </w:r>
    </w:p>
    <w:p w14:paraId="26F6147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adjudicatário terá o prazo de 5 (cinco) dias úteis, contados a partir da data de sua convocação, para assinar o Termo de Credenciamento ou aceitar instrumento equivalente, conforme o caso (Nota de Empenho/Carta Contrato/Autorização), sob pena de decair do direito à contratação, sem prejuízo das sanções previstas neste Edital.</w:t>
      </w:r>
    </w:p>
    <w:p w14:paraId="497B7185"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Alternativamente à convocação para comparecer perante o órgão ou entidade para a assinatura do Termo de Credenciamento ou aceite do instrumento equivalente, a Administração poderá encaminhá-lo para assinatura ou aceite da Adjudicatária, mediante correspondência postal com aviso de recebimento (AR) ou meio eletrônico, para que seja assinado ou aceito no prazo de 5 (cinco) dias úteis, a contar da data de seu recebimento.</w:t>
      </w:r>
    </w:p>
    <w:p w14:paraId="1FBECAD1"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prazo previsto no subitem anterior poderá ser prorrogado, por igual período, por solicitação justificada do adjudicatário e aceita pela Administração.</w:t>
      </w:r>
    </w:p>
    <w:p w14:paraId="7577830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Aceite da Nota de Empenho ou do instrumento equivalente, emitida à empresa adjudicada, implica no reconhecimento de que:</w:t>
      </w:r>
    </w:p>
    <w:p w14:paraId="04EB5C5F"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referida Nota está substituindo o Termo de Credenciamento, aplicando-se à relação de negócios ali estabelecida as disposições da Lei Federal nº 14.133/2021;</w:t>
      </w:r>
    </w:p>
    <w:p w14:paraId="54436979"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contratada se vincula à sua proposta e às previsões contidas no Edital e seus Anexos;</w:t>
      </w:r>
    </w:p>
    <w:p w14:paraId="3932334E"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contratada reconhece que as hipóteses de rescisão são aquelas previstas no art. 137 da Lei Federal nº 14.133/2021 e reconhece os direitos da Administração previstos nos artigos 138 e 139 da mesma Lei.</w:t>
      </w:r>
    </w:p>
    <w:p w14:paraId="55E703D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prazo de vigência da contratação é o estabelecido no Termo de Referência, Anexo deste Edital.</w:t>
      </w:r>
    </w:p>
    <w:p w14:paraId="1A8B140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inciso III, da Lei Federal nº 10.522/2002, consulta prévia ao CADIN.</w:t>
      </w:r>
    </w:p>
    <w:p w14:paraId="648CA1AA"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lastRenderedPageBreak/>
        <w:t>Na assinatura do contrato, será exigida a comprovação das condições de habilitação consignadas neste Edital, as quais deverão ser mantidas pelo licitante durante a vigência do contrato.</w:t>
      </w:r>
    </w:p>
    <w:p w14:paraId="0222F564"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Na hipótese de irregularidade, o contratado deverá regularizar a sua situação perante o cadastro no prazo de até 5 (cinco) dias úteis, sob pena de aplicação das penalidades previstas no Edital e seus Anexos.</w:t>
      </w:r>
    </w:p>
    <w:p w14:paraId="122CAFC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575F6252"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DO REAJUSTAMENTO EM SENTIDO GERAL</w:t>
      </w:r>
    </w:p>
    <w:p w14:paraId="014BC12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As regras acerca do reajustamento em sentido geral do valor contratual são as estabelecidas na Minuta de Termo de Credenciamento, Anexo deste Edital.</w:t>
      </w:r>
    </w:p>
    <w:p w14:paraId="523DB515"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10" w:name="_heading=h.17dp8vu" w:colFirst="0" w:colLast="0"/>
      <w:bookmarkEnd w:id="10"/>
      <w:r>
        <w:rPr>
          <w:rFonts w:ascii="Calibri" w:eastAsia="Calibri" w:hAnsi="Calibri" w:cs="Calibri"/>
          <w:b/>
          <w:color w:val="000000"/>
          <w:sz w:val="22"/>
          <w:szCs w:val="22"/>
        </w:rPr>
        <w:t xml:space="preserve">DAS INFRAÇÕES E SANÇÕES ADMINISTRATIVAS </w:t>
      </w:r>
    </w:p>
    <w:p w14:paraId="2458BE2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Comete infração administrativa, nos termos do </w:t>
      </w:r>
      <w:hyperlink r:id="rId22" w:anchor="art155">
        <w:r w:rsidR="009B55FB">
          <w:rPr>
            <w:rFonts w:ascii="Calibri" w:eastAsia="Calibri" w:hAnsi="Calibri" w:cs="Calibri"/>
            <w:color w:val="000080"/>
            <w:sz w:val="22"/>
            <w:szCs w:val="22"/>
            <w:u w:val="single"/>
          </w:rPr>
          <w:t>art. 155 da Lei Federal nº 14.133/2021</w:t>
        </w:r>
      </w:hyperlink>
      <w:r>
        <w:rPr>
          <w:rFonts w:ascii="Calibri" w:eastAsia="Calibri" w:hAnsi="Calibri" w:cs="Calibri"/>
          <w:color w:val="000000"/>
          <w:sz w:val="22"/>
          <w:szCs w:val="22"/>
        </w:rPr>
        <w:t xml:space="preserve">, o licitante/adjudicatário que, com dolo ou culpa: </w:t>
      </w:r>
    </w:p>
    <w:p w14:paraId="7B837CBC"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11" w:name="_heading=h.3rdcrjn" w:colFirst="0" w:colLast="0"/>
      <w:bookmarkEnd w:id="11"/>
      <w:r>
        <w:rPr>
          <w:rFonts w:ascii="Calibri" w:eastAsia="Calibri" w:hAnsi="Calibri" w:cs="Calibri"/>
          <w:color w:val="000000"/>
          <w:sz w:val="22"/>
          <w:szCs w:val="22"/>
        </w:rPr>
        <w:t>Der causa à inexecução parcial ou total do contrato;</w:t>
      </w:r>
    </w:p>
    <w:p w14:paraId="7E553CB1"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Deixar de entregar os documentos exigidos no certame; </w:t>
      </w:r>
    </w:p>
    <w:p w14:paraId="27065102"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12" w:name="_heading=h.26in1rg" w:colFirst="0" w:colLast="0"/>
      <w:bookmarkEnd w:id="12"/>
      <w:r>
        <w:rPr>
          <w:rFonts w:ascii="Calibri" w:eastAsia="Calibri" w:hAnsi="Calibri" w:cs="Calibri"/>
          <w:color w:val="000000"/>
          <w:sz w:val="22"/>
          <w:szCs w:val="22"/>
        </w:rPr>
        <w:t>Salvo em decorrência de fato superveniente devidamente justificado, não mantiver a proposta em especial quando:</w:t>
      </w:r>
    </w:p>
    <w:p w14:paraId="385E7333"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Não enviar a proposta adequada ao último lance ofertado ou após a negociação; </w:t>
      </w:r>
    </w:p>
    <w:p w14:paraId="1A762B38"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Recusar-se a enviar o detalhamento da proposta quando exigível; </w:t>
      </w:r>
    </w:p>
    <w:p w14:paraId="4264C5F5"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Pedir para ser desclassificado quando encerrada a etapa competitiva; ou </w:t>
      </w:r>
    </w:p>
    <w:p w14:paraId="2F0B0DD7"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Deixar de apresentar amostra;</w:t>
      </w:r>
    </w:p>
    <w:p w14:paraId="561EAFAB"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Apresentar proposta ou amostra em desacordo com as especificações do edital; </w:t>
      </w:r>
    </w:p>
    <w:p w14:paraId="724626A8"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13" w:name="_heading=h.lnxbz9" w:colFirst="0" w:colLast="0"/>
      <w:bookmarkEnd w:id="13"/>
      <w:r>
        <w:rPr>
          <w:rFonts w:ascii="Calibri" w:eastAsia="Calibri" w:hAnsi="Calibri" w:cs="Calibri"/>
          <w:color w:val="000000"/>
          <w:sz w:val="22"/>
          <w:szCs w:val="22"/>
        </w:rPr>
        <w:t>Não assinar o Termo de Contrato/ARP ou aceitar/retirar o instrumento equivalente, quando convocado dentro do prazo de validade da proposta;</w:t>
      </w:r>
    </w:p>
    <w:p w14:paraId="0845FEAF"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14" w:name="_heading=h.35nkun2" w:colFirst="0" w:colLast="0"/>
      <w:bookmarkEnd w:id="14"/>
      <w:r>
        <w:rPr>
          <w:rFonts w:ascii="Calibri" w:eastAsia="Calibri" w:hAnsi="Calibri" w:cs="Calibri"/>
          <w:color w:val="000000"/>
          <w:sz w:val="22"/>
          <w:szCs w:val="22"/>
        </w:rPr>
        <w:t>Ensejar o retardamento da execução ou entrega do objeto da licitação sem motivo justificado;</w:t>
      </w:r>
    </w:p>
    <w:p w14:paraId="00483899"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Apresentar declaração ou documentação falsa;</w:t>
      </w:r>
    </w:p>
    <w:p w14:paraId="6DB001D2"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15" w:name="_heading=h.1ksv4uv" w:colFirst="0" w:colLast="0"/>
      <w:bookmarkEnd w:id="15"/>
      <w:r>
        <w:rPr>
          <w:rFonts w:ascii="Calibri" w:eastAsia="Calibri" w:hAnsi="Calibri" w:cs="Calibri"/>
          <w:color w:val="000000"/>
          <w:sz w:val="22"/>
          <w:szCs w:val="22"/>
        </w:rPr>
        <w:t>Fraudar a licitação ou praticar ato fraudulento na execução do contrato;</w:t>
      </w:r>
    </w:p>
    <w:p w14:paraId="1442D6FF"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16" w:name="_heading=h.44sinio" w:colFirst="0" w:colLast="0"/>
      <w:bookmarkEnd w:id="16"/>
      <w:r>
        <w:rPr>
          <w:rFonts w:ascii="Calibri" w:eastAsia="Calibri" w:hAnsi="Calibri" w:cs="Calibri"/>
          <w:color w:val="000000"/>
          <w:sz w:val="22"/>
          <w:szCs w:val="22"/>
        </w:rPr>
        <w:t>Comportar-se de modo inidôneo ou cometer fraude de qualquer natureza, em especial quando:</w:t>
      </w:r>
    </w:p>
    <w:p w14:paraId="633EA051"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Agir em conluio ou em desconformidade com a lei; </w:t>
      </w:r>
    </w:p>
    <w:p w14:paraId="74993FA7"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Induzir deliberadamente a erro no julgamento; </w:t>
      </w:r>
    </w:p>
    <w:p w14:paraId="362BF004" w14:textId="77777777" w:rsidR="009B55FB" w:rsidRDefault="00000000">
      <w:pPr>
        <w:numPr>
          <w:ilvl w:val="3"/>
          <w:numId w:val="1"/>
        </w:numPr>
        <w:pBdr>
          <w:top w:val="nil"/>
          <w:left w:val="nil"/>
          <w:bottom w:val="nil"/>
          <w:right w:val="nil"/>
          <w:between w:val="nil"/>
        </w:pBdr>
        <w:tabs>
          <w:tab w:val="left" w:pos="851"/>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Apresentar amostra falsificada ou deteriorada; </w:t>
      </w:r>
    </w:p>
    <w:p w14:paraId="4EA39727"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17" w:name="_heading=h.2jxsxqh" w:colFirst="0" w:colLast="0"/>
      <w:bookmarkEnd w:id="17"/>
      <w:r>
        <w:rPr>
          <w:rFonts w:ascii="Calibri" w:eastAsia="Calibri" w:hAnsi="Calibri" w:cs="Calibri"/>
          <w:color w:val="000000"/>
          <w:sz w:val="22"/>
          <w:szCs w:val="22"/>
        </w:rPr>
        <w:t>Praticar atos ilícitos com vistas a frustrar os objetivos da licitação;</w:t>
      </w:r>
    </w:p>
    <w:p w14:paraId="74EA9ADE"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bookmarkStart w:id="18" w:name="_heading=h.z337ya" w:colFirst="0" w:colLast="0"/>
      <w:bookmarkEnd w:id="18"/>
      <w:r>
        <w:rPr>
          <w:rFonts w:ascii="Calibri" w:eastAsia="Calibri" w:hAnsi="Calibri" w:cs="Calibri"/>
          <w:color w:val="000000"/>
          <w:sz w:val="22"/>
          <w:szCs w:val="22"/>
        </w:rPr>
        <w:t xml:space="preserve">Praticar ato lesivo previsto no </w:t>
      </w:r>
      <w:hyperlink r:id="rId23" w:anchor="art5">
        <w:r w:rsidR="009B55FB">
          <w:rPr>
            <w:rFonts w:ascii="Calibri" w:eastAsia="Calibri" w:hAnsi="Calibri" w:cs="Calibri"/>
            <w:color w:val="000080"/>
            <w:sz w:val="22"/>
            <w:szCs w:val="22"/>
            <w:u w:val="single"/>
          </w:rPr>
          <w:t>art. 5º da Lei Federal nº 12.846/2013</w:t>
        </w:r>
      </w:hyperlink>
      <w:r>
        <w:rPr>
          <w:rFonts w:ascii="Calibri" w:eastAsia="Calibri" w:hAnsi="Calibri" w:cs="Calibri"/>
          <w:color w:val="000000"/>
          <w:sz w:val="22"/>
          <w:szCs w:val="22"/>
        </w:rPr>
        <w:t>.</w:t>
      </w:r>
    </w:p>
    <w:p w14:paraId="67441F79"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Com fulcro na Lei nº 14.133, de 2021, a Administração poderá, garantida a prévia defesa, aplicar aos licitantes e/ou adjudicatários as seguintes sanções, sem prejuízo das responsabilidades civil e criminal: </w:t>
      </w:r>
    </w:p>
    <w:p w14:paraId="3B78434B"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Advertência; </w:t>
      </w:r>
    </w:p>
    <w:p w14:paraId="0FBA6206"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Multa;</w:t>
      </w:r>
    </w:p>
    <w:p w14:paraId="7C4F487B"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Impedimento de licitar e contratar; e;</w:t>
      </w:r>
    </w:p>
    <w:p w14:paraId="089CA1C1"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7BF6216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penalidade de multa pode ser aplicada cumulativamente com as demais sanções;</w:t>
      </w:r>
    </w:p>
    <w:p w14:paraId="2C6B9641"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Na aplicação das sanções serão considerados:</w:t>
      </w:r>
    </w:p>
    <w:p w14:paraId="366FF396"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natureza e a gravidade da infração cometida;</w:t>
      </w:r>
    </w:p>
    <w:p w14:paraId="7FE08F44"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As peculiaridades do caso concreto;</w:t>
      </w:r>
    </w:p>
    <w:p w14:paraId="64E5125F"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As circunstâncias agravantes ou atenuantes;</w:t>
      </w:r>
    </w:p>
    <w:p w14:paraId="42FEAB4A"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danos que dela provierem para a Administração Pública;</w:t>
      </w:r>
    </w:p>
    <w:p w14:paraId="3EFE1B7C"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implantação ou o aperfeiçoamento de programa de integridade, conforme normas e orientações dos órgãos de controle;</w:t>
      </w:r>
    </w:p>
    <w:p w14:paraId="35714993"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multa será recolhida em percentual de 0,5% a 30% incidente sobre o valor do contrato licitado, recolhida no prazo máximo de 30 (trinta) dias úteis, a contar da comunicação oficial. </w:t>
      </w:r>
    </w:p>
    <w:p w14:paraId="56206AF6"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19" w:name="_heading=h.3j2qqm3" w:colFirst="0" w:colLast="0"/>
      <w:bookmarkEnd w:id="19"/>
      <w:r>
        <w:rPr>
          <w:rFonts w:ascii="Calibri" w:eastAsia="Calibri" w:hAnsi="Calibri" w:cs="Calibri"/>
          <w:color w:val="000000"/>
          <w:sz w:val="22"/>
          <w:szCs w:val="22"/>
        </w:rPr>
        <w:t>Para as infrações previstas nos itens 17.1.1, 17.1.3 e 17.1.4, a multa será de 0,5% a 15% do valor do contrato licitado.</w:t>
      </w:r>
    </w:p>
    <w:p w14:paraId="34B4420C"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Para as infrações previstas nos itens 17.1.5 a 17.1.10, a multa será de 15% a 30% do valor do contrato licitado.</w:t>
      </w:r>
    </w:p>
    <w:p w14:paraId="0256A8A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As sanções de advertência, impedimento de licitar e contratar e declaração de inidoneidade para licitar ou contratar poderão ser aplicadas, cumulativamente ou não, à penalidade de multa.</w:t>
      </w:r>
    </w:p>
    <w:p w14:paraId="5191679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Na aplicação da sanção de multa será facultada a defesa do interessado no prazo de 15 (quinze) dias úteis, contado da data de sua intimação.</w:t>
      </w:r>
    </w:p>
    <w:p w14:paraId="523FB990"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 sanção de impedimento de licitar e contratar será aplicada ao responsável em decorrência das infrações administrativas relacionadas nos itens 17.1.1, 17.1.3 e 17.1.4,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1BEB28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Poderá ser aplicada ao responsável a sanção de declaração de inidoneidade para licitar ou contratar, em decorrência da prática das infrações dispostas nos itens 17.1.5 a 17.1.10, bem como pelas infrações administrativas previstas nos itens 17.1.1, 17.1.3 e 17.1.4 que justifiquem a imposição de penalidade mais grave que a sanção de impedimento de licitar e contratar, cuja duração observará o prazo previsto no </w:t>
      </w:r>
      <w:hyperlink r:id="rId24" w:anchor="art156%C2%A75">
        <w:r w:rsidR="009B55FB">
          <w:rPr>
            <w:rFonts w:ascii="Calibri" w:eastAsia="Calibri" w:hAnsi="Calibri" w:cs="Calibri"/>
            <w:color w:val="000000"/>
            <w:sz w:val="22"/>
            <w:szCs w:val="22"/>
          </w:rPr>
          <w:t>art. 156, §5º, da Lei n.º 14.133/2021</w:t>
        </w:r>
      </w:hyperlink>
      <w:r>
        <w:rPr>
          <w:rFonts w:ascii="Calibri" w:eastAsia="Calibri" w:hAnsi="Calibri" w:cs="Calibri"/>
          <w:color w:val="000000"/>
          <w:sz w:val="22"/>
          <w:szCs w:val="22"/>
        </w:rPr>
        <w:t>.</w:t>
      </w:r>
    </w:p>
    <w:p w14:paraId="3BD3265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25">
        <w:r w:rsidR="009B55FB">
          <w:rPr>
            <w:rFonts w:ascii="Calibri" w:eastAsia="Calibri" w:hAnsi="Calibri" w:cs="Calibri"/>
            <w:color w:val="000000"/>
            <w:sz w:val="22"/>
            <w:szCs w:val="22"/>
          </w:rPr>
          <w:t>art. 45, §4º da IN SEGES/ME n.º 73, de 2022</w:t>
        </w:r>
      </w:hyperlink>
      <w:r>
        <w:rPr>
          <w:rFonts w:ascii="Calibri" w:eastAsia="Calibri" w:hAnsi="Calibri" w:cs="Calibri"/>
          <w:color w:val="000000"/>
          <w:sz w:val="22"/>
          <w:szCs w:val="22"/>
        </w:rPr>
        <w:t xml:space="preserve">. </w:t>
      </w:r>
    </w:p>
    <w:p w14:paraId="2E723D28"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A0FCC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0F1313"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5B883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recurso e o pedido de reconsideração terão efeito suspensivo do ato ou da decisão recorrida até que sobrevenha decisão final da autoridade competente.</w:t>
      </w:r>
    </w:p>
    <w:p w14:paraId="19853DF6"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Serão publicadas no Diário Oficial do Município de Teixeiras-MG, as sanções administrativas de impedimento de licitar e contratar e declaração de inidoneidade para licitar ou contratar, inclusive a reabilitação perante a Administração Pública.</w:t>
      </w:r>
    </w:p>
    <w:p w14:paraId="27A6BEA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DA FRAUDE E DA CORRUPÇÃO:</w:t>
      </w:r>
      <w:r>
        <w:rPr>
          <w:rFonts w:ascii="Calibri" w:eastAsia="Calibri" w:hAnsi="Calibri" w:cs="Calibri"/>
          <w:color w:val="000000"/>
          <w:sz w:val="22"/>
          <w:szCs w:val="22"/>
        </w:rPr>
        <w:t xml:space="preserve"> Os licitantes e a Contratada devem observar e fazer observar, por seus fornecedores e subcontratados, se admitida à subcontratação, o mais alto padrão de ética durante todo o processo de licitação, de contratação e de execução do objeto contratual.</w:t>
      </w:r>
    </w:p>
    <w:p w14:paraId="42EC5CDD"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r>
        <w:rPr>
          <w:rFonts w:ascii="Calibri" w:eastAsia="Calibri" w:hAnsi="Calibri" w:cs="Calibri"/>
          <w:b/>
          <w:color w:val="000000"/>
          <w:sz w:val="22"/>
          <w:szCs w:val="22"/>
        </w:rPr>
        <w:t>PARA OS PROPÓSITOS DESTA CLÁUSULA, DEFINEM-SE AS SEGUINTES PRÁTICAS</w:t>
      </w:r>
      <w:r>
        <w:rPr>
          <w:rFonts w:ascii="Calibri" w:eastAsia="Calibri" w:hAnsi="Calibri" w:cs="Calibri"/>
          <w:color w:val="000000"/>
          <w:sz w:val="22"/>
          <w:szCs w:val="22"/>
        </w:rPr>
        <w:t>:</w:t>
      </w:r>
    </w:p>
    <w:p w14:paraId="00B36879" w14:textId="77777777" w:rsidR="009B55FB" w:rsidRDefault="00000000">
      <w:pPr>
        <w:numPr>
          <w:ilvl w:val="0"/>
          <w:numId w:val="1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PRÁTICA CORRUPTA</w:t>
      </w:r>
      <w:r>
        <w:rPr>
          <w:rFonts w:ascii="Calibri" w:eastAsia="Calibri" w:hAnsi="Calibri" w:cs="Calibri"/>
          <w:color w:val="000000"/>
          <w:sz w:val="22"/>
          <w:szCs w:val="22"/>
        </w:rPr>
        <w:t>: oferecer, dar, receber ou solicitar, direta ou indiretamente, qualquer vantagem com o objetivo de influenciar a ação de servidor público no processo de licitação ou na execução do contrato.</w:t>
      </w:r>
    </w:p>
    <w:p w14:paraId="7DBBA9CB" w14:textId="77777777" w:rsidR="009B55FB" w:rsidRDefault="00000000">
      <w:pPr>
        <w:numPr>
          <w:ilvl w:val="0"/>
          <w:numId w:val="1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lastRenderedPageBreak/>
        <w:t>PRÁTICA FRAUDULENTA</w:t>
      </w:r>
      <w:r>
        <w:rPr>
          <w:rFonts w:ascii="Calibri" w:eastAsia="Calibri" w:hAnsi="Calibri" w:cs="Calibri"/>
          <w:color w:val="000000"/>
          <w:sz w:val="22"/>
          <w:szCs w:val="22"/>
        </w:rPr>
        <w:t>: a falsificação ou omissão dos fatos, com o objetivo de influenciar o processo de licitação ou de execução do contrato.</w:t>
      </w:r>
    </w:p>
    <w:p w14:paraId="236DC7A9" w14:textId="77777777" w:rsidR="009B55FB" w:rsidRDefault="00000000">
      <w:pPr>
        <w:numPr>
          <w:ilvl w:val="0"/>
          <w:numId w:val="1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PRÁTICA CONCERTADA</w:t>
      </w:r>
      <w:r>
        <w:rPr>
          <w:rFonts w:ascii="Calibri" w:eastAsia="Calibri" w:hAnsi="Calibri" w:cs="Calibri"/>
          <w:color w:val="000000"/>
          <w:sz w:val="22"/>
          <w:szCs w:val="22"/>
        </w:rPr>
        <w:t>: esquematizar ou estabelecer um acordo entre dois ou mais licitantes, com ou sem o conhecimento de representantes ou prepostos do órgão licitador, visando estabelecer preços em níveis artificiais e não-competitivos.</w:t>
      </w:r>
    </w:p>
    <w:p w14:paraId="45916799" w14:textId="77777777" w:rsidR="009B55FB" w:rsidRDefault="00000000">
      <w:pPr>
        <w:numPr>
          <w:ilvl w:val="0"/>
          <w:numId w:val="1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PRÁTICA COERCITIVA</w:t>
      </w:r>
      <w:r>
        <w:rPr>
          <w:rFonts w:ascii="Calibri" w:eastAsia="Calibri" w:hAnsi="Calibri" w:cs="Calibri"/>
          <w:color w:val="000000"/>
          <w:sz w:val="22"/>
          <w:szCs w:val="22"/>
        </w:rPr>
        <w:t>: causar danos ou ameaçar causar dano, direta ou indiretamente, às pessoas ou sua propriedade, visando influenciar sua participação em um processo licitatório ou afetar a execução do contrato.</w:t>
      </w:r>
    </w:p>
    <w:p w14:paraId="7640442D" w14:textId="77777777" w:rsidR="009B55FB" w:rsidRDefault="00000000">
      <w:pPr>
        <w:numPr>
          <w:ilvl w:val="0"/>
          <w:numId w:val="11"/>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b/>
          <w:color w:val="000000"/>
          <w:sz w:val="22"/>
          <w:szCs w:val="22"/>
        </w:rPr>
        <w:t>PRÁTICA OBSTRUTIVA</w:t>
      </w:r>
      <w:r>
        <w:rPr>
          <w:rFonts w:ascii="Calibri" w:eastAsia="Calibri" w:hAnsi="Calibri" w:cs="Calibri"/>
          <w:color w:val="000000"/>
          <w:sz w:val="22"/>
          <w:szCs w:val="22"/>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1A846C4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aplicação das sanções previstas neste edital não exclui, em hipótese alguma, a obrigação de reparação integral dos danos causados.</w:t>
      </w:r>
    </w:p>
    <w:p w14:paraId="6539E7D5"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20" w:name="_heading=h.1y810tw" w:colFirst="0" w:colLast="0"/>
      <w:bookmarkEnd w:id="20"/>
      <w:r>
        <w:rPr>
          <w:rFonts w:ascii="Calibri" w:eastAsia="Calibri" w:hAnsi="Calibri" w:cs="Calibri"/>
          <w:b/>
          <w:color w:val="000000"/>
          <w:sz w:val="22"/>
          <w:szCs w:val="22"/>
        </w:rPr>
        <w:t>DA IMPUGNAÇÃO AO EDITAL E DO PEDIDO DE ESCLARECIMENTO</w:t>
      </w:r>
    </w:p>
    <w:p w14:paraId="797FB7A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Qualquer pessoa poderá impugnar este Edital e/ou apresentar pedido de esclarecimento a qualquer momento, a partir de sua publicação.</w:t>
      </w:r>
    </w:p>
    <w:p w14:paraId="33B4B93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b/>
          <w:color w:val="000000"/>
          <w:sz w:val="22"/>
          <w:szCs w:val="22"/>
        </w:rPr>
        <w:t>A IMPUGNAÇÃO e/ou PEDIDO DE ESCLARECIMENTO DEVERÃO ser feitos EXCLUSIVAMENTE por FORMA ELETRÔNICA no sistema</w:t>
      </w:r>
      <w:r>
        <w:rPr>
          <w:rFonts w:ascii="Calibri" w:eastAsia="Calibri" w:hAnsi="Calibri" w:cs="Calibri"/>
          <w:sz w:val="22"/>
          <w:szCs w:val="22"/>
        </w:rPr>
        <w:t xml:space="preserve"> </w:t>
      </w:r>
      <w:hyperlink r:id="rId26">
        <w:r w:rsidR="009B55FB">
          <w:rPr>
            <w:rFonts w:ascii="Calibri" w:eastAsia="Calibri" w:hAnsi="Calibri" w:cs="Calibri"/>
            <w:color w:val="000080"/>
            <w:sz w:val="22"/>
            <w:szCs w:val="22"/>
            <w:u w:val="single"/>
          </w:rPr>
          <w:t>https://www.portaldecompraspublicas.com.br/</w:t>
        </w:r>
      </w:hyperlink>
      <w:r>
        <w:rPr>
          <w:rFonts w:ascii="Calibri" w:eastAsia="Calibri" w:hAnsi="Calibri" w:cs="Calibri"/>
          <w:color w:val="000080"/>
          <w:sz w:val="22"/>
          <w:szCs w:val="22"/>
          <w:u w:val="single"/>
        </w:rPr>
        <w:t>.</w:t>
      </w:r>
      <w:r>
        <w:rPr>
          <w:rFonts w:ascii="Calibri" w:eastAsia="Calibri" w:hAnsi="Calibri" w:cs="Calibri"/>
          <w:color w:val="000000"/>
          <w:sz w:val="22"/>
          <w:szCs w:val="22"/>
        </w:rPr>
        <w:t xml:space="preserve">  </w:t>
      </w:r>
    </w:p>
    <w:p w14:paraId="37323418"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resposta à impugnação ou ao pedido de esclarecimento será divulgada no </w:t>
      </w:r>
      <w:r>
        <w:rPr>
          <w:rFonts w:ascii="Calibri" w:eastAsia="Calibri" w:hAnsi="Calibri" w:cs="Calibri"/>
          <w:b/>
          <w:color w:val="000000"/>
          <w:sz w:val="22"/>
          <w:szCs w:val="22"/>
        </w:rPr>
        <w:t>Portal de Compras Públicas</w:t>
      </w:r>
      <w:r>
        <w:rPr>
          <w:rFonts w:ascii="Calibri" w:eastAsia="Calibri" w:hAnsi="Calibri" w:cs="Calibri"/>
          <w:color w:val="000000"/>
          <w:sz w:val="22"/>
          <w:szCs w:val="22"/>
        </w:rPr>
        <w:t xml:space="preserve"> no prazo de até 3 (três) dias úteis, contado da data de recebimento do pedido.</w:t>
      </w:r>
    </w:p>
    <w:p w14:paraId="1C0550A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Acolhida a impugnação, será definida e publicada nova data para a realização do certame.</w:t>
      </w:r>
    </w:p>
    <w:p w14:paraId="12F367D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As impugnações e pedidos de esclarecimentos não suspendem os prazos previstos no certame, salvo quando se amolda ao </w:t>
      </w:r>
      <w:hyperlink r:id="rId27" w:anchor="art55%C2%A71">
        <w:r w:rsidR="009B55FB">
          <w:rPr>
            <w:rFonts w:ascii="Calibri" w:eastAsia="Calibri" w:hAnsi="Calibri" w:cs="Calibri"/>
            <w:color w:val="000080"/>
            <w:sz w:val="22"/>
            <w:szCs w:val="22"/>
            <w:u w:val="single"/>
          </w:rPr>
          <w:t>art. 55, § 1º, da Lei Federal nº 14.133/2021</w:t>
        </w:r>
      </w:hyperlink>
      <w:r>
        <w:rPr>
          <w:rFonts w:ascii="Calibri" w:eastAsia="Calibri" w:hAnsi="Calibri" w:cs="Calibri"/>
          <w:color w:val="000000"/>
          <w:sz w:val="22"/>
          <w:szCs w:val="22"/>
        </w:rPr>
        <w:t>.</w:t>
      </w:r>
    </w:p>
    <w:p w14:paraId="1EE368CB" w14:textId="77777777" w:rsidR="009B55FB" w:rsidRDefault="00000000">
      <w:pPr>
        <w:numPr>
          <w:ilvl w:val="2"/>
          <w:numId w:val="1"/>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concessão de efeito suspensivo à impugnação é medida excepcional e deverá ser motivada pelo Pregoeiro, nos autos do processo de licitação.</w:t>
      </w:r>
    </w:p>
    <w:p w14:paraId="1537E461"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As respostas aos pedidos de esclarecimentos serão divulgadas pelo sistema e vincularão os participantes e a administração.</w:t>
      </w:r>
    </w:p>
    <w:p w14:paraId="1C410C4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As respostas às impugnações e aos esclarecimentos solicitados, bem como outros avisos de ordem geral, serão cadastradas no sítio</w:t>
      </w:r>
      <w:r>
        <w:rPr>
          <w:rFonts w:ascii="Calibri" w:eastAsia="Calibri" w:hAnsi="Calibri" w:cs="Calibri"/>
          <w:sz w:val="22"/>
          <w:szCs w:val="22"/>
        </w:rPr>
        <w:t xml:space="preserve"> </w:t>
      </w:r>
      <w:hyperlink r:id="rId28">
        <w:r w:rsidR="009B55FB">
          <w:rPr>
            <w:rFonts w:ascii="Calibri" w:eastAsia="Calibri" w:hAnsi="Calibri" w:cs="Calibri"/>
            <w:color w:val="000080"/>
            <w:sz w:val="22"/>
            <w:szCs w:val="22"/>
            <w:u w:val="single"/>
          </w:rPr>
          <w:t>https://www.portaldecompraspublicas.com.br/</w:t>
        </w:r>
      </w:hyperlink>
      <w:r>
        <w:rPr>
          <w:rFonts w:ascii="Calibri" w:eastAsia="Calibri" w:hAnsi="Calibri" w:cs="Calibri"/>
          <w:color w:val="000000"/>
          <w:sz w:val="22"/>
          <w:szCs w:val="22"/>
        </w:rPr>
        <w:t>, sendo de responsabilidade dos licitantes, seu acompanhamento.</w:t>
      </w:r>
    </w:p>
    <w:p w14:paraId="068175C9"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F90600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Em caso de pessoa física, a petição de impugnação deverá ser apresentada pelo próprio requerente ou procurador, acompanhada de procuração pública ou particular (instrumento de mandato com poderes para impugnar o Edital).</w:t>
      </w:r>
    </w:p>
    <w:p w14:paraId="50C00B36" w14:textId="77777777" w:rsidR="009B55FB" w:rsidRDefault="00000000">
      <w:pPr>
        <w:keepNext/>
        <w:keepLines/>
        <w:numPr>
          <w:ilvl w:val="0"/>
          <w:numId w:val="1"/>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21" w:name="_heading=h.4i7ojhp" w:colFirst="0" w:colLast="0"/>
      <w:bookmarkEnd w:id="21"/>
      <w:r>
        <w:rPr>
          <w:rFonts w:ascii="Calibri" w:eastAsia="Calibri" w:hAnsi="Calibri" w:cs="Calibri"/>
          <w:b/>
          <w:color w:val="000000"/>
          <w:sz w:val="22"/>
          <w:szCs w:val="22"/>
        </w:rPr>
        <w:t>DAS DISPOSIÇÕES GERAIS</w:t>
      </w:r>
    </w:p>
    <w:p w14:paraId="727AF254"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bookmarkStart w:id="22" w:name="_heading=h.2xcytpi" w:colFirst="0" w:colLast="0"/>
      <w:bookmarkEnd w:id="22"/>
      <w:r>
        <w:rPr>
          <w:rFonts w:ascii="Calibri" w:eastAsia="Calibri" w:hAnsi="Calibri" w:cs="Calibri"/>
          <w:color w:val="000000"/>
          <w:sz w:val="22"/>
          <w:szCs w:val="22"/>
        </w:rPr>
        <w:t>Todas as referências de tempo no Edital, no aviso e durante a sessão pública observarão o horário de Brasília /DF.</w:t>
      </w:r>
    </w:p>
    <w:p w14:paraId="71AF66F1"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homologação do resultado desta licitação não implicará direito à contratação.</w:t>
      </w:r>
    </w:p>
    <w:p w14:paraId="710D1113"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Fundação Municipal de Saúde de Teixeiras poderá revogar este Procedimento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D550AE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Nenhuma indenização será devida aos proponentes pela apresentação de documentos relativos a este instrumento de credenciamento;</w:t>
      </w:r>
    </w:p>
    <w:p w14:paraId="6290034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proponentes obrigam-se a observar e guardar sigilo de todos os dados pessoais e profissionais obtidos em decorrência do presente instrumento de credenciamento, e a não utilizar ou divulgar as informações obtidas para qualquer fim, sob as penas da lei civil, penal e correlatas.</w:t>
      </w:r>
    </w:p>
    <w:p w14:paraId="49DA9FF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Aplicam-se ao presente credenciamento, naquilo que compatível, a Lei nº 14.133/2021 e demais normas legais pertinentes.</w:t>
      </w:r>
    </w:p>
    <w:p w14:paraId="6336E8FE"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As informações relativas à classificação/habilitação do(a) CREDENCIADO(A), bem como os avisos relativos a este Credenciamento, estrão disponível na plataforma do </w:t>
      </w:r>
      <w:r>
        <w:rPr>
          <w:rFonts w:ascii="Calibri" w:eastAsia="Calibri" w:hAnsi="Calibri" w:cs="Calibri"/>
          <w:b/>
          <w:color w:val="000000"/>
          <w:sz w:val="22"/>
          <w:szCs w:val="22"/>
        </w:rPr>
        <w:t>Portal de Compras Públicas</w:t>
      </w:r>
      <w:r>
        <w:rPr>
          <w:rFonts w:ascii="Calibri" w:eastAsia="Calibri" w:hAnsi="Calibri" w:cs="Calibri"/>
          <w:color w:val="000000"/>
          <w:sz w:val="22"/>
          <w:szCs w:val="22"/>
        </w:rPr>
        <w:t xml:space="preserve">, disponível em </w:t>
      </w:r>
      <w:hyperlink r:id="rId29">
        <w:r w:rsidR="009B55FB">
          <w:rPr>
            <w:rFonts w:ascii="Calibri" w:eastAsia="Calibri" w:hAnsi="Calibri" w:cs="Calibri"/>
            <w:color w:val="000080"/>
            <w:sz w:val="22"/>
            <w:szCs w:val="22"/>
            <w:u w:val="single"/>
          </w:rPr>
          <w:t>https://www.portaldecompraspublicas.com.br/</w:t>
        </w:r>
      </w:hyperlink>
      <w:r>
        <w:rPr>
          <w:rFonts w:ascii="Calibri" w:eastAsia="Calibri" w:hAnsi="Calibri" w:cs="Calibri"/>
          <w:sz w:val="22"/>
          <w:szCs w:val="22"/>
        </w:rPr>
        <w:t xml:space="preserve"> </w:t>
      </w:r>
      <w:r>
        <w:rPr>
          <w:rFonts w:ascii="Calibri" w:eastAsia="Calibri" w:hAnsi="Calibri" w:cs="Calibri"/>
          <w:color w:val="000000"/>
          <w:sz w:val="22"/>
          <w:szCs w:val="22"/>
        </w:rPr>
        <w:t>e, complementarmente, no site da prefeitura.</w:t>
      </w:r>
    </w:p>
    <w:p w14:paraId="4C954F8F"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casos omissos serão resolvidos com base nas disposições constantes da Lei nº 14.133/2021, nos princípios de direito público e, subsidiariamente, com base em outras leis que se prestem a suprir eventuais lacunas.</w:t>
      </w:r>
    </w:p>
    <w:p w14:paraId="171A0162"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Ficam os licitantes/contratados obrigados a manterem os endereços físicos e eletrônico (e-mail) atualizados e, ainda, ficam obrigados a informar à Administração, no prazo máximo de 2 (dois) dias, em caso de quaisquer alterações.</w:t>
      </w:r>
    </w:p>
    <w:p w14:paraId="5BB3DDAC"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As normas disciplinadoras deste processo serão sempre interpretadas em favor da ampliação da disputa entre os interessados, desde que não comprometam o interesse da Administração, o princípio da isonomia, a finalidade e a segurança da contratação. </w:t>
      </w:r>
    </w:p>
    <w:p w14:paraId="1E4BFDD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4568363"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65FB5C1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770879C7"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é o responsável pela fidelidade e legitimidade das informações prestadas e dos documentos apresentados em qualquer fase da licitação.</w:t>
      </w:r>
    </w:p>
    <w:p w14:paraId="1B34B391"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FD98749"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Em caso de divergência entre disposições deste Edital e de seus Anexos ou demais peças que compõem o processo, prevalecerá as deste Edital.</w:t>
      </w:r>
    </w:p>
    <w:p w14:paraId="6727CB8A"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anulação do Procedimento induz à extinção do contrato, ou instrumento equivalente.</w:t>
      </w:r>
    </w:p>
    <w:p w14:paraId="7CB86D08"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anulação do credenciamento por motivo de ilegalidade não gera obrigação de indenizar.</w:t>
      </w:r>
    </w:p>
    <w:p w14:paraId="4A3BCE6E"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É facultado à Autoridade Superior, em qualquer fase deste Procedimento, promover diligência destinada a esclarecer ou completar a instrução do processo, vedada a inclusão posterior de informação ou de documentos que deveriam ter sido apresentados para fins de classificação e habilitação.</w:t>
      </w:r>
    </w:p>
    <w:p w14:paraId="736B3BFB"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Edital está disponibilizado, na íntegra, no endereço eletrônico:  </w:t>
      </w:r>
      <w:hyperlink r:id="rId30">
        <w:r w:rsidR="009B55FB">
          <w:rPr>
            <w:rFonts w:ascii="Calibri" w:eastAsia="Calibri" w:hAnsi="Calibri" w:cs="Calibri"/>
            <w:color w:val="000080"/>
            <w:sz w:val="22"/>
            <w:szCs w:val="22"/>
            <w:u w:val="single"/>
          </w:rPr>
          <w:t>https://www.portaldecompraspublicas.com.br/</w:t>
        </w:r>
      </w:hyperlink>
      <w:r>
        <w:rPr>
          <w:rFonts w:ascii="Calibri" w:eastAsia="Calibri" w:hAnsi="Calibri" w:cs="Calibri"/>
          <w:color w:val="000080"/>
          <w:sz w:val="22"/>
          <w:szCs w:val="22"/>
          <w:u w:val="single"/>
        </w:rPr>
        <w:t>,</w:t>
      </w:r>
      <w:r>
        <w:rPr>
          <w:rFonts w:ascii="Calibri" w:eastAsia="Calibri" w:hAnsi="Calibri" w:cs="Calibri"/>
          <w:color w:val="000000"/>
          <w:sz w:val="22"/>
          <w:szCs w:val="22"/>
        </w:rPr>
        <w:t xml:space="preserve"> e também poderão ser lidos e/ou obtidos no endereço eletrônico </w:t>
      </w:r>
      <w:hyperlink r:id="rId31">
        <w:r w:rsidR="009B55FB">
          <w:rPr>
            <w:rFonts w:ascii="Calibri" w:eastAsia="Calibri" w:hAnsi="Calibri" w:cs="Calibri"/>
            <w:color w:val="000080"/>
            <w:sz w:val="22"/>
            <w:szCs w:val="22"/>
            <w:u w:val="single"/>
          </w:rPr>
          <w:t>https://www.teixeiras.mg.gov.br/index.php/licitacoes/editais-de-licitacao</w:t>
        </w:r>
      </w:hyperlink>
      <w:r>
        <w:rPr>
          <w:rFonts w:ascii="Calibri" w:eastAsia="Calibri" w:hAnsi="Calibri" w:cs="Calibri"/>
          <w:color w:val="000000"/>
          <w:sz w:val="22"/>
          <w:szCs w:val="22"/>
        </w:rPr>
        <w:t>.</w:t>
      </w:r>
    </w:p>
    <w:p w14:paraId="73E90D35" w14:textId="77777777" w:rsidR="009B55FB" w:rsidRDefault="00000000">
      <w:pPr>
        <w:numPr>
          <w:ilvl w:val="1"/>
          <w:numId w:val="1"/>
        </w:numPr>
        <w:pBdr>
          <w:top w:val="nil"/>
          <w:left w:val="nil"/>
          <w:bottom w:val="nil"/>
          <w:right w:val="nil"/>
          <w:between w:val="nil"/>
        </w:pBdr>
        <w:tabs>
          <w:tab w:val="left" w:pos="709"/>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Integram este Edital, para todos os fins e efeitos, os seguintes anexos:</w:t>
      </w:r>
    </w:p>
    <w:p w14:paraId="4EACA25D"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ANEXO I – Termo de Referência</w:t>
      </w:r>
    </w:p>
    <w:p w14:paraId="4FDDAA38"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ANEXO I-A – Estudo Técnico Preliminar</w:t>
      </w:r>
    </w:p>
    <w:p w14:paraId="05D7F76C"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t>ANEXO II – Ficha de Inscrição</w:t>
      </w:r>
    </w:p>
    <w:p w14:paraId="493B8BE0"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t>ANEXO III – Declaração de ciência e disponibilidade de recursos</w:t>
      </w:r>
    </w:p>
    <w:p w14:paraId="0C71FF92" w14:textId="77777777" w:rsidR="009B55FB" w:rsidRDefault="00000000">
      <w:pPr>
        <w:numPr>
          <w:ilvl w:val="2"/>
          <w:numId w:val="1"/>
        </w:numPr>
        <w:pBdr>
          <w:top w:val="nil"/>
          <w:left w:val="nil"/>
          <w:bottom w:val="nil"/>
          <w:right w:val="nil"/>
          <w:between w:val="nil"/>
        </w:pBdr>
        <w:tabs>
          <w:tab w:val="left" w:pos="851"/>
        </w:tabs>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ANEXO IV – Minuta do Termo de Credenciamento</w:t>
      </w:r>
    </w:p>
    <w:p w14:paraId="0C664CCC" w14:textId="77777777" w:rsidR="009B55FB" w:rsidRDefault="009B55FB">
      <w:pPr>
        <w:pBdr>
          <w:top w:val="nil"/>
          <w:left w:val="nil"/>
          <w:bottom w:val="nil"/>
          <w:right w:val="nil"/>
          <w:between w:val="nil"/>
        </w:pBdr>
        <w:tabs>
          <w:tab w:val="left" w:pos="851"/>
        </w:tabs>
        <w:spacing w:before="240" w:after="240"/>
        <w:jc w:val="both"/>
        <w:rPr>
          <w:rFonts w:ascii="Calibri" w:eastAsia="Calibri" w:hAnsi="Calibri" w:cs="Calibri"/>
          <w:color w:val="000000"/>
          <w:sz w:val="22"/>
          <w:szCs w:val="22"/>
        </w:rPr>
      </w:pPr>
    </w:p>
    <w:p w14:paraId="4B9CEFE5" w14:textId="02337A3C" w:rsidR="009B55FB" w:rsidRDefault="00000000">
      <w:pPr>
        <w:pBdr>
          <w:top w:val="nil"/>
          <w:left w:val="nil"/>
          <w:bottom w:val="nil"/>
          <w:right w:val="nil"/>
          <w:between w:val="nil"/>
        </w:pBdr>
        <w:tabs>
          <w:tab w:val="left" w:pos="851"/>
        </w:tabs>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 xml:space="preserve">Teixeiras, </w:t>
      </w:r>
      <w:r w:rsidR="008454EE">
        <w:rPr>
          <w:rFonts w:ascii="Calibri" w:eastAsia="Calibri" w:hAnsi="Calibri" w:cs="Calibri"/>
          <w:color w:val="000000"/>
          <w:sz w:val="22"/>
          <w:szCs w:val="22"/>
        </w:rPr>
        <w:t>17</w:t>
      </w:r>
      <w:r>
        <w:rPr>
          <w:rFonts w:ascii="Calibri" w:eastAsia="Calibri" w:hAnsi="Calibri" w:cs="Calibri"/>
          <w:color w:val="000000"/>
          <w:sz w:val="22"/>
          <w:szCs w:val="22"/>
        </w:rPr>
        <w:t xml:space="preserve"> de setembro de 2025</w:t>
      </w:r>
    </w:p>
    <w:p w14:paraId="5EAC1076" w14:textId="77777777" w:rsidR="009B55FB" w:rsidRDefault="009B55FB">
      <w:pPr>
        <w:pBdr>
          <w:top w:val="nil"/>
          <w:left w:val="nil"/>
          <w:bottom w:val="nil"/>
          <w:right w:val="nil"/>
          <w:between w:val="nil"/>
        </w:pBdr>
        <w:tabs>
          <w:tab w:val="left" w:pos="851"/>
        </w:tabs>
        <w:spacing w:before="240" w:after="240"/>
        <w:jc w:val="both"/>
        <w:rPr>
          <w:rFonts w:ascii="Calibri" w:eastAsia="Calibri" w:hAnsi="Calibri" w:cs="Calibri"/>
          <w:color w:val="000000"/>
          <w:sz w:val="22"/>
          <w:szCs w:val="22"/>
        </w:rPr>
      </w:pPr>
    </w:p>
    <w:p w14:paraId="0A006AC4" w14:textId="77777777" w:rsidR="009B55FB" w:rsidRDefault="00000000">
      <w:pPr>
        <w:jc w:val="center"/>
        <w:rPr>
          <w:rFonts w:ascii="Calibri" w:eastAsia="Calibri" w:hAnsi="Calibri" w:cs="Calibri"/>
          <w:b/>
          <w:sz w:val="22"/>
          <w:szCs w:val="22"/>
        </w:rPr>
      </w:pPr>
      <w:r>
        <w:rPr>
          <w:rFonts w:ascii="Calibri" w:eastAsia="Calibri" w:hAnsi="Calibri" w:cs="Calibri"/>
          <w:b/>
          <w:sz w:val="22"/>
          <w:szCs w:val="22"/>
        </w:rPr>
        <w:t>Nacife Miguel Burjaile Sobrinho</w:t>
      </w:r>
    </w:p>
    <w:p w14:paraId="4D0CAA42" w14:textId="77777777" w:rsidR="009B55FB" w:rsidRDefault="00000000">
      <w:pPr>
        <w:jc w:val="center"/>
        <w:rPr>
          <w:rFonts w:ascii="Calibri" w:eastAsia="Calibri" w:hAnsi="Calibri" w:cs="Calibri"/>
          <w:b/>
          <w:sz w:val="22"/>
          <w:szCs w:val="22"/>
        </w:rPr>
      </w:pPr>
      <w:r>
        <w:rPr>
          <w:rFonts w:ascii="Calibri" w:eastAsia="Calibri" w:hAnsi="Calibri" w:cs="Calibri"/>
          <w:b/>
          <w:sz w:val="22"/>
          <w:szCs w:val="22"/>
        </w:rPr>
        <w:t>Diretor Administrativo</w:t>
      </w:r>
    </w:p>
    <w:p w14:paraId="79EC83A2" w14:textId="77777777" w:rsidR="009B55FB" w:rsidRDefault="00000000">
      <w:pPr>
        <w:spacing w:before="240" w:after="240"/>
        <w:jc w:val="center"/>
        <w:rPr>
          <w:rFonts w:ascii="Calibri" w:eastAsia="Calibri" w:hAnsi="Calibri" w:cs="Calibri"/>
          <w:b/>
          <w:color w:val="000000"/>
          <w:sz w:val="22"/>
          <w:szCs w:val="22"/>
          <w:u w:val="single"/>
        </w:rPr>
      </w:pPr>
      <w:bookmarkStart w:id="23" w:name="_heading=h.1ci93xb" w:colFirst="0" w:colLast="0"/>
      <w:bookmarkEnd w:id="23"/>
      <w:r>
        <w:br w:type="page"/>
      </w:r>
      <w:r>
        <w:rPr>
          <w:rFonts w:ascii="Calibri" w:eastAsia="Calibri" w:hAnsi="Calibri" w:cs="Calibri"/>
          <w:b/>
          <w:color w:val="000000"/>
          <w:sz w:val="22"/>
          <w:szCs w:val="22"/>
          <w:u w:val="single"/>
        </w:rPr>
        <w:lastRenderedPageBreak/>
        <w:t>ANEXO – I</w:t>
      </w:r>
    </w:p>
    <w:p w14:paraId="0182E002" w14:textId="77777777" w:rsidR="009B55FB" w:rsidRDefault="00000000">
      <w:pPr>
        <w:keepLines/>
        <w:spacing w:before="240" w:after="240"/>
        <w:jc w:val="center"/>
        <w:rPr>
          <w:rFonts w:ascii="Calibri" w:eastAsia="Calibri" w:hAnsi="Calibri" w:cs="Calibri"/>
          <w:b/>
          <w:color w:val="000000"/>
          <w:sz w:val="22"/>
          <w:szCs w:val="22"/>
        </w:rPr>
      </w:pPr>
      <w:r>
        <w:rPr>
          <w:rFonts w:ascii="Calibri" w:eastAsia="Calibri" w:hAnsi="Calibri" w:cs="Calibri"/>
          <w:b/>
          <w:color w:val="000000"/>
          <w:sz w:val="22"/>
          <w:szCs w:val="22"/>
        </w:rPr>
        <w:t>TERMO DE REFERÊNCIA</w:t>
      </w:r>
    </w:p>
    <w:p w14:paraId="14D84D79" w14:textId="77777777" w:rsidR="009B55FB" w:rsidRDefault="00000000">
      <w:pPr>
        <w:keepNext/>
        <w:keepLines/>
        <w:numPr>
          <w:ilvl w:val="0"/>
          <w:numId w:val="12"/>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OBJETO DA CONTRATAÇÃO</w:t>
      </w:r>
    </w:p>
    <w:p w14:paraId="4920DCE5"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Credenciamento de clínicas especializadas em oftalmologia para execução, em instalações próprias, de consultas, exames diagnósticos específicos e procedimentos cirúrgicos e ambulatoriais, com provimento de todos os equipamentos, aparelhos e insumos necessários, incluindo o fornecimento de próteses oftálmicas e óculos aos usuários, nos termos da Tipologia III da Deliberação CIB-SUS/MG nº 4.065, de 7 de dezembro de 2022, conforme especificações e quantitativos a seguir: </w:t>
      </w:r>
    </w:p>
    <w:tbl>
      <w:tblPr>
        <w:tblStyle w:val="a4"/>
        <w:tblW w:w="96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5"/>
        <w:gridCol w:w="4209"/>
        <w:gridCol w:w="4392"/>
      </w:tblGrid>
      <w:tr w:rsidR="009B55FB" w14:paraId="65332A9A" w14:textId="77777777">
        <w:tc>
          <w:tcPr>
            <w:tcW w:w="1035" w:type="dxa"/>
            <w:vAlign w:val="center"/>
          </w:tcPr>
          <w:p w14:paraId="0CC71C8B" w14:textId="77777777" w:rsidR="009B55FB" w:rsidRDefault="00000000">
            <w:pPr>
              <w:spacing w:before="120" w:after="120" w:line="240" w:lineRule="auto"/>
              <w:jc w:val="center"/>
              <w:rPr>
                <w:rFonts w:ascii="Calibri" w:eastAsia="Calibri" w:hAnsi="Calibri" w:cs="Calibri"/>
                <w:sz w:val="22"/>
                <w:szCs w:val="22"/>
              </w:rPr>
            </w:pPr>
            <w:bookmarkStart w:id="24" w:name="_heading=h.xodf89rz8uo3" w:colFirst="0" w:colLast="0"/>
            <w:bookmarkEnd w:id="24"/>
            <w:r>
              <w:rPr>
                <w:rFonts w:ascii="Calibri" w:eastAsia="Calibri" w:hAnsi="Calibri" w:cs="Calibri"/>
                <w:b/>
                <w:sz w:val="22"/>
                <w:szCs w:val="22"/>
              </w:rPr>
              <w:t>Item</w:t>
            </w:r>
          </w:p>
        </w:tc>
        <w:tc>
          <w:tcPr>
            <w:tcW w:w="4209" w:type="dxa"/>
            <w:vAlign w:val="center"/>
          </w:tcPr>
          <w:p w14:paraId="4D9EA61C" w14:textId="77777777" w:rsidR="009B55FB" w:rsidRDefault="00000000">
            <w:pPr>
              <w:spacing w:before="120" w:after="120" w:line="240" w:lineRule="auto"/>
              <w:jc w:val="center"/>
              <w:rPr>
                <w:rFonts w:ascii="Calibri" w:eastAsia="Calibri" w:hAnsi="Calibri" w:cs="Calibri"/>
                <w:sz w:val="22"/>
                <w:szCs w:val="22"/>
              </w:rPr>
            </w:pPr>
            <w:r>
              <w:rPr>
                <w:rFonts w:ascii="Calibri" w:eastAsia="Calibri" w:hAnsi="Calibri" w:cs="Calibri"/>
                <w:b/>
                <w:sz w:val="22"/>
                <w:szCs w:val="22"/>
              </w:rPr>
              <w:t>Descrição</w:t>
            </w:r>
          </w:p>
        </w:tc>
        <w:tc>
          <w:tcPr>
            <w:tcW w:w="4392" w:type="dxa"/>
            <w:vAlign w:val="center"/>
          </w:tcPr>
          <w:p w14:paraId="5A57610E" w14:textId="77777777" w:rsidR="009B55FB" w:rsidRDefault="00000000">
            <w:pPr>
              <w:spacing w:before="120" w:after="120" w:line="240" w:lineRule="auto"/>
              <w:jc w:val="center"/>
              <w:rPr>
                <w:rFonts w:ascii="Calibri" w:eastAsia="Calibri" w:hAnsi="Calibri" w:cs="Calibri"/>
                <w:sz w:val="22"/>
                <w:szCs w:val="22"/>
              </w:rPr>
            </w:pPr>
            <w:r>
              <w:rPr>
                <w:rFonts w:ascii="Calibri" w:eastAsia="Calibri" w:hAnsi="Calibri" w:cs="Calibri"/>
                <w:b/>
                <w:sz w:val="22"/>
                <w:szCs w:val="22"/>
              </w:rPr>
              <w:t>Val. Total Estimado</w:t>
            </w:r>
          </w:p>
        </w:tc>
      </w:tr>
      <w:tr w:rsidR="009B55FB" w14:paraId="2CF0CEBB" w14:textId="77777777">
        <w:tc>
          <w:tcPr>
            <w:tcW w:w="1035" w:type="dxa"/>
            <w:vAlign w:val="center"/>
          </w:tcPr>
          <w:p w14:paraId="76F651F3" w14:textId="77777777" w:rsidR="009B55FB" w:rsidRDefault="00000000">
            <w:pPr>
              <w:spacing w:before="120" w:after="120" w:line="240" w:lineRule="auto"/>
              <w:jc w:val="center"/>
              <w:rPr>
                <w:rFonts w:ascii="Calibri" w:eastAsia="Calibri" w:hAnsi="Calibri" w:cs="Calibri"/>
                <w:sz w:val="22"/>
                <w:szCs w:val="22"/>
              </w:rPr>
            </w:pPr>
            <w:r>
              <w:rPr>
                <w:rFonts w:ascii="Calibri" w:eastAsia="Calibri" w:hAnsi="Calibri" w:cs="Calibri"/>
                <w:sz w:val="22"/>
                <w:szCs w:val="22"/>
              </w:rPr>
              <w:t>01</w:t>
            </w:r>
          </w:p>
        </w:tc>
        <w:tc>
          <w:tcPr>
            <w:tcW w:w="4209" w:type="dxa"/>
            <w:vAlign w:val="bottom"/>
          </w:tcPr>
          <w:p w14:paraId="62B2C8B8" w14:textId="77777777" w:rsidR="009B55FB" w:rsidRDefault="00000000">
            <w:pPr>
              <w:spacing w:before="120" w:after="120" w:line="240" w:lineRule="auto"/>
              <w:jc w:val="both"/>
              <w:rPr>
                <w:rFonts w:ascii="Calibri" w:eastAsia="Calibri" w:hAnsi="Calibri" w:cs="Calibri"/>
                <w:sz w:val="22"/>
                <w:szCs w:val="22"/>
              </w:rPr>
            </w:pPr>
            <w:r>
              <w:rPr>
                <w:rFonts w:ascii="Calibri" w:eastAsia="Calibri" w:hAnsi="Calibri" w:cs="Calibri"/>
                <w:sz w:val="22"/>
                <w:szCs w:val="22"/>
              </w:rPr>
              <w:t xml:space="preserve">Carteira de Procedimentos constantes na Tabela SIGTAP-SUS, de Incentivos Federais de Políticas de Cirurgias e Procedimentos Ambulatoriais, da política da DELIBERAÇÃO CIB-SUS/MG Nº 4.065, DE 07 DE DEZEMBRO DE 2022, de Incremento e de Incentivos Estaduais contidos nas políticas Valora Minas, Opera Mais, de acordo com as deliberações, valores unitários dos procedimentos conforme Tabela SIGTAP-SUS. </w:t>
            </w:r>
          </w:p>
        </w:tc>
        <w:tc>
          <w:tcPr>
            <w:tcW w:w="4392" w:type="dxa"/>
            <w:vAlign w:val="center"/>
          </w:tcPr>
          <w:p w14:paraId="7FCB14FB" w14:textId="77777777" w:rsidR="009B55FB" w:rsidRDefault="00000000">
            <w:pPr>
              <w:spacing w:before="120" w:after="120" w:line="240" w:lineRule="auto"/>
              <w:jc w:val="center"/>
              <w:rPr>
                <w:rFonts w:ascii="Calibri" w:eastAsia="Calibri" w:hAnsi="Calibri" w:cs="Calibri"/>
                <w:sz w:val="22"/>
                <w:szCs w:val="22"/>
              </w:rPr>
            </w:pPr>
            <w:r>
              <w:rPr>
                <w:rFonts w:ascii="Calibri" w:eastAsia="Calibri" w:hAnsi="Calibri" w:cs="Calibri"/>
                <w:sz w:val="22"/>
                <w:szCs w:val="22"/>
              </w:rPr>
              <w:t>R$ 500.000,00</w:t>
            </w:r>
          </w:p>
        </w:tc>
      </w:tr>
    </w:tbl>
    <w:p w14:paraId="2D37A4FD"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preços unitários aplicáveis aos procedimentos/serviços objeto deste Contrato correspondem aos valores constantes da Tabela SIGTAP-SUS vigentes na data de referência adotada pela Administração para fins de composição do preço. Tais preços são inalteráveis para os efeitos deste ajuste e incluem, de forma integral, todos os custos diretos e indiretos, bem como encargos trabalhistas, previdenciários, civis, fiscais e tributários, constituindo a única e total remuneração do Contratado pela execução dos serviços discriminados neste instrumento.</w:t>
      </w:r>
    </w:p>
    <w:p w14:paraId="4AC15B92"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Qualquer eventual atualização dos valores constantes na Tabela SIGTAP-SUS somente poderá ser onerada ao Contratante mediante alteração contratual formal e prévia autorização administrativa, observadas a legislação aplicável e as disposições financeiras e orçamentárias pertinentes.</w:t>
      </w:r>
    </w:p>
    <w:p w14:paraId="76E2CBD3"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Os bens/serviços objeto desta contratação são caracterizados como comuns, não se enquadrando como bens de luxo, conforme Decreto Municipal nº 553/2024. </w:t>
      </w:r>
    </w:p>
    <w:p w14:paraId="75B24B0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validade do credenciamento para este Edital será de 12 (doze) meses, podendo ser prorrogada por igual período conforme interesse e necessidade da Administração, nos termos dos artigos 106 e 107 da Lei 14.133/2021.</w:t>
      </w:r>
    </w:p>
    <w:p w14:paraId="53F5ECB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Minuta do Termo de Credenciamento </w:t>
      </w:r>
      <w:r>
        <w:rPr>
          <w:rFonts w:ascii="Calibri" w:eastAsia="Calibri" w:hAnsi="Calibri" w:cs="Calibri"/>
          <w:b/>
          <w:color w:val="000000"/>
          <w:sz w:val="22"/>
          <w:szCs w:val="22"/>
        </w:rPr>
        <w:t>(Anexo IV)</w:t>
      </w:r>
      <w:r>
        <w:rPr>
          <w:rFonts w:ascii="Calibri" w:eastAsia="Calibri" w:hAnsi="Calibri" w:cs="Calibri"/>
          <w:color w:val="000000"/>
          <w:sz w:val="22"/>
          <w:szCs w:val="22"/>
        </w:rPr>
        <w:t>, oferece maior detalhamento das regras que serão aplicadas em relação à vigência da contratação.</w:t>
      </w:r>
    </w:p>
    <w:p w14:paraId="1C861A58"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serviços serão prestados conforme necessidade do município.</w:t>
      </w:r>
    </w:p>
    <w:p w14:paraId="5FAD65D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forma de execução da contratação será em regime de empreitada por </w:t>
      </w:r>
      <w:r>
        <w:rPr>
          <w:rFonts w:ascii="Calibri" w:eastAsia="Calibri" w:hAnsi="Calibri" w:cs="Calibri"/>
          <w:b/>
          <w:color w:val="000000"/>
          <w:sz w:val="22"/>
          <w:szCs w:val="22"/>
        </w:rPr>
        <w:t>preço unitário.</w:t>
      </w:r>
    </w:p>
    <w:p w14:paraId="1A294BC4"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lastRenderedPageBreak/>
        <w:t>O serviço é enquadrado como continuado tendo em vista que são serviços de saúde, sendo a vigência plurianual mais vantajosa considerando que os preços praticados se adequam a tabela de referência publicada pelo Ministério da Saúde denominada Tabela SUS - Tabela de Procedimentos, Medicamentos, Órteses, Próteses e Materiais Especiais do SUS, observando-se assim o Princípio da Economicidade.</w:t>
      </w:r>
    </w:p>
    <w:p w14:paraId="3D4C6370"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Será levada em consideração a demanda cadastrada e a disponibilidade orçamentária para realização dos serviços, podendo, assim, o credenciado realizar mais de um dos serviços requisitados.</w:t>
      </w:r>
    </w:p>
    <w:p w14:paraId="368F933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A prestação dos serviços não gera vínculo empregatício entre os empregados da Contratada e a Administração Contratante, vedando-se qualquer relação entre estes que caracterize pessoalidade e subordinação direta. </w:t>
      </w:r>
    </w:p>
    <w:p w14:paraId="3D102C94"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sz w:val="22"/>
          <w:szCs w:val="22"/>
        </w:rPr>
        <w:t>A Prefeitura de Teixeiras não está obrigada a contratar a totalidade dos itens licitados</w:t>
      </w:r>
      <w:r>
        <w:rPr>
          <w:rFonts w:ascii="Calibri" w:eastAsia="Calibri" w:hAnsi="Calibri" w:cs="Calibri"/>
          <w:sz w:val="22"/>
          <w:szCs w:val="22"/>
        </w:rPr>
        <w:t>.</w:t>
      </w:r>
    </w:p>
    <w:p w14:paraId="308B040E"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sz w:val="22"/>
          <w:szCs w:val="22"/>
        </w:rPr>
        <w:t>DA ESPECIALIDADE DO SERVIÇO DE OFTALMOLOGIA:</w:t>
      </w:r>
    </w:p>
    <w:p w14:paraId="60276234"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São os serviços objeto de contratação, descritos como de Tipologia III – pela DELIBERAÇÃO CIB-SUS/MG Nº 4.065, DE 07 DE DEZEMBRO DE 2022:</w:t>
      </w:r>
    </w:p>
    <w:p w14:paraId="61EF4BEA"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a)</w:t>
      </w:r>
      <w:r>
        <w:rPr>
          <w:rFonts w:ascii="Calibri" w:eastAsia="Calibri" w:hAnsi="Calibri" w:cs="Calibri"/>
          <w:sz w:val="22"/>
          <w:szCs w:val="22"/>
        </w:rPr>
        <w:tab/>
        <w:t>Consultas oftalmológicas de primeiro atendimento, incluindo exames básicos de avaliação inicial, a serem realizados conforme a necessidade clínica do paciente;</w:t>
      </w:r>
    </w:p>
    <w:p w14:paraId="344046D8"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b)</w:t>
      </w:r>
      <w:r>
        <w:rPr>
          <w:rFonts w:ascii="Calibri" w:eastAsia="Calibri" w:hAnsi="Calibri" w:cs="Calibri"/>
          <w:sz w:val="22"/>
          <w:szCs w:val="22"/>
        </w:rPr>
        <w:tab/>
        <w:t>Consultas de retorno, abrangendo acompanhamento, avaliações pré e pós-operatórias, com a execução apenas dos procedimentos efetivamente necessários, ficando a cargo do profissional decidir quanto a necessidade de realizar todos os procedimentos elencados no momento da realização da consulta e SOMENTE poderão ser cobrados os procedimentos efetivamente realizados.</w:t>
      </w:r>
    </w:p>
    <w:p w14:paraId="20EAA975"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c)</w:t>
      </w:r>
      <w:r>
        <w:rPr>
          <w:rFonts w:ascii="Calibri" w:eastAsia="Calibri" w:hAnsi="Calibri" w:cs="Calibri"/>
          <w:sz w:val="22"/>
          <w:szCs w:val="22"/>
        </w:rPr>
        <w:tab/>
        <w:t>Solicitação e encaminhamento para exames complementares, quando indicados, mediante prévia autorização da Secretaria Municipal de Saúde.</w:t>
      </w:r>
    </w:p>
    <w:p w14:paraId="6573B0F0"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d)</w:t>
      </w:r>
      <w:r>
        <w:rPr>
          <w:rFonts w:ascii="Calibri" w:eastAsia="Calibri" w:hAnsi="Calibri" w:cs="Calibri"/>
          <w:sz w:val="22"/>
          <w:szCs w:val="22"/>
        </w:rPr>
        <w:tab/>
        <w:t>Procedimentos cirúrgicos e terapêuticos especializados, previstos para a Tipologia III, tais como tratamento de retina (laser e aplicação intravítrea de anti-VEGF), cirurgias de glaucoma, plástica ocular (diagnóstico e pequenos procedimentos), atendimentos de urgência em regime clínico e cirúrgico, além das carteiras obrigatórias e opcionais das Tipologias I e II.</w:t>
      </w:r>
    </w:p>
    <w:p w14:paraId="2257D350"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b/>
          <w:sz w:val="22"/>
          <w:szCs w:val="22"/>
        </w:rPr>
        <w:t>CONSIDERAÇÕES GERAIS DA PRESTAÇÃO DE SERVIÇOS:</w:t>
      </w:r>
    </w:p>
    <w:p w14:paraId="1E525BA9"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usuários a serem atendidos através do contrato deverão, obrigatória e exclusivamente, ser encaminhados pela Secretaria de Saúde.</w:t>
      </w:r>
    </w:p>
    <w:p w14:paraId="589333B1"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serviços serão encaminhados ao prestador de serviços conforme demanda e disponibilidade orçamentária financeira.</w:t>
      </w:r>
    </w:p>
    <w:p w14:paraId="2232EA37"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Em caso de utilização de equipamento(s) de apoio para execução do serviço, tal(is) aparelho(s) utilizado(s) deverá(ão) estar de acordo com as normas técnicas do órgão responsável pela fiscalização e suas revisões/manutenções atualizadas, bem como a documentação deverá estar em dia e disponível quando solicitada.</w:t>
      </w:r>
    </w:p>
    <w:p w14:paraId="164FFC73"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Todo atendimento do paciente deverá ser registrado no sistema informatizado determinado ou aceito pela Fundação Municipal de Saúde.</w:t>
      </w:r>
    </w:p>
    <w:p w14:paraId="159491A9"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 prestação do serviço deverá ocorrer de forma contínua, conforme necessidade da Fundação Municipal de Saúde.</w:t>
      </w:r>
    </w:p>
    <w:p w14:paraId="7FA4B79D"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Contratada deverá submeter-se ao procedimento de regulação de consultas, exames e procedimentos utilizado pela Fundação Municipal de Saúde;</w:t>
      </w:r>
    </w:p>
    <w:p w14:paraId="6D24FD37"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Contratada deverá disponibilizar as agendas através de sistema informatizado determinado ou aceito pela Fundação Municipal de Saúde;</w:t>
      </w:r>
    </w:p>
    <w:p w14:paraId="3F13187F"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agenda deverá ser disponibilizada até o dia 05 de cada mês para o mês subsequente, diretamente ao e-mail ou sistema;</w:t>
      </w:r>
    </w:p>
    <w:p w14:paraId="5A9FA12B"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enviará para a Fundação Municipal de Saúde, o calendário das cirurgias/procedimentos, constando data e horário de realização dos mesmos.</w:t>
      </w:r>
    </w:p>
    <w:p w14:paraId="38F6D114"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Para cada procedimento realizado o prestador deverá garantir no mínimo uma consulta anterior a realização do procedimento e outra posteriormente, indicativos de consulta Pré-Operatória e consulta Pós-Operatória;</w:t>
      </w:r>
    </w:p>
    <w:p w14:paraId="6FBFB9AA"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deverá apresentar um Plano de Contingência com ações imediatas e de longo prazo para os eventuais contratempos (equipamentos, hardware, software, QL, etc.).</w:t>
      </w:r>
    </w:p>
    <w:p w14:paraId="2942A0F3"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Fica a cargo da Contratada a instalação de todos os equipamentos para a viabilização do contrato, bem como a manutenção dos mesmos.</w:t>
      </w:r>
    </w:p>
    <w:p w14:paraId="7C255D38"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serviços serão prestados conforme protocolos assistenciais existentes e também definidos e/ou instituídos de forma conjunta, cuja infraestrutura física necessária será́ de responsabilidade da contratada, que também dará́ conhecimento aos profissionais dos protocolos, fluxos e condutas adotadas, que deverão ser rigorosamente cumpridas.</w:t>
      </w:r>
    </w:p>
    <w:p w14:paraId="40763078"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garantir a contínua e integral prestação do serviço, de acordo com as necessidades da Fundação Municipal de Saúde, obrigando-se no cumprimento dos termos do contrato, cujo pessoal não terá́, em hipótese alguma, qualquer relação de emprego com a contratante, sendo de exclusiva responsabilidade da contratada das despesas tributárias e fiscais.</w:t>
      </w:r>
    </w:p>
    <w:p w14:paraId="112E40A4"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assumir a responsabilidade integral e exclusiva pela prestação dos serviços, bem como, responder por todas as atividades desenvolvidas pelos seus associados/colaboradores.</w:t>
      </w:r>
    </w:p>
    <w:p w14:paraId="36728D46"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deverá dispor de CNES e CNPJ específicos para a prestação de serviços objeto deste TR.</w:t>
      </w:r>
    </w:p>
    <w:p w14:paraId="63A28B06"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Toda a carteira de serviços elencados na DELIBERAÇÃO CIB-SUS/MG Nº 4.065, DE 07 DE DEZEMBRO DE 2022, deve ser prestada pela contratada preferencialmente no município de Teixeiras/MG, obedecendo ao Princípio do Comando Único, regramento basilar do Sistema Único de Saúde.</w:t>
      </w:r>
    </w:p>
    <w:p w14:paraId="6DBC41CA"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manter compatibilidade com as obrigações assumidas, inclusive as condições de habilitação e qualificação apresentadas na proposta.</w:t>
      </w:r>
    </w:p>
    <w:p w14:paraId="6A34CFB3"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 contratada se responsabilizará por orientar seus colaboradores no cumprimento das normas de segurança, conduta e disciplina determinadas pela Secretaria Municipal de Saúde e responderá por quaisquer danos pessoais ou materiais causados por seus associados/colaboradores à contratante ou a </w:t>
      </w:r>
      <w:r>
        <w:rPr>
          <w:rFonts w:ascii="Calibri" w:eastAsia="Calibri" w:hAnsi="Calibri" w:cs="Calibri"/>
          <w:color w:val="000000"/>
          <w:sz w:val="22"/>
          <w:szCs w:val="22"/>
        </w:rPr>
        <w:lastRenderedPageBreak/>
        <w:t>terceiros, por ação ou omissão, nas dependências da contratante.</w:t>
      </w:r>
    </w:p>
    <w:p w14:paraId="071106D5"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manter atualizados todos os dados cadastrais do profissional junto a Secretaria Municipal de Saúde e nos casos de alterações e substituições deverá comunicar imediatamente ao Gestor do Contrato para providências.</w:t>
      </w:r>
    </w:p>
    <w:p w14:paraId="333FD612"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Fica vedado à contratada o uso da imagem e do nome da contratante e/ou dados clínicos e estatísticos da Secretaria Municipal de Saúde, sem que haja prévia e expressa autorização para tal fim.</w:t>
      </w:r>
    </w:p>
    <w:p w14:paraId="33044F53"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será́ responsável por disponibilizar médicos suficientes à cobertura das consultas, exames e procedimentos cirúrgicos para prestação do serviço, objeto do contrato.</w:t>
      </w:r>
    </w:p>
    <w:p w14:paraId="4763F460"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observar as normas de saúde e segurança e higiene no trabalho, no que couber por analogia, com base nos princípios gerais de proteção ao trabalho internacionalmente consagrados.</w:t>
      </w:r>
    </w:p>
    <w:p w14:paraId="60A2DCD1"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enviar mensalmente o relatório de atividades executadas de forma detalhada, escalas de trabalho e demais documentos necessários juntamente com a Nota Fiscal.</w:t>
      </w:r>
    </w:p>
    <w:p w14:paraId="62FE24E0"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Não obstante a contratada seja responsável pelas obrigações contraídas, a contratante se reserva no direito de, sem restringir a plenitude dessa responsabilidade, exercer a mais ampla e completa fiscalização sobre os serviços, diretamente ou por prepostos designados.</w:t>
      </w:r>
    </w:p>
    <w:p w14:paraId="4AD9953E"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Na inexecução total ou parcial dos compromissos assumidos pela(s) contratada(s) ou quaisquer outras ações ou omissões que impliquem em descumprimento do ajuste, estará́ à mesma sujeita a penalidades: advertência, multa e rescisão contratual, nos termos da Lei 14.133/2021.</w:t>
      </w:r>
    </w:p>
    <w:p w14:paraId="183F4CA2"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atender as diretrizes básicas para a implementação de medidas de proteção à segurança dos trabalhadores dos serviços de saúde, bem como daqueles que exercem atividade de promoção e assistência à saúde em geral, bem como as que vierem substituir, naquilo que se aplica ao objeto do contrato.</w:t>
      </w:r>
    </w:p>
    <w:p w14:paraId="4F6BA5E9"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se obriga a prestar os serviços de forma presencial, conforme já́ estabelecido no objeto deste termo de referência, através de agenda a ser enviada pela contratante, dentro do prazo de vigência instrumento contratual.</w:t>
      </w:r>
    </w:p>
    <w:p w14:paraId="6FC8CB49"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Havendo solicitação pela contratante, a contratada se obriga a emitir parecer ou relatório médico, impresso, carimbado, datado e assinado, se couber.</w:t>
      </w:r>
    </w:p>
    <w:p w14:paraId="052BA217"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As normas e rotinas não previstas ou expressas no contrato a ser celebrado serão definidas pela Secretaria Municipal de Saúde, conforme a necessidade, sempre de acordo com as normas do Ministério da Saúde/Secretaria Estadual de Saúde.</w:t>
      </w:r>
    </w:p>
    <w:p w14:paraId="75F5F57D"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se obriga a manter/disponibilizar número de profissionais suficiente para a manutenção da qualidade dos serviços de acordo com o escopo definido.</w:t>
      </w:r>
    </w:p>
    <w:p w14:paraId="77D7B1E5"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garantir a contínua e integral prestação do serviço, independente de férias, faltas, feriados durante a semana, greves de qualquer natureza ou espécie.</w:t>
      </w:r>
    </w:p>
    <w:p w14:paraId="28D09734"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A contratada deverá garantir que os profissionais cumpram rigorosamente os horários de trabalho, considerando o intervalo regimental, estabelecido pela legislação, no caso de existência de profissionais </w:t>
      </w:r>
      <w:r>
        <w:rPr>
          <w:rFonts w:ascii="Calibri" w:eastAsia="Calibri" w:hAnsi="Calibri" w:cs="Calibri"/>
          <w:color w:val="000000"/>
          <w:sz w:val="22"/>
          <w:szCs w:val="22"/>
        </w:rPr>
        <w:lastRenderedPageBreak/>
        <w:t>contratados em regime celetista, ficando a contratada diretamente responsável por eventuais inobservâncias.</w:t>
      </w:r>
    </w:p>
    <w:p w14:paraId="654566DA"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contratante estabelecerá as diretrizes dos trabalhos a serem realizados pela contratada, respeitada a independência técnica, devendo toda e qualquer alteração nas condições de trabalho, serem previamente submetidas a apreciação da contratante, para alinhamento de condutas de trabalho.</w:t>
      </w:r>
    </w:p>
    <w:p w14:paraId="3287A58B"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A contratada deverá estabelecer e executar protocolos técnicos do serviço, segundo níveis de assistência, de acordo com a legislação vigente.</w:t>
      </w:r>
    </w:p>
    <w:p w14:paraId="18E69200"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realizar orientação ao médico diarista sobre os cuidados com os clientes/pacientes/usuários, estendendo-a aos cuidadores, familiares ou responsáveis, quando couber.</w:t>
      </w:r>
    </w:p>
    <w:p w14:paraId="607BCEEF"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É proibida qualquer cobrança direta ou indiretamente ao paciente atendido, ou familiar, de quaisquer valores decorrentes dos atendimentos prestados ou a serem prestados, bem como solicitar aquisição de medicamentos e materiais médicos, sob pena de rescisão contratual e demais sanções previstas nas legislações vigentes do Sistema Único de Saúde.</w:t>
      </w:r>
    </w:p>
    <w:p w14:paraId="08BE84DD"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responsabilidade técnica, profissionais, civil e criminal pela prestação dos serviços, junto aos Órgãos e Poderes competentes, serão exclusivos da contratada.</w:t>
      </w:r>
    </w:p>
    <w:p w14:paraId="0FFBC431"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garantir um Responsável Técnico pela equipe para alinhamento de conduta com a coordenação entre outros.</w:t>
      </w:r>
    </w:p>
    <w:p w14:paraId="48A23E3A"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contratada deverá selecionar e capacitar rigorosamente os profissionais que irão prestar os serviços ora Contratadas.</w:t>
      </w:r>
    </w:p>
    <w:p w14:paraId="133A1A47"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Deverão estar inclusas nos preços todas as despesas incidentes na prestação dos serviços, tais como salários, vales, seguro, impostos, taxas, contribuições, indenizações e transporte necessários à execução dos serviços.</w:t>
      </w:r>
    </w:p>
    <w:p w14:paraId="370EDC27" w14:textId="77777777" w:rsidR="009B55FB" w:rsidRDefault="00000000">
      <w:pPr>
        <w:widowControl w:val="0"/>
        <w:numPr>
          <w:ilvl w:val="1"/>
          <w:numId w:val="13"/>
        </w:numPr>
        <w:pBdr>
          <w:top w:val="nil"/>
          <w:left w:val="nil"/>
          <w:bottom w:val="nil"/>
          <w:right w:val="nil"/>
          <w:between w:val="nil"/>
        </w:pBdr>
        <w:tabs>
          <w:tab w:val="left" w:pos="290"/>
          <w:tab w:val="left" w:pos="885"/>
        </w:tabs>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fiscalização exercida pela contratante não implicará a redução ou exclusão da responsabilidade da contratada.</w:t>
      </w:r>
    </w:p>
    <w:p w14:paraId="50208D2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A contratante poderá́ vistoriar a execução dos serviços a qualquer momento.</w:t>
      </w:r>
    </w:p>
    <w:p w14:paraId="0BD3C180"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FUNDAMENTAÇÃO E DESCRIÇÃO DA NECESSIDADE DA CONTRATAÇÃO</w:t>
      </w:r>
    </w:p>
    <w:p w14:paraId="55B3050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bookmarkStart w:id="25" w:name="_heading=h.quz7uxt5ywyq" w:colFirst="0" w:colLast="0"/>
      <w:bookmarkEnd w:id="25"/>
      <w:r>
        <w:rPr>
          <w:rFonts w:ascii="Calibri" w:eastAsia="Calibri" w:hAnsi="Calibri" w:cs="Calibri"/>
          <w:color w:val="000000"/>
          <w:sz w:val="22"/>
          <w:szCs w:val="22"/>
        </w:rPr>
        <w:t xml:space="preserve">A Fundamentação e Descrição da Necessidade da Contratação e de seus quantitativos encontra-se pormenorizada em tópico específico dos Estudos Técnicos Preliminares, anexo deste Termo de Referência. </w:t>
      </w:r>
    </w:p>
    <w:p w14:paraId="4FD56404"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As especificações técnicas do Termo de Referência foram delimitadas de forma a atender às necessidades desta Administração em sua totalidade, levando em consideração a realidade do mercado. Os critérios ora adotados dentro da razoabilidade, buscam garantir a qualidade técnica do objeto a ser executado, bem como a economicidade para o município.</w:t>
      </w:r>
    </w:p>
    <w:p w14:paraId="486AD24E"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DESCRIÇÃO DA SOLUÇÃO COMO UM TODO </w:t>
      </w:r>
    </w:p>
    <w:p w14:paraId="4512E6E8"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26" w:name="_heading=h.3whwml4" w:colFirst="0" w:colLast="0"/>
      <w:bookmarkEnd w:id="26"/>
      <w:r>
        <w:rPr>
          <w:rFonts w:ascii="Calibri" w:eastAsia="Calibri" w:hAnsi="Calibri" w:cs="Calibri"/>
          <w:color w:val="000000"/>
          <w:sz w:val="22"/>
          <w:szCs w:val="22"/>
        </w:rPr>
        <w:t>A descrição da solução como um todo encontra-se pormenorizada em tópico específico dos Estudos Técnicos Preliminares, anexo deste Termo de Referência.</w:t>
      </w:r>
    </w:p>
    <w:p w14:paraId="013133B1"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REQUISITOS DA CONTRATAÇÃO</w:t>
      </w:r>
    </w:p>
    <w:p w14:paraId="5798C5DF"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27" w:name="_heading=h.8ak4jl8nsz31" w:colFirst="0" w:colLast="0"/>
      <w:bookmarkEnd w:id="27"/>
      <w:r>
        <w:rPr>
          <w:rFonts w:ascii="Calibri" w:eastAsia="Calibri" w:hAnsi="Calibri" w:cs="Calibri"/>
          <w:color w:val="000000"/>
          <w:sz w:val="22"/>
          <w:szCs w:val="22"/>
        </w:rPr>
        <w:t>Os Requisitos da Contratação encontram-se pormenorizados em tópico específico dos Estudos Técnicos Preliminares, anexo deste Termo de Referência.</w:t>
      </w:r>
    </w:p>
    <w:p w14:paraId="1AEBDB2D"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MODELO DE EXECUÇÃO DO OBJETO</w:t>
      </w:r>
    </w:p>
    <w:p w14:paraId="65440026"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Condições de execução</w:t>
      </w:r>
    </w:p>
    <w:p w14:paraId="7CC6917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execução do objeto seguirá a seguinte dinâmica:</w:t>
      </w:r>
    </w:p>
    <w:p w14:paraId="68C84086"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prestação do serviço será de acordo com a demanda da Fundação Municipal de Saúde de Teixeiras/MG e seu início deverá ocorrer em até 05 (cinco) dias úteis após a data de recebimento da ordem de serviço de acordo com o Termo de Referência;</w:t>
      </w:r>
    </w:p>
    <w:p w14:paraId="656045E5"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Especificações quanto à emissão e recepção da ordem de fornecimento:</w:t>
      </w:r>
    </w:p>
    <w:p w14:paraId="39664DA4"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 ordem de serviço, a ser emitida pelo Departamento de Compras, é realizada de forma eletrônica pelo sistema informatizado e será enviada preferencialmente por e-mail, podendo a Administração enviar a ordem de fornecimento pessoalmente ou via correios (neste caso, mediante uso do Aviso de Recebimento – AR); </w:t>
      </w:r>
    </w:p>
    <w:p w14:paraId="24BD5230"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O licitante deverá fornecer junto à sua proposta o e-mail para o qual poderão ser encaminhadas as ordens de fornecimento; </w:t>
      </w:r>
    </w:p>
    <w:p w14:paraId="0E06CB77"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Considera-se como data do recebimento da ordem de fornecimento: </w:t>
      </w:r>
    </w:p>
    <w:p w14:paraId="35B84768"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a) O primeiro dia útil seguinte ao do envio do e-mail, no caso de ordem de fornecimento enviada por e-mail;</w:t>
      </w:r>
    </w:p>
    <w:p w14:paraId="79983CF1"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b) O dia do recebimento da correspondência, no caso de ordem de fornecimento enviada por meio postal.</w:t>
      </w:r>
    </w:p>
    <w:p w14:paraId="6066D36C"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Forma de execução</w:t>
      </w:r>
    </w:p>
    <w:p w14:paraId="63C9C96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serviços prestados se darão de forma parcelada e o Regime de Execução será indireto, de acordo com as necessidades do Município de Teixeiras/MG.</w:t>
      </w:r>
    </w:p>
    <w:p w14:paraId="4F402EDD"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Contrato firmado com o Município não poderá ser objeto de cessão, transferência ou subcontratação sem autorização da Contratante, por escrito, sob pena de aplicação de sanção, inclusive rescisão. </w:t>
      </w:r>
    </w:p>
    <w:p w14:paraId="6C52A1D5"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Contratada obriga-se a manter, durante toda a vigência do contrato/, em compatibilidade com as obrigações por ela assumidas, todas as condições de habilitação e qualificação exigidas na licitação, devendo comunicar à Contratante, imediatamente, qualquer alteração que possa comprometer a manutenção do contrato. </w:t>
      </w:r>
    </w:p>
    <w:p w14:paraId="39176882" w14:textId="0ED1E09C"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Contratada deverá ser responsável pelo pagamento de todos os encargos, tributos, frete, outras contribuições e/ou custos que sejam exigidas e necessários para a prestação de serviço/fornecimento,</w:t>
      </w:r>
      <w:r>
        <w:rPr>
          <w:rFonts w:ascii="Calibri" w:eastAsia="Calibri" w:hAnsi="Calibri" w:cs="Calibri"/>
          <w:sz w:val="22"/>
          <w:szCs w:val="22"/>
        </w:rPr>
        <w:t xml:space="preserve"> apresentação da produção junto ao SIA/DATUSUS</w:t>
      </w:r>
      <w:r w:rsidR="003421BC">
        <w:rPr>
          <w:rFonts w:ascii="Calibri" w:eastAsia="Calibri" w:hAnsi="Calibri" w:cs="Calibri"/>
          <w:sz w:val="22"/>
          <w:szCs w:val="22"/>
        </w:rPr>
        <w:t xml:space="preserve"> </w:t>
      </w:r>
      <w:r>
        <w:rPr>
          <w:rFonts w:ascii="Calibri" w:eastAsia="Calibri" w:hAnsi="Calibri" w:cs="Calibri"/>
          <w:sz w:val="22"/>
          <w:szCs w:val="22"/>
        </w:rPr>
        <w:t>(sistema de informação ambulatorial do Ministério da Saúde), junto ao setor de faturamento da FUMSAT</w:t>
      </w:r>
      <w:r>
        <w:rPr>
          <w:rFonts w:ascii="Calibri" w:eastAsia="Calibri" w:hAnsi="Calibri" w:cs="Calibri"/>
          <w:color w:val="000000"/>
          <w:sz w:val="22"/>
          <w:szCs w:val="22"/>
        </w:rPr>
        <w:t>.</w:t>
      </w:r>
    </w:p>
    <w:p w14:paraId="52110E14" w14:textId="77777777" w:rsidR="009B55FB" w:rsidRDefault="00000000">
      <w:pPr>
        <w:pBdr>
          <w:top w:val="nil"/>
          <w:left w:val="nil"/>
          <w:bottom w:val="nil"/>
          <w:right w:val="nil"/>
          <w:between w:val="nil"/>
        </w:pBdr>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Local e Horário da Prestação dos Serviços</w:t>
      </w:r>
    </w:p>
    <w:p w14:paraId="735600B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Os serviços requisitados neste credenciamento deverão ser prestados, preferencialmente dentro dos limites do Município de Teixeiras/MG, em instalações próprias da credenciada ou em espaço físico disponibilizado pela Fundação Municipal de Saúde. </w:t>
      </w:r>
    </w:p>
    <w:p w14:paraId="45663217"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Fundação Municipal de Saúde de Teixeiras poderá disponibilizar salas de suas dependências, atualmente ociosas, para utilização pelas clínicas credenciadas, exclusivamente para a execução dos serviços objeto deste termo. Toda a infraestrutura de equipamentos, insumos, mobiliário</w:t>
      </w:r>
      <w:r>
        <w:rPr>
          <w:rFonts w:ascii="Calibri" w:eastAsia="Calibri" w:hAnsi="Calibri" w:cs="Calibri"/>
          <w:sz w:val="22"/>
          <w:szCs w:val="22"/>
        </w:rPr>
        <w:t>,</w:t>
      </w:r>
      <w:r>
        <w:rPr>
          <w:rFonts w:ascii="Calibri" w:eastAsia="Calibri" w:hAnsi="Calibri" w:cs="Calibri"/>
          <w:color w:val="000000"/>
          <w:sz w:val="22"/>
          <w:szCs w:val="22"/>
        </w:rPr>
        <w:t xml:space="preserve"> profissionais e habilitações </w:t>
      </w:r>
      <w:r>
        <w:rPr>
          <w:rFonts w:ascii="Calibri" w:eastAsia="Calibri" w:hAnsi="Calibri" w:cs="Calibri"/>
          <w:sz w:val="22"/>
          <w:szCs w:val="22"/>
        </w:rPr>
        <w:t>sanitárias</w:t>
      </w:r>
      <w:r>
        <w:rPr>
          <w:rFonts w:ascii="Calibri" w:eastAsia="Calibri" w:hAnsi="Calibri" w:cs="Calibri"/>
          <w:color w:val="000000"/>
          <w:sz w:val="22"/>
          <w:szCs w:val="22"/>
        </w:rPr>
        <w:t xml:space="preserve"> necessários ficará sob a responsabilidade da credenciada, cabendo à Fundação apenas a cessão do espaço físico.</w:t>
      </w:r>
    </w:p>
    <w:p w14:paraId="7C9C6C73"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Na hipótese de mais de uma clínica credenciada manifestar interesse em utilizar as dependências da Fundação Municipal de Saúde, será adotado sistema de rodízio, mediante escala definida pela Secretaria Municipal de Saúde, de modo a assegurar igualdade de condições entre as credenciadas e pleno aproveitamento do espaço disponibilizado.</w:t>
      </w:r>
    </w:p>
    <w:p w14:paraId="17F97EA7"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Independentemente do local de execução escolhido (instalações próprias da credenciada ou espaço cedido pela Fundação), a credenciada será integralmente responsável pela instalação, manutenção e utilização de equipamentos, bem como pela observância dos protocolos técnicos, sanitários e assistenciais exigidos pela legislação vigente e pelas normas do SUS.</w:t>
      </w:r>
    </w:p>
    <w:p w14:paraId="597C7E58"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Nos casos em que haja clínicas credenciadas localizadas fora dos limites territoriais do município, a demanda será encaminhada prioritariamente para as clínicas situadas em Teixeiras. Persistindo a necessidade de encaminhamento para clínicas externas, será dada preferência àquela que possuir sede mais próxima do município, de modo a assegurar maior acessibilidade e comodidade aos pacientes.</w:t>
      </w:r>
    </w:p>
    <w:p w14:paraId="1807E038"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preferência para que os atendimentos sejam realizados dentro do Município de Teixeiras fundamenta-se no princípio da acessibilidade e da equidade do SUS, assegurando que a população local, sempre que possível, não necessite se deslocar a outros municípios para a realização de consultas, exames e procedimentos oftalmológicos. Tal medida garante uma maior comodidade aos pacientes, reduz custos de deslocamento, facilita o acompanhamento pela Secretaria Municipal de Saúde e fortalece a rede municipal de atenção em saúde</w:t>
      </w:r>
    </w:p>
    <w:p w14:paraId="01318D8E" w14:textId="77777777" w:rsidR="009B55FB" w:rsidRDefault="00000000">
      <w:pPr>
        <w:pBdr>
          <w:top w:val="nil"/>
          <w:left w:val="nil"/>
          <w:bottom w:val="nil"/>
          <w:right w:val="nil"/>
          <w:between w:val="nil"/>
        </w:pBdr>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Rotinas a serem cumpridas</w:t>
      </w:r>
    </w:p>
    <w:p w14:paraId="65101F74"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execução contratual observará as rotinas abaixo:</w:t>
      </w:r>
    </w:p>
    <w:p w14:paraId="36939F0D"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Para a perfeita execução dos serviços, a CREDENCIADA deverá disponibilizar pessoal, materiais, equipamentos, ferramentas e utensílios necessários, promovendo sua substituição quando necessário.</w:t>
      </w:r>
    </w:p>
    <w:p w14:paraId="584988F8"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acompanhamento do serviço será feito por servidor ou comissão acompanhamento e controle, constituída para este fim e, em caso de irregularidade não sanada pelo prestador de serviço, a comissão/servidor reduzirá a termo os fatos ocorridos e encaminhará ao órgão competente para providências de penalização;</w:t>
      </w:r>
    </w:p>
    <w:p w14:paraId="1818645E"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Procedimentos de transição e finalização do contrato</w:t>
      </w:r>
    </w:p>
    <w:p w14:paraId="7ACF2E8E"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b/>
          <w:color w:val="000000"/>
          <w:sz w:val="22"/>
          <w:szCs w:val="22"/>
        </w:rPr>
      </w:pPr>
      <w:r>
        <w:rPr>
          <w:rFonts w:ascii="Calibri" w:eastAsia="Calibri" w:hAnsi="Calibri" w:cs="Calibri"/>
          <w:color w:val="000000"/>
          <w:sz w:val="22"/>
          <w:szCs w:val="22"/>
        </w:rPr>
        <w:t>Não serão necessários procedimentos de transição e finalização do contrato devido às características do objeto</w:t>
      </w:r>
    </w:p>
    <w:p w14:paraId="7939F791"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Garantia do serviço (art. 40, §1º, inciso III, da Lei nº 14.133, de 2021)</w:t>
      </w:r>
    </w:p>
    <w:p w14:paraId="3FDB6AC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prazo de garantia contratual dos serviços é aquele estabelecido na Lei nº 8.078, de 11 de setembro de 1990 (Código de Defesa do Consumidor);</w:t>
      </w:r>
    </w:p>
    <w:p w14:paraId="5F9C9DA0"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MODELO DE GESTÃO DO CONTRATO</w:t>
      </w:r>
    </w:p>
    <w:p w14:paraId="1657DF97"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contrato deverá ser executado fielmente pelas partes, de acordo com as cláusulas avençadas e as normas da Lei 14.133/2021, e cada parte responderá pelas consequências de sua inexecução total ou parcial.</w:t>
      </w:r>
    </w:p>
    <w:p w14:paraId="44295CE0"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Em caso de impedimento, ordem de paralisação ou suspensão do serviço, o cronograma de execução será prorrogado automaticamente pelo tempo correspondente, anotadas tais circunstâncias mediante simples apostila.</w:t>
      </w:r>
    </w:p>
    <w:p w14:paraId="01DCDFF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As comunicações entre o órgão ou entidade e a empresa devem ser realizadas por escrito sempre que o ato exigir tal formalidade, admitindo-se o uso de mensagem eletrônica para esse fim.</w:t>
      </w:r>
    </w:p>
    <w:p w14:paraId="11897B8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órgão ou entidade poderá convocar o preposto da empresa para adoção de providências que devam ser cumpridas de imediato.</w:t>
      </w:r>
    </w:p>
    <w:p w14:paraId="62548744"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Fiscalização </w:t>
      </w:r>
    </w:p>
    <w:p w14:paraId="5FD6266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execução do serviço deverá ser acompanhada e fiscalizada pelo fiscal responsável, ou pelos respectivos substitutos.</w:t>
      </w:r>
    </w:p>
    <w:p w14:paraId="358C0A12"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fiscal acompanhará a execução do serviço, para que sejam cumpridas todas as condições estabelecidas no termo, de modo a assegurar os melhores resultados para a Administração. Também anotará em registro próprio todas as ocorrências relacionadas à sua execução, com a descrição do que for necessário para a regularização dos defeitos observados, sempre que necessário. </w:t>
      </w:r>
    </w:p>
    <w:p w14:paraId="586B2769"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Identificada qualquer inexatidão ou irregularidade, o fiscal emitirá notificações para a correção da execução do serviço, determinando prazo para a correção. </w:t>
      </w:r>
    </w:p>
    <w:p w14:paraId="21D3BCF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fiscal informará ao gestor do contato, em tempo hábil, a situação que demandar decisão ou adoção de medidas que ultrapassem sua competência, para que adote as medidas necessárias e saneadoras, se for o caso. </w:t>
      </w:r>
    </w:p>
    <w:p w14:paraId="53041C34"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prazo para execução dos serviços poderá ser prorrogado caso haja ocorrência de caso fortuito ou de força maior que impeça a finalização no prazo determinado, desde que a solicitação de prorrogação seja feita mediante apresentação de justificativa formal feita pela contratada e aceita pelo fiscal designado.</w:t>
      </w:r>
    </w:p>
    <w:p w14:paraId="5FBAC8A3"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No caso de ocorrências que possam inviabilizar a execução total do serviço nas datas aprazadas, o fiscal comunicará o fato imediatamente ao gestor do contrato. </w:t>
      </w:r>
    </w:p>
    <w:p w14:paraId="1BAFF593"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Durante a execução do objeto, fase do recebimento provisório, o fiscal designado deverá monitorar constantemente o nível de qualidade dos serviços para evitar a sua degeneração, devendo intervir para requerer à contratada a correção das faltas, falhas e irregularidades constatadas.</w:t>
      </w:r>
    </w:p>
    <w:p w14:paraId="486CD282"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contratada poderá apresentar justificativa para a prestação do serviço com menor nível de conformidade, que poderá ser aceita pelo fiscal, desde que comprovada a excepcionalidade da ocorrência, resultante exclusivamente de fatores imprevisíveis e alheios ao controle do prestador.</w:t>
      </w:r>
    </w:p>
    <w:p w14:paraId="11D4915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lastRenderedPageBreak/>
        <w:t>Na hipótese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neste Termo.</w:t>
      </w:r>
    </w:p>
    <w:p w14:paraId="22D91884"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É vedada a atribuição à contratada da avaliação de desempenho e qualidade da prestação dos serviços por ela realizada.</w:t>
      </w:r>
    </w:p>
    <w:p w14:paraId="7D8E4C3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fiscal poderá realizar a avaliação diária, semanal ou mensal, desde que o período escolhido seja suficiente para avaliar ou, se for o caso, aferir o desempenho e qualidade da prestação dos serviços.</w:t>
      </w:r>
    </w:p>
    <w:p w14:paraId="570F49D3"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0900E2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fiscal verificará a manutenção das condições de habilitação da contratada, acompanhará o empenho, o pagamento, as garantias e as glosas, solicitando quaisquer documentos comprobatórios pertinentes, caso necessário.</w:t>
      </w:r>
    </w:p>
    <w:p w14:paraId="317ABFBC" w14:textId="77777777" w:rsidR="009B55FB" w:rsidRDefault="00000000">
      <w:pPr>
        <w:keepNext/>
        <w:keepLines/>
        <w:pBdr>
          <w:top w:val="nil"/>
          <w:left w:val="nil"/>
          <w:bottom w:val="nil"/>
          <w:right w:val="nil"/>
          <w:between w:val="nil"/>
        </w:pBdr>
        <w:spacing w:before="240" w:after="240"/>
        <w:jc w:val="both"/>
        <w:rPr>
          <w:rFonts w:ascii="Calibri" w:eastAsia="Calibri" w:hAnsi="Calibri" w:cs="Calibri"/>
          <w:b/>
          <w:i/>
          <w:color w:val="000000"/>
          <w:sz w:val="22"/>
          <w:szCs w:val="22"/>
        </w:rPr>
      </w:pPr>
      <w:r>
        <w:rPr>
          <w:rFonts w:ascii="Calibri" w:eastAsia="Calibri" w:hAnsi="Calibri" w:cs="Calibri"/>
          <w:b/>
          <w:color w:val="000000"/>
          <w:sz w:val="22"/>
          <w:szCs w:val="22"/>
        </w:rPr>
        <w:t>Gestor do Contrato</w:t>
      </w:r>
    </w:p>
    <w:p w14:paraId="4D1A6E88"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A0F3795"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4D3F499"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25B3E2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16CAE0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15CCAB7"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2FD97A3D"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453352FF"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DA AVALIAÇÃO DA EXECUÇÃO DO OBJETO E CRITÉRIOS DE MEDIÇÃO E PAGAMENTO</w:t>
      </w:r>
    </w:p>
    <w:p w14:paraId="5D03DC7F"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avaliação da execução do objeto será realizada no ato da entrega das refeições, por meio da verificação do cumprimento das especificações técnicas, condições higiênico-sanitárias, prazo de entrega e demais requisitos estabelecidos no Termo de Referência, na proposta da contratada e na Autorização de Fornecimento.</w:t>
      </w:r>
    </w:p>
    <w:p w14:paraId="782EE87F"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Caso sejam constatadas irregularidades na execução dos serviços, poderá haver retenção ou glosa no pagamento, proporcional à não conformidade verificada, sem prejuízo da aplicação das sanções cabíveis, inclusive rescisão contratual e impedimento de licitar, conforme previsto na legislação aplicável.</w:t>
      </w:r>
    </w:p>
    <w:p w14:paraId="3A9A53B6"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Será indicada a retenção ou glosa no pagamento, proporcional à irregularidade verificada, sem prejuízo das sanções cabíveis, caso se constate que a Contratada:</w:t>
      </w:r>
    </w:p>
    <w:p w14:paraId="4D8A4575" w14:textId="77777777" w:rsidR="009B55FB" w:rsidRDefault="00000000">
      <w:pPr>
        <w:numPr>
          <w:ilvl w:val="3"/>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Não produzir os resultados acordados;</w:t>
      </w:r>
    </w:p>
    <w:p w14:paraId="4C977943" w14:textId="77777777" w:rsidR="009B55FB" w:rsidRDefault="00000000">
      <w:pPr>
        <w:numPr>
          <w:ilvl w:val="3"/>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Deixar de executar, ou não executar com a qualidade mínima exigida as atividades contratadas; ou</w:t>
      </w:r>
    </w:p>
    <w:p w14:paraId="6A13DE6C" w14:textId="77777777" w:rsidR="009B55FB" w:rsidRDefault="00000000">
      <w:pPr>
        <w:numPr>
          <w:ilvl w:val="3"/>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Deixar de utilizar materiais e recursos humanos exigidos para a execução do serviço, ou utilizá-los com qualidade ou quantidade inferior à demandada.</w:t>
      </w:r>
    </w:p>
    <w:p w14:paraId="1748C255" w14:textId="77777777" w:rsidR="009B55FB" w:rsidRDefault="00000000">
      <w:pPr>
        <w:numPr>
          <w:ilvl w:val="3"/>
          <w:numId w:val="13"/>
        </w:numPr>
        <w:pBdr>
          <w:top w:val="nil"/>
          <w:left w:val="nil"/>
          <w:bottom w:val="nil"/>
          <w:right w:val="nil"/>
          <w:between w:val="nil"/>
        </w:pBdr>
        <w:spacing w:before="240"/>
        <w:ind w:left="0" w:firstLine="0"/>
        <w:rPr>
          <w:rFonts w:ascii="Calibri" w:eastAsia="Calibri" w:hAnsi="Calibri" w:cs="Calibri"/>
          <w:color w:val="000000"/>
          <w:sz w:val="22"/>
          <w:szCs w:val="22"/>
        </w:rPr>
      </w:pPr>
      <w:r>
        <w:rPr>
          <w:rFonts w:ascii="Calibri" w:eastAsia="Calibri" w:hAnsi="Calibri" w:cs="Calibri"/>
          <w:color w:val="000000"/>
          <w:sz w:val="22"/>
          <w:szCs w:val="22"/>
        </w:rPr>
        <w:t>Entrega de refeições com qualidade sensorial inferior (alteração de sabor, aparência, odor, textura ou temperatura inadequada para o consumo);</w:t>
      </w:r>
    </w:p>
    <w:p w14:paraId="5D53FC56" w14:textId="77777777" w:rsidR="009B55FB" w:rsidRDefault="00000000">
      <w:pPr>
        <w:numPr>
          <w:ilvl w:val="3"/>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Utilização de ingredientes fora do prazo de validade, mal acondicionados ou em desconformidade com as boas práticas de manipulação de alimentos;</w:t>
      </w:r>
    </w:p>
    <w:p w14:paraId="7A0457B0" w14:textId="77777777" w:rsidR="009B55FB" w:rsidRDefault="00000000">
      <w:pPr>
        <w:numPr>
          <w:ilvl w:val="3"/>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Descumprimento do prazo de entrega estabelecido, salvo em situações excepcionais devidamente justificadas e previamente aceitas pela Administração.</w:t>
      </w:r>
    </w:p>
    <w:p w14:paraId="13A5031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indicação do Gestor, Fiscal e de seus substitutos caberá ao Secretário da Pasta.</w:t>
      </w:r>
    </w:p>
    <w:p w14:paraId="3C74181E"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FF0000"/>
          <w:sz w:val="22"/>
          <w:szCs w:val="22"/>
        </w:rPr>
      </w:pPr>
      <w:r>
        <w:rPr>
          <w:rFonts w:ascii="Calibri" w:eastAsia="Calibri" w:hAnsi="Calibri" w:cs="Calibri"/>
          <w:color w:val="000000"/>
          <w:sz w:val="22"/>
          <w:szCs w:val="22"/>
        </w:rPr>
        <w:t>A Gestão do Contrato será realizada por servidor designado pela Administração.</w:t>
      </w:r>
    </w:p>
    <w:p w14:paraId="4CCE086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Fiscalização será coordenada pela Secretaria solicitante e realizada por servidor(es) designado(s) por meio de portaria para a fiscalização.</w:t>
      </w:r>
    </w:p>
    <w:p w14:paraId="1725E2B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fiscalização poderá ser efetivada com base em critérios estatísticos, levando-se em consideração falhas que impactem o contrato como um todo e não apenas erros e falhas eventuais.</w:t>
      </w:r>
    </w:p>
    <w:p w14:paraId="23765068"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Em caso de eventuais necessidades de modificações no quadro de gestores e fiscais do contrato, o ato será formalizado por meio de portaria desta instituição.</w:t>
      </w:r>
    </w:p>
    <w:p w14:paraId="0CF770C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FF0000"/>
          <w:sz w:val="22"/>
          <w:szCs w:val="22"/>
        </w:rPr>
      </w:pPr>
      <w:r>
        <w:rPr>
          <w:rFonts w:ascii="Calibri" w:eastAsia="Calibri" w:hAnsi="Calibri" w:cs="Calibri"/>
          <w:color w:val="000000"/>
          <w:sz w:val="22"/>
          <w:szCs w:val="22"/>
        </w:rPr>
        <w:t>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designado para a formalização dos procedimentos relativos à repactuação, alteração, reequilíbrio, prorrogação, pagamento, eventual aplicação de sanções, extinção do contrato, dentre outras, com vista a assegurar o cumprimento das cláusulas avençadas e a solução de problemas relativos ao objeto (art. 13 do Decreto Municipal 553/2024).</w:t>
      </w:r>
    </w:p>
    <w:p w14:paraId="0BAEA20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lastRenderedPageBreak/>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(art. 14 e 15 do Decreto Municipal 553/2024).</w:t>
      </w:r>
    </w:p>
    <w:p w14:paraId="458B3D5D"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serviços deverão ser executados com base nos parâmetros mínimos estabelecidos.</w:t>
      </w:r>
    </w:p>
    <w:p w14:paraId="09BDE990"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Será adotado, durante toda a vigência do contrato, parâmetros para medição dos resultados, contemplando indicadores e respectivas metas a cumprir, que serão acompanhados pela fiscalização designada pela Administração, visando a qualidade da prestação do serviço e respectiva adequação de pagamento.</w:t>
      </w:r>
    </w:p>
    <w:p w14:paraId="55B5E572"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indicadores eleitos refletem fatores que estão sob controle da Administração no acompanhamento da execução do contrato que são essencialmente relevantes para obtenção de resultados positivos dos serviços.</w:t>
      </w:r>
    </w:p>
    <w:p w14:paraId="3E301FB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São indicadores básicos de avaliação do serviço:</w:t>
      </w:r>
    </w:p>
    <w:p w14:paraId="573E1030"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Rotina de trabalho;</w:t>
      </w:r>
    </w:p>
    <w:p w14:paraId="02FFF7AE"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Qualidade na prestação dos serviços;</w:t>
      </w:r>
    </w:p>
    <w:p w14:paraId="30CD7374"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Disponibilidade de funcionários;</w:t>
      </w:r>
    </w:p>
    <w:p w14:paraId="54D2E72F"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Pontualidade e qualidade dos equipamentos fornecidos, bem como substituição e manutenção quando necessário;</w:t>
      </w:r>
    </w:p>
    <w:p w14:paraId="39FBCFD7"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Cumprimento das obrigações trabalhistas e previdenciárias;</w:t>
      </w:r>
    </w:p>
    <w:p w14:paraId="0C6135D0"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Cumprimento de obrigações contratualmente estabelecidas;</w:t>
      </w:r>
    </w:p>
    <w:p w14:paraId="085A23B7"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Cumprimento de determinações e notificações.</w:t>
      </w:r>
    </w:p>
    <w:p w14:paraId="0518CAF9"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Do recebimento</w:t>
      </w:r>
    </w:p>
    <w:p w14:paraId="232F5B5F" w14:textId="77777777" w:rsidR="009B55FB" w:rsidRDefault="00000000">
      <w:pPr>
        <w:numPr>
          <w:ilvl w:val="1"/>
          <w:numId w:val="13"/>
        </w:numPr>
        <w:pBdr>
          <w:top w:val="nil"/>
          <w:left w:val="nil"/>
          <w:bottom w:val="nil"/>
          <w:right w:val="nil"/>
          <w:between w:val="nil"/>
        </w:pBdr>
        <w:spacing w:before="240"/>
        <w:ind w:left="0" w:firstLine="0"/>
        <w:jc w:val="both"/>
        <w:rPr>
          <w:rFonts w:ascii="Calibri" w:eastAsia="Calibri" w:hAnsi="Calibri" w:cs="Calibri"/>
          <w:sz w:val="22"/>
          <w:szCs w:val="22"/>
        </w:rPr>
      </w:pPr>
      <w:r>
        <w:rPr>
          <w:rFonts w:ascii="Calibri" w:eastAsia="Calibri" w:hAnsi="Calibri" w:cs="Calibri"/>
          <w:sz w:val="22"/>
          <w:szCs w:val="22"/>
        </w:rPr>
        <w:t>O recebimento das refeições ocorrerá no ato da entrega, pelo responsável designado pela Administração para o acompanhamento e fiscalização do contrato, que realizará a verificação imediata da conformidade do fornecimento com as especificações constantes no Termo de Referência, na proposta e na Autorização de Fornecimento.</w:t>
      </w:r>
    </w:p>
    <w:p w14:paraId="6AD105B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Os atendimentos, consultas, exames e procedimentos poderão ser rejeitados, total ou parcialmente, no momento da execução, caso apresentem inadequações quanto à técnica empregada, à qualidade do serviço, ao cumprimento das normas sanitárias, à observância dos protocolos assistenciais ou quaisquer outras irregularidades que comprometam a segurança do paciente ou a conformidade contratual.</w:t>
      </w:r>
    </w:p>
    <w:p w14:paraId="6FD5B5F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A Fundação Municipal de Saúde de Teixeiras não se obriga a receber serviços que não atendam integralmente às especificações estabelecidas neste Termo de Referência. Em caso de não conformidade, a contratada deverá providenciar, sem ônus para o Município, a substituição ou correção imediata do atendimento rejeitado, no prazo máximo de 24 (vinte e quatro) horas, sob pena de aplicação das penalidades previstas no contrato.</w:t>
      </w:r>
    </w:p>
    <w:p w14:paraId="74B1C4AD"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lastRenderedPageBreak/>
        <w:t>Dada a natureza essencial e contínua dos serviços de saúde, o recebimento será considerado provisório no ato de cada atendimento, consulta, exame ou procedimento, condicionado à posterior verificação de conformidade pela fiscalização contratual.</w:t>
      </w:r>
    </w:p>
    <w:p w14:paraId="62D310DD"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Excepcionalmente, caso a fiscalização identifique a necessidade de avaliação complementar, esta deverá ocorrer no prazo de até 05 (cinco) dias úteis, contados da realização do serviço, sendo o aceite definitivo condicionado à conclusão da verificação.</w:t>
      </w:r>
    </w:p>
    <w:p w14:paraId="563ADD67"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A contratada permanecerá integralmente responsável pela qualidade, segurança, regularidade técnica e conformidade dos serviços prestados, mesmo após o recebimento definitivo, respondendo por vícios ocultos, irregularidades sanitárias ou qualquer descumprimento contratual constatado posteriormente, nos termos da legislação aplicável.</w:t>
      </w:r>
    </w:p>
    <w:p w14:paraId="2B4CA092"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Em caso de controvérsias sobre a execução contratual, especialmente quanto à adequação dos serviços ou valores cobrados, aplicar-se-á o disposto no art. 143 da Lei Federal nº 14.133/2021, devendo a contratada emitir nota fiscal apenas relativa à parcela incontroversa, viabilizando o prosseguimento da liquidação e pagamento.</w:t>
      </w:r>
    </w:p>
    <w:p w14:paraId="35B8C6F3"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O prazo para substituição ou correção de eventuais falhas na execução dos serviços, bem como de inconsistências na nota fiscal ou instrumento de cobrança, será excluído da contagem para efeitos de verificação de inadimplemento contratual.</w:t>
      </w:r>
    </w:p>
    <w:p w14:paraId="0CB51DD0"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O recebimento dos serviços, ainda que sem ressalvas, não exime a contratada de sua responsabilidade pela integridade, qualidade e segurança do atendimento prestado, cabendo-lhe o dever de manter padrão compatível com as exigências legais, contratuais, sanitárias e de saúde pública.</w:t>
      </w:r>
    </w:p>
    <w:p w14:paraId="1B457D9F"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Liquidação e Prazo de pagamento</w:t>
      </w:r>
    </w:p>
    <w:p w14:paraId="53F0F40F"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Para fins de liquidação, a contratada </w:t>
      </w:r>
      <w:r>
        <w:rPr>
          <w:rFonts w:ascii="Calibri" w:eastAsia="Calibri" w:hAnsi="Calibri" w:cs="Calibri"/>
          <w:b/>
          <w:color w:val="000000"/>
          <w:sz w:val="22"/>
          <w:szCs w:val="22"/>
        </w:rPr>
        <w:t xml:space="preserve">deverá </w:t>
      </w:r>
      <w:r>
        <w:rPr>
          <w:rFonts w:ascii="Calibri" w:eastAsia="Calibri" w:hAnsi="Calibri" w:cs="Calibri"/>
          <w:color w:val="000000"/>
          <w:sz w:val="22"/>
          <w:szCs w:val="22"/>
        </w:rPr>
        <w:t>apresentar nota fiscal dos serviços prestados;</w:t>
      </w:r>
    </w:p>
    <w:p w14:paraId="5DCFBF3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Recebida a Nota Fiscal ou documento de cobrança equivalente, correrá o prazo de até </w:t>
      </w:r>
      <w:r>
        <w:rPr>
          <w:rFonts w:ascii="Calibri" w:eastAsia="Calibri" w:hAnsi="Calibri" w:cs="Calibri"/>
          <w:b/>
          <w:color w:val="000000"/>
          <w:sz w:val="22"/>
          <w:szCs w:val="22"/>
        </w:rPr>
        <w:t>15 (quinze)</w:t>
      </w:r>
      <w:r>
        <w:rPr>
          <w:rFonts w:ascii="Calibri" w:eastAsia="Calibri" w:hAnsi="Calibri" w:cs="Calibri"/>
          <w:color w:val="000000"/>
          <w:sz w:val="22"/>
          <w:szCs w:val="22"/>
        </w:rPr>
        <w:t xml:space="preserve"> dias úteis para fins de liquidação, na forma desta seção, prorrogáveis por igual período.</w:t>
      </w:r>
    </w:p>
    <w:p w14:paraId="05E84E32"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Para fins de liquidação, o setor competente deve verificar se a Nota Fiscal ou Fatura apresentada expressa os elementos necessários e essenciais do documento, tais como:</w:t>
      </w:r>
    </w:p>
    <w:p w14:paraId="3C0C8F22"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O prazo de validade;</w:t>
      </w:r>
    </w:p>
    <w:p w14:paraId="48DBE351"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A data da emissão;</w:t>
      </w:r>
    </w:p>
    <w:p w14:paraId="36AC7DB5"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Os dados do contrato e do órgão contratante;</w:t>
      </w:r>
    </w:p>
    <w:p w14:paraId="125F5615"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descrição do serviço prestado e das peças substituídas;</w:t>
      </w:r>
    </w:p>
    <w:p w14:paraId="6E76287C"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O valor a pagar; e</w:t>
      </w:r>
    </w:p>
    <w:p w14:paraId="45FC1A7A"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 Eventual destaque do valor de retenções tributárias cabíveis.</w:t>
      </w:r>
    </w:p>
    <w:p w14:paraId="739096D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CF835E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lastRenderedPageBreak/>
        <w:t>A Nota Fiscal ou Fatura deverá ser obrigatoriamente acompanhada da comprovação da regularidade fiscal.</w:t>
      </w:r>
    </w:p>
    <w:p w14:paraId="29390A48"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C4C2F72"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1C4E03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Persistindo a irregularidade, o contratante deverá adotar as medidas necessárias à rescisão contratual nos autos do processo administrativo correspondente, assegurada ao contratado a ampla defesa.</w:t>
      </w:r>
    </w:p>
    <w:p w14:paraId="58DB43FF"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Havendo a efetiva execução do objeto, os pagamentos serão realizados normalmente, até que se decida pela rescisão do contrato, caso o contratado não regularize sua situação junto aos órgãos em que se constarem os débitos.</w:t>
      </w:r>
    </w:p>
    <w:p w14:paraId="6ECC848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pagamento será efetuado no prazo máximo de até </w:t>
      </w:r>
      <w:r>
        <w:rPr>
          <w:rFonts w:ascii="Calibri" w:eastAsia="Calibri" w:hAnsi="Calibri" w:cs="Calibri"/>
          <w:b/>
          <w:color w:val="000000"/>
          <w:sz w:val="22"/>
          <w:szCs w:val="22"/>
        </w:rPr>
        <w:t>15 (quinze) dias úteis</w:t>
      </w:r>
      <w:r>
        <w:rPr>
          <w:rFonts w:ascii="Calibri" w:eastAsia="Calibri" w:hAnsi="Calibri" w:cs="Calibri"/>
          <w:color w:val="000000"/>
          <w:sz w:val="22"/>
          <w:szCs w:val="22"/>
        </w:rPr>
        <w:t>, contados da finalização da liquidação da despesa, conforme seção anterior.</w:t>
      </w:r>
    </w:p>
    <w:p w14:paraId="3705D2D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75755B63"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Forma de pagamento</w:t>
      </w:r>
    </w:p>
    <w:p w14:paraId="323FDF6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t>O pagamento será realizado através de ordem bancária, para crédito em banco, agência e conta corrente indicados pelo contratado.</w:t>
      </w:r>
    </w:p>
    <w:p w14:paraId="576A1E6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Será considerada data do pagamento o dia em que constar como emitida a ordem bancária para pagamento.</w:t>
      </w:r>
    </w:p>
    <w:p w14:paraId="1D1D20C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Quando do pagamento, será efetuada a retenção tributária prevista na legislação aplicável.</w:t>
      </w:r>
    </w:p>
    <w:p w14:paraId="0180019D"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Independentemente do percentual de tributo inserido na planilha, quando houver, serão retidos na fonte, quando da realização do pagamento, os percentuais estabelecidos na legislação vigente.</w:t>
      </w:r>
    </w:p>
    <w:p w14:paraId="26CA8CC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contratado regularmente optante pelo Simples Nacional, nos termos da Lei Complementar nº 123, de 2006, não sofrerá a retenção tributária quanto aos impostos e contribuições abrangidos por aquele regime. </w:t>
      </w:r>
    </w:p>
    <w:p w14:paraId="438840C2"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FORMA E CRITÉRIOS DE SELEÇÃO DO FORNECEDOR</w:t>
      </w:r>
    </w:p>
    <w:p w14:paraId="5D291EDD"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i/>
          <w:color w:val="FF0000"/>
          <w:sz w:val="22"/>
          <w:szCs w:val="22"/>
        </w:rPr>
      </w:pPr>
      <w:r>
        <w:rPr>
          <w:rFonts w:ascii="Calibri" w:eastAsia="Calibri" w:hAnsi="Calibri" w:cs="Calibri"/>
          <w:color w:val="000000"/>
          <w:sz w:val="22"/>
          <w:szCs w:val="22"/>
        </w:rPr>
        <w:t>O contratado será selecionado por meio de realização de procedimento de Contratação Direta, Inexigibilidade de licitação, procedimento auxiliar de Credenciamento, na forma eletrônica, com fundamento na hipótese do art. 79, inciso I, da Lei Federal nº 14.133/2021.</w:t>
      </w:r>
    </w:p>
    <w:p w14:paraId="0D91F847"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b/>
          <w:color w:val="FF0000"/>
          <w:sz w:val="22"/>
          <w:szCs w:val="22"/>
        </w:rPr>
      </w:pPr>
      <w:r>
        <w:rPr>
          <w:rFonts w:ascii="Calibri" w:eastAsia="Calibri" w:hAnsi="Calibri" w:cs="Calibri"/>
          <w:color w:val="000000"/>
          <w:sz w:val="22"/>
          <w:szCs w:val="22"/>
        </w:rPr>
        <w:t xml:space="preserve">O regime de execução do contrato será o de </w:t>
      </w:r>
      <w:r>
        <w:rPr>
          <w:rFonts w:ascii="Calibri" w:eastAsia="Calibri" w:hAnsi="Calibri" w:cs="Calibri"/>
          <w:b/>
          <w:color w:val="000000"/>
          <w:sz w:val="22"/>
          <w:szCs w:val="22"/>
        </w:rPr>
        <w:t>empreitada por preço unitário.</w:t>
      </w:r>
    </w:p>
    <w:p w14:paraId="33EE762A"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bookmarkStart w:id="28" w:name="_heading=h.2bn6wsx" w:colFirst="0" w:colLast="0"/>
      <w:bookmarkEnd w:id="28"/>
      <w:r>
        <w:rPr>
          <w:rFonts w:ascii="Calibri" w:eastAsia="Calibri" w:hAnsi="Calibri" w:cs="Calibri"/>
          <w:b/>
          <w:color w:val="000000"/>
          <w:sz w:val="22"/>
          <w:szCs w:val="22"/>
        </w:rPr>
        <w:lastRenderedPageBreak/>
        <w:t>Exigências de habilitação</w:t>
      </w:r>
    </w:p>
    <w:p w14:paraId="5E37EFD7"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Habilitação jurídica</w:t>
      </w:r>
    </w:p>
    <w:p w14:paraId="22F8E8FE"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color w:val="000000"/>
          <w:sz w:val="22"/>
          <w:szCs w:val="22"/>
        </w:rPr>
        <w:t>Empresário individual</w:t>
      </w:r>
      <w:r>
        <w:rPr>
          <w:rFonts w:ascii="Calibri" w:eastAsia="Calibri" w:hAnsi="Calibri" w:cs="Calibri"/>
          <w:color w:val="000000"/>
          <w:sz w:val="22"/>
          <w:szCs w:val="22"/>
        </w:rPr>
        <w:t>: inscrição no Registro Público de Empresas Mercantis, a cargo da Junta Comercial da respectiva sede;</w:t>
      </w:r>
    </w:p>
    <w:p w14:paraId="420F229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color w:val="000000"/>
          <w:sz w:val="22"/>
          <w:szCs w:val="22"/>
        </w:rPr>
        <w:t>Microempreendedor Individual - MEI</w:t>
      </w:r>
      <w:r>
        <w:rPr>
          <w:rFonts w:ascii="Calibri" w:eastAsia="Calibri" w:hAnsi="Calibri" w:cs="Calibri"/>
          <w:color w:val="000000"/>
          <w:sz w:val="22"/>
          <w:szCs w:val="22"/>
        </w:rPr>
        <w:t>: Certificado da Condição de Microempreendedor Individual - CCMEI, cuja aceitação ficará condicionada à verificação da autenticidade no sítio https://www.gov.br/empresas-e-negocios/pt-br/empreendedor;</w:t>
      </w:r>
    </w:p>
    <w:p w14:paraId="59AF4EF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575AF47"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color w:val="000000"/>
          <w:sz w:val="22"/>
          <w:szCs w:val="22"/>
        </w:rPr>
        <w:t>Sociedade simples</w:t>
      </w:r>
      <w:r>
        <w:rPr>
          <w:rFonts w:ascii="Calibri" w:eastAsia="Calibri" w:hAnsi="Calibri" w:cs="Calibri"/>
          <w:color w:val="000000"/>
          <w:sz w:val="22"/>
          <w:szCs w:val="22"/>
        </w:rPr>
        <w:t>: inscrição do ato constitutivo no Registro Civil de Pessoas Jurídicas do local de sua sede, acompanhada de documento comprobatório de seus administradores;</w:t>
      </w:r>
    </w:p>
    <w:p w14:paraId="7ED2043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29" w:name="_heading=h.qsh70q" w:colFirst="0" w:colLast="0"/>
      <w:bookmarkEnd w:id="29"/>
      <w:r>
        <w:rPr>
          <w:rFonts w:ascii="Calibri" w:eastAsia="Calibri" w:hAnsi="Calibri" w:cs="Calibri"/>
          <w:b/>
          <w:color w:val="000000"/>
          <w:sz w:val="22"/>
          <w:szCs w:val="22"/>
        </w:rPr>
        <w:t>Filial, sucursal ou agência de sociedade simples ou empresária</w:t>
      </w:r>
      <w:r>
        <w:rPr>
          <w:rFonts w:ascii="Calibri" w:eastAsia="Calibri" w:hAnsi="Calibri" w:cs="Calibri"/>
          <w:color w:val="000000"/>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F7BDFE"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documentos apresentados deverão estar acompanhados de todas as alterações ou da consolidação respectiva.</w:t>
      </w:r>
    </w:p>
    <w:p w14:paraId="10408C39"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apresentação do Contrato Social poderá ser dispensada, nos casos em que o fornecedor constar com seus dados cadastrais atualizados no Cadastro Geral do Município (CGM).</w:t>
      </w:r>
    </w:p>
    <w:p w14:paraId="17501D1C"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Habilitação fiscal, social e trabalhista</w:t>
      </w:r>
    </w:p>
    <w:p w14:paraId="777969B3"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Prova de inscrição no Cadastro Nacional de Pessoas Jurídicas;</w:t>
      </w:r>
    </w:p>
    <w:p w14:paraId="07D8F084"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32">
        <w:r w:rsidR="009B55FB">
          <w:rPr>
            <w:rFonts w:ascii="Calibri" w:eastAsia="Calibri" w:hAnsi="Calibri" w:cs="Calibri"/>
            <w:color w:val="000000"/>
            <w:sz w:val="22"/>
            <w:szCs w:val="22"/>
            <w:u w:val="single"/>
          </w:rPr>
          <w:t>Portaria Conjunta nº 1.751, de 02 de outubro de 2014</w:t>
        </w:r>
      </w:hyperlink>
      <w:r>
        <w:rPr>
          <w:rFonts w:ascii="Calibri" w:eastAsia="Calibri" w:hAnsi="Calibri" w:cs="Calibri"/>
          <w:color w:val="000000"/>
          <w:sz w:val="22"/>
          <w:szCs w:val="22"/>
        </w:rPr>
        <w:t>, do Secretário da Receita Federal do Brasil e da Procuradora-Geral da Fazenda Nacional.</w:t>
      </w:r>
    </w:p>
    <w:p w14:paraId="288FAE6E"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Prova de regularidade com o Fundo de Garantia do Tempo de Serviço (FGTS);</w:t>
      </w:r>
    </w:p>
    <w:p w14:paraId="2B236776"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33">
        <w:r w:rsidR="009B55FB">
          <w:rPr>
            <w:rFonts w:ascii="Calibri" w:eastAsia="Calibri" w:hAnsi="Calibri" w:cs="Calibri"/>
            <w:color w:val="000000"/>
            <w:sz w:val="22"/>
            <w:szCs w:val="22"/>
            <w:u w:val="single"/>
          </w:rPr>
          <w:t>Decreto-Lei nº 5.452, de 1º de maio de 1943;</w:t>
        </w:r>
      </w:hyperlink>
    </w:p>
    <w:p w14:paraId="0844E7DF"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t xml:space="preserve">Prova de regularidade com a </w:t>
      </w:r>
      <w:r>
        <w:rPr>
          <w:rFonts w:ascii="Calibri" w:eastAsia="Calibri" w:hAnsi="Calibri" w:cs="Calibri"/>
          <w:b/>
          <w:color w:val="000000"/>
          <w:sz w:val="22"/>
          <w:szCs w:val="22"/>
        </w:rPr>
        <w:t>Fazenda Estadual</w:t>
      </w:r>
      <w:r>
        <w:rPr>
          <w:rFonts w:ascii="Calibri" w:eastAsia="Calibri" w:hAnsi="Calibri" w:cs="Calibri"/>
          <w:color w:val="000000"/>
          <w:sz w:val="22"/>
          <w:szCs w:val="22"/>
        </w:rPr>
        <w:t xml:space="preserve"> do domicílio ou sede do fornecedor, relativa à atividade em cujo exercício contrata ou concorre;</w:t>
      </w:r>
    </w:p>
    <w:p w14:paraId="56800CDC"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lastRenderedPageBreak/>
        <w:t xml:space="preserve">Prova de regularidade com a </w:t>
      </w:r>
      <w:r>
        <w:rPr>
          <w:rFonts w:ascii="Calibri" w:eastAsia="Calibri" w:hAnsi="Calibri" w:cs="Calibri"/>
          <w:b/>
          <w:color w:val="000000"/>
          <w:sz w:val="22"/>
          <w:szCs w:val="22"/>
        </w:rPr>
        <w:t>Fazenda Municipal</w:t>
      </w:r>
      <w:r>
        <w:rPr>
          <w:rFonts w:ascii="Calibri" w:eastAsia="Calibri" w:hAnsi="Calibri" w:cs="Calibri"/>
          <w:color w:val="000000"/>
          <w:sz w:val="22"/>
          <w:szCs w:val="22"/>
        </w:rPr>
        <w:t xml:space="preserve"> do domicílio ou sede do fornecedor, relativa à atividade em cujo exercício contrata ou concorre;</w:t>
      </w:r>
    </w:p>
    <w:p w14:paraId="097A2C44"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Qualificação Econômico-Financeira</w:t>
      </w:r>
    </w:p>
    <w:p w14:paraId="2F00E619"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color w:val="000000"/>
          <w:sz w:val="22"/>
          <w:szCs w:val="22"/>
        </w:rPr>
        <w:t>Certidão negativa de falência</w:t>
      </w:r>
      <w:r>
        <w:rPr>
          <w:rFonts w:ascii="Calibri" w:eastAsia="Calibri" w:hAnsi="Calibri" w:cs="Calibri"/>
          <w:color w:val="000000"/>
          <w:sz w:val="22"/>
          <w:szCs w:val="22"/>
        </w:rPr>
        <w:t xml:space="preserve"> expedida pelo distribuidor da sede do fornecedor;</w:t>
      </w:r>
    </w:p>
    <w:p w14:paraId="50882C2A"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1313345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Balanço Patrimonial, Demonstração de Resultado de exercício e demais demonstrações contábeis dos 2 (dois) últimos exercícios sociais, comprovando: Índices de Liquidez Geral (LG), Liquidez Corrente (LC), e Solvência Geral (SG) superiores a 1 (um).</w:t>
      </w:r>
    </w:p>
    <w:p w14:paraId="62CC4C84"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Os documentos referidos acima limitar-se-ão ao último exercício no caso de a pessoa jurídica ter sido constituída há menos de 2 (dois) anos. </w:t>
      </w:r>
    </w:p>
    <w:p w14:paraId="52A04C67"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Os documentos referidos acima deverão ser exigidos com base no limite definido pela Receita Federal do Brasil para transmissão da Escrituração Contábil Digital – ECD ao Sped. </w:t>
      </w:r>
    </w:p>
    <w:p w14:paraId="6A9FED32"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contratação OU valor total estimado da parcela pertinente. </w:t>
      </w:r>
    </w:p>
    <w:p w14:paraId="145B98F1"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As empresas criadas no exercício financeiro da licitação deverão atender a todas as exigências da habilitação e poderão substituir os demonstrativos contábeis pelo balanço de abertura. (art. 65, § 1º, da Lei Federal nº 14.133/2021). </w:t>
      </w:r>
    </w:p>
    <w:p w14:paraId="1907201B" w14:textId="77777777" w:rsidR="009B55FB" w:rsidRDefault="00000000">
      <w:pPr>
        <w:numPr>
          <w:ilvl w:val="2"/>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O atendimento dos índices econômicos previstos neste item deverá ser atestado mediante declaração assinada por profissional habilitado da área contábil, apresentada pelo fornecedor.</w:t>
      </w:r>
    </w:p>
    <w:p w14:paraId="41677B62"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Qualificação Técnica</w:t>
      </w:r>
    </w:p>
    <w:p w14:paraId="39F534B2"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sz w:val="22"/>
          <w:szCs w:val="22"/>
        </w:rPr>
        <w:t xml:space="preserve">CÓPIA DO CERTIFICADO DE REGULARIDADE DE INSCRIÇÃO DA PESSOA JURÍDICA </w:t>
      </w:r>
      <w:r>
        <w:rPr>
          <w:rFonts w:ascii="Calibri" w:eastAsia="Calibri" w:hAnsi="Calibri" w:cs="Calibri"/>
          <w:sz w:val="22"/>
          <w:szCs w:val="22"/>
        </w:rPr>
        <w:t>junto ao Conselho Regional de Medicina/MG, com a indicação do Responsável Técnico;</w:t>
      </w:r>
    </w:p>
    <w:p w14:paraId="0EF35F3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color w:val="000000"/>
          <w:sz w:val="22"/>
          <w:szCs w:val="22"/>
        </w:rPr>
        <w:t>FICHA DO ESTABELECIMENTO emitido pelo CADASTRO NACIONAL DE ESTABELECIMENTO DE SAÚDE</w:t>
      </w:r>
      <w:r>
        <w:rPr>
          <w:rFonts w:ascii="Calibri" w:eastAsia="Calibri" w:hAnsi="Calibri" w:cs="Calibri"/>
          <w:color w:val="000000"/>
          <w:sz w:val="22"/>
          <w:szCs w:val="22"/>
        </w:rPr>
        <w:t xml:space="preserve">, no site </w:t>
      </w:r>
      <w:hyperlink r:id="rId34">
        <w:r w:rsidR="009B55FB">
          <w:rPr>
            <w:rFonts w:ascii="Calibri" w:eastAsia="Calibri" w:hAnsi="Calibri" w:cs="Calibri"/>
            <w:color w:val="000080"/>
            <w:sz w:val="22"/>
            <w:szCs w:val="22"/>
            <w:u w:val="single"/>
          </w:rPr>
          <w:t>http://cnes.datasus.gov.br,</w:t>
        </w:r>
      </w:hyperlink>
      <w:r>
        <w:rPr>
          <w:rFonts w:ascii="Calibri" w:eastAsia="Calibri" w:hAnsi="Calibri" w:cs="Calibri"/>
          <w:color w:val="000000"/>
          <w:sz w:val="22"/>
          <w:szCs w:val="22"/>
        </w:rPr>
        <w:t xml:space="preserve"> contendo o NÚMERO DO CNES e DATA DE CADASTRAMENTO igual ou anterior à data de abertura deste processo, mesmo que atualmente o estabelecimento não preste serviço ao SUS;</w:t>
      </w:r>
    </w:p>
    <w:p w14:paraId="29979C1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sz w:val="22"/>
          <w:szCs w:val="22"/>
        </w:rPr>
        <w:t>A aceitação fica condicionada à verificação da autenticidade pela Internet ou junto ao órgão emissor, não sendo aceito protocolo de cadastro;</w:t>
      </w:r>
    </w:p>
    <w:p w14:paraId="384AF3AB"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sidRPr="00946C1E">
        <w:rPr>
          <w:rFonts w:ascii="Calibri" w:eastAsia="Calibri" w:hAnsi="Calibri" w:cs="Calibri"/>
          <w:sz w:val="22"/>
          <w:szCs w:val="22"/>
        </w:rPr>
        <w:t>Alvará Sanitário emitido pelo Órgão Municipal competente a sua sede ou documento equivalente emitido por Órgão Federal ou Estadual que comprove sua atividade comercial ou quando dispensado no Município de origem da empresa licitante, deverá ser apresentada declaração, legislação municipal ou outro documento que comprove a dispensa do alvará sanitário</w:t>
      </w:r>
      <w:r>
        <w:rPr>
          <w:rFonts w:ascii="Calibri" w:eastAsia="Calibri" w:hAnsi="Calibri" w:cs="Calibri"/>
          <w:sz w:val="22"/>
          <w:szCs w:val="22"/>
        </w:rPr>
        <w:t>.</w:t>
      </w:r>
    </w:p>
    <w:p w14:paraId="2E72C981"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b/>
          <w:sz w:val="22"/>
          <w:szCs w:val="22"/>
        </w:rPr>
        <w:lastRenderedPageBreak/>
        <w:t>DOS MÉDICOS QUE IRÃO PRESTAR OS SERVIÇOS</w:t>
      </w:r>
      <w:r>
        <w:rPr>
          <w:rFonts w:ascii="Calibri" w:eastAsia="Calibri" w:hAnsi="Calibri" w:cs="Calibri"/>
          <w:sz w:val="22"/>
          <w:szCs w:val="22"/>
        </w:rPr>
        <w:t>: Cópia de documento oficial de identificação (RG, CPF ou Identidade Profissional); Cópia de comprovante de endereço; Currículo, preferencialmente resumido; Cópia do diploma de graduação do curso de medicina; Cópia da Carteira de Inscrição no Conselho Regional de Medicina, conforme legislações vigentes; Certificado de quitação junto ao CRMMG; Cópia do título de especialista em Oftalmologia;</w:t>
      </w:r>
    </w:p>
    <w:p w14:paraId="04A9204D"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t>Ficha de Inscrição (</w:t>
      </w:r>
      <w:r>
        <w:rPr>
          <w:rFonts w:ascii="Calibri" w:eastAsia="Calibri" w:hAnsi="Calibri" w:cs="Calibri"/>
          <w:sz w:val="22"/>
          <w:szCs w:val="22"/>
        </w:rPr>
        <w:t>ANEXO</w:t>
      </w:r>
      <w:r>
        <w:rPr>
          <w:rFonts w:ascii="Calibri" w:eastAsia="Calibri" w:hAnsi="Calibri" w:cs="Calibri"/>
          <w:color w:val="000000"/>
          <w:sz w:val="22"/>
          <w:szCs w:val="22"/>
        </w:rPr>
        <w:t xml:space="preserve"> II);</w:t>
      </w:r>
    </w:p>
    <w:p w14:paraId="6748D38E"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Declaração de ciência e disponibilidade de recursos (ANEXO III);</w:t>
      </w:r>
    </w:p>
    <w:p w14:paraId="6FE8E785"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ESTIMATIVA DO VALOR DA CONTRATAÇÃO</w:t>
      </w:r>
    </w:p>
    <w:p w14:paraId="5506B999"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custo estimado total da contratação será de R$ 500.000,00 (quinhentos mil reais).</w:t>
      </w:r>
    </w:p>
    <w:p w14:paraId="7E0B0C27" w14:textId="77777777" w:rsidR="009B55FB" w:rsidRDefault="00000000">
      <w:pPr>
        <w:keepNext/>
        <w:keepLines/>
        <w:numPr>
          <w:ilvl w:val="0"/>
          <w:numId w:val="1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ADEQUAÇÃO ORÇAMENTÁRIA</w:t>
      </w:r>
    </w:p>
    <w:p w14:paraId="08DE31C0" w14:textId="77777777" w:rsidR="009B55FB" w:rsidRDefault="00000000">
      <w:pPr>
        <w:numPr>
          <w:ilvl w:val="1"/>
          <w:numId w:val="1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As despesas decorrentes da presente contratação correrão à conta de recursos próprios consignados no Orçamento do Município, sendo informados na declaração de disponibilidade orçamentária, documento presente nos autos deste processo.</w:t>
      </w:r>
    </w:p>
    <w:p w14:paraId="4F2756B6" w14:textId="77777777" w:rsidR="009B55FB" w:rsidRDefault="00000000">
      <w:pPr>
        <w:pBdr>
          <w:top w:val="nil"/>
          <w:left w:val="nil"/>
          <w:bottom w:val="nil"/>
          <w:right w:val="nil"/>
          <w:between w:val="nil"/>
        </w:pBdr>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As especificações e condições dos serviços é de responsabilidade exclusiva da secretaria requisitante, não sendo atribuído ao Agente de Contratação e Equipe de apoio quaisquer culpabilidades neste sentido.</w:t>
      </w:r>
    </w:p>
    <w:p w14:paraId="3336544B" w14:textId="77777777" w:rsidR="009B55FB" w:rsidRDefault="009B55FB">
      <w:pPr>
        <w:spacing w:before="240" w:after="240"/>
        <w:rPr>
          <w:rFonts w:ascii="Calibri" w:eastAsia="Calibri" w:hAnsi="Calibri" w:cs="Calibri"/>
          <w:sz w:val="22"/>
          <w:szCs w:val="22"/>
        </w:rPr>
      </w:pPr>
    </w:p>
    <w:p w14:paraId="464C825C" w14:textId="41AF63C9" w:rsidR="009B55FB" w:rsidRDefault="00000000">
      <w:pPr>
        <w:spacing w:before="240" w:after="240"/>
        <w:rPr>
          <w:rFonts w:ascii="Calibri" w:eastAsia="Calibri" w:hAnsi="Calibri" w:cs="Calibri"/>
          <w:sz w:val="22"/>
          <w:szCs w:val="22"/>
        </w:rPr>
      </w:pPr>
      <w:r>
        <w:rPr>
          <w:rFonts w:ascii="Calibri" w:eastAsia="Calibri" w:hAnsi="Calibri" w:cs="Calibri"/>
          <w:sz w:val="22"/>
          <w:szCs w:val="22"/>
        </w:rPr>
        <w:t xml:space="preserve">Teixeiras, </w:t>
      </w:r>
      <w:r w:rsidR="008454EE">
        <w:rPr>
          <w:rFonts w:ascii="Calibri" w:eastAsia="Calibri" w:hAnsi="Calibri" w:cs="Calibri"/>
          <w:sz w:val="22"/>
          <w:szCs w:val="22"/>
        </w:rPr>
        <w:t xml:space="preserve">17 </w:t>
      </w:r>
      <w:r>
        <w:rPr>
          <w:rFonts w:ascii="Calibri" w:eastAsia="Calibri" w:hAnsi="Calibri" w:cs="Calibri"/>
          <w:sz w:val="22"/>
          <w:szCs w:val="22"/>
        </w:rPr>
        <w:t>de setembro de 2025.</w:t>
      </w:r>
    </w:p>
    <w:p w14:paraId="0031D759" w14:textId="77777777" w:rsidR="009B55FB" w:rsidRDefault="009B55FB">
      <w:pPr>
        <w:spacing w:before="240" w:after="240"/>
        <w:rPr>
          <w:rFonts w:ascii="Calibri" w:eastAsia="Calibri" w:hAnsi="Calibri" w:cs="Calibri"/>
          <w:sz w:val="22"/>
          <w:szCs w:val="22"/>
        </w:rPr>
      </w:pPr>
    </w:p>
    <w:p w14:paraId="131F0F3B" w14:textId="77777777" w:rsidR="009B55FB" w:rsidRDefault="009B55FB">
      <w:pPr>
        <w:spacing w:before="240" w:after="240"/>
        <w:rPr>
          <w:rFonts w:ascii="Calibri" w:eastAsia="Calibri" w:hAnsi="Calibri" w:cs="Calibri"/>
          <w:sz w:val="22"/>
          <w:szCs w:val="22"/>
        </w:rPr>
      </w:pPr>
    </w:p>
    <w:p w14:paraId="2998101F" w14:textId="77777777" w:rsidR="009B55FB" w:rsidRDefault="00000000">
      <w:pPr>
        <w:pBdr>
          <w:top w:val="nil"/>
          <w:left w:val="nil"/>
          <w:bottom w:val="nil"/>
          <w:right w:val="nil"/>
          <w:between w:val="nil"/>
        </w:pBdr>
        <w:jc w:val="center"/>
        <w:rPr>
          <w:rFonts w:ascii="Calibri" w:eastAsia="Calibri" w:hAnsi="Calibri" w:cs="Calibri"/>
          <w:b/>
          <w:sz w:val="22"/>
          <w:szCs w:val="22"/>
        </w:rPr>
      </w:pPr>
      <w:r>
        <w:rPr>
          <w:rFonts w:ascii="Calibri" w:eastAsia="Calibri" w:hAnsi="Calibri" w:cs="Calibri"/>
          <w:b/>
          <w:sz w:val="22"/>
          <w:szCs w:val="22"/>
        </w:rPr>
        <w:t>Nacife Miguel Burjaile Sobrinho</w:t>
      </w:r>
    </w:p>
    <w:p w14:paraId="49AF3442" w14:textId="77777777" w:rsidR="009B55FB" w:rsidRDefault="00000000">
      <w:pPr>
        <w:pBdr>
          <w:top w:val="nil"/>
          <w:left w:val="nil"/>
          <w:bottom w:val="nil"/>
          <w:right w:val="nil"/>
          <w:between w:val="nil"/>
        </w:pBdr>
        <w:jc w:val="center"/>
        <w:rPr>
          <w:rFonts w:ascii="Calibri" w:eastAsia="Calibri" w:hAnsi="Calibri" w:cs="Calibri"/>
          <w:b/>
          <w:sz w:val="22"/>
          <w:szCs w:val="22"/>
        </w:rPr>
      </w:pPr>
      <w:r>
        <w:rPr>
          <w:rFonts w:ascii="Calibri" w:eastAsia="Calibri" w:hAnsi="Calibri" w:cs="Calibri"/>
          <w:b/>
          <w:sz w:val="22"/>
          <w:szCs w:val="22"/>
        </w:rPr>
        <w:t>Diretor Administrativo</w:t>
      </w:r>
    </w:p>
    <w:p w14:paraId="6174A077" w14:textId="77777777" w:rsidR="009B55FB" w:rsidRDefault="00000000">
      <w:pPr>
        <w:rPr>
          <w:rFonts w:ascii="Calibri" w:eastAsia="Calibri" w:hAnsi="Calibri" w:cs="Calibri"/>
          <w:b/>
          <w:sz w:val="22"/>
          <w:szCs w:val="22"/>
        </w:rPr>
      </w:pPr>
      <w:r>
        <w:br w:type="page"/>
      </w:r>
    </w:p>
    <w:p w14:paraId="523CE2ED" w14:textId="77777777" w:rsidR="009B55FB" w:rsidRDefault="009B55FB">
      <w:pPr>
        <w:spacing w:before="240" w:after="240"/>
        <w:jc w:val="center"/>
        <w:rPr>
          <w:rFonts w:ascii="Calibri" w:eastAsia="Calibri" w:hAnsi="Calibri" w:cs="Calibri"/>
          <w:b/>
          <w:color w:val="000000"/>
          <w:sz w:val="22"/>
          <w:szCs w:val="22"/>
          <w:u w:val="single"/>
        </w:rPr>
      </w:pPr>
    </w:p>
    <w:p w14:paraId="04DA74F2" w14:textId="77777777" w:rsidR="009B55FB" w:rsidRDefault="00000000">
      <w:pPr>
        <w:spacing w:before="240" w:after="240"/>
        <w:jc w:val="center"/>
        <w:rPr>
          <w:rFonts w:ascii="Calibri" w:eastAsia="Calibri" w:hAnsi="Calibri" w:cs="Calibri"/>
          <w:b/>
          <w:color w:val="000000"/>
          <w:sz w:val="22"/>
          <w:szCs w:val="22"/>
          <w:u w:val="single"/>
        </w:rPr>
      </w:pPr>
      <w:r>
        <w:rPr>
          <w:rFonts w:ascii="Calibri" w:eastAsia="Calibri" w:hAnsi="Calibri" w:cs="Calibri"/>
          <w:b/>
          <w:color w:val="000000"/>
          <w:sz w:val="22"/>
          <w:szCs w:val="22"/>
          <w:u w:val="single"/>
        </w:rPr>
        <w:t>ANEXO – I-A</w:t>
      </w:r>
    </w:p>
    <w:p w14:paraId="4BC50908" w14:textId="77777777" w:rsidR="009B55FB" w:rsidRDefault="00000000">
      <w:pPr>
        <w:spacing w:before="240" w:after="240"/>
        <w:jc w:val="center"/>
        <w:rPr>
          <w:rFonts w:ascii="Calibri" w:eastAsia="Calibri" w:hAnsi="Calibri" w:cs="Calibri"/>
          <w:b/>
          <w:color w:val="000000"/>
          <w:sz w:val="22"/>
          <w:szCs w:val="22"/>
        </w:rPr>
      </w:pPr>
      <w:r>
        <w:rPr>
          <w:rFonts w:ascii="Calibri" w:eastAsia="Calibri" w:hAnsi="Calibri" w:cs="Calibri"/>
          <w:b/>
          <w:color w:val="000000"/>
          <w:sz w:val="22"/>
          <w:szCs w:val="22"/>
        </w:rPr>
        <w:t>ESTUDO TÉCNICO PRELIMINAR</w:t>
      </w:r>
    </w:p>
    <w:p w14:paraId="60F85CAF" w14:textId="77777777" w:rsidR="009B55FB" w:rsidRDefault="00000000">
      <w:pP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 xml:space="preserve">O presente Estudo Técnico Preliminar tem por fim encontrar a melhor solução para atender à necessidade </w:t>
      </w:r>
      <w:r>
        <w:rPr>
          <w:rFonts w:ascii="Calibri" w:eastAsia="Calibri" w:hAnsi="Calibri" w:cs="Calibri"/>
          <w:b/>
          <w:sz w:val="22"/>
          <w:szCs w:val="22"/>
        </w:rPr>
        <w:t>da Fundação Municipal de Saúde</w:t>
      </w:r>
      <w:r>
        <w:rPr>
          <w:rFonts w:ascii="Calibri" w:eastAsia="Calibri" w:hAnsi="Calibri" w:cs="Calibri"/>
          <w:color w:val="000000"/>
          <w:sz w:val="22"/>
          <w:szCs w:val="22"/>
        </w:rPr>
        <w:t xml:space="preserve">, nos termos a seguir expostos. </w:t>
      </w:r>
    </w:p>
    <w:p w14:paraId="33088B2E"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DESCRIÇÃO DA NECESSIDADE DA CONTRATAÇÃO</w:t>
      </w:r>
    </w:p>
    <w:p w14:paraId="69D022E0" w14:textId="77777777" w:rsidR="009B55FB" w:rsidRDefault="00000000">
      <w:pPr>
        <w:spacing w:before="240" w:after="240"/>
        <w:jc w:val="both"/>
        <w:rPr>
          <w:rFonts w:ascii="Calibri" w:eastAsia="Calibri" w:hAnsi="Calibri" w:cs="Calibri"/>
          <w:sz w:val="22"/>
          <w:szCs w:val="22"/>
        </w:rPr>
      </w:pPr>
      <w:bookmarkStart w:id="30" w:name="_heading=h.7o1fg7dgsa9i" w:colFirst="0" w:colLast="0"/>
      <w:bookmarkEnd w:id="30"/>
      <w:r>
        <w:rPr>
          <w:rFonts w:ascii="Calibri" w:eastAsia="Calibri" w:hAnsi="Calibri" w:cs="Calibri"/>
          <w:sz w:val="22"/>
          <w:szCs w:val="22"/>
        </w:rPr>
        <w:t>A Fundação Municipal de Saúde de Teixeiras identifica a necessidade urgente de ampliar a oferta de serviços especializados em oftalmologia no âmbito do Sistema Único de Saúde (SUS), em razão da crescente demanda de pacientes que aguardam por consultas, exames diagnósticos específicos e procedimentos cirúrgicos. Atualmente, o município possui um número expressivo de usuários em fila de espera, estimado em 1.184 pedidos de consultas, exames e procedimentos aguardados (conforme relatório em anexo), o que evidencia a insuficiência da rede assistencial disponível para atender às necessidades da população local e regional.</w:t>
      </w:r>
    </w:p>
    <w:p w14:paraId="70D6C9EF"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O direito constitucional à saúde impõe ao ente público o dever de garantir acesso universal e integral às ações de promoção, proteção e recuperação da saúde. Nesse sentido, a oftalmologia assume papel estratégico, uma vez que o diagnóstico e o tratamento precoce de doenças oculares previnem complicações irreversíveis e contribuem para a melhoria da qualidade de vida da população. A falta de acesso oportuno aos serviços especializados gera consequências sociais e econômicas relevantes, como afastamentos laborais, aumento da dependência funcional e maior demanda por benefícios assistenciais.</w:t>
      </w:r>
    </w:p>
    <w:p w14:paraId="7B0DB880"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O município não dispõe de infraestrutura própria, profissionais especializados e equipamentos de alta complexidade necessários à prestação direta desse tipo de serviço. Além disso, os mecanismos tradicionais de provimento por meio de concurso público têm se mostrado ineficazes para a atração e fixação de médicos oftalmologistas. Dessa forma, a contratação de clínicas credenciadas, com instalações adequadas e dotadas de equipamentos e insumos necessários, mostra-se a alternativa mais viável para assegurar o atendimento contínuo e seguro da população.</w:t>
      </w:r>
    </w:p>
    <w:p w14:paraId="586C0F3E"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 solução proposta encontra respaldo na Deliberação CIB-SUS/MG nº 4.065/2022, que estabelece a Rede de Atenção em Oftalmologia e define a Tipologia III como referência para serviços de alta complexidade, incluindo consultas, exames, procedimentos cirúrgicos e ambulatoriais, bem como a concessão de próteses oftálmicas, como óculos. A adesão a esse modelo de regionalização e hierarquização dos serviços garante a conformidade da contratação com a política estadual e nacional de saúde, além de reforçar o princípio da economicidade, uma vez que os valores praticados seguem a Tabela SUS.</w:t>
      </w:r>
    </w:p>
    <w:p w14:paraId="4491AA65"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Portanto, contratar uma solução adequada para atendimento das demandas do setor de oftalmologia constitui medida necessária e estratégica para reduzir o vazio assistencial existente, eliminar a fila de espera, assegurar a integralidade do cuidado em saúde ocular e promover o acesso equitativo e oportuno da população aos serviços especializados de média e alta complexidade.</w:t>
      </w:r>
    </w:p>
    <w:p w14:paraId="2342BB9C"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PREVISÃO NO PLANO DE CONTRATAÇÕES ANUAL </w:t>
      </w:r>
    </w:p>
    <w:p w14:paraId="52241E1F"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Embora a Fundação Municipal de Saúde de Teixeiras ainda não tenha consolidado seu Plano de Contratações Anual (PAC), a aquisição dos itens objeto da presente contratação encontram-se alinhados ao planejamento do Município, uma vez que são de uso rotineiro e essencial desta Administração, tendo, assim, previsão orçamentária para sua realização neste ano e no próximo ano contábil.</w:t>
      </w:r>
    </w:p>
    <w:p w14:paraId="4EA46BEB"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REQUISITOS DA CONTRATAÇÃO</w:t>
      </w:r>
    </w:p>
    <w:p w14:paraId="14CCFC5A"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Sustentabilidade</w:t>
      </w:r>
    </w:p>
    <w:p w14:paraId="16F9C457"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I – Os resíduos de serviços de saúde deverão ser manejados em conformidade com a Resolução CONAMA nº 358/2005 e a RDC ANVISA nº 222/2018, que dispõem sobre o gerenciamento de resíduos de serviços de saúde, incluindo coleta, transporte, armazenamento e destinação final ambientalmente adequada.</w:t>
      </w:r>
    </w:p>
    <w:p w14:paraId="06EE0790"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II – Os insumos e materiais utilizados nos atendimentos (como lentes, próteses, medicamentos e descartáveis) deverão observar critérios de qualidade, biossegurança e descarte adequado, preferencialmente com utilização de fornecedores que adotem práticas de logística reversa e certificações ambientais.</w:t>
      </w:r>
    </w:p>
    <w:p w14:paraId="74A4DD80"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III – A contratada deverá implementar medidas de uso racional de energia e água em suas instalações, bem como adotar práticas de redução de consumo de papel por meio de sistemas eletrônicos de registro e comunicação.</w:t>
      </w:r>
    </w:p>
    <w:p w14:paraId="73D26E8F"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IV – Deverão ser observados os princípios da Política Nacional de Resíduos Sólidos (Lei nº 12.305/2010), privilegiando a reutilização, reciclagem e descarte responsável de materiais.</w:t>
      </w:r>
    </w:p>
    <w:p w14:paraId="6AE855EA"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V – A contratada deverá manter ambiente acessível, seguro e inclusivo, em conformidade com a Lei Brasileira de Inclusão (Lei nº 13.146/2015), garantindo acessibilidade física, comunicacional e atitudinal aos usuários.</w:t>
      </w:r>
    </w:p>
    <w:p w14:paraId="6E34D67C" w14:textId="77777777" w:rsidR="009B55FB" w:rsidRDefault="00000000">
      <w:pPr>
        <w:pBdr>
          <w:top w:val="nil"/>
          <w:left w:val="nil"/>
          <w:bottom w:val="nil"/>
          <w:right w:val="nil"/>
          <w:between w:val="nil"/>
        </w:pBdr>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Requisitos técnicos e operacionais</w:t>
      </w:r>
    </w:p>
    <w:p w14:paraId="7C154336"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 – Os serviços deverão ser prestados nas dependências da Fundação ou em instalações próprias da clínica credenciada, devidamente registradas no Cadastro Nacional de Estabelecimentos de Saúde (CNES), com infraestrutura física, tecnológica e de pessoal compatíveis com as Tipologias da Rede de Atenção em Oftalmologia, conforme Deliberação CIB-SUS/MG nº 4.065/2022.</w:t>
      </w:r>
    </w:p>
    <w:p w14:paraId="56C06BAC"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II – A contratada deverá garantir a disponibilidade de profissionais médicos especialistas em oftalmologia, habilitados junto aos respectivos conselhos profissionais, além de equipe de apoio técnico-administrativo.</w:t>
      </w:r>
      <w:r>
        <w:rPr>
          <w:rFonts w:ascii="Calibri" w:eastAsia="Calibri" w:hAnsi="Calibri" w:cs="Calibri"/>
          <w:sz w:val="22"/>
          <w:szCs w:val="22"/>
        </w:rPr>
        <w:br/>
        <w:t>III – Todos os equipamentos utilizados (aparelhos de diagnóstico, instrumentos cirúrgicos, sistemas de registro eletrônico, entre outros) deverão estar em conformidade com as normas técnicas da ANVISA e do Ministério da Saúde, com manutenção preventiva e corretiva em dia.</w:t>
      </w:r>
    </w:p>
    <w:p w14:paraId="2EEF8578"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IV – A clínica deverá dispor de agenda eletrônica de marcação, regulada pela Secretaria Municipal de Saúde, e garantir a oferta mínima mensal de atendimentos, exames e procedimentos, nos termos pactuados no contrato.</w:t>
      </w:r>
    </w:p>
    <w:p w14:paraId="35E01A38"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V – É vedada a subcontratação total ou parcial dos serviços, salvo em hipóteses expressamente autorizadas pela contratante e que não comprometam a essência do objeto.</w:t>
      </w:r>
    </w:p>
    <w:p w14:paraId="715AB713" w14:textId="77777777" w:rsidR="009B55FB" w:rsidRDefault="00000000">
      <w:pPr>
        <w:pBdr>
          <w:top w:val="nil"/>
          <w:left w:val="nil"/>
          <w:bottom w:val="nil"/>
          <w:right w:val="nil"/>
          <w:between w:val="nil"/>
        </w:pBdr>
        <w:spacing w:before="240" w:after="240"/>
        <w:jc w:val="both"/>
        <w:rPr>
          <w:rFonts w:ascii="Calibri" w:eastAsia="Calibri" w:hAnsi="Calibri" w:cs="Calibri"/>
          <w:b/>
          <w:sz w:val="22"/>
          <w:szCs w:val="22"/>
        </w:rPr>
      </w:pPr>
      <w:r>
        <w:rPr>
          <w:rFonts w:ascii="Calibri" w:eastAsia="Calibri" w:hAnsi="Calibri" w:cs="Calibri"/>
          <w:b/>
          <w:sz w:val="22"/>
          <w:szCs w:val="22"/>
        </w:rPr>
        <w:t>Requisitos regulatórios e contratuais</w:t>
      </w:r>
    </w:p>
    <w:p w14:paraId="402E40D9"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 – Todos os serviços deverão obedecer às diretrizes da Rede de Atenção em Oftalmologia, conforme Deliberação CIB-SUS/MG nº 4.065/2022, respeitando os protocolos assistenciais e regulatórios.</w:t>
      </w:r>
    </w:p>
    <w:p w14:paraId="497AA2DE"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II – O atendimento aos usuários deverá ser realizado exclusivamente por encaminhamento da Secretaria Municipal de Saúde, sendo vedada qualquer cobrança direta ou indireta ao paciente.</w:t>
      </w:r>
    </w:p>
    <w:p w14:paraId="00C6F6EB"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lastRenderedPageBreak/>
        <w:t>III – A contratada deverá emitir relatórios mensais de produção, contendo informações sobre consultas, exames e procedimentos realizados, devidamente compatíveis com os sistemas oficiais de regulação e controle do SUS.</w:t>
      </w:r>
    </w:p>
    <w:p w14:paraId="6BFB47CC"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IV – A contratada deverá assegurar a rastreabilidade de todos os atendimentos, inclusive com relatórios pré e pós-operatórios, quando couber.</w:t>
      </w:r>
    </w:p>
    <w:p w14:paraId="21FE4051"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V – A contratada deverá manter atualizado o cadastro de seus profissionais e equipamentos junto ao CNES, sob pena de aplicação das penalidades previstas em contrato.</w:t>
      </w:r>
    </w:p>
    <w:p w14:paraId="31F63553" w14:textId="77777777" w:rsidR="009B55FB" w:rsidRDefault="00000000">
      <w:pPr>
        <w:pBdr>
          <w:top w:val="nil"/>
          <w:left w:val="nil"/>
          <w:bottom w:val="nil"/>
          <w:right w:val="nil"/>
          <w:between w:val="nil"/>
        </w:pBdr>
        <w:spacing w:before="240" w:after="240"/>
        <w:jc w:val="both"/>
        <w:rPr>
          <w:rFonts w:ascii="Calibri" w:eastAsia="Calibri" w:hAnsi="Calibri" w:cs="Calibri"/>
          <w:b/>
          <w:sz w:val="22"/>
          <w:szCs w:val="22"/>
        </w:rPr>
      </w:pPr>
      <w:r>
        <w:rPr>
          <w:rFonts w:ascii="Calibri" w:eastAsia="Calibri" w:hAnsi="Calibri" w:cs="Calibri"/>
          <w:b/>
          <w:sz w:val="22"/>
          <w:szCs w:val="22"/>
        </w:rPr>
        <w:t>Requisitos de Responsabilidade Técnica e Qualidade</w:t>
      </w:r>
    </w:p>
    <w:p w14:paraId="4D687915"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 – A contratada deverá manter responsável técnico registrado no Conselho Regional de Medicina (CRM), que responderá pela qualidade assistencial e pela conformidade dos serviços prestados.</w:t>
      </w:r>
    </w:p>
    <w:p w14:paraId="3BFA02DB"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II – Deverá ser assegurada a disponibilidade de protocolos clínicos atualizados e alinhados às diretrizes do Ministério da Saúde e da Secretaria de Estado de Saúde de Minas Gerais.</w:t>
      </w:r>
    </w:p>
    <w:p w14:paraId="014C5870"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III – A contratada será responsável pela capacitação e atualização periódica dos profissionais envolvidos na execução do objeto, garantindo a melhoria contínua da qualidade.</w:t>
      </w:r>
    </w:p>
    <w:p w14:paraId="68E98219"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sz w:val="22"/>
          <w:szCs w:val="22"/>
        </w:rPr>
        <w:t>IV – Deverá ser apresentado Plano de Contingência, contendo ações imediatas e de longo prazo para situações de indisponibilidade de equipamentos, interrupção de serviços ou aumento de demanda.</w:t>
      </w:r>
    </w:p>
    <w:p w14:paraId="6130E8E0"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Da Subcontratação</w:t>
      </w:r>
    </w:p>
    <w:p w14:paraId="2C62BEFB"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color w:val="000000"/>
          <w:sz w:val="22"/>
          <w:szCs w:val="22"/>
        </w:rPr>
        <w:t>Não será admitida a subcontratação do objeto contratual.</w:t>
      </w:r>
    </w:p>
    <w:p w14:paraId="63456259" w14:textId="77777777" w:rsidR="009B55FB" w:rsidRDefault="00000000">
      <w:pPr>
        <w:keepNext/>
        <w:keepLines/>
        <w:pBdr>
          <w:top w:val="nil"/>
          <w:left w:val="nil"/>
          <w:bottom w:val="nil"/>
          <w:right w:val="nil"/>
          <w:between w:val="nil"/>
        </w:pBdr>
        <w:tabs>
          <w:tab w:val="left" w:pos="195"/>
        </w:tabs>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Garantia da contratação</w:t>
      </w:r>
    </w:p>
    <w:p w14:paraId="77DACEE3" w14:textId="77777777" w:rsidR="009B55FB" w:rsidRDefault="00000000">
      <w:pPr>
        <w:spacing w:before="240"/>
        <w:jc w:val="both"/>
        <w:rPr>
          <w:rFonts w:ascii="Calibri" w:eastAsia="Calibri" w:hAnsi="Calibri" w:cs="Calibri"/>
          <w:color w:val="000000"/>
          <w:sz w:val="22"/>
          <w:szCs w:val="22"/>
        </w:rPr>
      </w:pPr>
      <w:r>
        <w:rPr>
          <w:rFonts w:ascii="Calibri" w:eastAsia="Calibri" w:hAnsi="Calibri" w:cs="Calibri"/>
          <w:color w:val="000000"/>
          <w:sz w:val="22"/>
          <w:szCs w:val="22"/>
        </w:rPr>
        <w:t xml:space="preserve">Não haverá exigência da garantia da contratação dos artigos 96 e seguintes da Lei nº 14.133, de 2021, uma vez que se trata de serviços de natureza comum, e a aplicação de garantias pode tornar sua execução mais complexa. </w:t>
      </w:r>
    </w:p>
    <w:p w14:paraId="203FE383" w14:textId="77777777" w:rsidR="009B55FB" w:rsidRDefault="00000000">
      <w:pPr>
        <w:spacing w:after="240"/>
        <w:jc w:val="both"/>
        <w:rPr>
          <w:rFonts w:ascii="Calibri" w:eastAsia="Calibri" w:hAnsi="Calibri" w:cs="Calibri"/>
          <w:color w:val="000000"/>
          <w:sz w:val="22"/>
          <w:szCs w:val="22"/>
        </w:rPr>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w:t>
      </w:r>
    </w:p>
    <w:p w14:paraId="4E07D49B"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ESTIMATIVA DO QUANTITATIVO </w:t>
      </w:r>
      <w:r>
        <w:rPr>
          <w:rFonts w:ascii="Calibri" w:eastAsia="Calibri" w:hAnsi="Calibri" w:cs="Calibri"/>
          <w:b/>
          <w:color w:val="FF0000"/>
          <w:sz w:val="22"/>
          <w:szCs w:val="22"/>
        </w:rPr>
        <w:t xml:space="preserve"> </w:t>
      </w:r>
    </w:p>
    <w:p w14:paraId="1D742B1B"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 estimativa do quantitativo foi definida a partir da análise da demanda atual e reprimida de consultas, exames diagnósticos e procedimentos cirúrgicos em oftalmologia no Município de Teixeiras/MG. Para tanto, foram considerados:</w:t>
      </w:r>
    </w:p>
    <w:p w14:paraId="0CA67AC3" w14:textId="77777777" w:rsidR="009B55FB" w:rsidRDefault="00000000">
      <w:pPr>
        <w:numPr>
          <w:ilvl w:val="0"/>
          <w:numId w:val="8"/>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Fila de espera registrada pela Secretaria Municipal de Saúde, conforme relatório anexo (TEIXEIRAS-CORRIGIDO), que evidencia a quantidade significativa de usuários aguardando atendimento especializado em oftalmologia;</w:t>
      </w:r>
    </w:p>
    <w:p w14:paraId="69C0370C" w14:textId="77777777" w:rsidR="009B55FB" w:rsidRDefault="00000000">
      <w:pPr>
        <w:numPr>
          <w:ilvl w:val="0"/>
          <w:numId w:val="8"/>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Projeção de crescimento populacional e epidemiológico, que indica tendência de aumento no número de encaminhamentos, especialmente pela ampliação do acesso à Atenção Básica e pelo envelhecimento da população;</w:t>
      </w:r>
    </w:p>
    <w:p w14:paraId="0E0CA7A5" w14:textId="77777777" w:rsidR="009B55FB" w:rsidRDefault="00000000">
      <w:pPr>
        <w:numPr>
          <w:ilvl w:val="0"/>
          <w:numId w:val="8"/>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lastRenderedPageBreak/>
        <w:t>Histórico de atendimentos anteriores, que permitiu identificar a média mensal de solicitações e a sazonalidade nos encaminhamentos;</w:t>
      </w:r>
    </w:p>
    <w:p w14:paraId="16882814" w14:textId="77777777" w:rsidR="009B55FB" w:rsidRDefault="00000000">
      <w:pPr>
        <w:numPr>
          <w:ilvl w:val="0"/>
          <w:numId w:val="8"/>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Capacidade de resposta da rede municipal, que atualmente não dispõe de estrutura própria suficiente para absorver toda a demanda reprimida.</w:t>
      </w:r>
    </w:p>
    <w:p w14:paraId="00765785"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Com base nesses parâmetros, os quantitativos estimados refletem não apenas a necessidade imediata de redução da fila de espera já existente, mas também a manutenção de oferta regular de atendimentos, consultas de acompanhamento, exames diagnósticos e procedimentos cirúrgicos durante a vigência contratual.</w:t>
      </w:r>
    </w:p>
    <w:p w14:paraId="57082B08"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Importante destacar que tais quantitativos não configuram obrigatoriedade de consumo integral, mas sim projeção técnica destinada a assegurar previsibilidade orçamentária e garantir o atendimento integral da população usuária do SUS, observando-se sempre a disponibilidade financeira do município e a regulação de acesso realizada pela Secretaria Municipal de Saúde.</w:t>
      </w:r>
    </w:p>
    <w:p w14:paraId="6F67C811"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LEVANTAMENTO DE MERCADO </w:t>
      </w:r>
    </w:p>
    <w:p w14:paraId="7B732AA2"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O atendimento às demandas de consultas, exames diagnósticos e procedimentos cirúrgicos em oftalmologia é essencial para garantir a atenção integral à saúde ocular da população do Município de Teixeiras/MG, em conformidade com as diretrizes da Rede de Atenção em Oftalmologia instituída pela Deliberação CIB-SUS/MG nº 4.065/2022. Tais serviços são fundamentais para prevenir agravos à visão, ampliar o acesso a diagnósticos precoces e assegurar a realização de intervenções terapêuticas oportunas, reduzindo riscos de deficiência visual permanente e promovendo qualidade de vida aos usuários do SUS.</w:t>
      </w:r>
    </w:p>
    <w:p w14:paraId="0C378FCD"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Diante disso, realizou-se levantamento de mercado com o objetivo de identificar as alternativas viáveis disponíveis para suprir essa necessidade, considerando aspectos técnicos, operacionais e econômicos. Foram avaliadas, principalmente, duas possibilidades: a prestação direta dos serviços pela Administração Pública Municipal e a contratação de prestadores privados já habilitados no mercado.</w:t>
      </w:r>
    </w:p>
    <w:p w14:paraId="4A946431"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 primeira alternativa, consistente na implantação de serviço próprio de oftalmologia no município, revelou-se inviável. Para tanto, seria necessária a construção ou adaptação de instalações de alta complexidade, aquisição de equipamentos sofisticados (como retinógrafos, aparelhos de laser, tonômetros, entre outros), contratação de corpo clínico especializado e manutenção de equipe multiprofissional, além da habilitação junto ao Ministério da Saúde. Tal modelo acarretaria elevados custos estruturais e operacionais, além de prazos incompatíveis com a urgência da demanda, tornando-se economicamente desvantajoso e de difícil execução para um município de porte reduzido.</w:t>
      </w:r>
    </w:p>
    <w:p w14:paraId="39D498E6"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 segunda alternativa, amplamente utilizada em outros municípios, consiste na contratação de clínicas privadas especializadas, com estrutura já consolidada para execução de consultas, exames diagnósticos, cirurgias ambulatoriais e fornecimento de próteses oftálmicas (óculos). Essas clínicas possuem profissionais habilitados, equipamentos em conformidade com a legislação sanitária e experiência acumulada na prestação desse tipo de assistência. Além disso, permitem maior flexibilidade de atendimento, garantindo que os usuários sejam acolhidos em instalações adequadas e dentro dos fluxos regulatórios do SUS.</w:t>
      </w:r>
    </w:p>
    <w:p w14:paraId="2BFA7504" w14:textId="77777777" w:rsidR="009B55FB" w:rsidRDefault="00000000">
      <w:pPr>
        <w:spacing w:before="240" w:after="240"/>
        <w:jc w:val="both"/>
        <w:rPr>
          <w:rFonts w:ascii="Calibri" w:eastAsia="Calibri" w:hAnsi="Calibri" w:cs="Calibri"/>
          <w:b/>
          <w:sz w:val="22"/>
          <w:szCs w:val="22"/>
        </w:rPr>
      </w:pPr>
      <w:r>
        <w:rPr>
          <w:rFonts w:ascii="Calibri" w:eastAsia="Calibri" w:hAnsi="Calibri" w:cs="Calibri"/>
          <w:b/>
          <w:sz w:val="22"/>
          <w:szCs w:val="22"/>
        </w:rPr>
        <w:t>Justificativa da opção pelo Credenciamento</w:t>
      </w:r>
    </w:p>
    <w:p w14:paraId="4267DC8A"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 adoção do modelo de credenciamento para a prestação dos serviços oftalmológicos é tecnicamente e economicamente mais vantajosa para a Fundação Municipal de Saúde de Teixeiras, considerando os seguintes aspectos:</w:t>
      </w:r>
    </w:p>
    <w:p w14:paraId="25847BEB"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lastRenderedPageBreak/>
        <w:t>Flexibilidade e descentralização: O credenciamento possibilita a habilitação de diversas clínicas simultaneamente, assegurando cobertura ampliada, redução de deslocamentos e maior comodidade aos pacientes, além de garantir alternativas em caso de sobrecarga de um prestador.</w:t>
      </w:r>
    </w:p>
    <w:p w14:paraId="66929B6B"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Atendimento à demanda variável: Os serviços de saúde apresentam oscilações conforme o perfil epidemiológico e o fluxo regulatório. O credenciamento permite que a Administração contrate conforme a real necessidade, sem a obrigação de manter estrutura ociosa ou assumir custos fixos desnecessários.</w:t>
      </w:r>
    </w:p>
    <w:p w14:paraId="216148CA"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Segurança jurídica e compatibilidade legal: O credenciamento é expressamente previsto no art. 79 da Lei nº 14.133/2021, como procedimento auxiliar aplicável em situações de inviabilidade de competição, como ocorre nos serviços de saúde regulados pela Tabela SUS.</w:t>
      </w:r>
    </w:p>
    <w:p w14:paraId="2C323CF5"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Uniformidade de preços: O modelo permite a fixação de valores de referência baseados na Tabela SUS, garantindo isonomia entre os prestadores credenciados e previsibilidade nos gastos públicos.</w:t>
      </w:r>
    </w:p>
    <w:p w14:paraId="1E595919"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Qualidade e continuidade da assistência: A seleção de clínicas que atendam aos requisitos da Tipologia III assegura a integralidade do cuidado, incluindo consultas iniciais, exames complementares, cirurgias e reabilitação visual, em consonância com a política estadual de saúde ocular.</w:t>
      </w:r>
    </w:p>
    <w:p w14:paraId="64BBE29B"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Eficiência e economicidade: Ao evitar a criação de estrutura própria, o município reduz custos administrativos e operacionais, direcionando recursos para a efetiva prestação dos serviços assistenciais, com ganho de eficiência e melhor aproveitamento do orçamento.</w:t>
      </w:r>
    </w:p>
    <w:p w14:paraId="16F13BF0"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Em suma, o levantamento de mercado demonstra que o credenciamento de clínicas oftalmológicas é o modelo mais adequado para a Fundação Municipal de Saúde de Teixeiras, conciliando viabilidade técnica, legalidade, economicidade e garantia de atendimento integral à população usuária do SUS, nos termos da Rede de Atenção em Oftalmologia do Estado de Minas Gerais.</w:t>
      </w:r>
    </w:p>
    <w:p w14:paraId="3F9521AE"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ESTIMATIVA DE VALOR DA CONTRATAÇÃO </w:t>
      </w:r>
    </w:p>
    <w:p w14:paraId="5739F297" w14:textId="77777777" w:rsidR="009B55FB" w:rsidRDefault="00000000">
      <w:pPr>
        <w:spacing w:before="240"/>
        <w:jc w:val="both"/>
        <w:rPr>
          <w:rFonts w:ascii="Calibri" w:eastAsia="Calibri" w:hAnsi="Calibri" w:cs="Calibri"/>
          <w:sz w:val="22"/>
          <w:szCs w:val="22"/>
        </w:rPr>
      </w:pPr>
      <w:r>
        <w:rPr>
          <w:rFonts w:ascii="Calibri" w:eastAsia="Calibri" w:hAnsi="Calibri" w:cs="Calibri"/>
          <w:sz w:val="22"/>
          <w:szCs w:val="22"/>
        </w:rPr>
        <w:t>A definição do valor estimado da contratação em procedimentos de saúde, especialmente na área de oftalmologia, apresenta particularidades decorrentes da complexidade do objeto e da impossibilidade de se prever, com precisão, o quantitativo exato de consultas, exames e procedimentos cirúrgicos a serem demandados ao longo da execução contratual. Tal característica decorre da natureza da política pública de saúde, pautada pelo princípio da universalidade de acesso e pela regulação das necessidades reais dos usuários cadastrados e atendidos pelo SUS.</w:t>
      </w:r>
    </w:p>
    <w:p w14:paraId="651C77A6" w14:textId="77777777" w:rsidR="009B55FB" w:rsidRDefault="009B55FB">
      <w:pPr>
        <w:jc w:val="both"/>
        <w:rPr>
          <w:rFonts w:ascii="Calibri" w:eastAsia="Calibri" w:hAnsi="Calibri" w:cs="Calibri"/>
          <w:sz w:val="22"/>
          <w:szCs w:val="22"/>
        </w:rPr>
      </w:pPr>
    </w:p>
    <w:p w14:paraId="1027119F" w14:textId="77777777" w:rsidR="009B55FB" w:rsidRDefault="00000000">
      <w:pPr>
        <w:jc w:val="both"/>
        <w:rPr>
          <w:rFonts w:ascii="Calibri" w:eastAsia="Calibri" w:hAnsi="Calibri" w:cs="Calibri"/>
          <w:sz w:val="22"/>
          <w:szCs w:val="22"/>
        </w:rPr>
      </w:pPr>
      <w:r>
        <w:rPr>
          <w:rFonts w:ascii="Calibri" w:eastAsia="Calibri" w:hAnsi="Calibri" w:cs="Calibri"/>
          <w:sz w:val="22"/>
          <w:szCs w:val="22"/>
        </w:rPr>
        <w:t>Nessa perspectiva, a Administração não fixa quantitativos pré-determinados, mas estabelece parâmetros financeiros de referência, de forma a assegurar a compatibilidade entre a execução do contrato e a disponibilidade orçamentária municipal. Considerando o histórico de demandas acumuladas, as projeções epidemiológicas do município e a necessidade de reduzir a fila de pacientes que aguardam por atendimento oftalmológico, foi definido, a título de estimativa inicial, o montante aproximado de R$ 500.000,00 (quinhentos mil reais) para custear a realização de consultas, exames diagnósticos, procedimentos ambulatoriais e cirúrgicos, bem como o fornecimento de próteses oftálmicas (óculos).</w:t>
      </w:r>
    </w:p>
    <w:p w14:paraId="45DBACF8" w14:textId="77777777" w:rsidR="009B55FB" w:rsidRDefault="009B55FB">
      <w:pPr>
        <w:jc w:val="both"/>
        <w:rPr>
          <w:rFonts w:ascii="Calibri" w:eastAsia="Calibri" w:hAnsi="Calibri" w:cs="Calibri"/>
          <w:sz w:val="22"/>
          <w:szCs w:val="22"/>
        </w:rPr>
      </w:pPr>
    </w:p>
    <w:p w14:paraId="17878661" w14:textId="77777777" w:rsidR="009B55FB" w:rsidRDefault="00000000">
      <w:pPr>
        <w:jc w:val="both"/>
        <w:rPr>
          <w:rFonts w:ascii="Calibri" w:eastAsia="Calibri" w:hAnsi="Calibri" w:cs="Calibri"/>
          <w:sz w:val="22"/>
          <w:szCs w:val="22"/>
        </w:rPr>
      </w:pPr>
      <w:r>
        <w:rPr>
          <w:rFonts w:ascii="Calibri" w:eastAsia="Calibri" w:hAnsi="Calibri" w:cs="Calibri"/>
          <w:sz w:val="22"/>
          <w:szCs w:val="22"/>
        </w:rPr>
        <w:t>Importante destacar que os valores a serem pagos às clínicas credenciadas observarão, obrigatoriamente, os parâmetros constantes da Tabela SIGTAP – SUS (Sistema de Gerenciamento da Tabela de Procedimentos, Medicamentos, Órteses, Próteses e Materiais Especiais do SUS), garantindo uniformidade, isonomia e compatibilidade com os critérios técnicos e financeiros estabelecidos pelo Ministério da Saúde.</w:t>
      </w:r>
    </w:p>
    <w:p w14:paraId="453AFA60" w14:textId="77777777" w:rsidR="009B55FB" w:rsidRDefault="009B55FB">
      <w:pPr>
        <w:jc w:val="both"/>
        <w:rPr>
          <w:rFonts w:ascii="Calibri" w:eastAsia="Calibri" w:hAnsi="Calibri" w:cs="Calibri"/>
          <w:sz w:val="22"/>
          <w:szCs w:val="22"/>
        </w:rPr>
      </w:pPr>
    </w:p>
    <w:p w14:paraId="02A40521" w14:textId="77777777" w:rsidR="009B55FB" w:rsidRDefault="00000000">
      <w:pPr>
        <w:jc w:val="both"/>
        <w:rPr>
          <w:rFonts w:ascii="Calibri" w:eastAsia="Calibri" w:hAnsi="Calibri" w:cs="Calibri"/>
          <w:sz w:val="22"/>
          <w:szCs w:val="22"/>
        </w:rPr>
      </w:pPr>
      <w:r>
        <w:rPr>
          <w:rFonts w:ascii="Calibri" w:eastAsia="Calibri" w:hAnsi="Calibri" w:cs="Calibri"/>
          <w:sz w:val="22"/>
          <w:szCs w:val="22"/>
        </w:rPr>
        <w:lastRenderedPageBreak/>
        <w:t>Ressalta-se que este valor não se constitui em limite absoluto para a execução contratual, mas em estimativa orçamentária destinada a viabilizar o planejamento da Administração. A efetiva execução financeira dependerá das demandas reguladas pela Secretaria Municipal de Saúde, observados os preços da Tabela SIGTAP – SUS e a produção real registrada pelas clínicas participantes.</w:t>
      </w:r>
    </w:p>
    <w:p w14:paraId="696564B4" w14:textId="77777777" w:rsidR="009B55FB" w:rsidRDefault="009B55FB">
      <w:pPr>
        <w:jc w:val="both"/>
        <w:rPr>
          <w:rFonts w:ascii="Calibri" w:eastAsia="Calibri" w:hAnsi="Calibri" w:cs="Calibri"/>
          <w:sz w:val="22"/>
          <w:szCs w:val="22"/>
        </w:rPr>
      </w:pPr>
    </w:p>
    <w:p w14:paraId="71D5438D" w14:textId="77777777" w:rsidR="009B55FB" w:rsidRDefault="00000000">
      <w:pPr>
        <w:spacing w:after="240"/>
        <w:jc w:val="both"/>
        <w:rPr>
          <w:rFonts w:ascii="Calibri" w:eastAsia="Calibri" w:hAnsi="Calibri" w:cs="Calibri"/>
          <w:sz w:val="22"/>
          <w:szCs w:val="22"/>
        </w:rPr>
      </w:pPr>
      <w:r>
        <w:rPr>
          <w:rFonts w:ascii="Calibri" w:eastAsia="Calibri" w:hAnsi="Calibri" w:cs="Calibri"/>
          <w:sz w:val="22"/>
          <w:szCs w:val="22"/>
        </w:rPr>
        <w:t>Assim, a previsão orçamentária inicial de R$ 500.000,00 justifica-se como medida de gestão responsável, garantindo o adequado planejamento da despesa pública, ao mesmo tempo em que assegura flexibilidade para atendimento da demanda variável característica dos serviços de saúde.</w:t>
      </w:r>
    </w:p>
    <w:p w14:paraId="1D8D7A3A"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DESCRIÇÃO DA SOLUÇÃO COMO UM TODO </w:t>
      </w:r>
      <w:r>
        <w:rPr>
          <w:rFonts w:ascii="Calibri" w:eastAsia="Calibri" w:hAnsi="Calibri" w:cs="Calibri"/>
          <w:b/>
          <w:color w:val="FF0000"/>
          <w:sz w:val="22"/>
          <w:szCs w:val="22"/>
        </w:rPr>
        <w:t xml:space="preserve"> </w:t>
      </w:r>
    </w:p>
    <w:p w14:paraId="5796BC3D"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A solução proposta para solucionar o problema em tela é o credenciamento de pessoas jurídicas especializadas em oftalmologia para a prestação de serviços de consultas, exames diagnósticos específicos e procedimentos cirúrgicos e ambulatoriais, incluindo o fornecimento de próteses oftálmicas (óculos), em conformidade com a Tipologia III da Rede de Atenção em Oftalmologia, instituída pela Deliberação CIB-SUS/MG nº 4.065/2022.</w:t>
      </w:r>
    </w:p>
    <w:p w14:paraId="4CC060B4"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Os serviços pretendidos são de caráter continuado e sob demanda, uma vez que dependem do fluxo de encaminhamentos regulados pela Secretaria Municipal de Saúde, não se configurando como fornecimento pré-determinado em quantitativos fixos.</w:t>
      </w:r>
    </w:p>
    <w:p w14:paraId="0B4AAC7D"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A prestação dos serviços ocorrerá em instalações próprias das clínicas credenciadas, que deverão estar devidamente habilitadas no Cadastro Nacional de Estabelecimentos de Saúde (CNES), dotadas de infraestrutura adequada, equipamentos compatíveis e profissionais habilitados. O atendimento aos usuários será realizado exclusivamente mediante encaminhamento da Secretaria Municipal de Saúde, em observância aos critérios de regulação do SUS.</w:t>
      </w:r>
    </w:p>
    <w:p w14:paraId="4AC7FBBF"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Além disso, para que a contratação produza, de fato, os resultados pretendidos pela Administração e atinja, de forma satisfatória, o escopo previamente eleito, serão necessários os seguintes aspectos:</w:t>
      </w:r>
    </w:p>
    <w:p w14:paraId="75119B09"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A execução dos serviços deverá observar a integralidade da carteira da Tipologia III, incluindo consultas iniciais, consultas de retorno, exames complementares, procedimentos ambulatoriais, cirurgias e concessão de próteses oftálmicas;</w:t>
      </w:r>
    </w:p>
    <w:p w14:paraId="3F75A181"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Os atendimentos deverão ser prestados em condições adequadas de biossegurança, com equipamentos calibrados, materiais estéreis e observância às normas sanitárias vigentes;</w:t>
      </w:r>
    </w:p>
    <w:p w14:paraId="1EC1A7CF"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Não serão aceitos serviços realizados em desacordo com os protocolos assistenciais estabelecidos pelo SUS, ou que comprometam a segurança do paciente, sendo a clínica responsável pela correção imediata de eventuais não conformidades, sem ônus para o Município;</w:t>
      </w:r>
    </w:p>
    <w:p w14:paraId="064F70CB"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Todos os procedimentos estarão sujeitos à fiscalização contratual, podendo ser rejeitados, total ou parcialmente, quando não atenderem às especificações técnicas ou apresentarem falhas que comprometam a eficácia assistencial;</w:t>
      </w:r>
    </w:p>
    <w:p w14:paraId="30A6BEE4"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A contratada deverá manter equipe multiprofissional suficiente para a plena, perfeita e completa execução dos serviços, incluindo médico oftalmologista responsável técnico e profissionais de apoio;</w:t>
      </w:r>
    </w:p>
    <w:p w14:paraId="07F5EB93"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Caberá à Secretaria Municipal de Saúde observar a ordem de convocação e distribuição dos atendimentos entre os credenciados, de acordo com os critérios estabelecidos no edital, de modo a assegurar equidade, eficiência e a continuidade dos serviços;</w:t>
      </w:r>
    </w:p>
    <w:p w14:paraId="005B2978"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A clínica credenciada será integralmente responsável pela qualidade dos serviços prestados, pela segurança dos usuários e pelo cumprimento de todas as normas técnicas e legais aplicáveis.</w:t>
      </w:r>
    </w:p>
    <w:p w14:paraId="44528383" w14:textId="77777777" w:rsidR="009B55FB" w:rsidRDefault="00000000">
      <w:pPr>
        <w:pBdr>
          <w:top w:val="nil"/>
          <w:left w:val="nil"/>
          <w:bottom w:val="nil"/>
          <w:right w:val="nil"/>
          <w:between w:val="nil"/>
        </w:pBdr>
        <w:spacing w:before="240" w:after="240"/>
        <w:jc w:val="both"/>
        <w:rPr>
          <w:rFonts w:ascii="Calibri" w:eastAsia="Calibri" w:hAnsi="Calibri" w:cs="Calibri"/>
          <w:sz w:val="22"/>
          <w:szCs w:val="22"/>
        </w:rPr>
      </w:pPr>
      <w:r>
        <w:rPr>
          <w:rFonts w:ascii="Calibri" w:eastAsia="Calibri" w:hAnsi="Calibri" w:cs="Calibri"/>
          <w:color w:val="000000"/>
          <w:sz w:val="22"/>
          <w:szCs w:val="22"/>
        </w:rPr>
        <w:t xml:space="preserve">Assim, o credenciamento permitirá à </w:t>
      </w:r>
      <w:r>
        <w:rPr>
          <w:rFonts w:ascii="Calibri" w:eastAsia="Calibri" w:hAnsi="Calibri" w:cs="Calibri"/>
          <w:sz w:val="22"/>
          <w:szCs w:val="22"/>
        </w:rPr>
        <w:t>Fundação Municipal de Saúde de Teixeiras</w:t>
      </w:r>
      <w:r>
        <w:rPr>
          <w:rFonts w:ascii="Calibri" w:eastAsia="Calibri" w:hAnsi="Calibri" w:cs="Calibri"/>
          <w:color w:val="000000"/>
          <w:sz w:val="22"/>
          <w:szCs w:val="22"/>
        </w:rPr>
        <w:t xml:space="preserve"> ampliar a rede de atenção em saúde ocular, reduzir as filas de espera e assegurar à população acesso equânime, oportuno e seguro aos serviços especializados de oftalmologia. </w:t>
      </w:r>
    </w:p>
    <w:p w14:paraId="2C8C04CB"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JUSTIFICATIVA PARA O PARCELAMENTO OU NÃO DA CONTRATAÇÃO </w:t>
      </w:r>
    </w:p>
    <w:p w14:paraId="12A0BD8F" w14:textId="77777777" w:rsidR="009B55FB" w:rsidRDefault="00000000">
      <w:pPr>
        <w:spacing w:before="240"/>
        <w:jc w:val="both"/>
        <w:rPr>
          <w:rFonts w:ascii="Calibri" w:eastAsia="Calibri" w:hAnsi="Calibri" w:cs="Calibri"/>
          <w:sz w:val="22"/>
          <w:szCs w:val="22"/>
        </w:rPr>
      </w:pPr>
      <w:r>
        <w:rPr>
          <w:rFonts w:ascii="Calibri" w:eastAsia="Calibri" w:hAnsi="Calibri" w:cs="Calibri"/>
          <w:sz w:val="22"/>
          <w:szCs w:val="22"/>
        </w:rPr>
        <w:t>Considerando a natureza do objeto em análise, qual seja, o credenciamento de clínicas especializadas em oftalmologia para a execução de consultas, exames diagnósticos específicos e procedimentos cirúrgicos e ambulatoriais, observa-se que a contratação envolve um conjunto de serviços integrados, cuja prestação se dá de forma complementar e indissociável no âmbito da Tipologia III da Rede de Atenção em Oftalmologia, conforme disposto na Deliberação CIB-SUS/MG nº 4.065/2022.</w:t>
      </w:r>
    </w:p>
    <w:p w14:paraId="3B94DA4F" w14:textId="77777777" w:rsidR="009B55FB" w:rsidRDefault="009B55FB">
      <w:pPr>
        <w:jc w:val="both"/>
        <w:rPr>
          <w:rFonts w:ascii="Calibri" w:eastAsia="Calibri" w:hAnsi="Calibri" w:cs="Calibri"/>
          <w:sz w:val="22"/>
          <w:szCs w:val="22"/>
        </w:rPr>
      </w:pPr>
    </w:p>
    <w:p w14:paraId="5887EDDA" w14:textId="77777777" w:rsidR="009B55FB" w:rsidRDefault="00000000">
      <w:pPr>
        <w:jc w:val="both"/>
        <w:rPr>
          <w:rFonts w:ascii="Calibri" w:eastAsia="Calibri" w:hAnsi="Calibri" w:cs="Calibri"/>
          <w:sz w:val="22"/>
          <w:szCs w:val="22"/>
        </w:rPr>
      </w:pPr>
      <w:r>
        <w:rPr>
          <w:rFonts w:ascii="Calibri" w:eastAsia="Calibri" w:hAnsi="Calibri" w:cs="Calibri"/>
          <w:sz w:val="22"/>
          <w:szCs w:val="22"/>
        </w:rPr>
        <w:t>O rol de procedimentos previsto pela referida norma estadual contempla desde o atendimento inicial, consultas de retorno e exames diagnósticos, até a realização de intervenções cirúrgicas e o fornecimento de próteses oftálmicas (óculos). Trata-se, portanto, de uma linha de cuidado que deve ser estruturada de forma integrada, de modo a assegurar a integralidade e a continuidade do atendimento ao usuário do SUS, evitando fragmentações que poderiam comprometer a resolutividade clínica e a economicidade da gestão contratual.</w:t>
      </w:r>
    </w:p>
    <w:p w14:paraId="71BCA646" w14:textId="77777777" w:rsidR="009B55FB" w:rsidRDefault="009B55FB">
      <w:pPr>
        <w:jc w:val="both"/>
        <w:rPr>
          <w:rFonts w:ascii="Calibri" w:eastAsia="Calibri" w:hAnsi="Calibri" w:cs="Calibri"/>
          <w:sz w:val="22"/>
          <w:szCs w:val="22"/>
        </w:rPr>
      </w:pPr>
    </w:p>
    <w:p w14:paraId="6D43C2B7" w14:textId="77777777" w:rsidR="009B55FB" w:rsidRDefault="00000000">
      <w:pPr>
        <w:jc w:val="both"/>
        <w:rPr>
          <w:rFonts w:ascii="Calibri" w:eastAsia="Calibri" w:hAnsi="Calibri" w:cs="Calibri"/>
          <w:sz w:val="22"/>
          <w:szCs w:val="22"/>
        </w:rPr>
      </w:pPr>
      <w:r>
        <w:rPr>
          <w:rFonts w:ascii="Calibri" w:eastAsia="Calibri" w:hAnsi="Calibri" w:cs="Calibri"/>
          <w:sz w:val="22"/>
          <w:szCs w:val="22"/>
        </w:rPr>
        <w:t>Por essa razão, não se mostra adequado proceder ao parcelamento da contratação por grupos ou itens de serviços, uma vez que todos os procedimentos oftalmológicos constantes da Deliberação CIB-SUS/MG nº 4.065/2022 compõem a mesma cadeia assistencial e devem estar disponíveis ao paciente dentro de um fluxo regulado pela Fundação Municipal de Saúde de Teixeiras. O parcelamento, nesse caso, geraria risco de desarticulação entre consultas, exames e procedimentos, aumento de complexidade administrativa para gestão e fiscalização contratual, além de possível sobreposição de responsabilidades entre prestadores distintos.</w:t>
      </w:r>
    </w:p>
    <w:p w14:paraId="5B91C6E9" w14:textId="77777777" w:rsidR="009B55FB" w:rsidRDefault="009B55FB">
      <w:pPr>
        <w:jc w:val="both"/>
        <w:rPr>
          <w:rFonts w:ascii="Calibri" w:eastAsia="Calibri" w:hAnsi="Calibri" w:cs="Calibri"/>
          <w:sz w:val="22"/>
          <w:szCs w:val="22"/>
        </w:rPr>
      </w:pPr>
    </w:p>
    <w:p w14:paraId="0288D029" w14:textId="77777777" w:rsidR="009B55FB" w:rsidRDefault="00000000">
      <w:pPr>
        <w:jc w:val="both"/>
        <w:rPr>
          <w:rFonts w:ascii="Calibri" w:eastAsia="Calibri" w:hAnsi="Calibri" w:cs="Calibri"/>
          <w:sz w:val="22"/>
          <w:szCs w:val="22"/>
        </w:rPr>
      </w:pPr>
      <w:r>
        <w:rPr>
          <w:rFonts w:ascii="Calibri" w:eastAsia="Calibri" w:hAnsi="Calibri" w:cs="Calibri"/>
          <w:sz w:val="22"/>
          <w:szCs w:val="22"/>
        </w:rPr>
        <w:t>Dessa forma, opta-se pela não adoção do parcelamento, consolidando todos os serviços em um único objeto de credenciamento, mas permitindo, em contrapartida, a participação de múltiplos interessados, nos termos do art. 79, inciso I, da Lei nº 14.133/2021, o que garante a ampliação da rede de atendimento, a descentralização da execução e a seleção de todos aqueles que atenderem às condições estabelecidas no edital.</w:t>
      </w:r>
    </w:p>
    <w:p w14:paraId="55A65D81" w14:textId="77777777" w:rsidR="009B55FB" w:rsidRDefault="009B55FB">
      <w:pPr>
        <w:jc w:val="both"/>
        <w:rPr>
          <w:rFonts w:ascii="Calibri" w:eastAsia="Calibri" w:hAnsi="Calibri" w:cs="Calibri"/>
          <w:sz w:val="22"/>
          <w:szCs w:val="22"/>
        </w:rPr>
      </w:pPr>
    </w:p>
    <w:p w14:paraId="6A5E08F0" w14:textId="77777777" w:rsidR="009B55FB" w:rsidRDefault="00000000">
      <w:pPr>
        <w:spacing w:after="240"/>
        <w:jc w:val="both"/>
        <w:rPr>
          <w:rFonts w:ascii="Calibri" w:eastAsia="Calibri" w:hAnsi="Calibri" w:cs="Calibri"/>
          <w:sz w:val="22"/>
          <w:szCs w:val="22"/>
        </w:rPr>
      </w:pPr>
      <w:r>
        <w:rPr>
          <w:rFonts w:ascii="Calibri" w:eastAsia="Calibri" w:hAnsi="Calibri" w:cs="Calibri"/>
          <w:sz w:val="22"/>
          <w:szCs w:val="22"/>
        </w:rPr>
        <w:t xml:space="preserve">Tal modelagem permite que a Fundação Municipal de Saúde convoque os credenciados conforme a demanda efetiva, assegurando, ao mesmo tempo, a integralidade do rol de procedimentos previsto e a eficiência no atendimento à população, em consonância com os princípios da economicidade, da universalidade e da equidade que regem o SUS. </w:t>
      </w:r>
    </w:p>
    <w:p w14:paraId="3489BF52"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DEMONSTRATIVO DOS RESULTADOS PRETENDIDOS </w:t>
      </w:r>
      <w:r>
        <w:rPr>
          <w:rFonts w:ascii="Calibri" w:eastAsia="Calibri" w:hAnsi="Calibri" w:cs="Calibri"/>
          <w:b/>
          <w:color w:val="FF0000"/>
          <w:sz w:val="22"/>
          <w:szCs w:val="22"/>
        </w:rPr>
        <w:t xml:space="preserve"> </w:t>
      </w:r>
    </w:p>
    <w:p w14:paraId="237D885A"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 contratação, por meio de credenciamento de clínicas especializadas em oftalmologia, visa alcançar resultados diretos e mensuráveis na rede de atenção à saúde do Município de Teixeiras/MG, assegurando a efetiva redução do vazio assistencial atualmente existente na área.</w:t>
      </w:r>
    </w:p>
    <w:p w14:paraId="21E4BD30"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lastRenderedPageBreak/>
        <w:t>Entre os resultados pretendidos, destacam-se:</w:t>
      </w:r>
    </w:p>
    <w:p w14:paraId="5F3AA1C5" w14:textId="77777777" w:rsidR="009B55FB" w:rsidRDefault="00000000">
      <w:pPr>
        <w:numPr>
          <w:ilvl w:val="0"/>
          <w:numId w:val="6"/>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Ampliação do acesso da população aos serviços oftalmológicos especializados, contemplando consultas, exames diagnósticos e procedimentos cirúrgicos e ambulatoriais em conformidade com a Tipologia III da Rede de Atenção em Oftalmologia.</w:t>
      </w:r>
    </w:p>
    <w:p w14:paraId="675CD968" w14:textId="77777777" w:rsidR="009B55FB" w:rsidRDefault="00000000">
      <w:pPr>
        <w:numPr>
          <w:ilvl w:val="0"/>
          <w:numId w:val="6"/>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Redução da fila de espera por atendimentos oftalmológicos, garantindo que os usuários cadastrados no sistema de regulação tenham acesso mais ágil ao diagnóstico e ao tratamento adequado.</w:t>
      </w:r>
    </w:p>
    <w:p w14:paraId="700D58A0" w14:textId="77777777" w:rsidR="009B55FB" w:rsidRDefault="00000000">
      <w:pPr>
        <w:numPr>
          <w:ilvl w:val="0"/>
          <w:numId w:val="6"/>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Prevenção de complicações visuais e redução de casos de deficiência visual evitável, por meio da realização oportuna de consultas, exames e cirurgias corretivas, em especial os relacionados a glaucoma, catarata e doenças da retina.</w:t>
      </w:r>
    </w:p>
    <w:p w14:paraId="4B0DD6E7" w14:textId="77777777" w:rsidR="009B55FB" w:rsidRDefault="00000000">
      <w:pPr>
        <w:numPr>
          <w:ilvl w:val="0"/>
          <w:numId w:val="6"/>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Integração efetiva com a Rede de Atenção em Oftalmologia do Estado de Minas Gerais, em consonância com a Deliberação CIB-SUS/MG nº 4.065/2022, fortalecendo o fluxo assistencial regulado e regionalizado.</w:t>
      </w:r>
    </w:p>
    <w:p w14:paraId="6CFA4198" w14:textId="77777777" w:rsidR="009B55FB" w:rsidRDefault="00000000">
      <w:pPr>
        <w:numPr>
          <w:ilvl w:val="0"/>
          <w:numId w:val="6"/>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Garantia da integralidade do cuidado em saúde ocular, incluindo desde o diagnóstico até a reabilitação visual, com fornecimento de próteses oftálmicas (óculos) aos usuários que delas necessitem.</w:t>
      </w:r>
    </w:p>
    <w:p w14:paraId="57B350B7" w14:textId="77777777" w:rsidR="009B55FB" w:rsidRDefault="00000000">
      <w:pPr>
        <w:numPr>
          <w:ilvl w:val="0"/>
          <w:numId w:val="6"/>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Melhoria da qualidade de vida da população usuária do SUS, reduzindo limitações funcionais, afastamentos do trabalho e impactos sociais decorrentes da deficiência visual.</w:t>
      </w:r>
    </w:p>
    <w:p w14:paraId="152C56EC" w14:textId="77777777" w:rsidR="009B55FB" w:rsidRDefault="00000000">
      <w:pPr>
        <w:numPr>
          <w:ilvl w:val="0"/>
          <w:numId w:val="6"/>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Eficiência na aplicação dos recursos públicos, uma vez que a contratação se dará com base em valores tabelados pelo SUS, assegurando economicidade, previsibilidade orçamentária e uniformidade nos custos assistenciais.</w:t>
      </w:r>
    </w:p>
    <w:p w14:paraId="610F586D" w14:textId="77777777" w:rsidR="009B55FB" w:rsidRDefault="00000000">
      <w:pPr>
        <w:numPr>
          <w:ilvl w:val="0"/>
          <w:numId w:val="6"/>
        </w:numPr>
        <w:pBdr>
          <w:top w:val="nil"/>
          <w:left w:val="nil"/>
          <w:bottom w:val="nil"/>
          <w:right w:val="nil"/>
          <w:between w:val="nil"/>
        </w:pBdr>
        <w:spacing w:before="240" w:after="240"/>
        <w:ind w:left="357" w:hanging="357"/>
        <w:jc w:val="both"/>
        <w:rPr>
          <w:rFonts w:ascii="Calibri" w:eastAsia="Calibri" w:hAnsi="Calibri" w:cs="Calibri"/>
          <w:color w:val="000000"/>
          <w:sz w:val="22"/>
          <w:szCs w:val="22"/>
        </w:rPr>
      </w:pPr>
      <w:r>
        <w:rPr>
          <w:rFonts w:ascii="Calibri" w:eastAsia="Calibri" w:hAnsi="Calibri" w:cs="Calibri"/>
          <w:color w:val="000000"/>
          <w:sz w:val="22"/>
          <w:szCs w:val="22"/>
        </w:rPr>
        <w:t>Fortalecimento da rede municipal de saúde, por meio da ampliação da oferta de serviços regulados pela Secretaria Municipal de Saúde, com gestão transparente, controle da execução e avaliação sistemática dos resultados alcançados.</w:t>
      </w:r>
    </w:p>
    <w:p w14:paraId="24C02C62"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Em síntese, a solução pretendida busca assegurar a universalidade, integralidade e equidade do acesso à saúde ocular, consolidando um modelo assistencial capaz de atender, com qualidade e segurança, às demandas crescentes da população do Município de Teixeiras/MG.</w:t>
      </w:r>
    </w:p>
    <w:p w14:paraId="7B737CD2"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PROVIDÊNCIAS A SEREM ADOTADAS PELA ADMINISTRAÇÃO PREVIAMENTE À CONTRATAÇÃO </w:t>
      </w:r>
    </w:p>
    <w:p w14:paraId="18888099"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Antes de proceder ao credenciamento de clínicas especializadas em oftalmologia, a Fundação Municipal de Saúde de Teixeiras deve adotar uma série de providências prévias que assegurem a efetividade, a segurança assistencial e a qualidade da contratação. O primeiro passo consiste na realização de um diagnóstico detalhado das necessidades da Secretaria Municipal de Saúde, contemplando o levantamento da demanda reprimida de consultas, exames diagnósticos e procedimentos cirúrgicos, a frequência estimada de atendimentos, o perfil epidemiológico da população e as especificidades logísticas para regulação e encaminhamento dos pacientes.</w:t>
      </w:r>
    </w:p>
    <w:p w14:paraId="47BA2E3F"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Essa etapa é essencial para definir com precisão o escopo dos serviços a serem prestados, especificando itens como o volume de atendimentos necessários, os tipos de consultas e exames mais demandados, os padrões de qualidade assistencial exigidos, a infraestrutura mínima obrigatória das clínicas credenciadas, bem como as exigências técnicas e sanitárias aplicáveis, em consonância com a Deliberação CIB-SUS/MG nº 4.065/2022.</w:t>
      </w:r>
    </w:p>
    <w:p w14:paraId="4C8CF75C"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lastRenderedPageBreak/>
        <w:t>Além disso, é fundamental preparar e capacitar os servidores responsáveis pela fiscalização e gestão do contrato decorrente do credenciamento. Essa capacitação deve abranger o entendimento dos critérios técnicos de controle de qualidade dos serviços prestados, a verificação das condições de infraestrutura e equipamentos das clínicas, a análise da conformidade dos relatórios de produção apresentados e o domínio dos procedimentos administrativos para controle das ordens de encaminhamento, medições e avaliações de desempenho dos prestadores credenciados.</w:t>
      </w:r>
    </w:p>
    <w:p w14:paraId="56FA6168"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Adicionalmente, a Administração deve:</w:t>
      </w:r>
    </w:p>
    <w:p w14:paraId="5E77BC94" w14:textId="77777777" w:rsidR="009B55FB" w:rsidRDefault="00000000">
      <w:pPr>
        <w:numPr>
          <w:ilvl w:val="0"/>
          <w:numId w:val="9"/>
        </w:numPr>
        <w:pBdr>
          <w:top w:val="nil"/>
          <w:left w:val="nil"/>
          <w:bottom w:val="nil"/>
          <w:right w:val="nil"/>
          <w:between w:val="nil"/>
        </w:pBdr>
        <w:spacing w:before="240" w:after="240"/>
        <w:ind w:left="0" w:firstLine="357"/>
        <w:jc w:val="both"/>
        <w:rPr>
          <w:rFonts w:ascii="Calibri" w:eastAsia="Calibri" w:hAnsi="Calibri" w:cs="Calibri"/>
          <w:color w:val="000000"/>
          <w:sz w:val="22"/>
          <w:szCs w:val="22"/>
        </w:rPr>
      </w:pPr>
      <w:r>
        <w:rPr>
          <w:rFonts w:ascii="Calibri" w:eastAsia="Calibri" w:hAnsi="Calibri" w:cs="Calibri"/>
          <w:color w:val="000000"/>
          <w:sz w:val="22"/>
          <w:szCs w:val="22"/>
        </w:rPr>
        <w:t>Verificar a viabilidade orçamentária e financeira para custear a execução contratual, compatibilizando a estimativa de valor da contratação com as dotações orçamentárias disponíveis e com o planejamento municipal de saúde.</w:t>
      </w:r>
    </w:p>
    <w:p w14:paraId="328A65E3" w14:textId="77777777" w:rsidR="009B55FB" w:rsidRDefault="00000000">
      <w:pPr>
        <w:numPr>
          <w:ilvl w:val="0"/>
          <w:numId w:val="9"/>
        </w:numPr>
        <w:pBdr>
          <w:top w:val="nil"/>
          <w:left w:val="nil"/>
          <w:bottom w:val="nil"/>
          <w:right w:val="nil"/>
          <w:between w:val="nil"/>
        </w:pBdr>
        <w:spacing w:before="240" w:after="240"/>
        <w:ind w:left="0" w:firstLine="357"/>
        <w:jc w:val="both"/>
        <w:rPr>
          <w:rFonts w:ascii="Calibri" w:eastAsia="Calibri" w:hAnsi="Calibri" w:cs="Calibri"/>
          <w:color w:val="000000"/>
          <w:sz w:val="22"/>
          <w:szCs w:val="22"/>
        </w:rPr>
      </w:pPr>
      <w:r>
        <w:rPr>
          <w:rFonts w:ascii="Calibri" w:eastAsia="Calibri" w:hAnsi="Calibri" w:cs="Calibri"/>
          <w:color w:val="000000"/>
          <w:sz w:val="22"/>
          <w:szCs w:val="22"/>
        </w:rPr>
        <w:t>Definir previamente os critérios de convocação e rodízio entre credenciados, sobretudo para os casos de utilização do espaço físico da Fundação Municipal de Saúde, assegurando transparência, igualdade de condições e previsibilidade no uso compartilhado da estrutura.</w:t>
      </w:r>
    </w:p>
    <w:p w14:paraId="0273936E" w14:textId="77777777" w:rsidR="009B55FB" w:rsidRDefault="00000000">
      <w:pPr>
        <w:numPr>
          <w:ilvl w:val="0"/>
          <w:numId w:val="9"/>
        </w:numPr>
        <w:pBdr>
          <w:top w:val="nil"/>
          <w:left w:val="nil"/>
          <w:bottom w:val="nil"/>
          <w:right w:val="nil"/>
          <w:between w:val="nil"/>
        </w:pBdr>
        <w:spacing w:before="240" w:after="240"/>
        <w:ind w:left="0" w:firstLine="357"/>
        <w:jc w:val="both"/>
        <w:rPr>
          <w:rFonts w:ascii="Calibri" w:eastAsia="Calibri" w:hAnsi="Calibri" w:cs="Calibri"/>
          <w:color w:val="000000"/>
          <w:sz w:val="22"/>
          <w:szCs w:val="22"/>
        </w:rPr>
      </w:pPr>
      <w:r>
        <w:rPr>
          <w:rFonts w:ascii="Calibri" w:eastAsia="Calibri" w:hAnsi="Calibri" w:cs="Calibri"/>
          <w:color w:val="000000"/>
          <w:sz w:val="22"/>
          <w:szCs w:val="22"/>
        </w:rPr>
        <w:t>Estabelecer fluxos administrativos claros para regulação e encaminhamento dos pacientes, assegurando que os serviços sejam acessados exclusivamente mediante autorização da Secretaria Municipal de Saúde, em conformidade com as diretrizes do SUS.</w:t>
      </w:r>
    </w:p>
    <w:p w14:paraId="26EB8DE6" w14:textId="77777777" w:rsidR="009B55FB" w:rsidRDefault="00000000">
      <w:pPr>
        <w:numPr>
          <w:ilvl w:val="0"/>
          <w:numId w:val="9"/>
        </w:numPr>
        <w:pBdr>
          <w:top w:val="nil"/>
          <w:left w:val="nil"/>
          <w:bottom w:val="nil"/>
          <w:right w:val="nil"/>
          <w:between w:val="nil"/>
        </w:pBdr>
        <w:spacing w:before="240" w:after="240"/>
        <w:ind w:left="0" w:firstLine="357"/>
        <w:jc w:val="both"/>
        <w:rPr>
          <w:rFonts w:ascii="Calibri" w:eastAsia="Calibri" w:hAnsi="Calibri" w:cs="Calibri"/>
          <w:color w:val="000000"/>
          <w:sz w:val="22"/>
          <w:szCs w:val="22"/>
        </w:rPr>
      </w:pPr>
      <w:r>
        <w:rPr>
          <w:rFonts w:ascii="Calibri" w:eastAsia="Calibri" w:hAnsi="Calibri" w:cs="Calibri"/>
          <w:color w:val="000000"/>
          <w:sz w:val="22"/>
          <w:szCs w:val="22"/>
        </w:rPr>
        <w:t>Instituir instrumentos de monitoramento e avaliação contínua da execução contratual, incluindo indicadores de produção, qualidade e satisfação do usuário, de forma a permitir o controle de resultados e a adoção de medidas corretivas quando necessárias.</w:t>
      </w:r>
    </w:p>
    <w:p w14:paraId="35AF671B" w14:textId="77777777" w:rsidR="009B55FB" w:rsidRDefault="00000000">
      <w:pPr>
        <w:numPr>
          <w:ilvl w:val="0"/>
          <w:numId w:val="9"/>
        </w:numPr>
        <w:pBdr>
          <w:top w:val="nil"/>
          <w:left w:val="nil"/>
          <w:bottom w:val="nil"/>
          <w:right w:val="nil"/>
          <w:between w:val="nil"/>
        </w:pBdr>
        <w:spacing w:before="240" w:after="240"/>
        <w:ind w:left="0" w:firstLine="357"/>
        <w:jc w:val="both"/>
        <w:rPr>
          <w:rFonts w:ascii="Calibri" w:eastAsia="Calibri" w:hAnsi="Calibri" w:cs="Calibri"/>
          <w:color w:val="000000"/>
          <w:sz w:val="22"/>
          <w:szCs w:val="22"/>
        </w:rPr>
      </w:pPr>
      <w:r>
        <w:rPr>
          <w:rFonts w:ascii="Calibri" w:eastAsia="Calibri" w:hAnsi="Calibri" w:cs="Calibri"/>
          <w:color w:val="000000"/>
          <w:sz w:val="22"/>
          <w:szCs w:val="22"/>
        </w:rPr>
        <w:t>Assegurar condições de acessibilidade e sustentabilidade ambiental, exigindo que as clínicas credenciadas cumpram a legislação aplicável sobre acessibilidade às pessoas com deficiência e mobilidade reduzida, bem como o gerenciamento adequado dos resíduos de serviços de saúde, em conformidade com a RDC ANVISA nº 222/2018 e a Resolução CONAMA nº 358/2005.</w:t>
      </w:r>
    </w:p>
    <w:p w14:paraId="25134A48" w14:textId="77777777" w:rsidR="009B55FB" w:rsidRDefault="00000000">
      <w:pPr>
        <w:spacing w:before="240" w:after="240"/>
        <w:jc w:val="both"/>
        <w:rPr>
          <w:rFonts w:ascii="Calibri" w:eastAsia="Calibri" w:hAnsi="Calibri" w:cs="Calibri"/>
          <w:i/>
          <w:sz w:val="22"/>
          <w:szCs w:val="22"/>
        </w:rPr>
      </w:pPr>
      <w:r>
        <w:rPr>
          <w:rFonts w:ascii="Calibri" w:eastAsia="Calibri" w:hAnsi="Calibri" w:cs="Calibri"/>
          <w:sz w:val="22"/>
          <w:szCs w:val="22"/>
        </w:rPr>
        <w:t>Essas medidas são indispensáveis para assegurar que os serviços oftalmológicos contratados sejam executados em consonância com os padrões previamente estabelecidos, garantindo qualidade, regularidade, segurança do paciente e observância ao interesse público, além de reforçar a transparência e a eficiência na gestão dos recursos da saúde.</w:t>
      </w:r>
    </w:p>
    <w:p w14:paraId="70156CF7"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CONTRATAÇÕES CORRELATAS E/OU INTERDEPENDENTES  </w:t>
      </w:r>
    </w:p>
    <w:p w14:paraId="01024482"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Não serão necessárias contratações correlatas, pois, os serviços já incluem todas as responsabilidades e atribuições por parte da contratada para que a mesma gere a solução que atenda ao interesse do município.</w:t>
      </w:r>
    </w:p>
    <w:p w14:paraId="4F0ADD9B"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DESCRIÇÃO DE POSSÍVEIS IMPACTOS AMBIENTAIS E DAS RESPECTIVAS MEDIDAS MITIGADORAS QUE PODEM SER ADOTADAS </w:t>
      </w:r>
    </w:p>
    <w:p w14:paraId="6EE46DDB"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 xml:space="preserve">A execução do credenciamento de clínicas especializadas em oftalmologia, embora não envolva atividades de grande porte ou obras com potencial poluidor elevado, pode gerar impactos ambientais decorrentes da própria natureza dos serviços de saúde. Entre os aspectos mais relevantes está a geração de resíduos de serviços de saúde, como materiais perfurocortantes, insumos contaminados e medicamentos vencidos, que exigem manejo adequado para evitar riscos à saúde pública e ao meio ambiente. Para mitigar esse impacto, é imprescindível que as clínicas credenciadas cumpram rigorosamente as normas da ANVISA e do CONAMA, </w:t>
      </w:r>
      <w:r>
        <w:rPr>
          <w:rFonts w:ascii="Calibri" w:eastAsia="Calibri" w:hAnsi="Calibri" w:cs="Calibri"/>
          <w:sz w:val="22"/>
          <w:szCs w:val="22"/>
        </w:rPr>
        <w:lastRenderedPageBreak/>
        <w:t>realizando a segregação, acondicionamento, coleta, transporte e destinação final de forma ambientalmente segura, em conformidade com a RDC nº 222/2018 e a Resolução nº 358/2005.</w:t>
      </w:r>
    </w:p>
    <w:p w14:paraId="4C575B1A"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Outro ponto a ser considerado diz respeito ao consumo de energia elétrica e água, uma vez que a utilização contínua de equipamentos oftalmológicos de alta tecnologia, somada à necessidade de iluminação e climatização das instalações, contribui para a elevação do gasto de recursos naturais. Nesse caso, medidas como a adoção de equipamentos com maior eficiência energética, sistemas de reuso e o uso racional da água podem reduzir significativamente o impacto ambiental.</w:t>
      </w:r>
    </w:p>
    <w:p w14:paraId="4E4EC7B1"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 utilização de insumos e descartáveis, comuns na rotina assistencial, também representa desafio para a sustentabilidade. O incentivo à aquisição de materiais recicláveis ou biodegradáveis, bem como a preferência por fornecedores que adotem práticas de logística reversa, contribui para minimizar os resíduos sólidos gerados. Além disso, deve-se considerar o impacto indireto do deslocamento de pacientes e profissionais até as unidades credenciadas, que pode resultar em maior emissão de gases de efeito estufa. O planejamento de agendas reguladas e o credenciamento de clínicas localizadas em áreas de fácil acesso funcionam como medidas mitigadoras, reduzindo deslocamentos desnecessários e favorecendo o uso de transporte público.</w:t>
      </w:r>
    </w:p>
    <w:p w14:paraId="3F4FA393"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Por fim, determinados procedimentos que envolvem a utilização de laser ou substâncias químicas demandam protocolos rígidos de biossegurança para evitar riscos ocupacionais e ambientais. A manutenção preventiva de equipamentos, o fornecimento de equipamentos de proteção individual e o treinamento constante das equipes são ações indispensáveis para garantir a segurança dos profissionais, dos pacientes e do meio ambiente.</w:t>
      </w:r>
    </w:p>
    <w:p w14:paraId="6D4302CF"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Assim, constata-se que, embora os impactos ambientais sejam inerentes à execução dos serviços de saúde, eles são plenamente mitigáveis mediante o cumprimento da legislação vigente e a adoção de práticas de sustentabilidade, alinhadas aos princípios da Política Nacional de Resíduos Sólidos e da Política Nacional do Meio Ambiente. Dessa forma, o objeto em discussão revela-se compatível com a responsabilidade socioambiental que deve nortear as contratações públicas.</w:t>
      </w:r>
    </w:p>
    <w:p w14:paraId="3ECFB92F" w14:textId="77777777" w:rsidR="009B55FB" w:rsidRDefault="00000000">
      <w:pPr>
        <w:keepNext/>
        <w:keepLines/>
        <w:numPr>
          <w:ilvl w:val="0"/>
          <w:numId w:val="4"/>
        </w:numPr>
        <w:pBdr>
          <w:top w:val="nil"/>
          <w:left w:val="nil"/>
          <w:bottom w:val="nil"/>
          <w:right w:val="nil"/>
          <w:between w:val="nil"/>
        </w:pBdr>
        <w:shd w:val="clear" w:color="auto" w:fill="C6D9F1"/>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 xml:space="preserve">POSICIONAMENTO CONCLUSIVO ACERCA DA VIABILIDADE DA CONTRATAÇÃO </w:t>
      </w:r>
    </w:p>
    <w:p w14:paraId="42000ED3" w14:textId="77777777" w:rsidR="009B55FB" w:rsidRDefault="00000000">
      <w:pPr>
        <w:spacing w:before="240"/>
        <w:ind w:firstLine="709"/>
        <w:jc w:val="both"/>
        <w:rPr>
          <w:rFonts w:ascii="Calibri" w:eastAsia="Calibri" w:hAnsi="Calibri" w:cs="Calibri"/>
          <w:sz w:val="22"/>
          <w:szCs w:val="22"/>
        </w:rPr>
      </w:pPr>
      <w:r>
        <w:rPr>
          <w:rFonts w:ascii="Calibri" w:eastAsia="Calibri" w:hAnsi="Calibri" w:cs="Calibri"/>
          <w:sz w:val="22"/>
          <w:szCs w:val="22"/>
        </w:rPr>
        <w:t>Considerando o exposto, em especial à importância da realização das atividades para a melhor qualidade de vida da população do município, conclui-se pela viabilidade técnica e econômica da contratação, opinando-se pelo prosseguimento do feito.</w:t>
      </w:r>
    </w:p>
    <w:p w14:paraId="17458AD3" w14:textId="77777777" w:rsidR="009B55FB" w:rsidRDefault="009B55FB">
      <w:pPr>
        <w:rPr>
          <w:rFonts w:ascii="Calibri" w:eastAsia="Calibri" w:hAnsi="Calibri" w:cs="Calibri"/>
          <w:b/>
          <w:sz w:val="22"/>
          <w:szCs w:val="22"/>
        </w:rPr>
      </w:pPr>
    </w:p>
    <w:p w14:paraId="61EB6FC8" w14:textId="28167B12" w:rsidR="009B55FB" w:rsidRDefault="00000000">
      <w:pPr>
        <w:rPr>
          <w:rFonts w:ascii="Calibri" w:eastAsia="Calibri" w:hAnsi="Calibri" w:cs="Calibri"/>
          <w:sz w:val="22"/>
          <w:szCs w:val="22"/>
        </w:rPr>
      </w:pPr>
      <w:r>
        <w:rPr>
          <w:rFonts w:ascii="Calibri" w:eastAsia="Calibri" w:hAnsi="Calibri" w:cs="Calibri"/>
          <w:sz w:val="22"/>
          <w:szCs w:val="22"/>
        </w:rPr>
        <w:t xml:space="preserve">Teixeiras, </w:t>
      </w:r>
      <w:r w:rsidR="00360BE8">
        <w:rPr>
          <w:rFonts w:ascii="Calibri" w:eastAsia="Calibri" w:hAnsi="Calibri" w:cs="Calibri"/>
          <w:sz w:val="22"/>
          <w:szCs w:val="22"/>
        </w:rPr>
        <w:t xml:space="preserve">17 </w:t>
      </w:r>
      <w:r>
        <w:rPr>
          <w:rFonts w:ascii="Calibri" w:eastAsia="Calibri" w:hAnsi="Calibri" w:cs="Calibri"/>
          <w:sz w:val="22"/>
          <w:szCs w:val="22"/>
        </w:rPr>
        <w:t>de setembro de 2025.</w:t>
      </w:r>
    </w:p>
    <w:p w14:paraId="202C2F2A" w14:textId="77777777" w:rsidR="009B55FB" w:rsidRDefault="009B55FB">
      <w:pPr>
        <w:jc w:val="center"/>
        <w:rPr>
          <w:rFonts w:ascii="Calibri" w:eastAsia="Calibri" w:hAnsi="Calibri" w:cs="Calibri"/>
          <w:b/>
          <w:sz w:val="22"/>
          <w:szCs w:val="22"/>
        </w:rPr>
      </w:pPr>
    </w:p>
    <w:p w14:paraId="5A1A1A20" w14:textId="77777777" w:rsidR="009B55FB" w:rsidRDefault="009B55FB">
      <w:pPr>
        <w:jc w:val="center"/>
        <w:rPr>
          <w:rFonts w:ascii="Calibri" w:eastAsia="Calibri" w:hAnsi="Calibri" w:cs="Calibri"/>
          <w:b/>
          <w:sz w:val="22"/>
          <w:szCs w:val="22"/>
        </w:rPr>
      </w:pPr>
    </w:p>
    <w:p w14:paraId="36691C7C" w14:textId="77777777" w:rsidR="009B55FB" w:rsidRDefault="009B55FB">
      <w:pPr>
        <w:jc w:val="center"/>
        <w:rPr>
          <w:rFonts w:ascii="Calibri" w:eastAsia="Calibri" w:hAnsi="Calibri" w:cs="Calibri"/>
          <w:b/>
          <w:sz w:val="22"/>
          <w:szCs w:val="22"/>
        </w:rPr>
      </w:pPr>
    </w:p>
    <w:p w14:paraId="7976993C" w14:textId="77777777" w:rsidR="009B55FB" w:rsidRDefault="00000000">
      <w:pPr>
        <w:jc w:val="center"/>
        <w:rPr>
          <w:rFonts w:ascii="Calibri" w:eastAsia="Calibri" w:hAnsi="Calibri" w:cs="Calibri"/>
          <w:b/>
          <w:sz w:val="22"/>
          <w:szCs w:val="22"/>
        </w:rPr>
      </w:pPr>
      <w:r>
        <w:rPr>
          <w:rFonts w:ascii="Calibri" w:eastAsia="Calibri" w:hAnsi="Calibri" w:cs="Calibri"/>
          <w:b/>
          <w:sz w:val="22"/>
          <w:szCs w:val="22"/>
        </w:rPr>
        <w:t>Nacife Miguel Burjaile Sobrinho</w:t>
      </w:r>
    </w:p>
    <w:p w14:paraId="55E18AFB" w14:textId="77777777" w:rsidR="009B55FB" w:rsidRDefault="00000000">
      <w:pPr>
        <w:jc w:val="center"/>
        <w:rPr>
          <w:rFonts w:ascii="Calibri" w:eastAsia="Calibri" w:hAnsi="Calibri" w:cs="Calibri"/>
          <w:b/>
          <w:sz w:val="22"/>
          <w:szCs w:val="22"/>
        </w:rPr>
      </w:pPr>
      <w:r>
        <w:rPr>
          <w:rFonts w:ascii="Calibri" w:eastAsia="Calibri" w:hAnsi="Calibri" w:cs="Calibri"/>
          <w:b/>
          <w:sz w:val="22"/>
          <w:szCs w:val="22"/>
        </w:rPr>
        <w:t>Diretor Administrativo</w:t>
      </w:r>
    </w:p>
    <w:p w14:paraId="489DA682" w14:textId="77777777" w:rsidR="009B55FB" w:rsidRDefault="009B55FB">
      <w:pPr>
        <w:spacing w:before="240" w:after="240"/>
        <w:rPr>
          <w:rFonts w:ascii="Calibri" w:eastAsia="Calibri" w:hAnsi="Calibri" w:cs="Calibri"/>
          <w:b/>
          <w:color w:val="000000"/>
          <w:sz w:val="22"/>
          <w:szCs w:val="22"/>
        </w:rPr>
      </w:pPr>
    </w:p>
    <w:p w14:paraId="6309B592" w14:textId="77777777" w:rsidR="009B55FB" w:rsidRDefault="009B55FB">
      <w:pPr>
        <w:spacing w:before="240" w:after="240"/>
        <w:rPr>
          <w:rFonts w:ascii="Calibri" w:eastAsia="Calibri" w:hAnsi="Calibri" w:cs="Calibri"/>
          <w:b/>
          <w:color w:val="000000"/>
          <w:sz w:val="22"/>
          <w:szCs w:val="22"/>
        </w:rPr>
      </w:pPr>
    </w:p>
    <w:p w14:paraId="068794E8" w14:textId="77777777" w:rsidR="009B55FB" w:rsidRDefault="009B55FB">
      <w:pPr>
        <w:spacing w:before="240" w:after="240"/>
        <w:rPr>
          <w:rFonts w:ascii="Calibri" w:eastAsia="Calibri" w:hAnsi="Calibri" w:cs="Calibri"/>
          <w:b/>
          <w:color w:val="000000"/>
          <w:sz w:val="22"/>
          <w:szCs w:val="22"/>
        </w:rPr>
      </w:pPr>
    </w:p>
    <w:p w14:paraId="1A684D38" w14:textId="77777777" w:rsidR="009B55FB" w:rsidRDefault="009B55FB">
      <w:pPr>
        <w:spacing w:before="240" w:after="240"/>
        <w:rPr>
          <w:rFonts w:ascii="Calibri" w:eastAsia="Calibri" w:hAnsi="Calibri" w:cs="Calibri"/>
          <w:b/>
          <w:color w:val="000000"/>
          <w:sz w:val="22"/>
          <w:szCs w:val="22"/>
        </w:rPr>
      </w:pPr>
    </w:p>
    <w:p w14:paraId="2E671504" w14:textId="77777777" w:rsidR="009B55FB" w:rsidRDefault="009B55FB">
      <w:pPr>
        <w:spacing w:before="240" w:after="240"/>
        <w:jc w:val="center"/>
        <w:rPr>
          <w:rFonts w:ascii="Calibri" w:eastAsia="Calibri" w:hAnsi="Calibri" w:cs="Calibri"/>
          <w:b/>
          <w:sz w:val="22"/>
          <w:szCs w:val="22"/>
          <w:u w:val="single"/>
        </w:rPr>
      </w:pPr>
      <w:bookmarkStart w:id="31" w:name="_heading=h.3as4poj" w:colFirst="0" w:colLast="0"/>
      <w:bookmarkEnd w:id="31"/>
    </w:p>
    <w:p w14:paraId="439E12B8" w14:textId="77777777" w:rsidR="009B55FB" w:rsidRDefault="00000000">
      <w:pPr>
        <w:spacing w:before="240" w:after="240"/>
        <w:jc w:val="center"/>
        <w:rPr>
          <w:rFonts w:ascii="Calibri" w:eastAsia="Calibri" w:hAnsi="Calibri" w:cs="Calibri"/>
          <w:b/>
          <w:sz w:val="22"/>
          <w:szCs w:val="22"/>
          <w:u w:val="single"/>
        </w:rPr>
      </w:pPr>
      <w:r>
        <w:rPr>
          <w:rFonts w:ascii="Calibri" w:eastAsia="Calibri" w:hAnsi="Calibri" w:cs="Calibri"/>
          <w:b/>
          <w:sz w:val="22"/>
          <w:szCs w:val="22"/>
          <w:u w:val="single"/>
        </w:rPr>
        <w:t>ANEXO – II</w:t>
      </w:r>
    </w:p>
    <w:tbl>
      <w:tblPr>
        <w:tblStyle w:val="a5"/>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3"/>
        <w:gridCol w:w="4815"/>
      </w:tblGrid>
      <w:tr w:rsidR="009B55FB" w14:paraId="311C2B0F" w14:textId="77777777">
        <w:tc>
          <w:tcPr>
            <w:tcW w:w="9628" w:type="dxa"/>
            <w:gridSpan w:val="2"/>
            <w:shd w:val="clear" w:color="auto" w:fill="C6D9F1"/>
            <w:vAlign w:val="center"/>
          </w:tcPr>
          <w:p w14:paraId="2240F5A3" w14:textId="77777777" w:rsidR="009B55FB" w:rsidRDefault="00000000">
            <w:pPr>
              <w:spacing w:before="240" w:after="240" w:line="240" w:lineRule="auto"/>
              <w:jc w:val="center"/>
              <w:rPr>
                <w:b/>
              </w:rPr>
            </w:pPr>
            <w:r>
              <w:rPr>
                <w:b/>
              </w:rPr>
              <w:t>FICHA DE INSCRIÇÃO</w:t>
            </w:r>
          </w:p>
        </w:tc>
      </w:tr>
      <w:tr w:rsidR="009B55FB" w14:paraId="73325566" w14:textId="77777777">
        <w:tc>
          <w:tcPr>
            <w:tcW w:w="9628" w:type="dxa"/>
            <w:gridSpan w:val="2"/>
          </w:tcPr>
          <w:p w14:paraId="20ACA4CF" w14:textId="77777777" w:rsidR="009B55FB" w:rsidRDefault="00000000">
            <w:pPr>
              <w:spacing w:before="240" w:after="240" w:line="240" w:lineRule="auto"/>
              <w:jc w:val="both"/>
            </w:pPr>
            <w:r>
              <w:t>NOME DA EMPRESA (FANTASIA):</w:t>
            </w:r>
          </w:p>
          <w:p w14:paraId="1A3B622F" w14:textId="77777777" w:rsidR="009B55FB" w:rsidRDefault="009B55FB">
            <w:pPr>
              <w:spacing w:before="240" w:after="240" w:line="240" w:lineRule="auto"/>
              <w:jc w:val="both"/>
            </w:pPr>
          </w:p>
        </w:tc>
      </w:tr>
      <w:tr w:rsidR="009B55FB" w14:paraId="2E61CD2D" w14:textId="77777777">
        <w:tc>
          <w:tcPr>
            <w:tcW w:w="9628" w:type="dxa"/>
            <w:gridSpan w:val="2"/>
          </w:tcPr>
          <w:p w14:paraId="6D033053" w14:textId="77777777" w:rsidR="009B55FB" w:rsidRDefault="00000000">
            <w:pPr>
              <w:spacing w:before="240" w:after="240" w:line="240" w:lineRule="auto"/>
              <w:jc w:val="both"/>
            </w:pPr>
            <w:r>
              <w:t>Razão Social:</w:t>
            </w:r>
          </w:p>
        </w:tc>
      </w:tr>
      <w:tr w:rsidR="009B55FB" w14:paraId="67CEDF2F" w14:textId="77777777">
        <w:tc>
          <w:tcPr>
            <w:tcW w:w="9628" w:type="dxa"/>
            <w:gridSpan w:val="2"/>
          </w:tcPr>
          <w:p w14:paraId="7908F5E9" w14:textId="77777777" w:rsidR="009B55FB" w:rsidRDefault="00000000">
            <w:pPr>
              <w:spacing w:before="240" w:after="240" w:line="240" w:lineRule="auto"/>
              <w:jc w:val="both"/>
            </w:pPr>
            <w:r>
              <w:t>CNPJ:</w:t>
            </w:r>
          </w:p>
        </w:tc>
      </w:tr>
      <w:tr w:rsidR="009B55FB" w14:paraId="07319CE9" w14:textId="77777777">
        <w:tc>
          <w:tcPr>
            <w:tcW w:w="9628" w:type="dxa"/>
            <w:gridSpan w:val="2"/>
          </w:tcPr>
          <w:p w14:paraId="0654EB83" w14:textId="77777777" w:rsidR="009B55FB" w:rsidRDefault="00000000">
            <w:pPr>
              <w:spacing w:before="240" w:after="240" w:line="240" w:lineRule="auto"/>
              <w:jc w:val="both"/>
            </w:pPr>
            <w:r>
              <w:t>Endereço da Empresa (logradouro, n°/complemento, cidade, Estado, CEP):</w:t>
            </w:r>
          </w:p>
          <w:p w14:paraId="02DBC77A" w14:textId="77777777" w:rsidR="009B55FB" w:rsidRDefault="009B55FB">
            <w:pPr>
              <w:spacing w:before="240" w:after="240" w:line="240" w:lineRule="auto"/>
              <w:jc w:val="both"/>
            </w:pPr>
          </w:p>
          <w:p w14:paraId="4480405A" w14:textId="77777777" w:rsidR="009B55FB" w:rsidRDefault="009B55FB">
            <w:pPr>
              <w:spacing w:before="240" w:after="240" w:line="240" w:lineRule="auto"/>
              <w:jc w:val="both"/>
            </w:pPr>
          </w:p>
        </w:tc>
      </w:tr>
      <w:tr w:rsidR="009B55FB" w14:paraId="35F18472" w14:textId="77777777">
        <w:tc>
          <w:tcPr>
            <w:tcW w:w="9628" w:type="dxa"/>
            <w:gridSpan w:val="2"/>
          </w:tcPr>
          <w:p w14:paraId="155D4374" w14:textId="77777777" w:rsidR="009B55FB" w:rsidRDefault="00000000">
            <w:pPr>
              <w:spacing w:before="240" w:after="240" w:line="240" w:lineRule="auto"/>
              <w:jc w:val="both"/>
              <w:rPr>
                <w:b/>
              </w:rPr>
            </w:pPr>
            <w:r>
              <w:rPr>
                <w:b/>
              </w:rPr>
              <w:t>INFORMARÇÕES DO RESPONSÁVEL LEGAL DA EMPRESA</w:t>
            </w:r>
          </w:p>
        </w:tc>
      </w:tr>
      <w:tr w:rsidR="009B55FB" w14:paraId="08ED042A" w14:textId="77777777">
        <w:tc>
          <w:tcPr>
            <w:tcW w:w="9628" w:type="dxa"/>
            <w:gridSpan w:val="2"/>
          </w:tcPr>
          <w:p w14:paraId="0D72D1F3" w14:textId="77777777" w:rsidR="009B55FB" w:rsidRDefault="00000000">
            <w:pPr>
              <w:spacing w:before="240" w:after="240" w:line="240" w:lineRule="auto"/>
              <w:jc w:val="both"/>
            </w:pPr>
            <w:r>
              <w:t>Nome:</w:t>
            </w:r>
          </w:p>
        </w:tc>
      </w:tr>
      <w:tr w:rsidR="009B55FB" w14:paraId="3BAD1508" w14:textId="77777777">
        <w:tc>
          <w:tcPr>
            <w:tcW w:w="9628" w:type="dxa"/>
            <w:gridSpan w:val="2"/>
          </w:tcPr>
          <w:p w14:paraId="07C56B2B" w14:textId="77777777" w:rsidR="009B55FB" w:rsidRDefault="00000000">
            <w:pPr>
              <w:spacing w:before="240" w:after="240" w:line="240" w:lineRule="auto"/>
              <w:jc w:val="both"/>
            </w:pPr>
            <w:r>
              <w:t>CPF:</w:t>
            </w:r>
          </w:p>
        </w:tc>
      </w:tr>
      <w:tr w:rsidR="009B55FB" w14:paraId="5283B4CB" w14:textId="77777777">
        <w:tc>
          <w:tcPr>
            <w:tcW w:w="9628" w:type="dxa"/>
            <w:gridSpan w:val="2"/>
          </w:tcPr>
          <w:p w14:paraId="7A0CA786" w14:textId="77777777" w:rsidR="009B55FB" w:rsidRDefault="00000000">
            <w:pPr>
              <w:spacing w:before="240" w:after="240" w:line="240" w:lineRule="auto"/>
              <w:jc w:val="both"/>
            </w:pPr>
            <w:r>
              <w:t>RG:</w:t>
            </w:r>
          </w:p>
        </w:tc>
      </w:tr>
      <w:tr w:rsidR="009B55FB" w14:paraId="4BA7B1CC" w14:textId="77777777">
        <w:tc>
          <w:tcPr>
            <w:tcW w:w="9628" w:type="dxa"/>
            <w:gridSpan w:val="2"/>
          </w:tcPr>
          <w:p w14:paraId="21BBA5FE" w14:textId="77777777" w:rsidR="009B55FB" w:rsidRDefault="00000000">
            <w:pPr>
              <w:spacing w:before="240" w:after="240" w:line="240" w:lineRule="auto"/>
              <w:jc w:val="both"/>
            </w:pPr>
            <w:r>
              <w:t>Endereço completo do Responsável legal (logradouro, n°/complemento, CEP, cidade, Estado):</w:t>
            </w:r>
          </w:p>
          <w:p w14:paraId="36DBB75F" w14:textId="77777777" w:rsidR="009B55FB" w:rsidRDefault="009B55FB">
            <w:pPr>
              <w:spacing w:before="240" w:after="240" w:line="240" w:lineRule="auto"/>
              <w:jc w:val="both"/>
            </w:pPr>
          </w:p>
          <w:p w14:paraId="261696E6" w14:textId="77777777" w:rsidR="009B55FB" w:rsidRDefault="009B55FB">
            <w:pPr>
              <w:spacing w:before="240" w:after="240" w:line="240" w:lineRule="auto"/>
              <w:jc w:val="both"/>
            </w:pPr>
          </w:p>
        </w:tc>
      </w:tr>
      <w:tr w:rsidR="009B55FB" w14:paraId="2F69915D" w14:textId="77777777">
        <w:tc>
          <w:tcPr>
            <w:tcW w:w="9628" w:type="dxa"/>
            <w:gridSpan w:val="2"/>
          </w:tcPr>
          <w:p w14:paraId="7B5CBA72" w14:textId="77777777" w:rsidR="009B55FB" w:rsidRDefault="00000000">
            <w:pPr>
              <w:spacing w:before="240" w:after="240" w:line="240" w:lineRule="auto"/>
              <w:jc w:val="both"/>
              <w:rPr>
                <w:b/>
              </w:rPr>
            </w:pPr>
            <w:r>
              <w:rPr>
                <w:b/>
              </w:rPr>
              <w:t>DADOS PARA CONTATO:</w:t>
            </w:r>
          </w:p>
        </w:tc>
      </w:tr>
      <w:tr w:rsidR="009B55FB" w14:paraId="45BFB425" w14:textId="77777777">
        <w:tc>
          <w:tcPr>
            <w:tcW w:w="9628" w:type="dxa"/>
            <w:gridSpan w:val="2"/>
          </w:tcPr>
          <w:p w14:paraId="7FFA70A0" w14:textId="77777777" w:rsidR="009B55FB" w:rsidRDefault="00000000">
            <w:pPr>
              <w:spacing w:before="240" w:after="240" w:line="240" w:lineRule="auto"/>
              <w:jc w:val="both"/>
            </w:pPr>
            <w:r>
              <w:t>E-mail:</w:t>
            </w:r>
          </w:p>
        </w:tc>
      </w:tr>
      <w:tr w:rsidR="009B55FB" w14:paraId="40CB3C3F" w14:textId="77777777">
        <w:tc>
          <w:tcPr>
            <w:tcW w:w="9628" w:type="dxa"/>
            <w:gridSpan w:val="2"/>
          </w:tcPr>
          <w:p w14:paraId="666EB965" w14:textId="77777777" w:rsidR="009B55FB" w:rsidRDefault="00000000">
            <w:pPr>
              <w:spacing w:before="240" w:after="240" w:line="240" w:lineRule="auto"/>
              <w:jc w:val="both"/>
            </w:pPr>
            <w:r>
              <w:lastRenderedPageBreak/>
              <w:t>Telefone: (          )                                                        / (          )</w:t>
            </w:r>
          </w:p>
        </w:tc>
      </w:tr>
      <w:tr w:rsidR="009B55FB" w14:paraId="6EBCFF04" w14:textId="77777777">
        <w:tc>
          <w:tcPr>
            <w:tcW w:w="9628" w:type="dxa"/>
            <w:gridSpan w:val="2"/>
          </w:tcPr>
          <w:p w14:paraId="4FD30D95" w14:textId="77777777" w:rsidR="009B55FB" w:rsidRDefault="00000000">
            <w:pPr>
              <w:spacing w:before="240" w:after="240" w:line="240" w:lineRule="auto"/>
              <w:jc w:val="both"/>
              <w:rPr>
                <w:b/>
              </w:rPr>
            </w:pPr>
            <w:r>
              <w:rPr>
                <w:b/>
              </w:rPr>
              <w:t>DADOS PARA PAGAMENTO:</w:t>
            </w:r>
          </w:p>
        </w:tc>
      </w:tr>
      <w:tr w:rsidR="009B55FB" w14:paraId="626F1E81" w14:textId="77777777">
        <w:tc>
          <w:tcPr>
            <w:tcW w:w="4813" w:type="dxa"/>
          </w:tcPr>
          <w:p w14:paraId="63904040" w14:textId="77777777" w:rsidR="009B55FB" w:rsidRDefault="00000000">
            <w:pPr>
              <w:spacing w:before="240" w:after="240" w:line="240" w:lineRule="auto"/>
              <w:jc w:val="both"/>
            </w:pPr>
            <w:r>
              <w:t>Conta bancária:</w:t>
            </w:r>
          </w:p>
        </w:tc>
        <w:tc>
          <w:tcPr>
            <w:tcW w:w="4815" w:type="dxa"/>
            <w:vMerge w:val="restart"/>
          </w:tcPr>
          <w:p w14:paraId="2FFDC492" w14:textId="77777777" w:rsidR="009B55FB" w:rsidRDefault="00000000">
            <w:pPr>
              <w:spacing w:before="240" w:after="240" w:line="240" w:lineRule="auto"/>
              <w:jc w:val="both"/>
            </w:pPr>
            <w:r>
              <w:t>Informações complementares:</w:t>
            </w:r>
          </w:p>
          <w:p w14:paraId="356AEF67" w14:textId="77777777" w:rsidR="009B55FB" w:rsidRDefault="009B55FB">
            <w:pPr>
              <w:spacing w:before="240" w:after="240" w:line="240" w:lineRule="auto"/>
              <w:jc w:val="both"/>
            </w:pPr>
          </w:p>
        </w:tc>
      </w:tr>
      <w:tr w:rsidR="009B55FB" w14:paraId="55C3BEF9" w14:textId="77777777">
        <w:tc>
          <w:tcPr>
            <w:tcW w:w="4813" w:type="dxa"/>
          </w:tcPr>
          <w:p w14:paraId="5BF21DC4" w14:textId="77777777" w:rsidR="009B55FB" w:rsidRDefault="00000000">
            <w:pPr>
              <w:spacing w:before="240" w:after="240" w:line="240" w:lineRule="auto"/>
              <w:jc w:val="both"/>
            </w:pPr>
            <w:r>
              <w:t>Agência:</w:t>
            </w:r>
          </w:p>
        </w:tc>
        <w:tc>
          <w:tcPr>
            <w:tcW w:w="4815" w:type="dxa"/>
            <w:vMerge/>
          </w:tcPr>
          <w:p w14:paraId="726CDF69" w14:textId="77777777" w:rsidR="009B55FB" w:rsidRDefault="009B55FB">
            <w:pPr>
              <w:widowControl w:val="0"/>
              <w:pBdr>
                <w:top w:val="nil"/>
                <w:left w:val="nil"/>
                <w:bottom w:val="nil"/>
                <w:right w:val="nil"/>
                <w:between w:val="nil"/>
              </w:pBdr>
              <w:spacing w:after="0"/>
            </w:pPr>
          </w:p>
        </w:tc>
      </w:tr>
      <w:tr w:rsidR="009B55FB" w14:paraId="09D72D0B" w14:textId="77777777">
        <w:tc>
          <w:tcPr>
            <w:tcW w:w="9628" w:type="dxa"/>
            <w:gridSpan w:val="2"/>
          </w:tcPr>
          <w:p w14:paraId="51822BCD" w14:textId="77777777" w:rsidR="009B55FB" w:rsidRDefault="00000000">
            <w:pPr>
              <w:spacing w:before="240" w:after="240" w:line="240" w:lineRule="auto"/>
              <w:rPr>
                <w:b/>
              </w:rPr>
            </w:pPr>
            <w:r>
              <w:rPr>
                <w:b/>
              </w:rPr>
              <w:t xml:space="preserve">OBS: a agência e a conta bancária deve ser em nome da empresa ou da pessoa física, e não de terceiros. </w:t>
            </w:r>
          </w:p>
        </w:tc>
      </w:tr>
    </w:tbl>
    <w:p w14:paraId="1EE7C31C" w14:textId="77777777" w:rsidR="009B55FB" w:rsidRDefault="009B55FB">
      <w:pPr>
        <w:jc w:val="both"/>
        <w:rPr>
          <w:rFonts w:ascii="Calibri" w:eastAsia="Calibri" w:hAnsi="Calibri" w:cs="Calibri"/>
          <w:b/>
          <w:sz w:val="22"/>
          <w:szCs w:val="22"/>
        </w:rPr>
      </w:pPr>
    </w:p>
    <w:tbl>
      <w:tblPr>
        <w:tblStyle w:val="a6"/>
        <w:tblW w:w="963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5"/>
        <w:gridCol w:w="4209"/>
        <w:gridCol w:w="4392"/>
      </w:tblGrid>
      <w:tr w:rsidR="009B55FB" w14:paraId="37667667" w14:textId="77777777">
        <w:tc>
          <w:tcPr>
            <w:tcW w:w="1035" w:type="dxa"/>
            <w:vAlign w:val="center"/>
          </w:tcPr>
          <w:p w14:paraId="3C34C0EB" w14:textId="77777777" w:rsidR="009B55FB" w:rsidRDefault="00000000">
            <w:pPr>
              <w:spacing w:after="0" w:line="240" w:lineRule="auto"/>
              <w:jc w:val="center"/>
              <w:rPr>
                <w:rFonts w:ascii="Calibri" w:eastAsia="Calibri" w:hAnsi="Calibri" w:cs="Calibri"/>
                <w:sz w:val="22"/>
                <w:szCs w:val="22"/>
              </w:rPr>
            </w:pPr>
            <w:r>
              <w:rPr>
                <w:rFonts w:ascii="Calibri" w:eastAsia="Calibri" w:hAnsi="Calibri" w:cs="Calibri"/>
                <w:b/>
                <w:sz w:val="22"/>
                <w:szCs w:val="22"/>
              </w:rPr>
              <w:t>Item</w:t>
            </w:r>
          </w:p>
        </w:tc>
        <w:tc>
          <w:tcPr>
            <w:tcW w:w="4209" w:type="dxa"/>
            <w:vAlign w:val="center"/>
          </w:tcPr>
          <w:p w14:paraId="4ED9D69B" w14:textId="77777777" w:rsidR="009B55FB" w:rsidRDefault="00000000">
            <w:pPr>
              <w:spacing w:after="0" w:line="240" w:lineRule="auto"/>
              <w:jc w:val="center"/>
              <w:rPr>
                <w:rFonts w:ascii="Calibri" w:eastAsia="Calibri" w:hAnsi="Calibri" w:cs="Calibri"/>
                <w:sz w:val="22"/>
                <w:szCs w:val="22"/>
              </w:rPr>
            </w:pPr>
            <w:r>
              <w:rPr>
                <w:rFonts w:ascii="Calibri" w:eastAsia="Calibri" w:hAnsi="Calibri" w:cs="Calibri"/>
                <w:b/>
                <w:sz w:val="22"/>
                <w:szCs w:val="22"/>
              </w:rPr>
              <w:t>Descrição</w:t>
            </w:r>
          </w:p>
        </w:tc>
        <w:tc>
          <w:tcPr>
            <w:tcW w:w="4392" w:type="dxa"/>
            <w:vAlign w:val="center"/>
          </w:tcPr>
          <w:p w14:paraId="160ACCFB" w14:textId="77777777" w:rsidR="009B55FB" w:rsidRDefault="00000000">
            <w:pPr>
              <w:spacing w:after="0" w:line="240" w:lineRule="auto"/>
              <w:jc w:val="center"/>
              <w:rPr>
                <w:rFonts w:ascii="Calibri" w:eastAsia="Calibri" w:hAnsi="Calibri" w:cs="Calibri"/>
                <w:sz w:val="22"/>
                <w:szCs w:val="22"/>
              </w:rPr>
            </w:pPr>
            <w:r>
              <w:rPr>
                <w:rFonts w:ascii="Calibri" w:eastAsia="Calibri" w:hAnsi="Calibri" w:cs="Calibri"/>
                <w:b/>
                <w:sz w:val="22"/>
                <w:szCs w:val="22"/>
              </w:rPr>
              <w:t>Val. Total Estimado</w:t>
            </w:r>
          </w:p>
        </w:tc>
      </w:tr>
      <w:tr w:rsidR="009B55FB" w14:paraId="2FFB4183" w14:textId="77777777">
        <w:tc>
          <w:tcPr>
            <w:tcW w:w="1035" w:type="dxa"/>
            <w:vAlign w:val="center"/>
          </w:tcPr>
          <w:p w14:paraId="70D91040" w14:textId="77777777" w:rsidR="009B55FB" w:rsidRDefault="00000000">
            <w:pPr>
              <w:spacing w:after="0" w:line="240" w:lineRule="auto"/>
              <w:jc w:val="center"/>
              <w:rPr>
                <w:rFonts w:ascii="Calibri" w:eastAsia="Calibri" w:hAnsi="Calibri" w:cs="Calibri"/>
                <w:sz w:val="22"/>
                <w:szCs w:val="22"/>
              </w:rPr>
            </w:pPr>
            <w:r>
              <w:rPr>
                <w:rFonts w:ascii="Calibri" w:eastAsia="Calibri" w:hAnsi="Calibri" w:cs="Calibri"/>
                <w:sz w:val="22"/>
                <w:szCs w:val="22"/>
              </w:rPr>
              <w:t>01</w:t>
            </w:r>
          </w:p>
        </w:tc>
        <w:tc>
          <w:tcPr>
            <w:tcW w:w="4209" w:type="dxa"/>
            <w:vAlign w:val="bottom"/>
          </w:tcPr>
          <w:p w14:paraId="5251685A" w14:textId="7B5A3DD1" w:rsidR="009B55FB" w:rsidRDefault="00593FF3">
            <w:pPr>
              <w:spacing w:after="0" w:line="240" w:lineRule="auto"/>
              <w:jc w:val="both"/>
              <w:rPr>
                <w:rFonts w:ascii="Calibri" w:eastAsia="Calibri" w:hAnsi="Calibri" w:cs="Calibri"/>
                <w:sz w:val="22"/>
                <w:szCs w:val="22"/>
              </w:rPr>
            </w:pPr>
            <w:r w:rsidRPr="00593FF3">
              <w:rPr>
                <w:rFonts w:ascii="Calibri" w:eastAsia="Calibri" w:hAnsi="Calibri" w:cs="Calibri"/>
                <w:sz w:val="22"/>
                <w:szCs w:val="22"/>
              </w:rPr>
              <w:t>Carteira de Procedimentos constantes na Tabela SIGTAP-SUS, de Incentivos Federais de Políticas de Cirurgias e Procedimentos Ambulatoriais, da política da DELIBERAÇÃO CIB-SUS/MG Nº 4.065, DE 07 DE DEZEMBRO DE 2022, de Incremento e de Incentivos Estaduais contidos nas políticas Valora Minas, Opera Mais, de acordo com as deliberações, valores unitários dos procedimentos conforme Tabela SIGTAP-SUS</w:t>
            </w:r>
            <w:r>
              <w:rPr>
                <w:rFonts w:ascii="Calibri" w:eastAsia="Calibri" w:hAnsi="Calibri" w:cs="Calibri"/>
                <w:sz w:val="22"/>
                <w:szCs w:val="22"/>
              </w:rPr>
              <w:t xml:space="preserve">. </w:t>
            </w:r>
          </w:p>
        </w:tc>
        <w:tc>
          <w:tcPr>
            <w:tcW w:w="4392" w:type="dxa"/>
            <w:vAlign w:val="center"/>
          </w:tcPr>
          <w:p w14:paraId="181D1D57" w14:textId="77777777" w:rsidR="009B55FB" w:rsidRDefault="00000000">
            <w:pPr>
              <w:spacing w:after="0" w:line="240" w:lineRule="auto"/>
              <w:jc w:val="center"/>
              <w:rPr>
                <w:rFonts w:ascii="Calibri" w:eastAsia="Calibri" w:hAnsi="Calibri" w:cs="Calibri"/>
                <w:sz w:val="22"/>
                <w:szCs w:val="22"/>
              </w:rPr>
            </w:pPr>
            <w:r>
              <w:rPr>
                <w:rFonts w:ascii="Calibri" w:eastAsia="Calibri" w:hAnsi="Calibri" w:cs="Calibri"/>
                <w:sz w:val="22"/>
                <w:szCs w:val="22"/>
              </w:rPr>
              <w:t>R$ 500.000,00</w:t>
            </w:r>
          </w:p>
        </w:tc>
      </w:tr>
    </w:tbl>
    <w:p w14:paraId="550D0D30" w14:textId="77777777" w:rsidR="009B55FB" w:rsidRDefault="00000000">
      <w:pPr>
        <w:spacing w:before="240" w:after="240"/>
        <w:jc w:val="both"/>
        <w:rPr>
          <w:rFonts w:ascii="Calibri" w:eastAsia="Calibri" w:hAnsi="Calibri" w:cs="Calibri"/>
          <w:sz w:val="22"/>
          <w:szCs w:val="22"/>
          <w:u w:val="single"/>
        </w:rPr>
      </w:pPr>
      <w:r>
        <w:rPr>
          <w:rFonts w:ascii="Calibri" w:eastAsia="Calibri" w:hAnsi="Calibri" w:cs="Calibri"/>
          <w:b/>
          <w:sz w:val="22"/>
          <w:szCs w:val="22"/>
          <w:u w:val="single"/>
        </w:rPr>
        <w:t>DECLARO QUE</w:t>
      </w:r>
      <w:r>
        <w:rPr>
          <w:rFonts w:ascii="Calibri" w:eastAsia="Calibri" w:hAnsi="Calibri" w:cs="Calibri"/>
          <w:sz w:val="22"/>
          <w:szCs w:val="22"/>
          <w:u w:val="single"/>
        </w:rPr>
        <w:t xml:space="preserve">: </w:t>
      </w:r>
    </w:p>
    <w:p w14:paraId="70BFD907"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Estou ciente e de acordo com as regras e condições estabelecidas neste Edital de Credenciamento e neste Formulário de Inscrição. </w:t>
      </w:r>
    </w:p>
    <w:p w14:paraId="0AF5E5A5"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Afirmo também que as informações constantes no mesmo são verdadeiras. </w:t>
      </w:r>
    </w:p>
    <w:p w14:paraId="1677A769"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Declaro minha total responsabilidade pela utilização de documentos, textos, imagens e outros meios, cujos direitos autorais estejam protegidos pela legislação vigente. </w:t>
      </w:r>
    </w:p>
    <w:p w14:paraId="075E3107"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Declaro, ainda, o pleno conhecimento e atendimento às exigências de habilitação, cientes das sanções factíveis de serem aplicadas a teor da lei federal 14.133/21.</w:t>
      </w:r>
    </w:p>
    <w:p w14:paraId="438B90C4"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Os serviços prestados serão remunerados de acordo com os valores previamente definidos no edital do processo referido acima;</w:t>
      </w:r>
    </w:p>
    <w:p w14:paraId="5C3D8405"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 proposta foi elaborada de forma independente;</w:t>
      </w:r>
    </w:p>
    <w:p w14:paraId="3EFEA555"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Nos preços propostos estão incluídos todos os tributos, encargos sociais, frete até o destino e quaisquer outros ônus que porventura possam recair sobre o fornecimento do objeto e que estou de acordo com todas as normas da solicitação de propostas e seus anexos;</w:t>
      </w:r>
    </w:p>
    <w:p w14:paraId="4A198ED6"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proponente se declara apto do ponto de vista jurídico, econômico, técnico e operacional para os serviços que integram esta proposta;</w:t>
      </w:r>
    </w:p>
    <w:p w14:paraId="5189833B" w14:textId="77777777" w:rsidR="009B55FB" w:rsidRDefault="00000000">
      <w:pPr>
        <w:numPr>
          <w:ilvl w:val="3"/>
          <w:numId w:val="2"/>
        </w:numPr>
        <w:pBdr>
          <w:top w:val="nil"/>
          <w:left w:val="nil"/>
          <w:bottom w:val="nil"/>
          <w:right w:val="nil"/>
          <w:between w:val="nil"/>
        </w:pBdr>
        <w:spacing w:before="120" w:after="12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O pagamento será realizado em até 15 (quinze) dias após a conclusão do serviço e liberação da Nota Fiscal pelo setor competente, através de depósito em conta bancária;</w:t>
      </w:r>
    </w:p>
    <w:p w14:paraId="237C3FF5" w14:textId="77777777" w:rsidR="009B55FB" w:rsidRDefault="00000000">
      <w:pPr>
        <w:spacing w:before="120" w:after="120"/>
        <w:jc w:val="center"/>
        <w:rPr>
          <w:rFonts w:ascii="Calibri" w:eastAsia="Calibri" w:hAnsi="Calibri" w:cs="Calibri"/>
          <w:sz w:val="22"/>
          <w:szCs w:val="22"/>
        </w:rPr>
      </w:pPr>
      <w:r>
        <w:rPr>
          <w:rFonts w:ascii="Calibri" w:eastAsia="Calibri" w:hAnsi="Calibri" w:cs="Calibri"/>
          <w:sz w:val="22"/>
          <w:szCs w:val="22"/>
        </w:rPr>
        <w:t>............................., .............................................................................., de 2025.</w:t>
      </w:r>
    </w:p>
    <w:p w14:paraId="70AE6574" w14:textId="77777777" w:rsidR="009B55FB" w:rsidRDefault="00000000">
      <w:pPr>
        <w:spacing w:before="120" w:after="120"/>
        <w:jc w:val="center"/>
        <w:rPr>
          <w:rFonts w:ascii="Calibri" w:eastAsia="Calibri" w:hAnsi="Calibri" w:cs="Calibri"/>
          <w:sz w:val="22"/>
          <w:szCs w:val="22"/>
        </w:rPr>
      </w:pPr>
      <w:r>
        <w:rPr>
          <w:rFonts w:ascii="Calibri" w:eastAsia="Calibri" w:hAnsi="Calibri" w:cs="Calibri"/>
          <w:sz w:val="22"/>
          <w:szCs w:val="22"/>
        </w:rPr>
        <w:t>Local e Data</w:t>
      </w:r>
    </w:p>
    <w:p w14:paraId="6D770FF8" w14:textId="77777777" w:rsidR="009B55FB" w:rsidRDefault="00000000">
      <w:pPr>
        <w:spacing w:before="120" w:after="120"/>
        <w:jc w:val="center"/>
        <w:rPr>
          <w:rFonts w:ascii="Calibri" w:eastAsia="Calibri" w:hAnsi="Calibri" w:cs="Calibri"/>
          <w:sz w:val="22"/>
          <w:szCs w:val="22"/>
        </w:rPr>
      </w:pPr>
      <w:r>
        <w:rPr>
          <w:rFonts w:ascii="Calibri" w:eastAsia="Calibri" w:hAnsi="Calibri" w:cs="Calibri"/>
          <w:sz w:val="22"/>
          <w:szCs w:val="22"/>
        </w:rPr>
        <w:t>Assinatura do Responsável pela Empresa - (Nome Legível/Cargo)</w:t>
      </w:r>
      <w:r>
        <w:br w:type="page"/>
      </w:r>
    </w:p>
    <w:p w14:paraId="0BAC8E9D" w14:textId="77777777" w:rsidR="009B55FB" w:rsidRDefault="009B55FB">
      <w:pPr>
        <w:jc w:val="center"/>
        <w:rPr>
          <w:b/>
          <w:sz w:val="22"/>
          <w:szCs w:val="22"/>
          <w:u w:val="single"/>
        </w:rPr>
      </w:pPr>
    </w:p>
    <w:p w14:paraId="75E7D7B3" w14:textId="77777777" w:rsidR="009B55FB" w:rsidRPr="00A82933" w:rsidRDefault="00000000">
      <w:pPr>
        <w:jc w:val="center"/>
        <w:rPr>
          <w:rFonts w:asciiTheme="majorHAnsi" w:hAnsiTheme="majorHAnsi" w:cstheme="majorHAnsi"/>
          <w:b/>
          <w:sz w:val="22"/>
          <w:szCs w:val="22"/>
          <w:u w:val="single"/>
        </w:rPr>
      </w:pPr>
      <w:r w:rsidRPr="00A82933">
        <w:rPr>
          <w:rFonts w:asciiTheme="majorHAnsi" w:hAnsiTheme="majorHAnsi" w:cstheme="majorHAnsi"/>
          <w:b/>
          <w:sz w:val="22"/>
          <w:szCs w:val="22"/>
          <w:u w:val="single"/>
        </w:rPr>
        <w:t>ANEXO III</w:t>
      </w:r>
    </w:p>
    <w:p w14:paraId="5A4AF6D8" w14:textId="77777777" w:rsidR="009B55FB" w:rsidRDefault="00000000">
      <w:pPr>
        <w:pStyle w:val="Ttulo1"/>
        <w:spacing w:before="240" w:after="240"/>
        <w:jc w:val="center"/>
        <w:rPr>
          <w:sz w:val="22"/>
          <w:szCs w:val="22"/>
        </w:rPr>
      </w:pPr>
      <w:r>
        <w:rPr>
          <w:color w:val="000000"/>
          <w:sz w:val="22"/>
          <w:szCs w:val="22"/>
        </w:rPr>
        <w:t>DECLARAÇÃO DE CIÊNCIA E DISPONIBILIDADE DE RECURSOS</w:t>
      </w:r>
    </w:p>
    <w:p w14:paraId="08ECB063" w14:textId="77777777" w:rsidR="009B55FB" w:rsidRDefault="00000000">
      <w:pPr>
        <w:jc w:val="both"/>
        <w:rPr>
          <w:rFonts w:ascii="Calibri" w:eastAsia="Calibri" w:hAnsi="Calibri" w:cs="Calibri"/>
          <w:sz w:val="22"/>
          <w:szCs w:val="22"/>
        </w:rPr>
      </w:pPr>
      <w:r>
        <w:rPr>
          <w:rFonts w:ascii="Calibri" w:eastAsia="Calibri" w:hAnsi="Calibri" w:cs="Calibri"/>
          <w:sz w:val="22"/>
          <w:szCs w:val="22"/>
        </w:rPr>
        <w:t>A empresa _______________________________________, inscrita no CNPJ sob o nº ______________________, por meio de seu representante legal infra-assinado, DECLARA, para os devidos fins, que tomou pleno conhecimento das condições de execução previstas no Edital de Credenciamento nº XX/2025, promovido pela Fundação Municipal de Saúde de Teixeiras/MG, estando ciente de todas as obrigações, requisitos técnicos e demais disposições estabelecidas no referido instrumento convocatório e seus anexos.</w:t>
      </w:r>
    </w:p>
    <w:p w14:paraId="7B37795D" w14:textId="77777777" w:rsidR="009B55FB" w:rsidRDefault="00000000">
      <w:pPr>
        <w:jc w:val="both"/>
        <w:rPr>
          <w:rFonts w:ascii="Calibri" w:eastAsia="Calibri" w:hAnsi="Calibri" w:cs="Calibri"/>
          <w:sz w:val="22"/>
          <w:szCs w:val="22"/>
        </w:rPr>
      </w:pPr>
      <w:r>
        <w:rPr>
          <w:rFonts w:ascii="Calibri" w:eastAsia="Calibri" w:hAnsi="Calibri" w:cs="Calibri"/>
          <w:sz w:val="22"/>
          <w:szCs w:val="22"/>
        </w:rPr>
        <w:br/>
        <w:t>Declara, ainda, que possui plena disponibilidade de equipamentos, infraestrutura física e corpo técnico habilitado, em conformidade com a legislação vigente, para a adequada prestação dos serviços de consultas, exames diagnósticos específicos e procedimentos cirúrgicos e ambulatoriais em oftalmologia, incluindo o fornecimento de próteses oftálmicas (óculos), conforme as condições do edital e seus anexos.</w:t>
      </w:r>
      <w:r>
        <w:rPr>
          <w:rFonts w:ascii="Calibri" w:eastAsia="Calibri" w:hAnsi="Calibri" w:cs="Calibri"/>
          <w:sz w:val="22"/>
          <w:szCs w:val="22"/>
        </w:rPr>
        <w:br/>
        <w:t>Por ser expressão da verdade, firma a presente declaração, ciente de que sua falsidade poderá acarretar as sanções legais cabíveis.</w:t>
      </w:r>
    </w:p>
    <w:p w14:paraId="1A37D5DB" w14:textId="77777777" w:rsidR="009B55FB" w:rsidRDefault="00000000">
      <w:pPr>
        <w:spacing w:before="240" w:after="240"/>
        <w:jc w:val="center"/>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sz w:val="22"/>
          <w:szCs w:val="22"/>
        </w:rPr>
        <w:br/>
        <w:t>............................., .............................................................................., de 2025.</w:t>
      </w:r>
    </w:p>
    <w:p w14:paraId="6B13E9C7" w14:textId="77777777" w:rsidR="009B55FB" w:rsidRDefault="00000000">
      <w:pPr>
        <w:spacing w:before="240" w:after="240"/>
        <w:jc w:val="center"/>
        <w:rPr>
          <w:rFonts w:ascii="Calibri" w:eastAsia="Calibri" w:hAnsi="Calibri" w:cs="Calibri"/>
          <w:sz w:val="22"/>
          <w:szCs w:val="22"/>
        </w:rPr>
      </w:pPr>
      <w:r>
        <w:rPr>
          <w:rFonts w:ascii="Calibri" w:eastAsia="Calibri" w:hAnsi="Calibri" w:cs="Calibri"/>
          <w:sz w:val="22"/>
          <w:szCs w:val="22"/>
        </w:rPr>
        <w:t>Local e Data</w:t>
      </w:r>
    </w:p>
    <w:p w14:paraId="75FC7279" w14:textId="77777777" w:rsidR="009B55FB" w:rsidRDefault="009B55FB">
      <w:pPr>
        <w:jc w:val="center"/>
        <w:rPr>
          <w:rFonts w:ascii="Calibri" w:eastAsia="Calibri" w:hAnsi="Calibri" w:cs="Calibri"/>
          <w:sz w:val="22"/>
          <w:szCs w:val="22"/>
        </w:rPr>
      </w:pPr>
    </w:p>
    <w:p w14:paraId="70C07D79" w14:textId="77777777" w:rsidR="009B55FB" w:rsidRDefault="009B55FB">
      <w:pPr>
        <w:jc w:val="center"/>
        <w:rPr>
          <w:rFonts w:ascii="Calibri" w:eastAsia="Calibri" w:hAnsi="Calibri" w:cs="Calibri"/>
          <w:sz w:val="22"/>
          <w:szCs w:val="22"/>
        </w:rPr>
      </w:pPr>
    </w:p>
    <w:p w14:paraId="239A6BFE" w14:textId="77777777" w:rsidR="009B55FB" w:rsidRDefault="009B55FB">
      <w:pPr>
        <w:jc w:val="center"/>
        <w:rPr>
          <w:rFonts w:ascii="Calibri" w:eastAsia="Calibri" w:hAnsi="Calibri" w:cs="Calibri"/>
          <w:sz w:val="22"/>
          <w:szCs w:val="22"/>
        </w:rPr>
      </w:pPr>
    </w:p>
    <w:p w14:paraId="762DAB70" w14:textId="77777777" w:rsidR="009B55FB" w:rsidRDefault="00000000">
      <w:pPr>
        <w:jc w:val="center"/>
        <w:rPr>
          <w:rFonts w:ascii="Calibri" w:eastAsia="Calibri" w:hAnsi="Calibri" w:cs="Calibri"/>
          <w:sz w:val="22"/>
          <w:szCs w:val="22"/>
        </w:rPr>
      </w:pPr>
      <w:r>
        <w:rPr>
          <w:rFonts w:ascii="Calibri" w:eastAsia="Calibri" w:hAnsi="Calibri" w:cs="Calibri"/>
          <w:sz w:val="22"/>
          <w:szCs w:val="22"/>
        </w:rPr>
        <w:t>Assinatura do Responsável pela Empresa - (Nome Legível/Cargo)</w:t>
      </w:r>
    </w:p>
    <w:p w14:paraId="5116E26B" w14:textId="77777777" w:rsidR="009B55FB" w:rsidRDefault="00000000">
      <w:pPr>
        <w:jc w:val="center"/>
        <w:rPr>
          <w:rFonts w:ascii="Calibri" w:eastAsia="Calibri" w:hAnsi="Calibri" w:cs="Calibri"/>
          <w:sz w:val="22"/>
          <w:szCs w:val="22"/>
        </w:rPr>
      </w:pPr>
      <w:r>
        <w:br w:type="page"/>
      </w:r>
    </w:p>
    <w:p w14:paraId="75F91116" w14:textId="77777777" w:rsidR="009B55FB" w:rsidRDefault="009B55FB">
      <w:pPr>
        <w:jc w:val="center"/>
        <w:rPr>
          <w:rFonts w:ascii="Calibri" w:eastAsia="Calibri" w:hAnsi="Calibri" w:cs="Calibri"/>
          <w:b/>
          <w:color w:val="000000"/>
          <w:sz w:val="22"/>
          <w:szCs w:val="22"/>
          <w:u w:val="single"/>
        </w:rPr>
      </w:pPr>
    </w:p>
    <w:p w14:paraId="6F11809C" w14:textId="77777777" w:rsidR="009B55FB" w:rsidRDefault="00000000">
      <w:pPr>
        <w:jc w:val="center"/>
        <w:rPr>
          <w:rFonts w:ascii="Calibri" w:eastAsia="Calibri" w:hAnsi="Calibri" w:cs="Calibri"/>
          <w:b/>
          <w:color w:val="000000"/>
          <w:sz w:val="22"/>
          <w:szCs w:val="22"/>
          <w:u w:val="single"/>
        </w:rPr>
      </w:pPr>
      <w:r>
        <w:rPr>
          <w:rFonts w:ascii="Calibri" w:eastAsia="Calibri" w:hAnsi="Calibri" w:cs="Calibri"/>
          <w:b/>
          <w:color w:val="000000"/>
          <w:sz w:val="22"/>
          <w:szCs w:val="22"/>
          <w:u w:val="single"/>
        </w:rPr>
        <w:t>ANEXO – IV</w:t>
      </w:r>
    </w:p>
    <w:p w14:paraId="0D7FD830" w14:textId="77777777" w:rsidR="009B55FB" w:rsidRDefault="00000000">
      <w:pPr>
        <w:spacing w:before="240" w:after="240"/>
        <w:jc w:val="center"/>
        <w:rPr>
          <w:rFonts w:ascii="Calibri" w:eastAsia="Calibri" w:hAnsi="Calibri" w:cs="Calibri"/>
          <w:sz w:val="22"/>
          <w:szCs w:val="22"/>
        </w:rPr>
      </w:pPr>
      <w:r>
        <w:rPr>
          <w:rFonts w:ascii="Calibri" w:eastAsia="Calibri" w:hAnsi="Calibri" w:cs="Calibri"/>
          <w:b/>
          <w:color w:val="000000"/>
          <w:sz w:val="22"/>
          <w:szCs w:val="22"/>
        </w:rPr>
        <w:t xml:space="preserve">MINUTA DO TERMO DE CREDENCIAMENTO </w:t>
      </w:r>
    </w:p>
    <w:p w14:paraId="7C95521F" w14:textId="77777777" w:rsidR="009B55FB" w:rsidRDefault="00000000">
      <w:pPr>
        <w:pBdr>
          <w:top w:val="nil"/>
          <w:left w:val="nil"/>
          <w:bottom w:val="nil"/>
          <w:right w:val="nil"/>
          <w:between w:val="nil"/>
        </w:pBdr>
        <w:spacing w:before="240" w:after="240"/>
        <w:ind w:left="4820"/>
        <w:jc w:val="both"/>
        <w:rPr>
          <w:rFonts w:ascii="Calibri" w:eastAsia="Calibri" w:hAnsi="Calibri" w:cs="Calibri"/>
          <w:color w:val="000000"/>
          <w:sz w:val="22"/>
          <w:szCs w:val="22"/>
        </w:rPr>
      </w:pPr>
      <w:r>
        <w:rPr>
          <w:rFonts w:ascii="Calibri" w:eastAsia="Calibri" w:hAnsi="Calibri" w:cs="Calibri"/>
          <w:color w:val="000000"/>
          <w:sz w:val="22"/>
          <w:szCs w:val="22"/>
        </w:rPr>
        <w:t>TERMO DE CREDENCIAMENTO Nº XX/2025, QUE FAZEM ENTRE SI A FUNDAÇÃO MUNICIPAL DE SAÚDE DE TEIXEIRAS, E XXXXXXXXXXXXXXXXXXXXXX, PARA OS FINS QUE SE ESPECIFICA.</w:t>
      </w:r>
    </w:p>
    <w:p w14:paraId="077C614E" w14:textId="77777777" w:rsidR="009B55FB" w:rsidRDefault="00000000">
      <w:pPr>
        <w:spacing w:before="240" w:after="240"/>
        <w:jc w:val="both"/>
        <w:rPr>
          <w:rFonts w:ascii="Calibri" w:eastAsia="Calibri" w:hAnsi="Calibri" w:cs="Calibri"/>
          <w:sz w:val="22"/>
          <w:szCs w:val="22"/>
        </w:rPr>
      </w:pPr>
      <w:r>
        <w:rPr>
          <w:rFonts w:ascii="Calibri" w:eastAsia="Calibri" w:hAnsi="Calibri" w:cs="Calibri"/>
          <w:sz w:val="22"/>
          <w:szCs w:val="22"/>
        </w:rPr>
        <w:t>A FUMSAT - Fundação Municipal de Saúde de Teixeiras – MG, inscrita no CNPJ sob o nº 18.134.122/0001-36, sediada na Rua Santa Teresa, nº 330, Centro, em Teixeiras, Estado de Minas Gerais, CEP 36.580-0000, neste ato representado(a) pelo(a) Diretor Administrativo Nacife Miguel Burjaile Sobrinho, doravante denominado CONTRATANTE, e o(a) xxxxxxxxxxxxxxxxxxxxxx, inscrito(a) no CPF ou CNPJ/MF sob o nº xxxxxxxxxxxxxxxxxxxxx, sediado(a) na xxxxxxxxxxxxxxxxxxxxx, doravante designado CONTRATADO, neste ato representado(a) por xxxxxxxxxxxxxxxxxxxxxxxxxxxxxx, em observância às disposições da Lei nº 14.133, de 1º de abril de 2021, e demais legislação aplicável, resolvem celebrar o presente Termo de Credenciamento, decorrente do Processo Licitatório n° XX/2025, mediante as cláusulas e condições a seguir enunciadas.</w:t>
      </w:r>
    </w:p>
    <w:p w14:paraId="49ADB27F"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32" w:name="_heading=h.1pxezwc" w:colFirst="0" w:colLast="0"/>
      <w:bookmarkEnd w:id="32"/>
      <w:r>
        <w:rPr>
          <w:rFonts w:ascii="Calibri" w:eastAsia="Calibri" w:hAnsi="Calibri" w:cs="Calibri"/>
          <w:b/>
          <w:color w:val="000000"/>
          <w:sz w:val="22"/>
          <w:szCs w:val="22"/>
        </w:rPr>
        <w:t>CLÁUSULA PRIMEIRA – OBJETO</w:t>
      </w:r>
    </w:p>
    <w:p w14:paraId="27A57EB7"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objeto do presente instrumento é o </w:t>
      </w:r>
      <w:r>
        <w:rPr>
          <w:rFonts w:ascii="Calibri" w:eastAsia="Calibri" w:hAnsi="Calibri" w:cs="Calibri"/>
          <w:b/>
          <w:sz w:val="22"/>
          <w:szCs w:val="22"/>
        </w:rPr>
        <w:t>CREDENCIAMENTO DE CLÍNICAS ESPECIALIZADAS EM OFTALMOLOGIA PARA EXECUÇÃO, EM INSTALAÇÕES PRÓPRIAS, DE CONSULTAS, EXAMES DIAGNÓSTICOS ESPECÍFICOS E PROCEDIMENTOS CIRÚRGICOS E AMBULATORIAIS, COM PROVIMENTO DE TODOS OS EQUIPAMENTOS, APARELHOS E INSUMOS NECESSÁRIOS, INCLUINDO O FORNECIMENTO DE PRÓTESES OFTÁLMICAS ÓCULOS E AOS USUÁRIOS, NOS TERMOS DA TIPOLOGIA III DA DELIBERAÇÃO CIB-SUS/MG Nº 4.065, DE 7 DE DEZEMBRO DE 2022</w:t>
      </w:r>
      <w:r>
        <w:rPr>
          <w:rFonts w:ascii="Calibri" w:eastAsia="Calibri" w:hAnsi="Calibri" w:cs="Calibri"/>
          <w:b/>
          <w:color w:val="000000"/>
          <w:sz w:val="22"/>
          <w:szCs w:val="22"/>
        </w:rPr>
        <w:t xml:space="preserve">, </w:t>
      </w:r>
      <w:r>
        <w:rPr>
          <w:rFonts w:ascii="Calibri" w:eastAsia="Calibri" w:hAnsi="Calibri" w:cs="Calibri"/>
          <w:color w:val="000000"/>
          <w:sz w:val="22"/>
          <w:szCs w:val="22"/>
        </w:rPr>
        <w:t>nas condições estabelecidas no Termo de Referência.</w:t>
      </w:r>
    </w:p>
    <w:p w14:paraId="12FAFE63"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Objeto da contratação:</w:t>
      </w:r>
    </w:p>
    <w:tbl>
      <w:tblPr>
        <w:tblStyle w:val="a7"/>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1"/>
        <w:gridCol w:w="3757"/>
        <w:gridCol w:w="1589"/>
        <w:gridCol w:w="1300"/>
        <w:gridCol w:w="1841"/>
      </w:tblGrid>
      <w:tr w:rsidR="009B55FB" w14:paraId="51E31F65" w14:textId="77777777">
        <w:tc>
          <w:tcPr>
            <w:tcW w:w="1141" w:type="dxa"/>
            <w:tcBorders>
              <w:top w:val="single" w:sz="4" w:space="0" w:color="000000"/>
              <w:left w:val="single" w:sz="4" w:space="0" w:color="000000"/>
              <w:bottom w:val="single" w:sz="4" w:space="0" w:color="000000"/>
              <w:right w:val="single" w:sz="4" w:space="0" w:color="000000"/>
            </w:tcBorders>
            <w:vAlign w:val="center"/>
          </w:tcPr>
          <w:p w14:paraId="41FDCF84" w14:textId="77777777" w:rsidR="009B55FB" w:rsidRDefault="00000000">
            <w:pPr>
              <w:widowControl w:val="0"/>
              <w:spacing w:after="0" w:line="240" w:lineRule="auto"/>
              <w:jc w:val="center"/>
              <w:rPr>
                <w:b/>
                <w:color w:val="000000"/>
              </w:rPr>
            </w:pPr>
            <w:r>
              <w:rPr>
                <w:b/>
                <w:color w:val="000000"/>
              </w:rPr>
              <w:t>ITEM</w:t>
            </w:r>
          </w:p>
        </w:tc>
        <w:tc>
          <w:tcPr>
            <w:tcW w:w="3757" w:type="dxa"/>
            <w:tcBorders>
              <w:top w:val="single" w:sz="4" w:space="0" w:color="000000"/>
              <w:left w:val="single" w:sz="4" w:space="0" w:color="000000"/>
              <w:bottom w:val="single" w:sz="4" w:space="0" w:color="000000"/>
              <w:right w:val="single" w:sz="4" w:space="0" w:color="000000"/>
            </w:tcBorders>
            <w:vAlign w:val="center"/>
          </w:tcPr>
          <w:p w14:paraId="410ED398" w14:textId="77777777" w:rsidR="009B55FB" w:rsidRDefault="00000000">
            <w:pPr>
              <w:widowControl w:val="0"/>
              <w:spacing w:after="0" w:line="240" w:lineRule="auto"/>
              <w:jc w:val="center"/>
              <w:rPr>
                <w:color w:val="000000"/>
              </w:rPr>
            </w:pPr>
            <w:r>
              <w:rPr>
                <w:b/>
                <w:color w:val="000000"/>
              </w:rPr>
              <w:t>ESPECIFICAÇÃO DO SERVIÇO</w:t>
            </w:r>
          </w:p>
        </w:tc>
        <w:tc>
          <w:tcPr>
            <w:tcW w:w="1589" w:type="dxa"/>
            <w:tcBorders>
              <w:top w:val="single" w:sz="4" w:space="0" w:color="000000"/>
              <w:left w:val="single" w:sz="4" w:space="0" w:color="000000"/>
              <w:bottom w:val="single" w:sz="4" w:space="0" w:color="000000"/>
              <w:right w:val="single" w:sz="4" w:space="0" w:color="000000"/>
            </w:tcBorders>
            <w:vAlign w:val="center"/>
          </w:tcPr>
          <w:p w14:paraId="70D8437C" w14:textId="77777777" w:rsidR="009B55FB" w:rsidRDefault="00000000">
            <w:pPr>
              <w:widowControl w:val="0"/>
              <w:spacing w:after="0" w:line="240" w:lineRule="auto"/>
              <w:jc w:val="center"/>
              <w:rPr>
                <w:color w:val="000000"/>
              </w:rPr>
            </w:pPr>
            <w:r>
              <w:rPr>
                <w:b/>
                <w:color w:val="000000"/>
              </w:rPr>
              <w:t>UN</w:t>
            </w:r>
          </w:p>
        </w:tc>
        <w:tc>
          <w:tcPr>
            <w:tcW w:w="1300" w:type="dxa"/>
            <w:tcBorders>
              <w:top w:val="single" w:sz="4" w:space="0" w:color="000000"/>
              <w:left w:val="single" w:sz="4" w:space="0" w:color="000000"/>
              <w:bottom w:val="single" w:sz="4" w:space="0" w:color="000000"/>
              <w:right w:val="single" w:sz="4" w:space="0" w:color="000000"/>
            </w:tcBorders>
            <w:vAlign w:val="center"/>
          </w:tcPr>
          <w:p w14:paraId="33A1E103" w14:textId="77777777" w:rsidR="009B55FB" w:rsidRDefault="00000000">
            <w:pPr>
              <w:widowControl w:val="0"/>
              <w:spacing w:after="0" w:line="240" w:lineRule="auto"/>
              <w:jc w:val="center"/>
              <w:rPr>
                <w:b/>
              </w:rPr>
            </w:pPr>
            <w:r>
              <w:rPr>
                <w:b/>
              </w:rPr>
              <w:t>QUANT.</w:t>
            </w:r>
          </w:p>
        </w:tc>
        <w:tc>
          <w:tcPr>
            <w:tcW w:w="1841" w:type="dxa"/>
            <w:tcBorders>
              <w:top w:val="single" w:sz="4" w:space="0" w:color="000000"/>
              <w:left w:val="single" w:sz="4" w:space="0" w:color="000000"/>
              <w:bottom w:val="single" w:sz="4" w:space="0" w:color="000000"/>
              <w:right w:val="single" w:sz="4" w:space="0" w:color="000000"/>
            </w:tcBorders>
            <w:vAlign w:val="center"/>
          </w:tcPr>
          <w:p w14:paraId="6441F865" w14:textId="77777777" w:rsidR="009B55FB" w:rsidRDefault="00000000">
            <w:pPr>
              <w:widowControl w:val="0"/>
              <w:spacing w:after="0" w:line="240" w:lineRule="auto"/>
              <w:jc w:val="center"/>
              <w:rPr>
                <w:b/>
              </w:rPr>
            </w:pPr>
            <w:r>
              <w:rPr>
                <w:b/>
              </w:rPr>
              <w:t>VALOR UNITÁRIO</w:t>
            </w:r>
          </w:p>
        </w:tc>
      </w:tr>
      <w:tr w:rsidR="009B55FB" w14:paraId="6D1776EC" w14:textId="77777777">
        <w:tc>
          <w:tcPr>
            <w:tcW w:w="1141" w:type="dxa"/>
            <w:tcBorders>
              <w:top w:val="single" w:sz="4" w:space="0" w:color="000000"/>
              <w:left w:val="single" w:sz="4" w:space="0" w:color="000000"/>
              <w:bottom w:val="single" w:sz="4" w:space="0" w:color="000000"/>
              <w:right w:val="single" w:sz="4" w:space="0" w:color="000000"/>
            </w:tcBorders>
            <w:vAlign w:val="center"/>
          </w:tcPr>
          <w:p w14:paraId="11384454" w14:textId="77777777" w:rsidR="009B55FB" w:rsidRDefault="009B55FB">
            <w:pPr>
              <w:widowControl w:val="0"/>
              <w:spacing w:after="0" w:line="240" w:lineRule="auto"/>
              <w:jc w:val="center"/>
              <w:rPr>
                <w:color w:val="000000"/>
              </w:rPr>
            </w:pPr>
          </w:p>
        </w:tc>
        <w:tc>
          <w:tcPr>
            <w:tcW w:w="3757" w:type="dxa"/>
            <w:tcBorders>
              <w:top w:val="single" w:sz="4" w:space="0" w:color="000000"/>
              <w:left w:val="single" w:sz="4" w:space="0" w:color="000000"/>
              <w:bottom w:val="single" w:sz="4" w:space="0" w:color="000000"/>
              <w:right w:val="single" w:sz="4" w:space="0" w:color="000000"/>
            </w:tcBorders>
          </w:tcPr>
          <w:p w14:paraId="36A20DCD" w14:textId="77777777" w:rsidR="009B55FB" w:rsidRDefault="009B55FB">
            <w:pPr>
              <w:widowControl w:val="0"/>
              <w:spacing w:after="0" w:line="240" w:lineRule="auto"/>
              <w:jc w:val="both"/>
              <w:rPr>
                <w:color w:val="000000"/>
              </w:rPr>
            </w:pPr>
          </w:p>
        </w:tc>
        <w:tc>
          <w:tcPr>
            <w:tcW w:w="1589" w:type="dxa"/>
            <w:tcBorders>
              <w:top w:val="single" w:sz="4" w:space="0" w:color="000000"/>
              <w:left w:val="single" w:sz="4" w:space="0" w:color="000000"/>
              <w:bottom w:val="single" w:sz="4" w:space="0" w:color="000000"/>
              <w:right w:val="single" w:sz="4" w:space="0" w:color="000000"/>
            </w:tcBorders>
            <w:vAlign w:val="center"/>
          </w:tcPr>
          <w:p w14:paraId="01F84FA9" w14:textId="77777777" w:rsidR="009B55FB" w:rsidRDefault="009B55FB">
            <w:pPr>
              <w:widowControl w:val="0"/>
              <w:spacing w:after="0" w:line="240" w:lineRule="auto"/>
              <w:jc w:val="center"/>
              <w:rPr>
                <w:color w:val="000000"/>
              </w:rPr>
            </w:pPr>
          </w:p>
        </w:tc>
        <w:tc>
          <w:tcPr>
            <w:tcW w:w="1300" w:type="dxa"/>
            <w:tcBorders>
              <w:top w:val="single" w:sz="4" w:space="0" w:color="000000"/>
              <w:left w:val="single" w:sz="4" w:space="0" w:color="000000"/>
              <w:bottom w:val="single" w:sz="4" w:space="0" w:color="000000"/>
              <w:right w:val="single" w:sz="4" w:space="0" w:color="000000"/>
            </w:tcBorders>
            <w:vAlign w:val="center"/>
          </w:tcPr>
          <w:p w14:paraId="2E14C63C" w14:textId="77777777" w:rsidR="009B55FB" w:rsidRDefault="009B55FB">
            <w:pPr>
              <w:widowControl w:val="0"/>
              <w:spacing w:after="0" w:line="240" w:lineRule="auto"/>
              <w:jc w:val="center"/>
              <w:rPr>
                <w:color w:val="000000"/>
              </w:rPr>
            </w:pPr>
          </w:p>
        </w:tc>
        <w:tc>
          <w:tcPr>
            <w:tcW w:w="1841" w:type="dxa"/>
            <w:tcBorders>
              <w:top w:val="single" w:sz="4" w:space="0" w:color="000000"/>
              <w:left w:val="single" w:sz="4" w:space="0" w:color="000000"/>
              <w:bottom w:val="single" w:sz="4" w:space="0" w:color="000000"/>
              <w:right w:val="single" w:sz="4" w:space="0" w:color="000000"/>
            </w:tcBorders>
          </w:tcPr>
          <w:p w14:paraId="6E05BC58" w14:textId="77777777" w:rsidR="009B55FB" w:rsidRDefault="009B55FB">
            <w:pPr>
              <w:widowControl w:val="0"/>
              <w:spacing w:after="0" w:line="240" w:lineRule="auto"/>
              <w:jc w:val="center"/>
              <w:rPr>
                <w:color w:val="000000"/>
              </w:rPr>
            </w:pPr>
          </w:p>
        </w:tc>
      </w:tr>
    </w:tbl>
    <w:p w14:paraId="383A3EC9"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Vinculam esta contratação, independentemente de transcrição:</w:t>
      </w:r>
    </w:p>
    <w:p w14:paraId="2D877305"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Termo de Referência;</w:t>
      </w:r>
    </w:p>
    <w:p w14:paraId="40546407"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Edital de Credenciamento;</w:t>
      </w:r>
    </w:p>
    <w:p w14:paraId="008E38E3"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Eventuais anexos dos documentos supracitados.</w:t>
      </w:r>
    </w:p>
    <w:p w14:paraId="6B2915DC"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33" w:name="_heading=h.49x2ik5" w:colFirst="0" w:colLast="0"/>
      <w:bookmarkEnd w:id="33"/>
      <w:r>
        <w:rPr>
          <w:rFonts w:ascii="Calibri" w:eastAsia="Calibri" w:hAnsi="Calibri" w:cs="Calibri"/>
          <w:b/>
          <w:color w:val="000000"/>
          <w:sz w:val="22"/>
          <w:szCs w:val="22"/>
        </w:rPr>
        <w:t>CLÁUSULA SEGUNDA – VIGÊNCIA E PRORROGAÇÃO</w:t>
      </w:r>
    </w:p>
    <w:p w14:paraId="22387802"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prazo de vigência da contratação é de XXXXXXX, contados da assinatura do contrato, na forma do artigo 105 da Lei n° 14.133, de 2021.</w:t>
      </w:r>
    </w:p>
    <w:p w14:paraId="6B60B712"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85C1F47"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34" w:name="_heading=h.2p2csry" w:colFirst="0" w:colLast="0"/>
      <w:bookmarkEnd w:id="34"/>
      <w:r>
        <w:rPr>
          <w:rFonts w:ascii="Calibri" w:eastAsia="Calibri" w:hAnsi="Calibri" w:cs="Calibri"/>
          <w:b/>
          <w:color w:val="000000"/>
          <w:sz w:val="22"/>
          <w:szCs w:val="22"/>
        </w:rPr>
        <w:lastRenderedPageBreak/>
        <w:t xml:space="preserve">CLÁUSULA TERCEIRA – MODELOS DE EXECUÇÃO E GESTÃO CONTRATUAIS </w:t>
      </w:r>
    </w:p>
    <w:p w14:paraId="0128DCCF"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regime de execução contratual, os modelos de gestão e de execução, assim como os prazos e condições de conclusão, entrega, observação e recebimento do objeto constam no Termo de Referência (</w:t>
      </w:r>
      <w:r>
        <w:rPr>
          <w:rFonts w:ascii="Calibri" w:eastAsia="Calibri" w:hAnsi="Calibri" w:cs="Calibri"/>
          <w:b/>
          <w:color w:val="000000"/>
          <w:sz w:val="22"/>
          <w:szCs w:val="22"/>
          <w:u w:val="single"/>
        </w:rPr>
        <w:t>ANEXO I DO EDITAL</w:t>
      </w:r>
      <w:r>
        <w:rPr>
          <w:rFonts w:ascii="Calibri" w:eastAsia="Calibri" w:hAnsi="Calibri" w:cs="Calibri"/>
          <w:color w:val="000000"/>
          <w:sz w:val="22"/>
          <w:szCs w:val="22"/>
        </w:rPr>
        <w:t>).</w:t>
      </w:r>
    </w:p>
    <w:p w14:paraId="17ABA7F9"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35" w:name="_heading=h.147n2zr" w:colFirst="0" w:colLast="0"/>
      <w:bookmarkEnd w:id="35"/>
      <w:r>
        <w:rPr>
          <w:rFonts w:ascii="Calibri" w:eastAsia="Calibri" w:hAnsi="Calibri" w:cs="Calibri"/>
          <w:b/>
          <w:color w:val="000000"/>
          <w:sz w:val="22"/>
          <w:szCs w:val="22"/>
        </w:rPr>
        <w:t>CLÁUSULA QUARTA – SUBCONTRATAÇÃO</w:t>
      </w:r>
    </w:p>
    <w:p w14:paraId="2F57CCD5"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Não será admitida a subcontratação do objeto contratual.</w:t>
      </w:r>
    </w:p>
    <w:p w14:paraId="5659D065"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36" w:name="_heading=h.3o7alnk" w:colFirst="0" w:colLast="0"/>
      <w:bookmarkEnd w:id="36"/>
      <w:r>
        <w:rPr>
          <w:rFonts w:ascii="Calibri" w:eastAsia="Calibri" w:hAnsi="Calibri" w:cs="Calibri"/>
          <w:b/>
          <w:color w:val="000000"/>
          <w:sz w:val="22"/>
          <w:szCs w:val="22"/>
        </w:rPr>
        <w:t>CLÁUSULA QUINTA – PREÇO E PRAZOS</w:t>
      </w:r>
    </w:p>
    <w:p w14:paraId="4E9CA00C"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valores a serem pagos pelo serviço serão os previamente definidos no edital de acordo com a tabela no Termo de Referência – Anexo I do Edital.</w:t>
      </w:r>
    </w:p>
    <w:p w14:paraId="69B4DD59"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A9C9C3C"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Credenciada iniciará os serviços na data da assinatura do presente Termo, servindo também como ORDEM DE INÍCIO DOS SERVIÇOS, vigorando por 12 (doze) meses. Poderá haver prorrogação, por acordo e conveniência das partes, respeitado o limite previsto no artigo 107, da Lei 14.133/2021.</w:t>
      </w:r>
    </w:p>
    <w:p w14:paraId="4522A222"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37" w:name="_heading=h.23ckvvd" w:colFirst="0" w:colLast="0"/>
      <w:bookmarkEnd w:id="37"/>
      <w:r>
        <w:rPr>
          <w:rFonts w:ascii="Calibri" w:eastAsia="Calibri" w:hAnsi="Calibri" w:cs="Calibri"/>
          <w:b/>
          <w:color w:val="000000"/>
          <w:sz w:val="22"/>
          <w:szCs w:val="22"/>
        </w:rPr>
        <w:t>CLÁUSULA SEXTA - PAGAMENTO</w:t>
      </w:r>
    </w:p>
    <w:p w14:paraId="5CB2C140"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prazo para pagamento ao contratado e demais condições a ele referentes encontram-se definidos no Termo de Referência, anexo a este Contrato.</w:t>
      </w:r>
    </w:p>
    <w:p w14:paraId="50AC985A"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38" w:name="_heading=h.ihv636" w:colFirst="0" w:colLast="0"/>
      <w:bookmarkEnd w:id="38"/>
      <w:r>
        <w:rPr>
          <w:rFonts w:ascii="Calibri" w:eastAsia="Calibri" w:hAnsi="Calibri" w:cs="Calibri"/>
          <w:b/>
          <w:color w:val="000000"/>
          <w:sz w:val="22"/>
          <w:szCs w:val="22"/>
        </w:rPr>
        <w:t>CLÁUSULA SÉTIMA - REAJUSTE</w:t>
      </w:r>
    </w:p>
    <w:p w14:paraId="085DA850"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preços inicialmente contratados são fixos e irreajustáveis no prazo de um ano contado da data limite para a apresentação das propostas de credenciamento.</w:t>
      </w:r>
    </w:p>
    <w:p w14:paraId="0C0EC2F5"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bookmarkStart w:id="39" w:name="_heading=h.32hioqz" w:colFirst="0" w:colLast="0"/>
      <w:bookmarkEnd w:id="39"/>
      <w:r>
        <w:rPr>
          <w:rFonts w:ascii="Calibri" w:eastAsia="Calibri" w:hAnsi="Calibri" w:cs="Calibri"/>
          <w:color w:val="000000"/>
          <w:sz w:val="22"/>
          <w:szCs w:val="22"/>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2D59E5D4"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Nos reajustes subsequentes ao primeiro, o interregno mínimo de um ano será contado a partir dos efeitos financeiros do último reajuste.</w:t>
      </w:r>
    </w:p>
    <w:p w14:paraId="6CD2D206"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ED0327A"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Nas aferições finais, o(s) índice(s) utilizado(s) para reajuste será(ão), obrigatoriamente, o(s) definitivo(s).</w:t>
      </w:r>
    </w:p>
    <w:p w14:paraId="442D6DBA"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DD758B5"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Na ausência de previsão legal quanto ao índice substituto, as partes elegerão novo índice oficial, para reajustamento do preço do valor remanescente, por meio de termo aditivo. </w:t>
      </w:r>
    </w:p>
    <w:p w14:paraId="6972CCF3"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O reajuste será realizado por apostilamento.</w:t>
      </w:r>
    </w:p>
    <w:p w14:paraId="742D8521"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0" w:name="_heading=h.1hmsyys" w:colFirst="0" w:colLast="0"/>
      <w:bookmarkEnd w:id="40"/>
      <w:r>
        <w:rPr>
          <w:rFonts w:ascii="Calibri" w:eastAsia="Calibri" w:hAnsi="Calibri" w:cs="Calibri"/>
          <w:b/>
          <w:color w:val="000000"/>
          <w:sz w:val="22"/>
          <w:szCs w:val="22"/>
        </w:rPr>
        <w:t xml:space="preserve">CLÁUSULA OITAVA - OBRIGAÇÕES DAS PARTES </w:t>
      </w:r>
    </w:p>
    <w:p w14:paraId="115930B0" w14:textId="77777777" w:rsidR="009B55FB" w:rsidRDefault="00000000">
      <w:pPr>
        <w:keepNext/>
        <w:keepLines/>
        <w:pBdr>
          <w:top w:val="nil"/>
          <w:left w:val="nil"/>
          <w:bottom w:val="nil"/>
          <w:right w:val="nil"/>
          <w:between w:val="nil"/>
        </w:pBdr>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t>Obrigações da contratada</w:t>
      </w:r>
    </w:p>
    <w:p w14:paraId="25AD806B"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C24505B"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Manter preposto aceito pela Administração para a prestação do serviço para representá-lo na execução do contrato.</w:t>
      </w:r>
    </w:p>
    <w:p w14:paraId="682B7179"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indicação ou a manutenção do preposto da empresa poderá ser recusada pelo órgão ou entidade, desde que devidamente justificada, devendo a empresa designar outro para o exercício da atividade.</w:t>
      </w:r>
    </w:p>
    <w:p w14:paraId="65AD148F"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Atender às determinações regulares emitidas pelo fiscal do contrato ou autoridade superior (</w:t>
      </w:r>
      <w:hyperlink r:id="rId35" w:anchor="art137">
        <w:r w:rsidR="009B55FB">
          <w:rPr>
            <w:rFonts w:ascii="Calibri" w:eastAsia="Calibri" w:hAnsi="Calibri" w:cs="Calibri"/>
            <w:color w:val="000000"/>
            <w:sz w:val="22"/>
            <w:szCs w:val="22"/>
          </w:rPr>
          <w:t>art. 137, II</w:t>
        </w:r>
      </w:hyperlink>
      <w:r>
        <w:rPr>
          <w:rFonts w:ascii="Calibri" w:eastAsia="Calibri" w:hAnsi="Calibri" w:cs="Calibri"/>
          <w:color w:val="000000"/>
          <w:sz w:val="22"/>
          <w:szCs w:val="22"/>
        </w:rPr>
        <w:t>) e prestar todo esclarecimento ou informação por eles solicitados;</w:t>
      </w:r>
    </w:p>
    <w:p w14:paraId="3BFA977A"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79201E2"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75EF76B"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Responsabilizar-se pelos vícios e danos decorrentes da execução do objeto, de acordo com o </w:t>
      </w:r>
      <w:hyperlink r:id="rId36">
        <w:r w:rsidR="009B55FB">
          <w:rPr>
            <w:rFonts w:ascii="Calibri" w:eastAsia="Calibri" w:hAnsi="Calibri" w:cs="Calibri"/>
            <w:color w:val="000000"/>
            <w:sz w:val="22"/>
            <w:szCs w:val="22"/>
          </w:rPr>
          <w:t>Código de Defesa do Consumidor (Lei nº 8.078, de 1990</w:t>
        </w:r>
      </w:hyperlink>
      <w:r>
        <w:rPr>
          <w:rFonts w:ascii="Calibri" w:eastAsia="Calibri" w:hAnsi="Calibri" w:cs="Calibri"/>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146A62D"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37" w:anchor="art48">
        <w:r w:rsidR="009B55FB">
          <w:rPr>
            <w:rFonts w:ascii="Calibri" w:eastAsia="Calibri" w:hAnsi="Calibri" w:cs="Calibri"/>
            <w:color w:val="000000"/>
            <w:sz w:val="22"/>
            <w:szCs w:val="22"/>
          </w:rPr>
          <w:t>artigo 48, parágrafo único, da Lei nº 14.133, de 2021</w:t>
        </w:r>
      </w:hyperlink>
      <w:r>
        <w:rPr>
          <w:rFonts w:ascii="Calibri" w:eastAsia="Calibri" w:hAnsi="Calibri" w:cs="Calibri"/>
          <w:color w:val="000000"/>
          <w:sz w:val="22"/>
          <w:szCs w:val="22"/>
        </w:rPr>
        <w:t>;</w:t>
      </w:r>
    </w:p>
    <w:p w14:paraId="3E61F22D"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E947C7E"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Responsabilizar-se pelo cumprimento das obrigações previstas em Acordo, Convenção, Dissídio Coletivo de Trabalho ou equivalentes das categorias abrangidas pelo contrato, por todas as obrigações </w:t>
      </w:r>
      <w:r>
        <w:rPr>
          <w:rFonts w:ascii="Calibri" w:eastAsia="Calibri" w:hAnsi="Calibri" w:cs="Calibri"/>
          <w:color w:val="000000"/>
          <w:sz w:val="22"/>
          <w:szCs w:val="22"/>
        </w:rPr>
        <w:lastRenderedPageBreak/>
        <w:t xml:space="preserve">trabalhistas, sociais, previdenciárias, tributárias e as demais previstas em legislação específica, cuja inadimplência não transfere a responsabilidade ao Contratante; </w:t>
      </w:r>
    </w:p>
    <w:p w14:paraId="3178C6F0"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Comunicar ao Fiscal do contrato, no prazo de 24 (vinte e quatro) horas, qualquer ocorrência anormal ou acidente que se verifique no local dos serviços.</w:t>
      </w:r>
    </w:p>
    <w:p w14:paraId="0174C4E0"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77B17720"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Paralisar, por determinação do Contratante, qualquer atividade que não esteja sendo executada de acordo com a boa técnica ou que ponha em risco a segurança de pessoas ou bens de terceiros.</w:t>
      </w:r>
    </w:p>
    <w:p w14:paraId="6E33F7D7"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Promover a guarda, manutenção e vigilância de materiais, ferramentas, e tudo o que for necessário à execução do objeto, durante a vigência do contrato.</w:t>
      </w:r>
    </w:p>
    <w:p w14:paraId="5AB7EA2A"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C9F3F39"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Submeter previamente, por escrito, ao Contratante, para análise e aprovação, quaisquer mudanças nos métodos executivos que fujam às especificações definidas neste termo.</w:t>
      </w:r>
    </w:p>
    <w:p w14:paraId="6449521C"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DFE54B"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 Manter durante toda a vigência do contrato, em compatibilidade com as obrigações assumidas, todas as condições exigidas para habilitação na licitação; </w:t>
      </w:r>
    </w:p>
    <w:p w14:paraId="076C6862"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8" w:anchor="art116">
        <w:r w:rsidR="009B55FB">
          <w:rPr>
            <w:rFonts w:ascii="Calibri" w:eastAsia="Calibri" w:hAnsi="Calibri" w:cs="Calibri"/>
            <w:color w:val="000000"/>
            <w:sz w:val="22"/>
            <w:szCs w:val="22"/>
          </w:rPr>
          <w:t>art. 116</w:t>
        </w:r>
      </w:hyperlink>
      <w:r>
        <w:rPr>
          <w:rFonts w:ascii="Calibri" w:eastAsia="Calibri" w:hAnsi="Calibri" w:cs="Calibri"/>
          <w:color w:val="000000"/>
          <w:sz w:val="22"/>
          <w:szCs w:val="22"/>
        </w:rPr>
        <w:t>);</w:t>
      </w:r>
    </w:p>
    <w:p w14:paraId="64ED2E13"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Comprovar a reserva de cargos a que se refere a cláusula acima, no prazo fixado pelo fiscal do contrato, com a indicação dos empregados que preencheram as referidas vagas (</w:t>
      </w:r>
      <w:hyperlink r:id="rId39" w:anchor="art116">
        <w:r w:rsidR="009B55FB">
          <w:rPr>
            <w:rFonts w:ascii="Calibri" w:eastAsia="Calibri" w:hAnsi="Calibri" w:cs="Calibri"/>
            <w:color w:val="000000"/>
            <w:sz w:val="22"/>
            <w:szCs w:val="22"/>
          </w:rPr>
          <w:t>art. 116, parágrafo único</w:t>
        </w:r>
      </w:hyperlink>
      <w:r>
        <w:rPr>
          <w:rFonts w:ascii="Calibri" w:eastAsia="Calibri" w:hAnsi="Calibri" w:cs="Calibri"/>
          <w:color w:val="000000"/>
          <w:sz w:val="22"/>
          <w:szCs w:val="22"/>
        </w:rPr>
        <w:t>);</w:t>
      </w:r>
    </w:p>
    <w:p w14:paraId="7A0D6AC3"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Guardar sigilo sobre todas as informações obtidas em decorrência do cumprimento do contrato;</w:t>
      </w:r>
    </w:p>
    <w:p w14:paraId="6FC5AF33"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0" w:anchor="art124">
        <w:r w:rsidR="009B55FB">
          <w:rPr>
            <w:rFonts w:ascii="Calibri" w:eastAsia="Calibri" w:hAnsi="Calibri" w:cs="Calibri"/>
            <w:color w:val="000000"/>
            <w:sz w:val="22"/>
            <w:szCs w:val="22"/>
          </w:rPr>
          <w:t>art. 124, II, d, da Lei nº 14.133, de 2021</w:t>
        </w:r>
      </w:hyperlink>
      <w:r>
        <w:rPr>
          <w:rFonts w:ascii="Calibri" w:eastAsia="Calibri" w:hAnsi="Calibri" w:cs="Calibri"/>
          <w:color w:val="000000"/>
          <w:sz w:val="22"/>
          <w:szCs w:val="22"/>
        </w:rPr>
        <w:t>;</w:t>
      </w:r>
    </w:p>
    <w:p w14:paraId="0DDF3B2E"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Cumprir, além dos postulados legais vigentes de âmbito federal, estadual ou municipal, as normas de segurança do Contratante;</w:t>
      </w:r>
    </w:p>
    <w:p w14:paraId="47EE0CBB" w14:textId="77777777" w:rsidR="009B55FB" w:rsidRDefault="00000000">
      <w:pPr>
        <w:keepNext/>
        <w:keepLines/>
        <w:pBdr>
          <w:top w:val="nil"/>
          <w:left w:val="nil"/>
          <w:bottom w:val="nil"/>
          <w:right w:val="nil"/>
          <w:between w:val="nil"/>
        </w:pBdr>
        <w:spacing w:before="240" w:after="240"/>
        <w:jc w:val="both"/>
        <w:rPr>
          <w:rFonts w:ascii="Calibri" w:eastAsia="Calibri" w:hAnsi="Calibri" w:cs="Calibri"/>
          <w:b/>
          <w:color w:val="000000"/>
          <w:sz w:val="22"/>
          <w:szCs w:val="22"/>
        </w:rPr>
      </w:pPr>
      <w:r>
        <w:rPr>
          <w:rFonts w:ascii="Calibri" w:eastAsia="Calibri" w:hAnsi="Calibri" w:cs="Calibri"/>
          <w:b/>
          <w:color w:val="000000"/>
          <w:sz w:val="22"/>
          <w:szCs w:val="22"/>
        </w:rPr>
        <w:lastRenderedPageBreak/>
        <w:t>Obrigações da contratante</w:t>
      </w:r>
    </w:p>
    <w:p w14:paraId="126B448B"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Exigir o cumprimento de todas as obrigações assumidas pelo Contratado, de acordo com o contrato e seus anexos;</w:t>
      </w:r>
    </w:p>
    <w:p w14:paraId="38313D79"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Receber o objeto no prazo e condições estabelecidas no Termo de Referência;</w:t>
      </w:r>
    </w:p>
    <w:p w14:paraId="54100E8B"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Notificar o Contratado, por escrito, sobre vícios, defeitos ou incorreções verificadas no objeto fornecido, para que seja por ele substituído, reparado ou corrigido, no total ou em parte, às suas expensas;</w:t>
      </w:r>
    </w:p>
    <w:p w14:paraId="070ABE32"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Acompanhar e fiscalizar a execução do contrato e o cumprimento das obrigações pelo Contratado;</w:t>
      </w:r>
    </w:p>
    <w:p w14:paraId="422F3385"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7D8475D"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Efetuar o pagamento ao Contratado do valor correspondente à execução do objeto, no prazo, forma e condições estabelecidos no presente Contrato e no Termo de Referência;</w:t>
      </w:r>
    </w:p>
    <w:p w14:paraId="2F3690A8"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Aplicar ao Contratado as sanções previstas na lei e neste Contrato; </w:t>
      </w:r>
    </w:p>
    <w:p w14:paraId="5B5836A6"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Cientificar a Assessoria Jurídica do município para adoção das medidas cabíveis quando do descumprimento de obrigações pelo Contratado;</w:t>
      </w:r>
    </w:p>
    <w:p w14:paraId="6235724B"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000000"/>
          <w:sz w:val="22"/>
          <w:szCs w:val="22"/>
        </w:rPr>
      </w:pPr>
      <w:r>
        <w:rPr>
          <w:rFonts w:ascii="Calibri" w:eastAsia="Calibri" w:hAnsi="Calibri" w:cs="Calibri"/>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6E87FB"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b/>
          <w:color w:val="000000"/>
          <w:sz w:val="22"/>
          <w:szCs w:val="22"/>
        </w:rPr>
      </w:pPr>
      <w:r>
        <w:rPr>
          <w:rFonts w:ascii="Calibri" w:eastAsia="Calibri" w:hAnsi="Calibri" w:cs="Calibri"/>
          <w:color w:val="000000"/>
          <w:sz w:val="22"/>
          <w:szCs w:val="22"/>
        </w:rPr>
        <w:t>A Administração terá o prazo de</w:t>
      </w:r>
      <w:r>
        <w:rPr>
          <w:rFonts w:ascii="Calibri" w:eastAsia="Calibri" w:hAnsi="Calibri" w:cs="Calibri"/>
          <w:i/>
          <w:color w:val="FF0000"/>
          <w:sz w:val="22"/>
          <w:szCs w:val="22"/>
        </w:rPr>
        <w:t xml:space="preserve"> </w:t>
      </w:r>
      <w:r>
        <w:rPr>
          <w:rFonts w:ascii="Calibri" w:eastAsia="Calibri" w:hAnsi="Calibri" w:cs="Calibri"/>
          <w:color w:val="000000"/>
          <w:sz w:val="22"/>
          <w:szCs w:val="22"/>
        </w:rPr>
        <w:t xml:space="preserve">até 30 (trinta) dias úteis, a contar da data do protocolo do requerimento para decidir, admitida a prorrogação motivada, por igual período. </w:t>
      </w:r>
    </w:p>
    <w:p w14:paraId="26636EC5"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color w:val="FF0000"/>
          <w:sz w:val="22"/>
          <w:szCs w:val="22"/>
        </w:rPr>
      </w:pPr>
      <w:r>
        <w:rPr>
          <w:rFonts w:ascii="Calibri" w:eastAsia="Calibri" w:hAnsi="Calibri" w:cs="Calibri"/>
          <w:color w:val="000000"/>
          <w:sz w:val="22"/>
          <w:szCs w:val="22"/>
        </w:rPr>
        <w:t>Responder eventuais pedidos de reestabelecimento do equilíbrio econômico-financeiro feitos pelo contratado no prazo máximo de 15 (quinze) dias úteis.</w:t>
      </w:r>
    </w:p>
    <w:p w14:paraId="4F9D3316"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bookmarkStart w:id="41" w:name="_heading=h.41mghml" w:colFirst="0" w:colLast="0"/>
      <w:bookmarkEnd w:id="41"/>
      <w:r>
        <w:rPr>
          <w:rFonts w:ascii="Calibri" w:eastAsia="Calibri" w:hAnsi="Calibri" w:cs="Calibri"/>
          <w:color w:val="000000"/>
          <w:sz w:val="22"/>
          <w:szCs w:val="22"/>
        </w:rPr>
        <w:t xml:space="preserve">Comunicar o Contratado na hipótese de posterior alteração do projeto pelo Contratante, no caso </w:t>
      </w:r>
      <w:hyperlink r:id="rId41" w:anchor="art93%C2%A72">
        <w:r w:rsidR="009B55FB">
          <w:rPr>
            <w:rFonts w:ascii="Calibri" w:eastAsia="Calibri" w:hAnsi="Calibri" w:cs="Calibri"/>
            <w:color w:val="000080"/>
            <w:sz w:val="22"/>
            <w:szCs w:val="22"/>
            <w:u w:val="single"/>
          </w:rPr>
          <w:t>do art. 93, §2º, da Lei nº 14.133, de 2021</w:t>
        </w:r>
      </w:hyperlink>
      <w:r>
        <w:rPr>
          <w:rFonts w:ascii="Calibri" w:eastAsia="Calibri" w:hAnsi="Calibri" w:cs="Calibri"/>
          <w:color w:val="000000"/>
          <w:sz w:val="22"/>
          <w:szCs w:val="22"/>
        </w:rPr>
        <w:t>, em caso de Obras.</w:t>
      </w:r>
    </w:p>
    <w:p w14:paraId="5CBDC3AF"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Em caso de dano (quando comprovado mau uso) do veículo, e com ausência de boletim de ocorrência e identificação do condutor, os custos de reparos deste serão de responsabilidade da contratante</w:t>
      </w:r>
    </w:p>
    <w:p w14:paraId="7708F19A"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29A9C4"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2" w:name="_heading=h.2grqrue" w:colFirst="0" w:colLast="0"/>
      <w:bookmarkEnd w:id="42"/>
      <w:r>
        <w:rPr>
          <w:rFonts w:ascii="Calibri" w:eastAsia="Calibri" w:hAnsi="Calibri" w:cs="Calibri"/>
          <w:b/>
          <w:color w:val="000000"/>
          <w:sz w:val="22"/>
          <w:szCs w:val="22"/>
        </w:rPr>
        <w:t>CLÁUSULA NONA – GARANTIA DE EXECUÇÃO</w:t>
      </w:r>
    </w:p>
    <w:p w14:paraId="326291C1"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Não haverá exigência de garantia contratual da execução, pelas razões enunciadas no Termo de Referência.</w:t>
      </w:r>
    </w:p>
    <w:p w14:paraId="0A7E72E2"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3" w:name="_heading=h.vx1227" w:colFirst="0" w:colLast="0"/>
      <w:bookmarkEnd w:id="43"/>
      <w:r>
        <w:rPr>
          <w:rFonts w:ascii="Calibri" w:eastAsia="Calibri" w:hAnsi="Calibri" w:cs="Calibri"/>
          <w:b/>
          <w:color w:val="000000"/>
          <w:sz w:val="22"/>
          <w:szCs w:val="22"/>
        </w:rPr>
        <w:lastRenderedPageBreak/>
        <w:t>CLÁUSULA DÉCIMA – INFRAÇÕES E SANÇÕES ADMINISTRATIVAS</w:t>
      </w:r>
    </w:p>
    <w:p w14:paraId="3009EC71"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Comete infração administrativa, nos termos da Lei nº 14.133, de 2021, o contratado que:</w:t>
      </w:r>
    </w:p>
    <w:p w14:paraId="07C08891" w14:textId="77777777" w:rsidR="009B55FB" w:rsidRDefault="00000000">
      <w:pPr>
        <w:numPr>
          <w:ilvl w:val="2"/>
          <w:numId w:val="7"/>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Der causa à inexecução parcial do contrato;</w:t>
      </w:r>
    </w:p>
    <w:p w14:paraId="0043CA2B" w14:textId="77777777" w:rsidR="009B55FB" w:rsidRDefault="00000000">
      <w:pPr>
        <w:numPr>
          <w:ilvl w:val="2"/>
          <w:numId w:val="7"/>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Der causa à inexecução parcial do contrato que cause grave dano à Administração ou ao funcionamento dos serviços públicos ou ao interesse coletivo;</w:t>
      </w:r>
    </w:p>
    <w:p w14:paraId="43AF7C88" w14:textId="77777777" w:rsidR="009B55FB" w:rsidRDefault="00000000">
      <w:pPr>
        <w:numPr>
          <w:ilvl w:val="2"/>
          <w:numId w:val="7"/>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Der causa à inexecução total do contrato;</w:t>
      </w:r>
    </w:p>
    <w:p w14:paraId="3E494DFE" w14:textId="77777777" w:rsidR="009B55FB" w:rsidRDefault="00000000">
      <w:pPr>
        <w:numPr>
          <w:ilvl w:val="2"/>
          <w:numId w:val="7"/>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Ensejar o retardamento da execução ou da entrega do objeto da contratação sem motivo justificado;</w:t>
      </w:r>
    </w:p>
    <w:p w14:paraId="1D41D04F" w14:textId="77777777" w:rsidR="009B55FB" w:rsidRDefault="00000000">
      <w:pPr>
        <w:numPr>
          <w:ilvl w:val="2"/>
          <w:numId w:val="7"/>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Apresentar documentação falsa ou prestar declaração falsa durante a execução do contrato;</w:t>
      </w:r>
    </w:p>
    <w:p w14:paraId="00E121AC" w14:textId="77777777" w:rsidR="009B55FB" w:rsidRDefault="00000000">
      <w:pPr>
        <w:numPr>
          <w:ilvl w:val="2"/>
          <w:numId w:val="7"/>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Praticar ato fraudulento na execução do contrato;</w:t>
      </w:r>
    </w:p>
    <w:p w14:paraId="57D57516" w14:textId="77777777" w:rsidR="009B55FB" w:rsidRDefault="00000000">
      <w:pPr>
        <w:numPr>
          <w:ilvl w:val="2"/>
          <w:numId w:val="7"/>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Comportar-se de modo inidôneo ou cometer fraude de qualquer natureza;</w:t>
      </w:r>
    </w:p>
    <w:p w14:paraId="32F9B046" w14:textId="77777777" w:rsidR="009B55FB" w:rsidRDefault="00000000">
      <w:pPr>
        <w:numPr>
          <w:ilvl w:val="2"/>
          <w:numId w:val="7"/>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Praticar ato lesivo previsto no art. 5º da Lei nº 12.846, de 1º de agosto de 2013.</w:t>
      </w:r>
    </w:p>
    <w:p w14:paraId="2FEC4639"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Serão aplicadas ao contratado que incorrer nas infrações acima descritas as seguintes sanções:</w:t>
      </w:r>
    </w:p>
    <w:p w14:paraId="164EB58D" w14:textId="77777777" w:rsidR="009B55FB" w:rsidRDefault="00000000">
      <w:pPr>
        <w:numPr>
          <w:ilvl w:val="2"/>
          <w:numId w:val="10"/>
        </w:numPr>
        <w:spacing w:before="240" w:after="240"/>
        <w:ind w:left="0" w:firstLine="0"/>
        <w:jc w:val="both"/>
        <w:rPr>
          <w:rFonts w:ascii="Calibri" w:eastAsia="Calibri" w:hAnsi="Calibri" w:cs="Calibri"/>
          <w:sz w:val="22"/>
          <w:szCs w:val="22"/>
        </w:rPr>
      </w:pPr>
      <w:r>
        <w:rPr>
          <w:rFonts w:ascii="Calibri" w:eastAsia="Calibri" w:hAnsi="Calibri" w:cs="Calibri"/>
          <w:b/>
          <w:sz w:val="22"/>
          <w:szCs w:val="22"/>
        </w:rPr>
        <w:t>Advertência</w:t>
      </w:r>
      <w:r>
        <w:rPr>
          <w:rFonts w:ascii="Calibri" w:eastAsia="Calibri" w:hAnsi="Calibri" w:cs="Calibri"/>
          <w:sz w:val="22"/>
          <w:szCs w:val="22"/>
        </w:rPr>
        <w:t>, quando o contratado der causa à inexecução parcial do contrato, sempre que não se justificar a imposição de penalidade mais grave (art. 156, §2º, da Lei nº 14.133, de 2021);</w:t>
      </w:r>
    </w:p>
    <w:p w14:paraId="6497A894" w14:textId="77777777" w:rsidR="009B55FB" w:rsidRDefault="00000000">
      <w:pPr>
        <w:numPr>
          <w:ilvl w:val="2"/>
          <w:numId w:val="10"/>
        </w:numPr>
        <w:spacing w:before="240" w:after="240"/>
        <w:ind w:left="0" w:firstLine="0"/>
        <w:jc w:val="both"/>
        <w:rPr>
          <w:rFonts w:ascii="Calibri" w:eastAsia="Calibri" w:hAnsi="Calibri" w:cs="Calibri"/>
          <w:sz w:val="22"/>
          <w:szCs w:val="22"/>
        </w:rPr>
      </w:pPr>
      <w:r>
        <w:rPr>
          <w:rFonts w:ascii="Calibri" w:eastAsia="Calibri" w:hAnsi="Calibri" w:cs="Calibri"/>
          <w:b/>
          <w:sz w:val="22"/>
          <w:szCs w:val="22"/>
        </w:rPr>
        <w:t>Impedimento de licitar e contratar</w:t>
      </w:r>
      <w:r>
        <w:rPr>
          <w:rFonts w:ascii="Calibri" w:eastAsia="Calibri" w:hAnsi="Calibri" w:cs="Calibri"/>
          <w:sz w:val="22"/>
          <w:szCs w:val="22"/>
        </w:rPr>
        <w:t>, quando praticadas as condutas descritas nas alíneas “b”, “c” e “d” do subitem acima deste Contrato, sempre que não se justificar a imposição de penalidade mais grave;</w:t>
      </w:r>
    </w:p>
    <w:p w14:paraId="292B251C" w14:textId="77777777" w:rsidR="009B55FB" w:rsidRDefault="00000000">
      <w:pPr>
        <w:numPr>
          <w:ilvl w:val="2"/>
          <w:numId w:val="10"/>
        </w:numPr>
        <w:spacing w:before="240" w:after="240"/>
        <w:ind w:left="0" w:firstLine="0"/>
        <w:jc w:val="both"/>
        <w:rPr>
          <w:rFonts w:ascii="Calibri" w:eastAsia="Calibri" w:hAnsi="Calibri" w:cs="Calibri"/>
          <w:sz w:val="22"/>
          <w:szCs w:val="22"/>
        </w:rPr>
      </w:pPr>
      <w:r>
        <w:rPr>
          <w:rFonts w:ascii="Calibri" w:eastAsia="Calibri" w:hAnsi="Calibri" w:cs="Calibri"/>
          <w:b/>
          <w:sz w:val="22"/>
          <w:szCs w:val="22"/>
        </w:rPr>
        <w:t>Declaração de inidoneidade para licitar e contratar</w:t>
      </w:r>
      <w:r>
        <w:rPr>
          <w:rFonts w:ascii="Calibri" w:eastAsia="Calibri" w:hAnsi="Calibri" w:cs="Calibri"/>
          <w:sz w:val="22"/>
          <w:szCs w:val="22"/>
        </w:rPr>
        <w:t>, quando praticadas as condutas descritas nas alíneas “e”, “f”, “g” e “h” do subitem acima deste Contrato, bem como nas alíneas “b”, “c” e “d”, que justifiquem a imposição de penalidade mais grave;</w:t>
      </w:r>
    </w:p>
    <w:p w14:paraId="773B79DC" w14:textId="77777777" w:rsidR="009B55FB" w:rsidRDefault="00000000">
      <w:pPr>
        <w:numPr>
          <w:ilvl w:val="2"/>
          <w:numId w:val="10"/>
        </w:numPr>
        <w:spacing w:before="240" w:after="240"/>
        <w:ind w:left="0" w:firstLine="0"/>
        <w:jc w:val="both"/>
        <w:rPr>
          <w:rFonts w:ascii="Calibri" w:eastAsia="Calibri" w:hAnsi="Calibri" w:cs="Calibri"/>
          <w:sz w:val="22"/>
          <w:szCs w:val="22"/>
        </w:rPr>
      </w:pPr>
      <w:r>
        <w:rPr>
          <w:rFonts w:ascii="Calibri" w:eastAsia="Calibri" w:hAnsi="Calibri" w:cs="Calibri"/>
          <w:b/>
          <w:sz w:val="22"/>
          <w:szCs w:val="22"/>
        </w:rPr>
        <w:t>Multa:</w:t>
      </w:r>
    </w:p>
    <w:p w14:paraId="3FBEF332" w14:textId="77777777" w:rsidR="009B55FB" w:rsidRDefault="00000000">
      <w:pPr>
        <w:numPr>
          <w:ilvl w:val="3"/>
          <w:numId w:val="10"/>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Moratória de 5% (cinco por cento) por dia de atraso injustificado sobre o valor da parcela inadimplida, até o limite de 30 (trinta) dias úteis;</w:t>
      </w:r>
    </w:p>
    <w:p w14:paraId="1B848BD3" w14:textId="77777777" w:rsidR="009B55FB" w:rsidRDefault="00000000">
      <w:pPr>
        <w:numPr>
          <w:ilvl w:val="3"/>
          <w:numId w:val="10"/>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46F4DC24" w14:textId="77777777" w:rsidR="009B55FB" w:rsidRDefault="00000000">
      <w:pPr>
        <w:numPr>
          <w:ilvl w:val="7"/>
          <w:numId w:val="10"/>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O atraso superior a 30 (trinta) dias úteis autoriza a Administração a promover a extinção do contrato por descumprimento ou cumprimento irregular de suas cláusulas, conforme dispõe o inciso I do art. 137 da Lei n. 14.133, de 2021. </w:t>
      </w:r>
    </w:p>
    <w:p w14:paraId="3AAE3DA6" w14:textId="77777777" w:rsidR="009B55FB" w:rsidRDefault="00000000">
      <w:pPr>
        <w:numPr>
          <w:ilvl w:val="3"/>
          <w:numId w:val="10"/>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 Compensatória, para as infrações descritas nas alíneas “e” a “h” do subitem 10.1, de 15% a 30% do valor do Contrato.</w:t>
      </w:r>
    </w:p>
    <w:p w14:paraId="497FEAB6" w14:textId="77777777" w:rsidR="009B55FB" w:rsidRDefault="00000000">
      <w:pPr>
        <w:numPr>
          <w:ilvl w:val="3"/>
          <w:numId w:val="10"/>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 xml:space="preserve">Compensatória, para a inexecução total do contrato prevista na alínea “c” do subitem 10.1, de 0,5% a 15% do valor do Contrato. </w:t>
      </w:r>
    </w:p>
    <w:p w14:paraId="4B5C270D" w14:textId="77777777" w:rsidR="009B55FB" w:rsidRDefault="00000000">
      <w:pPr>
        <w:numPr>
          <w:ilvl w:val="3"/>
          <w:numId w:val="10"/>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lastRenderedPageBreak/>
        <w:t>Para infração descrita na alínea “b” do subitem 10.1, a multa será de 0,5% a 15% do valor do Contrato.</w:t>
      </w:r>
    </w:p>
    <w:p w14:paraId="2952FCE2" w14:textId="77777777" w:rsidR="009B55FB" w:rsidRDefault="00000000">
      <w:pPr>
        <w:numPr>
          <w:ilvl w:val="3"/>
          <w:numId w:val="10"/>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Para infrações descritas na alínea “d” do subitem 10.1, a multa será de 0,5% a 15% do valor do Contrato.</w:t>
      </w:r>
    </w:p>
    <w:p w14:paraId="6FBC37CD" w14:textId="77777777" w:rsidR="009B55FB" w:rsidRDefault="00000000">
      <w:pPr>
        <w:numPr>
          <w:ilvl w:val="3"/>
          <w:numId w:val="10"/>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Para a infração descrita na alínea “a” do subitem 10.1, a multa será de 0,5% a 15% do valor do Contrato, ressalvadas as seguintes infrações:</w:t>
      </w:r>
    </w:p>
    <w:p w14:paraId="22B59B2D"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 aplicação das sanções previstas neste Contrato não exclui, em hipótese alguma, a obrigação de reparação integral do dano causado ao Contratante;</w:t>
      </w:r>
    </w:p>
    <w:p w14:paraId="2C0ECFD0"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Todas as sanções previstas neste Contrato poderão ser aplicadas cumulativamente com a multa;</w:t>
      </w:r>
    </w:p>
    <w:p w14:paraId="4F471675"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Antes da aplicação da multa será facultada a defesa do interessado no prazo de 15 (quinze) dias úteis, contado da data de sua intimação;</w:t>
      </w:r>
    </w:p>
    <w:p w14:paraId="753573AC"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1EA38047"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Previamente ao encaminhamento à cobrança judicial, a multa poderá ser recolhida administrativamente no prazo máximo de 30 (trinta)</w:t>
      </w:r>
      <w:r>
        <w:rPr>
          <w:rFonts w:ascii="Calibri" w:eastAsia="Calibri" w:hAnsi="Calibri" w:cs="Calibri"/>
          <w:i/>
          <w:color w:val="000000"/>
          <w:sz w:val="22"/>
          <w:szCs w:val="22"/>
        </w:rPr>
        <w:t xml:space="preserve"> </w:t>
      </w:r>
      <w:r>
        <w:rPr>
          <w:rFonts w:ascii="Calibri" w:eastAsia="Calibri" w:hAnsi="Calibri" w:cs="Calibri"/>
          <w:color w:val="000000"/>
          <w:sz w:val="22"/>
          <w:szCs w:val="22"/>
        </w:rPr>
        <w:t>dias úteis, a contar da data do recebimento da comunicação enviada pela autoridade competente.</w:t>
      </w:r>
    </w:p>
    <w:p w14:paraId="017CE1C3"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aplicação das sanções realizar-se-á em processo administrativo que assegure o contraditório e a ampla defesa ao Contratado, observando-se o procedimento previsto no </w:t>
      </w:r>
      <w:r>
        <w:rPr>
          <w:rFonts w:ascii="Calibri" w:eastAsia="Calibri" w:hAnsi="Calibri" w:cs="Calibri"/>
          <w:b/>
          <w:color w:val="000000"/>
          <w:sz w:val="22"/>
          <w:szCs w:val="22"/>
        </w:rPr>
        <w:t xml:space="preserve">caput </w:t>
      </w:r>
      <w:r>
        <w:rPr>
          <w:rFonts w:ascii="Calibri" w:eastAsia="Calibri" w:hAnsi="Calibri" w:cs="Calibri"/>
          <w:color w:val="000000"/>
          <w:sz w:val="22"/>
          <w:szCs w:val="22"/>
        </w:rPr>
        <w:t>e parágrafos do art. 158 da Lei nº 14.133, de 2021, para as penalidades de impedimento de licitar e contratar e de declaração de inidoneidade para licitar ou contratar.</w:t>
      </w:r>
    </w:p>
    <w:p w14:paraId="2EEDB1A2"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Na aplicação das sanções serão considerados:</w:t>
      </w:r>
    </w:p>
    <w:p w14:paraId="6FC46BBE" w14:textId="77777777" w:rsidR="009B55FB" w:rsidRDefault="00000000">
      <w:pPr>
        <w:numPr>
          <w:ilvl w:val="0"/>
          <w:numId w:val="5"/>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A natureza e a gravidade da infração cometida;</w:t>
      </w:r>
    </w:p>
    <w:p w14:paraId="5D663FD6" w14:textId="77777777" w:rsidR="009B55FB" w:rsidRDefault="00000000">
      <w:pPr>
        <w:numPr>
          <w:ilvl w:val="0"/>
          <w:numId w:val="5"/>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As peculiaridades do caso concreto;</w:t>
      </w:r>
    </w:p>
    <w:p w14:paraId="36ABD4E0" w14:textId="77777777" w:rsidR="009B55FB" w:rsidRDefault="00000000">
      <w:pPr>
        <w:numPr>
          <w:ilvl w:val="0"/>
          <w:numId w:val="5"/>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As circunstâncias agravantes ou atenuantes;</w:t>
      </w:r>
    </w:p>
    <w:p w14:paraId="791270EF" w14:textId="77777777" w:rsidR="009B55FB" w:rsidRDefault="00000000">
      <w:pPr>
        <w:numPr>
          <w:ilvl w:val="0"/>
          <w:numId w:val="5"/>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Os danos que dela provierem para o Contratante;</w:t>
      </w:r>
    </w:p>
    <w:p w14:paraId="53837FAD" w14:textId="77777777" w:rsidR="009B55FB" w:rsidRDefault="00000000">
      <w:pPr>
        <w:numPr>
          <w:ilvl w:val="0"/>
          <w:numId w:val="5"/>
        </w:numPr>
        <w:spacing w:before="240" w:after="240"/>
        <w:ind w:left="0" w:firstLine="0"/>
        <w:jc w:val="both"/>
        <w:rPr>
          <w:rFonts w:ascii="Calibri" w:eastAsia="Calibri" w:hAnsi="Calibri" w:cs="Calibri"/>
          <w:sz w:val="22"/>
          <w:szCs w:val="22"/>
        </w:rPr>
      </w:pPr>
      <w:r>
        <w:rPr>
          <w:rFonts w:ascii="Calibri" w:eastAsia="Calibri" w:hAnsi="Calibri" w:cs="Calibri"/>
          <w:sz w:val="22"/>
          <w:szCs w:val="22"/>
        </w:rPr>
        <w:t>A implantação ou o aperfeiçoamento de programa de integridade, conforme normas e orientações dos órgãos de controle.</w:t>
      </w:r>
    </w:p>
    <w:p w14:paraId="76C5FD9D"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49F7436"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Pr>
          <w:rFonts w:ascii="Calibri" w:eastAsia="Calibri" w:hAnsi="Calibri" w:cs="Calibri"/>
          <w:color w:val="000000"/>
          <w:sz w:val="22"/>
          <w:szCs w:val="22"/>
        </w:rPr>
        <w:lastRenderedPageBreak/>
        <w:t>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439FEFB"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t xml:space="preserve"> O Contratante deverá, no prazo máximo de</w:t>
      </w:r>
      <w:r>
        <w:rPr>
          <w:rFonts w:ascii="Calibri" w:eastAsia="Calibri" w:hAnsi="Calibri" w:cs="Calibri"/>
          <w:color w:val="00B050"/>
          <w:sz w:val="22"/>
          <w:szCs w:val="22"/>
        </w:rPr>
        <w:t xml:space="preserve"> </w:t>
      </w:r>
      <w:r>
        <w:rPr>
          <w:rFonts w:ascii="Calibri" w:eastAsia="Calibri" w:hAnsi="Calibri" w:cs="Calibri"/>
          <w:color w:val="000000"/>
          <w:sz w:val="22"/>
          <w:szCs w:val="22"/>
        </w:rPr>
        <w:t xml:space="preserve">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0FF7A1FA"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i/>
          <w:color w:val="000000"/>
          <w:sz w:val="22"/>
          <w:szCs w:val="22"/>
        </w:rPr>
      </w:pPr>
      <w:r>
        <w:rPr>
          <w:rFonts w:ascii="Calibri" w:eastAsia="Calibri" w:hAnsi="Calibri" w:cs="Calibri"/>
          <w:color w:val="000000"/>
          <w:sz w:val="22"/>
          <w:szCs w:val="22"/>
        </w:rPr>
        <w:t>As sanções de impedimento de licitar e contratar e declaração de inidoneidade para licitar ou contratar são passíveis de reabilitação na forma do art. 163 da Lei nº 14.133/21.</w:t>
      </w:r>
    </w:p>
    <w:p w14:paraId="2A0DAF8A"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A14120E"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4" w:name="_heading=h.3fwokq0" w:colFirst="0" w:colLast="0"/>
      <w:bookmarkEnd w:id="44"/>
      <w:r>
        <w:rPr>
          <w:rFonts w:ascii="Calibri" w:eastAsia="Calibri" w:hAnsi="Calibri" w:cs="Calibri"/>
          <w:b/>
          <w:color w:val="000000"/>
          <w:sz w:val="22"/>
          <w:szCs w:val="22"/>
        </w:rPr>
        <w:t>CLÁUSULA DÉCIMA PRIMEIRA – DO DESCREDENCIAMENTO</w:t>
      </w:r>
    </w:p>
    <w:p w14:paraId="1F058385"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O presente termo poderá ser rescindido nos seguintes casos: </w:t>
      </w:r>
    </w:p>
    <w:p w14:paraId="31935664"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Por ato unilateral ou escrito do Contratante; </w:t>
      </w:r>
    </w:p>
    <w:p w14:paraId="7C660255"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Por comum acordo dentre as partes; </w:t>
      </w:r>
    </w:p>
    <w:p w14:paraId="70746612"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Por manifestação expressa da Credenciada; </w:t>
      </w:r>
    </w:p>
    <w:p w14:paraId="3C7CAFA9"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Não cumprimento ou cumprimento irregular das obrigações contratuais; </w:t>
      </w:r>
    </w:p>
    <w:p w14:paraId="166BA842"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Paralisação, sem causa e sem prévia comunicação, dos serviços; </w:t>
      </w:r>
    </w:p>
    <w:p w14:paraId="3B22B8DB"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Subcontratação total ou parcial do objeto contratado, sem prévia autorização do contratante; </w:t>
      </w:r>
    </w:p>
    <w:p w14:paraId="3E1A6AF9"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Razões de interesse público; </w:t>
      </w:r>
    </w:p>
    <w:p w14:paraId="16869BE4"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Judicialmente, nos termos da legislação processual vigente; e </w:t>
      </w:r>
    </w:p>
    <w:p w14:paraId="45172D9B" w14:textId="77777777" w:rsidR="009B55FB" w:rsidRDefault="00000000">
      <w:pPr>
        <w:numPr>
          <w:ilvl w:val="2"/>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Liquidação judicial ou extrajudicial, concordata ou falência da Credenciada.</w:t>
      </w:r>
    </w:p>
    <w:p w14:paraId="253D5A7E"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5" w:name="_heading=h.1v1yuxt" w:colFirst="0" w:colLast="0"/>
      <w:bookmarkEnd w:id="45"/>
      <w:r>
        <w:rPr>
          <w:rFonts w:ascii="Calibri" w:eastAsia="Calibri" w:hAnsi="Calibri" w:cs="Calibri"/>
          <w:b/>
          <w:color w:val="000000"/>
          <w:sz w:val="22"/>
          <w:szCs w:val="22"/>
        </w:rPr>
        <w:t>CLÁUSULA DÉCIMA SEGUNDA – DOTAÇÃO ORÇAMENTÁRIA</w:t>
      </w:r>
    </w:p>
    <w:p w14:paraId="3DC55CAE" w14:textId="77777777" w:rsidR="009B55FB" w:rsidRDefault="00000000">
      <w:pPr>
        <w:numPr>
          <w:ilvl w:val="1"/>
          <w:numId w:val="3"/>
        </w:numPr>
        <w:pBdr>
          <w:top w:val="nil"/>
          <w:left w:val="nil"/>
          <w:bottom w:val="nil"/>
          <w:right w:val="nil"/>
          <w:between w:val="nil"/>
        </w:pBdr>
        <w:spacing w:before="240" w:after="120"/>
        <w:ind w:left="0" w:firstLine="0"/>
        <w:jc w:val="both"/>
        <w:rPr>
          <w:rFonts w:ascii="Calibri" w:eastAsia="Calibri" w:hAnsi="Calibri" w:cs="Calibri"/>
          <w:sz w:val="22"/>
          <w:szCs w:val="22"/>
        </w:rPr>
      </w:pPr>
      <w:r>
        <w:rPr>
          <w:rFonts w:ascii="Calibri" w:eastAsia="Calibri" w:hAnsi="Calibri" w:cs="Calibri"/>
          <w:color w:val="000000"/>
          <w:sz w:val="22"/>
          <w:szCs w:val="22"/>
        </w:rPr>
        <w:t>As despesas decorrentes do presente credenciamento correrão à conta de dotação orçamentária constante do orçamento vigente sob as seguintes rubricas:</w:t>
      </w:r>
    </w:p>
    <w:p w14:paraId="46BCD902" w14:textId="050DF09A" w:rsidR="00440B90" w:rsidRPr="00440B90" w:rsidRDefault="00000000" w:rsidP="00440B90">
      <w:pPr>
        <w:pBdr>
          <w:top w:val="nil"/>
          <w:left w:val="nil"/>
          <w:bottom w:val="nil"/>
          <w:right w:val="nil"/>
          <w:between w:val="nil"/>
        </w:pBdr>
        <w:spacing w:before="120" w:after="120"/>
        <w:jc w:val="both"/>
        <w:rPr>
          <w:rFonts w:ascii="Calibri" w:eastAsia="Calibri" w:hAnsi="Calibri" w:cs="Calibri"/>
          <w:color w:val="000000"/>
          <w:sz w:val="22"/>
          <w:szCs w:val="22"/>
        </w:rPr>
      </w:pPr>
      <w:bookmarkStart w:id="46" w:name="_heading=h.4f1mdlm" w:colFirst="0" w:colLast="0"/>
      <w:bookmarkEnd w:id="46"/>
      <w:r>
        <w:rPr>
          <w:rFonts w:ascii="Calibri" w:eastAsia="Calibri" w:hAnsi="Calibri" w:cs="Calibri"/>
          <w:color w:val="000000"/>
          <w:sz w:val="22"/>
          <w:szCs w:val="22"/>
        </w:rPr>
        <w:t>DOTAÇÃO ORÇAMENTÁRIA:</w:t>
      </w:r>
    </w:p>
    <w:tbl>
      <w:tblPr>
        <w:tblStyle w:val="TabeladeGradeClara"/>
        <w:tblW w:w="5000" w:type="pct"/>
        <w:tblInd w:w="0" w:type="dxa"/>
        <w:tblLook w:val="04A0" w:firstRow="1" w:lastRow="0" w:firstColumn="1" w:lastColumn="0" w:noHBand="0" w:noVBand="1"/>
      </w:tblPr>
      <w:tblGrid>
        <w:gridCol w:w="4531"/>
        <w:gridCol w:w="1926"/>
        <w:gridCol w:w="3171"/>
      </w:tblGrid>
      <w:tr w:rsidR="00440B90" w14:paraId="3309AFD4" w14:textId="77777777">
        <w:tc>
          <w:tcPr>
            <w:tcW w:w="23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55DDF0A0" w14:textId="77777777" w:rsidR="00440B90" w:rsidRDefault="00440B90">
            <w:pPr>
              <w:pStyle w:val="Nivel2"/>
              <w:numPr>
                <w:ilvl w:val="0"/>
                <w:numId w:val="0"/>
              </w:numPr>
              <w:jc w:val="center"/>
              <w:rPr>
                <w:rFonts w:ascii="Calibri" w:hAnsi="Calibri" w:cs="Calibri"/>
                <w:b/>
                <w:bCs/>
                <w:color w:val="auto"/>
                <w:sz w:val="18"/>
                <w:szCs w:val="18"/>
              </w:rPr>
            </w:pPr>
            <w:r>
              <w:rPr>
                <w:rFonts w:ascii="Calibri" w:hAnsi="Calibri" w:cs="Calibri"/>
                <w:b/>
                <w:bCs/>
                <w:sz w:val="18"/>
                <w:szCs w:val="18"/>
              </w:rPr>
              <w:t>Dotação</w:t>
            </w:r>
          </w:p>
        </w:tc>
        <w:tc>
          <w:tcPr>
            <w:tcW w:w="10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3E650E3B" w14:textId="77777777" w:rsidR="00440B90" w:rsidRDefault="00440B90">
            <w:pPr>
              <w:pStyle w:val="Nivel2"/>
              <w:numPr>
                <w:ilvl w:val="0"/>
                <w:numId w:val="0"/>
              </w:numPr>
              <w:jc w:val="center"/>
              <w:rPr>
                <w:rFonts w:ascii="Calibri" w:hAnsi="Calibri" w:cs="Calibri"/>
                <w:b/>
                <w:bCs/>
                <w:color w:val="auto"/>
                <w:sz w:val="18"/>
                <w:szCs w:val="18"/>
              </w:rPr>
            </w:pPr>
            <w:r>
              <w:rPr>
                <w:rFonts w:ascii="Calibri" w:hAnsi="Calibri" w:cs="Calibri"/>
                <w:b/>
                <w:bCs/>
                <w:sz w:val="18"/>
                <w:szCs w:val="18"/>
              </w:rPr>
              <w:t>Fonte</w:t>
            </w:r>
          </w:p>
        </w:tc>
        <w:tc>
          <w:tcPr>
            <w:tcW w:w="16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BE5F1" w:themeFill="accent1" w:themeFillTint="33"/>
            <w:vAlign w:val="center"/>
            <w:hideMark/>
          </w:tcPr>
          <w:p w14:paraId="45DFBAAF" w14:textId="77777777" w:rsidR="00440B90" w:rsidRDefault="00440B90">
            <w:pPr>
              <w:pStyle w:val="Nivel2"/>
              <w:numPr>
                <w:ilvl w:val="0"/>
                <w:numId w:val="0"/>
              </w:numPr>
              <w:jc w:val="center"/>
              <w:rPr>
                <w:rFonts w:ascii="Calibri" w:hAnsi="Calibri" w:cs="Calibri"/>
                <w:b/>
                <w:bCs/>
                <w:color w:val="auto"/>
                <w:sz w:val="18"/>
                <w:szCs w:val="18"/>
              </w:rPr>
            </w:pPr>
            <w:r>
              <w:rPr>
                <w:rFonts w:ascii="Calibri" w:hAnsi="Calibri" w:cs="Calibri"/>
                <w:b/>
                <w:bCs/>
                <w:sz w:val="18"/>
                <w:szCs w:val="18"/>
              </w:rPr>
              <w:t>Descrição</w:t>
            </w:r>
          </w:p>
        </w:tc>
      </w:tr>
      <w:tr w:rsidR="00440B90" w14:paraId="1856F088" w14:textId="77777777">
        <w:tc>
          <w:tcPr>
            <w:tcW w:w="23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B3335" w14:textId="26E2BD32" w:rsidR="00440B90" w:rsidRDefault="00440B90">
            <w:pPr>
              <w:pStyle w:val="Nivel2"/>
              <w:numPr>
                <w:ilvl w:val="0"/>
                <w:numId w:val="0"/>
              </w:numPr>
              <w:jc w:val="center"/>
              <w:rPr>
                <w:rFonts w:ascii="Calibri" w:hAnsi="Calibri" w:cs="Calibri"/>
                <w:color w:val="auto"/>
                <w:sz w:val="18"/>
                <w:szCs w:val="18"/>
                <w:highlight w:val="yellow"/>
              </w:rPr>
            </w:pPr>
            <w:r w:rsidRPr="00440B90">
              <w:rPr>
                <w:rFonts w:ascii="Calibri" w:hAnsi="Calibri" w:cs="Calibri"/>
                <w:color w:val="auto"/>
                <w:sz w:val="18"/>
                <w:szCs w:val="18"/>
              </w:rPr>
              <w:t>3.3.90.39.00.3.01.02.10.302.0020.2.0098</w:t>
            </w:r>
          </w:p>
        </w:tc>
        <w:tc>
          <w:tcPr>
            <w:tcW w:w="10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D82DE7" w14:textId="77777777" w:rsidR="00440B90" w:rsidRDefault="00440B90">
            <w:pPr>
              <w:pStyle w:val="Nivel2"/>
              <w:numPr>
                <w:ilvl w:val="0"/>
                <w:numId w:val="0"/>
              </w:numPr>
              <w:jc w:val="center"/>
              <w:rPr>
                <w:rFonts w:ascii="Calibri" w:hAnsi="Calibri" w:cs="Calibri"/>
                <w:color w:val="auto"/>
                <w:sz w:val="18"/>
                <w:szCs w:val="18"/>
              </w:rPr>
            </w:pPr>
            <w:r>
              <w:rPr>
                <w:rFonts w:ascii="Calibri" w:hAnsi="Calibri" w:cs="Calibri"/>
                <w:color w:val="auto"/>
                <w:sz w:val="18"/>
                <w:szCs w:val="18"/>
              </w:rPr>
              <w:t>1.500.000</w:t>
            </w:r>
          </w:p>
        </w:tc>
        <w:tc>
          <w:tcPr>
            <w:tcW w:w="16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65D2DA" w14:textId="29E0921B" w:rsidR="00440B90" w:rsidRDefault="00440B90">
            <w:pPr>
              <w:pStyle w:val="Nivel2"/>
              <w:numPr>
                <w:ilvl w:val="0"/>
                <w:numId w:val="0"/>
              </w:numPr>
              <w:jc w:val="center"/>
              <w:rPr>
                <w:rFonts w:ascii="Calibri" w:hAnsi="Calibri" w:cs="Calibri"/>
                <w:color w:val="auto"/>
                <w:sz w:val="18"/>
                <w:szCs w:val="18"/>
              </w:rPr>
            </w:pPr>
            <w:r>
              <w:rPr>
                <w:rFonts w:ascii="Calibri" w:hAnsi="Calibri" w:cs="Calibri"/>
                <w:color w:val="auto"/>
                <w:sz w:val="18"/>
                <w:szCs w:val="18"/>
              </w:rPr>
              <w:t>MANUT. ATIVID. HOSPITALARES</w:t>
            </w:r>
          </w:p>
        </w:tc>
      </w:tr>
      <w:tr w:rsidR="00440B90" w14:paraId="231E5E84" w14:textId="77777777">
        <w:tc>
          <w:tcPr>
            <w:tcW w:w="235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E1E4E7" w14:textId="329A0A11" w:rsidR="00440B90" w:rsidRPr="00440B90" w:rsidRDefault="00440B90">
            <w:pPr>
              <w:pStyle w:val="Nivel2"/>
              <w:numPr>
                <w:ilvl w:val="0"/>
                <w:numId w:val="0"/>
              </w:numPr>
              <w:jc w:val="center"/>
              <w:rPr>
                <w:rFonts w:ascii="Calibri" w:hAnsi="Calibri" w:cs="Calibri"/>
                <w:color w:val="auto"/>
                <w:sz w:val="18"/>
                <w:szCs w:val="18"/>
              </w:rPr>
            </w:pPr>
            <w:r w:rsidRPr="00440B90">
              <w:rPr>
                <w:rFonts w:ascii="Calibri" w:hAnsi="Calibri" w:cs="Calibri"/>
                <w:color w:val="auto"/>
                <w:sz w:val="18"/>
                <w:szCs w:val="18"/>
              </w:rPr>
              <w:lastRenderedPageBreak/>
              <w:t>3.3.90.39.00.3.01.02.10.302.0020.2.0098</w:t>
            </w:r>
          </w:p>
        </w:tc>
        <w:tc>
          <w:tcPr>
            <w:tcW w:w="100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175EA3" w14:textId="08549080" w:rsidR="00440B90" w:rsidRDefault="00440B90">
            <w:pPr>
              <w:pStyle w:val="Nivel2"/>
              <w:numPr>
                <w:ilvl w:val="0"/>
                <w:numId w:val="0"/>
              </w:numPr>
              <w:jc w:val="center"/>
              <w:rPr>
                <w:rFonts w:ascii="Calibri" w:hAnsi="Calibri" w:cs="Calibri"/>
                <w:color w:val="auto"/>
                <w:sz w:val="18"/>
                <w:szCs w:val="18"/>
              </w:rPr>
            </w:pPr>
            <w:r>
              <w:rPr>
                <w:rFonts w:ascii="Calibri" w:hAnsi="Calibri" w:cs="Calibri"/>
                <w:color w:val="auto"/>
                <w:sz w:val="18"/>
                <w:szCs w:val="18"/>
              </w:rPr>
              <w:t>1.600.000</w:t>
            </w:r>
          </w:p>
        </w:tc>
        <w:tc>
          <w:tcPr>
            <w:tcW w:w="164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29682A2" w14:textId="2751D3A0" w:rsidR="00440B90" w:rsidRDefault="00440B90">
            <w:pPr>
              <w:pStyle w:val="Nivel2"/>
              <w:numPr>
                <w:ilvl w:val="0"/>
                <w:numId w:val="0"/>
              </w:numPr>
              <w:jc w:val="center"/>
              <w:rPr>
                <w:rFonts w:ascii="Calibri" w:hAnsi="Calibri" w:cs="Calibri"/>
                <w:color w:val="auto"/>
                <w:sz w:val="18"/>
                <w:szCs w:val="18"/>
              </w:rPr>
            </w:pPr>
            <w:r>
              <w:rPr>
                <w:rFonts w:ascii="Calibri" w:hAnsi="Calibri" w:cs="Calibri"/>
                <w:color w:val="auto"/>
                <w:sz w:val="18"/>
                <w:szCs w:val="18"/>
              </w:rPr>
              <w:t>MANUT. ATIVID. HOSPITALARES</w:t>
            </w:r>
          </w:p>
        </w:tc>
      </w:tr>
    </w:tbl>
    <w:p w14:paraId="13B339D8"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r>
        <w:rPr>
          <w:rFonts w:ascii="Calibri" w:eastAsia="Calibri" w:hAnsi="Calibri" w:cs="Calibri"/>
          <w:b/>
          <w:color w:val="000000"/>
          <w:sz w:val="22"/>
          <w:szCs w:val="22"/>
        </w:rPr>
        <w:t>CLÁUSULA DÉCIMA TERCEIRA – DOS CASOS OMISSOS</w:t>
      </w:r>
    </w:p>
    <w:p w14:paraId="5DBED57B"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D10AA7E"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7" w:name="_heading=h.19c6y18" w:colFirst="0" w:colLast="0"/>
      <w:bookmarkEnd w:id="47"/>
      <w:r>
        <w:rPr>
          <w:rFonts w:ascii="Calibri" w:eastAsia="Calibri" w:hAnsi="Calibri" w:cs="Calibri"/>
          <w:b/>
          <w:color w:val="000000"/>
          <w:sz w:val="22"/>
          <w:szCs w:val="22"/>
        </w:rPr>
        <w:t>CLÁUSULA DÉCIMA QUARTA – DISPOSIÇÕES GERAIS</w:t>
      </w:r>
    </w:p>
    <w:p w14:paraId="0369A9AD"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A Credenciada assume exclusiva responsabilidade pelo cumprimento de todas as obrigações decorrentes da execução do presente Termo, sejam de natureza trabalhista, fiscal, previdenciária, social, comercial, civil, inexistindo qualquer espécie de solidariedade do Contratante relativamente a esses encargos, inclusive, os que contratualmente advierem de prejuízos causados a terceiros. </w:t>
      </w:r>
    </w:p>
    <w:p w14:paraId="079EF5BE"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Todas as condições e exigências que constam do Edital de Chamamento Público, fazem parte integrante do presente termo, como se aqui estivessem transcritos.</w:t>
      </w:r>
    </w:p>
    <w:p w14:paraId="78462DB9"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8" w:name="_heading=h.3tbugp1" w:colFirst="0" w:colLast="0"/>
      <w:bookmarkEnd w:id="48"/>
      <w:r>
        <w:rPr>
          <w:rFonts w:ascii="Calibri" w:eastAsia="Calibri" w:hAnsi="Calibri" w:cs="Calibri"/>
          <w:b/>
          <w:color w:val="000000"/>
          <w:sz w:val="22"/>
          <w:szCs w:val="22"/>
        </w:rPr>
        <w:t>CLÁUSULA DÉCIMA QUINTA – PUBLICAÇÃO</w:t>
      </w:r>
    </w:p>
    <w:p w14:paraId="3754F8C9"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 xml:space="preserve">Incumbirá ao contratante divulgar o presente instrumento no Portal Nacional de Contratações Públicas (PNCP), no DOM na forma prevista no art. 94 da Lei 14.133, de 2021 e Decreto Municipal 553/2024, bem como no respectivo sítio oficial na Internet, em atenção ao art. 91, </w:t>
      </w:r>
      <w:r>
        <w:rPr>
          <w:rFonts w:ascii="Calibri" w:eastAsia="Calibri" w:hAnsi="Calibri" w:cs="Calibri"/>
          <w:i/>
          <w:color w:val="000000"/>
          <w:sz w:val="22"/>
          <w:szCs w:val="22"/>
        </w:rPr>
        <w:t>caput,</w:t>
      </w:r>
      <w:r>
        <w:rPr>
          <w:rFonts w:ascii="Calibri" w:eastAsia="Calibri" w:hAnsi="Calibri" w:cs="Calibri"/>
          <w:color w:val="000000"/>
          <w:sz w:val="22"/>
          <w:szCs w:val="22"/>
        </w:rPr>
        <w:t xml:space="preserve"> da Lei n.º 14.133, de 2021, e ao art. 8º, §2º, da Lei n. 12.527, de 2011, c/c art. 7º, §3º, inciso V, do Decreto n. 7.724, de 2012. </w:t>
      </w:r>
    </w:p>
    <w:p w14:paraId="51D9041F" w14:textId="77777777" w:rsidR="009B55FB" w:rsidRDefault="00000000">
      <w:pPr>
        <w:keepNext/>
        <w:keepLines/>
        <w:numPr>
          <w:ilvl w:val="0"/>
          <w:numId w:val="3"/>
        </w:numPr>
        <w:pBdr>
          <w:top w:val="nil"/>
          <w:left w:val="nil"/>
          <w:bottom w:val="nil"/>
          <w:right w:val="nil"/>
          <w:between w:val="nil"/>
        </w:pBdr>
        <w:shd w:val="clear" w:color="auto" w:fill="C6D9F1"/>
        <w:spacing w:before="240"/>
        <w:ind w:left="0" w:firstLine="0"/>
        <w:jc w:val="both"/>
        <w:rPr>
          <w:rFonts w:ascii="Calibri" w:eastAsia="Calibri" w:hAnsi="Calibri" w:cs="Calibri"/>
          <w:b/>
          <w:color w:val="000000"/>
          <w:sz w:val="22"/>
          <w:szCs w:val="22"/>
        </w:rPr>
      </w:pPr>
      <w:bookmarkStart w:id="49" w:name="_heading=h.28h4qwu" w:colFirst="0" w:colLast="0"/>
      <w:bookmarkEnd w:id="49"/>
      <w:r>
        <w:rPr>
          <w:rFonts w:ascii="Calibri" w:eastAsia="Calibri" w:hAnsi="Calibri" w:cs="Calibri"/>
          <w:b/>
          <w:color w:val="000000"/>
          <w:sz w:val="22"/>
          <w:szCs w:val="22"/>
        </w:rPr>
        <w:t>CLÁUSULA DÉCIMA SEXTA– FORO</w:t>
      </w:r>
    </w:p>
    <w:p w14:paraId="0D7FEF95" w14:textId="77777777" w:rsidR="009B55FB" w:rsidRDefault="00000000">
      <w:pPr>
        <w:numPr>
          <w:ilvl w:val="1"/>
          <w:numId w:val="3"/>
        </w:numPr>
        <w:pBdr>
          <w:top w:val="nil"/>
          <w:left w:val="nil"/>
          <w:bottom w:val="nil"/>
          <w:right w:val="nil"/>
          <w:between w:val="nil"/>
        </w:pBdr>
        <w:spacing w:before="240" w:after="240"/>
        <w:ind w:left="0" w:firstLine="0"/>
        <w:jc w:val="both"/>
        <w:rPr>
          <w:rFonts w:ascii="Calibri" w:eastAsia="Calibri" w:hAnsi="Calibri" w:cs="Calibri"/>
          <w:sz w:val="22"/>
          <w:szCs w:val="22"/>
        </w:rPr>
      </w:pPr>
      <w:r>
        <w:rPr>
          <w:rFonts w:ascii="Calibri" w:eastAsia="Calibri" w:hAnsi="Calibri" w:cs="Calibri"/>
          <w:color w:val="000000"/>
          <w:sz w:val="22"/>
          <w:szCs w:val="22"/>
        </w:rPr>
        <w:t>Fica eleito o Foro da Comarca de Teixeiras, para dirimir os litígios que decorrerem da execução deste Termo de Contrato que não puderem ser compostos pela conciliação, conforme art. 92, §1º, da Lei nº 14.133/21.</w:t>
      </w:r>
    </w:p>
    <w:p w14:paraId="0016E433" w14:textId="77777777" w:rsidR="009B55FB" w:rsidRDefault="00000000">
      <w:pPr>
        <w:pBdr>
          <w:top w:val="nil"/>
          <w:left w:val="nil"/>
          <w:bottom w:val="nil"/>
          <w:right w:val="nil"/>
          <w:between w:val="nil"/>
        </w:pBdr>
        <w:spacing w:before="240" w:after="240"/>
        <w:jc w:val="both"/>
        <w:rPr>
          <w:rFonts w:ascii="Calibri" w:eastAsia="Calibri" w:hAnsi="Calibri" w:cs="Calibri"/>
          <w:color w:val="000000"/>
          <w:sz w:val="22"/>
          <w:szCs w:val="22"/>
        </w:rPr>
      </w:pPr>
      <w:r>
        <w:rPr>
          <w:rFonts w:ascii="Calibri" w:eastAsia="Calibri" w:hAnsi="Calibri" w:cs="Calibri"/>
          <w:color w:val="000000"/>
          <w:sz w:val="22"/>
          <w:szCs w:val="22"/>
        </w:rPr>
        <w:t>Teixeiras, xx de xxxxxxxxxxxxxx de 2025</w:t>
      </w:r>
    </w:p>
    <w:p w14:paraId="093D2D6E" w14:textId="77777777" w:rsidR="009B55FB" w:rsidRDefault="00000000">
      <w:pPr>
        <w:spacing w:before="240" w:after="240"/>
        <w:jc w:val="center"/>
        <w:rPr>
          <w:rFonts w:ascii="Calibri" w:eastAsia="Calibri" w:hAnsi="Calibri" w:cs="Calibri"/>
          <w:sz w:val="22"/>
          <w:szCs w:val="22"/>
        </w:rPr>
      </w:pPr>
      <w:r>
        <w:rPr>
          <w:rFonts w:ascii="Calibri" w:eastAsia="Calibri" w:hAnsi="Calibri" w:cs="Calibri"/>
          <w:sz w:val="22"/>
          <w:szCs w:val="22"/>
        </w:rPr>
        <w:t>_________________________</w:t>
      </w:r>
    </w:p>
    <w:p w14:paraId="0B049195" w14:textId="77777777" w:rsidR="009B55FB" w:rsidRDefault="00000000">
      <w:pPr>
        <w:spacing w:before="240" w:after="240"/>
        <w:jc w:val="center"/>
        <w:rPr>
          <w:rFonts w:ascii="Calibri" w:eastAsia="Calibri" w:hAnsi="Calibri" w:cs="Calibri"/>
          <w:sz w:val="22"/>
          <w:szCs w:val="22"/>
        </w:rPr>
      </w:pPr>
      <w:r>
        <w:rPr>
          <w:rFonts w:ascii="Calibri" w:eastAsia="Calibri" w:hAnsi="Calibri" w:cs="Calibri"/>
          <w:sz w:val="22"/>
          <w:szCs w:val="22"/>
        </w:rPr>
        <w:t>Representante legal do CONTRATANTE</w:t>
      </w:r>
    </w:p>
    <w:p w14:paraId="4951C03D" w14:textId="77777777" w:rsidR="009B55FB" w:rsidRDefault="00000000">
      <w:pPr>
        <w:spacing w:before="240" w:after="240"/>
        <w:jc w:val="center"/>
        <w:rPr>
          <w:rFonts w:ascii="Calibri" w:eastAsia="Calibri" w:hAnsi="Calibri" w:cs="Calibri"/>
          <w:sz w:val="22"/>
          <w:szCs w:val="22"/>
        </w:rPr>
      </w:pPr>
      <w:r>
        <w:rPr>
          <w:rFonts w:ascii="Calibri" w:eastAsia="Calibri" w:hAnsi="Calibri" w:cs="Calibri"/>
          <w:sz w:val="22"/>
          <w:szCs w:val="22"/>
        </w:rPr>
        <w:t>_________________________</w:t>
      </w:r>
    </w:p>
    <w:p w14:paraId="6048B3E7" w14:textId="77777777" w:rsidR="009B55FB" w:rsidRDefault="00000000">
      <w:pPr>
        <w:spacing w:before="240" w:after="240"/>
        <w:jc w:val="center"/>
        <w:rPr>
          <w:rFonts w:ascii="Calibri" w:eastAsia="Calibri" w:hAnsi="Calibri" w:cs="Calibri"/>
          <w:sz w:val="22"/>
          <w:szCs w:val="22"/>
        </w:rPr>
      </w:pPr>
      <w:r>
        <w:rPr>
          <w:rFonts w:ascii="Calibri" w:eastAsia="Calibri" w:hAnsi="Calibri" w:cs="Calibri"/>
          <w:sz w:val="22"/>
          <w:szCs w:val="22"/>
        </w:rPr>
        <w:t>Representante legal do CONTRATADO</w:t>
      </w:r>
    </w:p>
    <w:sectPr w:rsidR="009B55FB">
      <w:headerReference w:type="default" r:id="rId42"/>
      <w:footerReference w:type="default" r:id="rId43"/>
      <w:headerReference w:type="first" r:id="rId44"/>
      <w:footerReference w:type="first" r:id="rId45"/>
      <w:pgSz w:w="11906" w:h="16838"/>
      <w:pgMar w:top="2047" w:right="1134" w:bottom="1418" w:left="1134" w:header="2"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A7EFD" w14:textId="77777777" w:rsidR="00E5097A" w:rsidRDefault="00E5097A">
      <w:r>
        <w:separator/>
      </w:r>
    </w:p>
  </w:endnote>
  <w:endnote w:type="continuationSeparator" w:id="0">
    <w:p w14:paraId="29BDAD1F" w14:textId="77777777" w:rsidR="00E5097A" w:rsidRDefault="00E50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743ED708-4CAF-4910-9C6B-BD98E150E29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05BD05A-D48B-463E-BD3A-A4B3D54D0DBA}"/>
    <w:embedBold r:id="rId3" w:fontKey="{65F52E32-EDB0-4872-B60A-9489F3F1F106}"/>
    <w:embedItalic r:id="rId4" w:fontKey="{68F8FD88-4FC3-493B-A49A-E3371FB72FF8}"/>
    <w:embedBoldItalic r:id="rId5" w:fontKey="{2CEBCEE1-F92E-4C13-823F-D801113A3C23}"/>
  </w:font>
  <w:font w:name="Arial">
    <w:panose1 w:val="020B0604020202020204"/>
    <w:charset w:val="00"/>
    <w:family w:val="swiss"/>
    <w:pitch w:val="variable"/>
    <w:sig w:usb0="E0002EFF" w:usb1="C000785B" w:usb2="00000009" w:usb3="00000000" w:csb0="000001FF" w:csb1="00000000"/>
  </w:font>
  <w:font w:name="Ecofont_Spranq_eco_Sans">
    <w:altName w:val="Cambria"/>
    <w:charset w:val="00"/>
    <w:family w:val="roman"/>
    <w:pitch w:val="variable"/>
  </w:font>
  <w:font w:name="Tahoma">
    <w:panose1 w:val="020B0604030504040204"/>
    <w:charset w:val="00"/>
    <w:family w:val="swiss"/>
    <w:pitch w:val="variable"/>
    <w:sig w:usb0="E1002EFF" w:usb1="C000605B" w:usb2="00000029" w:usb3="00000000" w:csb0="000101FF" w:csb1="00000000"/>
    <w:embedRegular r:id="rId6" w:fontKey="{DD4C476B-531F-4EEC-8253-9B6B2AFD5299}"/>
    <w:embedBold r:id="rId7" w:fontKey="{F100CB8E-4DDB-437E-8426-5A020FD534E1}"/>
    <w:embedItalic r:id="rId8" w:fontKey="{1B5F82A7-AED9-4D99-BE6E-F5A4F896DF04}"/>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9" w:fontKey="{9F9171CA-0032-4D0F-8FF7-1F5DF4B58825}"/>
  </w:font>
  <w:font w:name="Cambria">
    <w:panose1 w:val="02040503050406030204"/>
    <w:charset w:val="00"/>
    <w:family w:val="roman"/>
    <w:pitch w:val="variable"/>
    <w:sig w:usb0="E00006FF" w:usb1="420024FF" w:usb2="02000000" w:usb3="00000000" w:csb0="0000019F" w:csb1="00000000"/>
    <w:embedRegular r:id="rId10" w:fontKey="{D1FE28A5-39B0-49F5-8B22-61EC601E30AF}"/>
    <w:embedBold r:id="rId11" w:fontKey="{298B1F89-2213-41CD-ABBD-02ED24C9CA8F}"/>
    <w:embedBoldItalic r:id="rId12" w:fontKey="{E242F385-54FC-4DCA-AC5E-E4F67FA358EF}"/>
  </w:font>
  <w:font w:name="Georgia">
    <w:panose1 w:val="02040502050405020303"/>
    <w:charset w:val="00"/>
    <w:family w:val="roman"/>
    <w:pitch w:val="variable"/>
    <w:sig w:usb0="00000287" w:usb1="00000000" w:usb2="00000000" w:usb3="00000000" w:csb0="0000009F" w:csb1="00000000"/>
    <w:embedRegular r:id="rId13" w:fontKey="{0E8D439F-4846-4BCC-83E6-1A7AC741B20F}"/>
    <w:embedItalic r:id="rId14" w:fontKey="{2540F91F-D774-484A-9B44-80A065FD7C85}"/>
  </w:font>
  <w:font w:name="Script MT Bold">
    <w:panose1 w:val="03040602040607080904"/>
    <w:charset w:val="00"/>
    <w:family w:val="script"/>
    <w:pitch w:val="variable"/>
    <w:sig w:usb0="00000003" w:usb1="00000000" w:usb2="00000000" w:usb3="00000000" w:csb0="00000001" w:csb1="00000000"/>
    <w:embedRegular r:id="rId15" w:fontKey="{69F605AA-AA45-43BE-9702-F74EC14713F4}"/>
    <w:embedBold r:id="rId16" w:fontKey="{4E71D521-CCC4-46AD-8D1C-C20080EB973A}"/>
  </w:font>
  <w:font w:name="Bookman Old Style">
    <w:panose1 w:val="02050604050505020204"/>
    <w:charset w:val="00"/>
    <w:family w:val="roman"/>
    <w:pitch w:val="variable"/>
    <w:sig w:usb0="00000287" w:usb1="00000000" w:usb2="00000000" w:usb3="00000000" w:csb0="0000009F" w:csb1="00000000"/>
    <w:embedRegular r:id="rId17" w:fontKey="{F3932EB5-6B48-4FD3-BC31-21E0BB672A94}"/>
    <w:embedItalic r:id="rId18" w:fontKey="{FE9AC1B8-8B36-421F-A2FC-B157512C48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95641" w14:textId="77777777" w:rsidR="009B55FB" w:rsidRDefault="00000000">
    <w:pPr>
      <w:tabs>
        <w:tab w:val="center" w:pos="4252"/>
        <w:tab w:val="right" w:pos="8504"/>
      </w:tabs>
      <w:jc w:val="right"/>
      <w:rPr>
        <w:rFonts w:ascii="Calibri" w:eastAsia="Calibri" w:hAnsi="Calibri" w:cs="Calibri"/>
        <w:sz w:val="16"/>
        <w:szCs w:val="16"/>
      </w:rPr>
    </w:pPr>
    <w:r>
      <w:rPr>
        <w:rFonts w:ascii="Calibri" w:eastAsia="Calibri" w:hAnsi="Calibri" w:cs="Calibri"/>
        <w:sz w:val="16"/>
        <w:szCs w:val="16"/>
      </w:rPr>
      <w:t xml:space="preserve">Página </w:t>
    </w:r>
    <w:r>
      <w:rPr>
        <w:rFonts w:ascii="Calibri" w:eastAsia="Calibri" w:hAnsi="Calibri" w:cs="Calibri"/>
        <w:b/>
        <w:sz w:val="16"/>
        <w:szCs w:val="16"/>
      </w:rPr>
      <w:fldChar w:fldCharType="begin"/>
    </w:r>
    <w:r>
      <w:rPr>
        <w:rFonts w:ascii="Calibri" w:eastAsia="Calibri" w:hAnsi="Calibri" w:cs="Calibri"/>
        <w:b/>
        <w:sz w:val="16"/>
        <w:szCs w:val="16"/>
      </w:rPr>
      <w:instrText>PAGE</w:instrText>
    </w:r>
    <w:r>
      <w:rPr>
        <w:rFonts w:ascii="Calibri" w:eastAsia="Calibri" w:hAnsi="Calibri" w:cs="Calibri"/>
        <w:b/>
        <w:sz w:val="16"/>
        <w:szCs w:val="16"/>
      </w:rPr>
      <w:fldChar w:fldCharType="separate"/>
    </w:r>
    <w:r w:rsidR="003421BC">
      <w:rPr>
        <w:rFonts w:ascii="Calibri" w:eastAsia="Calibri" w:hAnsi="Calibri" w:cs="Calibri"/>
        <w:b/>
        <w:noProof/>
        <w:sz w:val="16"/>
        <w:szCs w:val="16"/>
      </w:rPr>
      <w:t>1</w:t>
    </w:r>
    <w:r>
      <w:rPr>
        <w:rFonts w:ascii="Calibri" w:eastAsia="Calibri" w:hAnsi="Calibri" w:cs="Calibri"/>
        <w:b/>
        <w:sz w:val="16"/>
        <w:szCs w:val="16"/>
      </w:rPr>
      <w:fldChar w:fldCharType="end"/>
    </w:r>
    <w:r>
      <w:rPr>
        <w:rFonts w:ascii="Calibri" w:eastAsia="Calibri" w:hAnsi="Calibri" w:cs="Calibri"/>
        <w:sz w:val="16"/>
        <w:szCs w:val="16"/>
      </w:rPr>
      <w:t xml:space="preserve"> de </w:t>
    </w:r>
    <w:r>
      <w:rPr>
        <w:rFonts w:ascii="Calibri" w:eastAsia="Calibri" w:hAnsi="Calibri" w:cs="Calibri"/>
        <w:b/>
        <w:sz w:val="16"/>
        <w:szCs w:val="16"/>
      </w:rPr>
      <w:fldChar w:fldCharType="begin"/>
    </w:r>
    <w:r>
      <w:rPr>
        <w:rFonts w:ascii="Calibri" w:eastAsia="Calibri" w:hAnsi="Calibri" w:cs="Calibri"/>
        <w:b/>
        <w:sz w:val="16"/>
        <w:szCs w:val="16"/>
      </w:rPr>
      <w:instrText>NUMPAGES</w:instrText>
    </w:r>
    <w:r>
      <w:rPr>
        <w:rFonts w:ascii="Calibri" w:eastAsia="Calibri" w:hAnsi="Calibri" w:cs="Calibri"/>
        <w:b/>
        <w:sz w:val="16"/>
        <w:szCs w:val="16"/>
      </w:rPr>
      <w:fldChar w:fldCharType="separate"/>
    </w:r>
    <w:r w:rsidR="003421BC">
      <w:rPr>
        <w:rFonts w:ascii="Calibri" w:eastAsia="Calibri" w:hAnsi="Calibri" w:cs="Calibri"/>
        <w:b/>
        <w:noProof/>
        <w:sz w:val="16"/>
        <w:szCs w:val="16"/>
      </w:rPr>
      <w:t>2</w:t>
    </w:r>
    <w:r>
      <w:rPr>
        <w:rFonts w:ascii="Calibri" w:eastAsia="Calibri" w:hAnsi="Calibri" w:cs="Calibri"/>
        <w:b/>
        <w:sz w:val="16"/>
        <w:szCs w:val="16"/>
      </w:rPr>
      <w:fldChar w:fldCharType="end"/>
    </w:r>
  </w:p>
  <w:p w14:paraId="27AEE231" w14:textId="77777777" w:rsidR="009B55FB" w:rsidRDefault="009B55FB">
    <w:pPr>
      <w:pBdr>
        <w:top w:val="nil"/>
        <w:left w:val="nil"/>
        <w:bottom w:val="nil"/>
        <w:right w:val="nil"/>
        <w:between w:val="nil"/>
      </w:pBdr>
      <w:tabs>
        <w:tab w:val="center" w:pos="4252"/>
        <w:tab w:val="right" w:pos="8504"/>
      </w:tabs>
      <w:rPr>
        <w:rFonts w:ascii="Arial" w:eastAsia="Arial" w:hAnsi="Arial" w:cs="Arial"/>
        <w:color w:val="000000"/>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D9356" w14:textId="77777777" w:rsidR="009B55FB" w:rsidRDefault="00000000">
    <w:pPr>
      <w:pBdr>
        <w:top w:val="nil"/>
        <w:left w:val="nil"/>
        <w:bottom w:val="nil"/>
        <w:right w:val="nil"/>
        <w:between w:val="nil"/>
      </w:pBdr>
      <w:tabs>
        <w:tab w:val="center" w:pos="4252"/>
        <w:tab w:val="right" w:pos="8504"/>
      </w:tabs>
      <w:rPr>
        <w:color w:val="548DD4"/>
        <w:sz w:val="16"/>
        <w:szCs w:val="16"/>
      </w:rPr>
    </w:pPr>
    <w:r>
      <w:rPr>
        <w:color w:val="548DD4"/>
        <w:sz w:val="22"/>
        <w:szCs w:val="22"/>
      </w:rPr>
      <w:tab/>
    </w:r>
    <w:r>
      <w:rPr>
        <w:color w:val="548DD4"/>
        <w:sz w:val="22"/>
        <w:szCs w:val="22"/>
      </w:rPr>
      <w:tab/>
    </w:r>
  </w:p>
  <w:p w14:paraId="225A06DC" w14:textId="77777777" w:rsidR="009B55FB" w:rsidRDefault="00000000">
    <w:pPr>
      <w:pBdr>
        <w:top w:val="single" w:sz="4" w:space="1" w:color="000000"/>
        <w:left w:val="nil"/>
        <w:bottom w:val="nil"/>
        <w:right w:val="nil"/>
        <w:between w:val="nil"/>
      </w:pBdr>
      <w:tabs>
        <w:tab w:val="center" w:pos="4252"/>
        <w:tab w:val="right" w:pos="8504"/>
      </w:tabs>
      <w:jc w:val="center"/>
      <w:rPr>
        <w:rFonts w:ascii="Arial" w:eastAsia="Arial" w:hAnsi="Arial" w:cs="Arial"/>
        <w:color w:val="000000"/>
        <w:sz w:val="16"/>
        <w:szCs w:val="16"/>
      </w:rPr>
    </w:pPr>
    <w:r>
      <w:rPr>
        <w:color w:val="7F7F7F"/>
        <w:sz w:val="22"/>
        <w:szCs w:val="22"/>
      </w:rPr>
      <w:tab/>
    </w:r>
    <w:r>
      <w:rPr>
        <w:rFonts w:ascii="Arial" w:eastAsia="Arial" w:hAnsi="Arial" w:cs="Arial"/>
        <w:color w:val="000000"/>
        <w:sz w:val="16"/>
        <w:szCs w:val="16"/>
      </w:rPr>
      <w:t xml:space="preserve">Rua Antônio Moreira Barros, 101 – Centro – Teixeiras/MG – www.teixeiras.mg.gov.br - 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Pr>
        <w:rFonts w:ascii="Arial" w:eastAsia="Arial" w:hAnsi="Arial" w:cs="Arial"/>
        <w:b/>
        <w:color w:val="000000"/>
        <w:sz w:val="16"/>
        <w:szCs w:val="16"/>
      </w:rPr>
      <w:fldChar w:fldCharType="separate"/>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Pr>
        <w:rFonts w:ascii="Arial" w:eastAsia="Arial" w:hAnsi="Arial" w:cs="Arial"/>
        <w:b/>
        <w:color w:val="000000"/>
        <w:sz w:val="16"/>
        <w:szCs w:val="16"/>
      </w:rPr>
      <w:fldChar w:fldCharType="separate"/>
    </w:r>
    <w:r>
      <w:rPr>
        <w:rFonts w:ascii="Arial" w:eastAsia="Arial" w:hAnsi="Arial" w:cs="Arial"/>
        <w:b/>
        <w:color w:val="000000"/>
        <w:sz w:val="16"/>
        <w:szCs w:val="16"/>
      </w:rPr>
      <w:fldChar w:fldCharType="end"/>
    </w:r>
  </w:p>
  <w:p w14:paraId="72C5FDBC" w14:textId="77777777" w:rsidR="009B55FB" w:rsidRDefault="009B55FB">
    <w:pPr>
      <w:pBdr>
        <w:top w:val="nil"/>
        <w:left w:val="nil"/>
        <w:bottom w:val="nil"/>
        <w:right w:val="nil"/>
        <w:between w:val="nil"/>
      </w:pBdr>
      <w:tabs>
        <w:tab w:val="center" w:pos="4252"/>
        <w:tab w:val="right" w:pos="8504"/>
      </w:tabs>
      <w:rPr>
        <w:rFonts w:ascii="Arial" w:eastAsia="Arial" w:hAnsi="Arial" w:cs="Arial"/>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6500D" w14:textId="77777777" w:rsidR="00E5097A" w:rsidRDefault="00E5097A">
      <w:r>
        <w:separator/>
      </w:r>
    </w:p>
  </w:footnote>
  <w:footnote w:type="continuationSeparator" w:id="0">
    <w:p w14:paraId="51320218" w14:textId="77777777" w:rsidR="00E5097A" w:rsidRDefault="00E509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40F74" w14:textId="77777777" w:rsidR="009B55FB" w:rsidRDefault="009B55FB">
    <w:pPr>
      <w:pBdr>
        <w:top w:val="nil"/>
        <w:left w:val="nil"/>
        <w:bottom w:val="nil"/>
        <w:right w:val="nil"/>
        <w:between w:val="nil"/>
      </w:pBdr>
      <w:tabs>
        <w:tab w:val="center" w:pos="4252"/>
        <w:tab w:val="right" w:pos="8504"/>
      </w:tabs>
      <w:jc w:val="center"/>
      <w:rPr>
        <w:color w:val="000000"/>
      </w:rPr>
    </w:pPr>
  </w:p>
  <w:p w14:paraId="5D21A47D" w14:textId="77777777" w:rsidR="009B55FB" w:rsidRDefault="00000000">
    <w:pPr>
      <w:pBdr>
        <w:top w:val="nil"/>
        <w:left w:val="nil"/>
        <w:bottom w:val="nil"/>
        <w:right w:val="nil"/>
        <w:between w:val="nil"/>
      </w:pBdr>
      <w:tabs>
        <w:tab w:val="left" w:pos="426"/>
        <w:tab w:val="center" w:pos="4252"/>
        <w:tab w:val="right" w:pos="8504"/>
      </w:tabs>
      <w:jc w:val="center"/>
      <w:rPr>
        <w:color w:val="000000"/>
      </w:rPr>
    </w:pPr>
    <w:r>
      <w:rPr>
        <w:noProof/>
      </w:rPr>
      <w:drawing>
        <wp:inline distT="0" distB="0" distL="0" distR="0" wp14:anchorId="5C8AFCCE" wp14:editId="5B1144D3">
          <wp:extent cx="5201399" cy="1046972"/>
          <wp:effectExtent l="0" t="0" r="0" b="0"/>
          <wp:docPr id="175491541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201399" cy="1046972"/>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1FA3C" w14:textId="77777777" w:rsidR="009B55FB" w:rsidRDefault="00000000">
    <w:pPr>
      <w:pBdr>
        <w:top w:val="nil"/>
        <w:left w:val="nil"/>
        <w:bottom w:val="nil"/>
        <w:right w:val="nil"/>
        <w:between w:val="nil"/>
      </w:pBdr>
      <w:tabs>
        <w:tab w:val="center" w:pos="4252"/>
        <w:tab w:val="right" w:pos="8504"/>
      </w:tabs>
      <w:rPr>
        <w:color w:val="000000"/>
      </w:rPr>
    </w:pPr>
    <w:r>
      <w:rPr>
        <w:noProof/>
      </w:rPr>
      <w:drawing>
        <wp:inline distT="0" distB="0" distL="0" distR="0" wp14:anchorId="408A3243" wp14:editId="10B7057E">
          <wp:extent cx="876300" cy="1009650"/>
          <wp:effectExtent l="0" t="0" r="0" b="0"/>
          <wp:docPr id="1754915414" name="image1.png" descr="LOGO PREFEITURA DE TEIXEIRAS"/>
          <wp:cNvGraphicFramePr/>
          <a:graphic xmlns:a="http://schemas.openxmlformats.org/drawingml/2006/main">
            <a:graphicData uri="http://schemas.openxmlformats.org/drawingml/2006/picture">
              <pic:pic xmlns:pic="http://schemas.openxmlformats.org/drawingml/2006/picture">
                <pic:nvPicPr>
                  <pic:cNvPr id="0" name="image1.png" descr="LOGO PREFEITURA DE TEIXEIRAS"/>
                  <pic:cNvPicPr preferRelativeResize="0"/>
                </pic:nvPicPr>
                <pic:blipFill>
                  <a:blip r:embed="rId1"/>
                  <a:srcRect/>
                  <a:stretch>
                    <a:fillRect/>
                  </a:stretch>
                </pic:blipFill>
                <pic:spPr>
                  <a:xfrm>
                    <a:off x="0" y="0"/>
                    <a:ext cx="876300" cy="1009650"/>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14:anchorId="585A5B62" wp14:editId="1D70A9AD">
              <wp:simplePos x="0" y="0"/>
              <wp:positionH relativeFrom="column">
                <wp:posOffset>1207158</wp:posOffset>
              </wp:positionH>
              <wp:positionV relativeFrom="paragraph">
                <wp:posOffset>122312</wp:posOffset>
              </wp:positionV>
              <wp:extent cx="5083175" cy="838200"/>
              <wp:effectExtent l="0" t="0" r="0" b="0"/>
              <wp:wrapNone/>
              <wp:docPr id="1754915412" name="Retângulo 1754915412"/>
              <wp:cNvGraphicFramePr/>
              <a:graphic xmlns:a="http://schemas.openxmlformats.org/drawingml/2006/main">
                <a:graphicData uri="http://schemas.microsoft.com/office/word/2010/wordprocessingShape">
                  <wps:wsp>
                    <wps:cNvSpPr/>
                    <wps:spPr>
                      <a:xfrm>
                        <a:off x="2809175" y="3365663"/>
                        <a:ext cx="5073650" cy="828675"/>
                      </a:xfrm>
                      <a:prstGeom prst="rect">
                        <a:avLst/>
                      </a:prstGeom>
                      <a:solidFill>
                        <a:srgbClr val="FFFFFF"/>
                      </a:solidFill>
                      <a:ln>
                        <a:noFill/>
                      </a:ln>
                    </wps:spPr>
                    <wps:txbx>
                      <w:txbxContent>
                        <w:p w14:paraId="062A1AFB" w14:textId="77777777" w:rsidR="009B55FB" w:rsidRDefault="00000000">
                          <w:pPr>
                            <w:jc w:val="center"/>
                            <w:textDirection w:val="btLr"/>
                          </w:pPr>
                          <w:r>
                            <w:rPr>
                              <w:rFonts w:ascii="Script MT Bold" w:eastAsia="Script MT Bold" w:hAnsi="Script MT Bold" w:cs="Script MT Bold"/>
                              <w:b/>
                              <w:color w:val="000000"/>
                              <w:sz w:val="56"/>
                            </w:rPr>
                            <w:t>Prefeitura Municipal de Teixeiras</w:t>
                          </w:r>
                        </w:p>
                        <w:p w14:paraId="1859CD74" w14:textId="77777777" w:rsidR="009B55FB" w:rsidRDefault="00000000">
                          <w:pPr>
                            <w:jc w:val="center"/>
                            <w:textDirection w:val="btLr"/>
                          </w:pPr>
                          <w:r>
                            <w:rPr>
                              <w:rFonts w:ascii="Bookman Old Style" w:eastAsia="Bookman Old Style" w:hAnsi="Bookman Old Style" w:cs="Bookman Old Style"/>
                              <w:i/>
                              <w:color w:val="000000"/>
                              <w:sz w:val="32"/>
                            </w:rPr>
                            <w:t>Estado de Minas Gerais</w:t>
                          </w:r>
                        </w:p>
                        <w:p w14:paraId="482B8C71" w14:textId="77777777" w:rsidR="009B55FB" w:rsidRDefault="009B55FB">
                          <w:pPr>
                            <w:textDirection w:val="btLr"/>
                          </w:pPr>
                        </w:p>
                      </w:txbxContent>
                    </wps:txbx>
                    <wps:bodyPr spcFirstLastPara="1" wrap="square" lIns="91425" tIns="45700" rIns="91425" bIns="45700" anchor="t" anchorCtr="0">
                      <a:noAutofit/>
                    </wps:bodyPr>
                  </wps:wsp>
                </a:graphicData>
              </a:graphic>
            </wp:anchor>
          </w:drawing>
        </mc:Choice>
        <mc:Fallback>
          <w:pict>
            <v:rect w14:anchorId="585A5B62" id="Retângulo 1754915412" o:spid="_x0000_s1026" style="position:absolute;margin-left:95.05pt;margin-top:9.65pt;width:400.25pt;height:6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" stroked="f">
              <v:textbox inset="2.53958mm,1.2694mm,2.53958mm,1.2694mm">
                <w:txbxContent>
                  <w:p w14:paraId="062A1AFB" w14:textId="77777777" w:rsidR="009B55FB" w:rsidRDefault="00000000">
                    <w:pPr>
                      <w:jc w:val="center"/>
                      <w:textDirection w:val="btLr"/>
                    </w:pPr>
                    <w:r>
                      <w:rPr>
                        <w:rFonts w:ascii="Script MT Bold" w:eastAsia="Script MT Bold" w:hAnsi="Script MT Bold" w:cs="Script MT Bold"/>
                        <w:b/>
                        <w:color w:val="000000"/>
                        <w:sz w:val="56"/>
                      </w:rPr>
                      <w:t>Prefeitura Municipal de Teixeiras</w:t>
                    </w:r>
                  </w:p>
                  <w:p w14:paraId="1859CD74" w14:textId="77777777" w:rsidR="009B55FB" w:rsidRDefault="00000000">
                    <w:pPr>
                      <w:jc w:val="center"/>
                      <w:textDirection w:val="btLr"/>
                    </w:pPr>
                    <w:r>
                      <w:rPr>
                        <w:rFonts w:ascii="Bookman Old Style" w:eastAsia="Bookman Old Style" w:hAnsi="Bookman Old Style" w:cs="Bookman Old Style"/>
                        <w:i/>
                        <w:color w:val="000000"/>
                        <w:sz w:val="32"/>
                      </w:rPr>
                      <w:t>Estado de Minas Gerais</w:t>
                    </w:r>
                  </w:p>
                  <w:p w14:paraId="482B8C71" w14:textId="77777777" w:rsidR="009B55FB" w:rsidRDefault="009B55FB">
                    <w:pPr>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E29A8"/>
    <w:multiLevelType w:val="multilevel"/>
    <w:tmpl w:val="978A28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E8611BB"/>
    <w:multiLevelType w:val="multilevel"/>
    <w:tmpl w:val="ED36FA50"/>
    <w:lvl w:ilvl="0">
      <w:start w:val="1"/>
      <w:numFmt w:val="lowerLetter"/>
      <w:lvlText w:val="%1)"/>
      <w:lvlJc w:val="left"/>
      <w:pPr>
        <w:ind w:left="2421" w:hanging="360"/>
      </w:pPr>
    </w:lvl>
    <w:lvl w:ilvl="1">
      <w:start w:val="1"/>
      <w:numFmt w:val="lowerLetter"/>
      <w:lvlText w:val="%2."/>
      <w:lvlJc w:val="left"/>
      <w:pPr>
        <w:ind w:left="3141" w:hanging="360"/>
      </w:pPr>
    </w:lvl>
    <w:lvl w:ilvl="2">
      <w:start w:val="1"/>
      <w:numFmt w:val="lowerRoman"/>
      <w:pStyle w:val="Nivel3-erro"/>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2" w15:restartNumberingAfterBreak="0">
    <w:nsid w:val="30415983"/>
    <w:multiLevelType w:val="multilevel"/>
    <w:tmpl w:val="6D805B9C"/>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b w:val="0"/>
        <w:i w:val="0"/>
        <w:strike w:val="0"/>
        <w:color w:val="000000"/>
        <w:sz w:val="20"/>
        <w:szCs w:val="20"/>
      </w:rPr>
    </w:lvl>
    <w:lvl w:ilvl="3">
      <w:start w:val="1"/>
      <w:numFmt w:val="decimal"/>
      <w:lvlText w:val="%1.%2.%3.%4."/>
      <w:lvlJc w:val="left"/>
      <w:pPr>
        <w:ind w:left="2491" w:hanging="648"/>
      </w:pPr>
      <w:rPr>
        <w:color w:val="00000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A23462"/>
    <w:multiLevelType w:val="multilevel"/>
    <w:tmpl w:val="BCC8BE24"/>
    <w:lvl w:ilvl="0">
      <w:start w:val="1"/>
      <w:numFmt w:val="decimal"/>
      <w:lvlText w:val="%1."/>
      <w:lvlJc w:val="left"/>
      <w:pPr>
        <w:ind w:left="360" w:hanging="360"/>
      </w:pPr>
      <w:rPr>
        <w:b/>
      </w:rPr>
    </w:lvl>
    <w:lvl w:ilvl="1">
      <w:start w:val="1"/>
      <w:numFmt w:val="decimal"/>
      <w:lvlText w:val="%1.%2."/>
      <w:lvlJc w:val="left"/>
      <w:pPr>
        <w:ind w:left="999" w:hanging="432"/>
      </w:pPr>
      <w:rPr>
        <w:rFonts w:ascii="Calibri" w:eastAsia="Calibri" w:hAnsi="Calibri" w:cs="Calibri"/>
        <w:b w:val="0"/>
        <w:i w:val="0"/>
        <w:strike w:val="0"/>
        <w:color w:val="000000"/>
        <w:sz w:val="22"/>
        <w:szCs w:val="22"/>
        <w:u w:val="none"/>
      </w:rPr>
    </w:lvl>
    <w:lvl w:ilvl="2">
      <w:start w:val="1"/>
      <w:numFmt w:val="decimal"/>
      <w:lvlText w:val="%1.%2.%3"/>
      <w:lvlJc w:val="left"/>
      <w:pPr>
        <w:ind w:left="1638" w:hanging="504"/>
      </w:pPr>
      <w:rPr>
        <w:rFonts w:ascii="Calibri" w:eastAsia="Calibri" w:hAnsi="Calibri" w:cs="Calibri"/>
        <w:b w:val="0"/>
        <w:i w:val="0"/>
        <w:strike w:val="0"/>
        <w:color w:val="000000"/>
        <w:sz w:val="22"/>
        <w:szCs w:val="22"/>
      </w:rPr>
    </w:lvl>
    <w:lvl w:ilvl="3">
      <w:start w:val="1"/>
      <w:numFmt w:val="decimal"/>
      <w:lvlText w:val="%1.%2.%3.%4."/>
      <w:lvlJc w:val="left"/>
      <w:pPr>
        <w:ind w:left="2491" w:hanging="648"/>
      </w:pPr>
      <w:rPr>
        <w:rFonts w:ascii="Calibri" w:eastAsia="Calibri" w:hAnsi="Calibri" w:cs="Calibri"/>
        <w:b w:val="0"/>
        <w:color w:val="000000"/>
        <w:sz w:val="22"/>
        <w:szCs w:val="22"/>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B047FE"/>
    <w:multiLevelType w:val="multilevel"/>
    <w:tmpl w:val="612C2A66"/>
    <w:lvl w:ilvl="0">
      <w:start w:val="1"/>
      <w:numFmt w:val="lowerLetter"/>
      <w:pStyle w:val="Commarcadores5"/>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15:restartNumberingAfterBreak="0">
    <w:nsid w:val="560724AD"/>
    <w:multiLevelType w:val="multilevel"/>
    <w:tmpl w:val="7A5806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6F25CE0"/>
    <w:multiLevelType w:val="multilevel"/>
    <w:tmpl w:val="A5CE76E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784314B"/>
    <w:multiLevelType w:val="multilevel"/>
    <w:tmpl w:val="7C6CAE9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color w:val="000000"/>
      </w:rPr>
    </w:lvl>
    <w:lvl w:ilvl="8">
      <w:start w:val="1"/>
      <w:numFmt w:val="lowerRoman"/>
      <w:lvlText w:val="%9."/>
      <w:lvlJc w:val="left"/>
      <w:pPr>
        <w:ind w:left="3240" w:hanging="360"/>
      </w:pPr>
    </w:lvl>
  </w:abstractNum>
  <w:abstractNum w:abstractNumId="8" w15:restartNumberingAfterBreak="0">
    <w:nsid w:val="594751BB"/>
    <w:multiLevelType w:val="multilevel"/>
    <w:tmpl w:val="806C17E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BB3377F"/>
    <w:multiLevelType w:val="multilevel"/>
    <w:tmpl w:val="87D0A89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0" w15:restartNumberingAfterBreak="0">
    <w:nsid w:val="5D530AE5"/>
    <w:multiLevelType w:val="multilevel"/>
    <w:tmpl w:val="26AE4530"/>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73414788"/>
    <w:multiLevelType w:val="multilevel"/>
    <w:tmpl w:val="D302728A"/>
    <w:lvl w:ilvl="0">
      <w:start w:val="1"/>
      <w:numFmt w:val="decimal"/>
      <w:lvlText w:val="%1."/>
      <w:lvlJc w:val="left"/>
      <w:pPr>
        <w:ind w:left="360" w:hanging="360"/>
      </w:pPr>
      <w:rPr>
        <w:rFonts w:ascii="Calibri" w:eastAsia="Calibri" w:hAnsi="Calibri" w:cs="Calibri"/>
        <w:b/>
        <w:sz w:val="22"/>
        <w:szCs w:val="22"/>
      </w:rPr>
    </w:lvl>
    <w:lvl w:ilvl="1">
      <w:start w:val="1"/>
      <w:numFmt w:val="decimal"/>
      <w:pStyle w:val="Nivel2"/>
      <w:lvlText w:val="%1.%2."/>
      <w:lvlJc w:val="left"/>
      <w:pPr>
        <w:ind w:left="999" w:hanging="432"/>
      </w:pPr>
      <w:rPr>
        <w:rFonts w:ascii="Calibri" w:eastAsia="Calibri" w:hAnsi="Calibri" w:cs="Calibri"/>
        <w:b w:val="0"/>
        <w:i w:val="0"/>
        <w:strike w:val="0"/>
        <w:color w:val="000000"/>
        <w:sz w:val="22"/>
        <w:szCs w:val="22"/>
        <w:u w:val="none"/>
      </w:rPr>
    </w:lvl>
    <w:lvl w:ilvl="2">
      <w:start w:val="1"/>
      <w:numFmt w:val="decimal"/>
      <w:pStyle w:val="Nivel3"/>
      <w:lvlText w:val="%1.%2.%3."/>
      <w:lvlJc w:val="left"/>
      <w:pPr>
        <w:ind w:left="1638" w:hanging="504"/>
      </w:pPr>
      <w:rPr>
        <w:rFonts w:ascii="Calibri" w:eastAsia="Calibri" w:hAnsi="Calibri" w:cs="Calibri"/>
        <w:b w:val="0"/>
        <w:i w:val="0"/>
        <w:strike w:val="0"/>
        <w:color w:val="000000"/>
        <w:sz w:val="22"/>
        <w:szCs w:val="22"/>
      </w:rPr>
    </w:lvl>
    <w:lvl w:ilvl="3">
      <w:start w:val="1"/>
      <w:numFmt w:val="decimal"/>
      <w:pStyle w:val="Nivel4"/>
      <w:lvlText w:val="%1.%2.%3.%4."/>
      <w:lvlJc w:val="left"/>
      <w:pPr>
        <w:ind w:left="2491" w:hanging="648"/>
      </w:pPr>
      <w:rPr>
        <w:rFonts w:ascii="Calibri" w:eastAsia="Calibri" w:hAnsi="Calibri" w:cs="Calibri"/>
        <w:b w:val="0"/>
        <w:i w:val="0"/>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FA36B4"/>
    <w:multiLevelType w:val="multilevel"/>
    <w:tmpl w:val="B8A085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F326EC1"/>
    <w:multiLevelType w:val="multilevel"/>
    <w:tmpl w:val="83002BF6"/>
    <w:lvl w:ilvl="0">
      <w:start w:val="1"/>
      <w:numFmt w:val="decimal"/>
      <w:lvlText w:val="%1."/>
      <w:lvlJc w:val="left"/>
      <w:pPr>
        <w:ind w:left="360" w:hanging="360"/>
      </w:pPr>
      <w:rPr>
        <w:b/>
      </w:rPr>
    </w:lvl>
    <w:lvl w:ilvl="1">
      <w:start w:val="1"/>
      <w:numFmt w:val="decimal"/>
      <w:lvlText w:val="%1.%2."/>
      <w:lvlJc w:val="left"/>
      <w:pPr>
        <w:ind w:left="999" w:hanging="432"/>
      </w:pPr>
      <w:rPr>
        <w:rFonts w:ascii="Calibri" w:eastAsia="Calibri" w:hAnsi="Calibri" w:cs="Calibri"/>
        <w:b w:val="0"/>
        <w:i w:val="0"/>
        <w:strike w:val="0"/>
        <w:color w:val="000000"/>
        <w:sz w:val="22"/>
        <w:szCs w:val="22"/>
        <w:u w:val="none"/>
      </w:rPr>
    </w:lvl>
    <w:lvl w:ilvl="2">
      <w:start w:val="1"/>
      <w:numFmt w:val="decimal"/>
      <w:lvlText w:val="%1.%2.%3."/>
      <w:lvlJc w:val="left"/>
      <w:pPr>
        <w:ind w:left="1638" w:hanging="504"/>
      </w:pPr>
      <w:rPr>
        <w:rFonts w:ascii="Calibri" w:eastAsia="Calibri" w:hAnsi="Calibri" w:cs="Calibri"/>
        <w:b w:val="0"/>
        <w:i w:val="0"/>
        <w:strike w:val="0"/>
        <w:color w:val="000000"/>
        <w:sz w:val="22"/>
        <w:szCs w:val="22"/>
      </w:rPr>
    </w:lvl>
    <w:lvl w:ilvl="3">
      <w:start w:val="1"/>
      <w:numFmt w:val="decimal"/>
      <w:lvlText w:val="%1.%2.%3.%4."/>
      <w:lvlJc w:val="left"/>
      <w:pPr>
        <w:ind w:left="2491" w:hanging="648"/>
      </w:pPr>
      <w:rPr>
        <w:i w:val="0"/>
        <w:sz w:val="20"/>
        <w:szCs w:val="20"/>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17544089">
    <w:abstractNumId w:val="11"/>
  </w:num>
  <w:num w:numId="2" w16cid:durableId="1090270231">
    <w:abstractNumId w:val="4"/>
  </w:num>
  <w:num w:numId="3" w16cid:durableId="753630589">
    <w:abstractNumId w:val="14"/>
  </w:num>
  <w:num w:numId="4" w16cid:durableId="633414444">
    <w:abstractNumId w:val="2"/>
  </w:num>
  <w:num w:numId="5" w16cid:durableId="1577548297">
    <w:abstractNumId w:val="9"/>
  </w:num>
  <w:num w:numId="6" w16cid:durableId="2007590112">
    <w:abstractNumId w:val="0"/>
  </w:num>
  <w:num w:numId="7" w16cid:durableId="1156066324">
    <w:abstractNumId w:val="6"/>
  </w:num>
  <w:num w:numId="8" w16cid:durableId="751854889">
    <w:abstractNumId w:val="5"/>
  </w:num>
  <w:num w:numId="9" w16cid:durableId="587540814">
    <w:abstractNumId w:val="13"/>
  </w:num>
  <w:num w:numId="10" w16cid:durableId="894703148">
    <w:abstractNumId w:val="7"/>
  </w:num>
  <w:num w:numId="11" w16cid:durableId="129831820">
    <w:abstractNumId w:val="1"/>
  </w:num>
  <w:num w:numId="12" w16cid:durableId="1441072565">
    <w:abstractNumId w:val="8"/>
  </w:num>
  <w:num w:numId="13" w16cid:durableId="1791128176">
    <w:abstractNumId w:val="3"/>
  </w:num>
  <w:num w:numId="14" w16cid:durableId="1755663078">
    <w:abstractNumId w:val="10"/>
  </w:num>
  <w:num w:numId="15" w16cid:durableId="18295913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5FB"/>
    <w:rsid w:val="000376A4"/>
    <w:rsid w:val="00041E22"/>
    <w:rsid w:val="0021005E"/>
    <w:rsid w:val="00273D22"/>
    <w:rsid w:val="002A7A23"/>
    <w:rsid w:val="002B3AEB"/>
    <w:rsid w:val="002B71A7"/>
    <w:rsid w:val="002B7F81"/>
    <w:rsid w:val="002E31C8"/>
    <w:rsid w:val="003421BC"/>
    <w:rsid w:val="0035000B"/>
    <w:rsid w:val="00360BE8"/>
    <w:rsid w:val="0041106A"/>
    <w:rsid w:val="00440B90"/>
    <w:rsid w:val="00537161"/>
    <w:rsid w:val="00553F95"/>
    <w:rsid w:val="00593FF3"/>
    <w:rsid w:val="00617F67"/>
    <w:rsid w:val="006D08A0"/>
    <w:rsid w:val="008454EE"/>
    <w:rsid w:val="009056FC"/>
    <w:rsid w:val="00946C1E"/>
    <w:rsid w:val="009B55FB"/>
    <w:rsid w:val="009C2794"/>
    <w:rsid w:val="009D6A89"/>
    <w:rsid w:val="00A279CB"/>
    <w:rsid w:val="00A82933"/>
    <w:rsid w:val="00BE59A1"/>
    <w:rsid w:val="00D5086F"/>
    <w:rsid w:val="00E5097A"/>
    <w:rsid w:val="00F10AA1"/>
    <w:rsid w:val="00FD7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CE9FD"/>
  <w15:docId w15:val="{6F609B3B-4592-4DFB-8FF6-5B47271F5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table" w:customStyle="1" w:styleId="TableNormal0">
    <w:name w:val="Table Normal"/>
    <w:tblPr>
      <w:tblCellMar>
        <w:top w:w="0" w:type="dxa"/>
        <w:left w:w="0" w:type="dxa"/>
        <w:bottom w:w="0" w:type="dxa"/>
        <w:right w:w="0" w:type="dxa"/>
      </w:tblCellMar>
    </w:tbl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rsid w:val="00AE643C"/>
    <w:pPr>
      <w:numPr>
        <w:numId w:val="14"/>
      </w:numPr>
      <w:shd w:val="clear" w:color="auto" w:fill="C6D9F1" w:themeFill="text2" w:themeFillTint="33"/>
      <w:tabs>
        <w:tab w:val="num" w:pos="360"/>
      </w:tabs>
      <w:spacing w:before="240" w:after="240"/>
      <w:ind w:left="0" w:firstLine="0"/>
      <w:jc w:val="both"/>
    </w:pPr>
    <w:rPr>
      <w:rFonts w:ascii="Arial" w:hAnsi="Arial" w:cs="Arial"/>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E643C"/>
    <w:rPr>
      <w:rFonts w:ascii="Arial" w:eastAsiaTheme="majorEastAsia" w:hAnsi="Arial" w:cs="Arial"/>
      <w:b/>
      <w:bCs/>
      <w:color w:val="17365D" w:themeColor="text2" w:themeShade="BF"/>
      <w:spacing w:val="5"/>
      <w:kern w:val="28"/>
      <w:sz w:val="20"/>
      <w:szCs w:val="20"/>
      <w:shd w:val="clear" w:color="auto" w:fill="C6D9F1" w:themeFill="text2" w:themeFillTint="33"/>
      <w:lang w:eastAsia="pt-BR"/>
    </w:rPr>
  </w:style>
  <w:style w:type="character" w:customStyle="1" w:styleId="Ttulo1Char">
    <w:name w:val="Título 1 Char"/>
    <w:basedOn w:val="Fontepargpadro"/>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6E3BC" w:themeFill="accent3" w:themeFillTint="66"/>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link w:val="Nivel1Char"/>
    <w:qFormat/>
    <w:rsid w:val="00D30A43"/>
    <w:pPr>
      <w:spacing w:line="276" w:lineRule="auto"/>
      <w:ind w:left="357" w:hanging="357"/>
      <w:jc w:val="both"/>
    </w:pPr>
    <w:rPr>
      <w:rFonts w:ascii="Arial" w:hAnsi="Arial" w:cs="Arial"/>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rPr>
  </w:style>
  <w:style w:type="paragraph" w:customStyle="1" w:styleId="Nivel2">
    <w:name w:val="Nivel 2"/>
    <w:basedOn w:val="Normal"/>
    <w:link w:val="Nivel2Char"/>
    <w:qFormat/>
    <w:rsid w:val="00804597"/>
    <w:pPr>
      <w:numPr>
        <w:ilvl w:val="1"/>
        <w:numId w:val="1"/>
      </w:numPr>
      <w:spacing w:before="240" w:after="240"/>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946662"/>
    <w:pPr>
      <w:numPr>
        <w:ilvl w:val="2"/>
        <w:numId w:val="1"/>
      </w:numPr>
      <w:spacing w:before="240" w:after="240"/>
      <w:jc w:val="both"/>
    </w:pPr>
    <w:rPr>
      <w:rFonts w:ascii="Arial" w:hAnsi="Arial" w:cs="Arial"/>
      <w:color w:val="000000"/>
      <w:sz w:val="20"/>
      <w:szCs w:val="20"/>
    </w:rPr>
  </w:style>
  <w:style w:type="paragraph" w:customStyle="1" w:styleId="Nivel4">
    <w:name w:val="Nivel 4"/>
    <w:basedOn w:val="Nivel3"/>
    <w:link w:val="Nivel4Char"/>
    <w:qFormat/>
    <w:rsid w:val="00A31CE6"/>
    <w:pPr>
      <w:numPr>
        <w:ilvl w:val="3"/>
      </w:numPr>
    </w:pPr>
    <w:rPr>
      <w:color w:val="auto"/>
      <w:sz w:val="22"/>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A31CE6"/>
    <w:rPr>
      <w:rFonts w:ascii="Arial" w:hAnsi="Arial" w:cs="Arial"/>
      <w:sz w:val="22"/>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804597"/>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946662"/>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8C0278"/>
    <w:pPr>
      <w:numPr>
        <w:numId w:val="0"/>
      </w:numPr>
      <w:tabs>
        <w:tab w:val="num" w:pos="720"/>
      </w:tabs>
      <w:outlineLvl w:val="1"/>
    </w:pPr>
  </w:style>
  <w:style w:type="character" w:customStyle="1" w:styleId="Nvel4-RChar">
    <w:name w:val="Nível 4-R Char"/>
    <w:basedOn w:val="Nivel4Char"/>
    <w:link w:val="Nvel4-R"/>
    <w:rsid w:val="00447F3E"/>
    <w:rPr>
      <w:rFonts w:ascii="Arial" w:hAnsi="Arial" w:cs="Arial"/>
      <w:i/>
      <w:iCs/>
      <w:color w:val="FF0000"/>
      <w:sz w:val="22"/>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C0278"/>
    <w:rPr>
      <w:rFonts w:ascii="Arial" w:eastAsiaTheme="majorEastAsia" w:hAnsi="Arial" w:cs="Arial"/>
      <w:b/>
      <w:bCs/>
      <w:color w:val="17365D" w:themeColor="text2" w:themeShade="BF"/>
      <w:spacing w:val="5"/>
      <w:kern w:val="28"/>
      <w:sz w:val="22"/>
      <w:szCs w:val="52"/>
      <w:shd w:val="clear" w:color="auto" w:fill="D6E3BC" w:themeFill="accent3" w:themeFillTint="66"/>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next w:val="Normal"/>
    <w:uiPriority w:val="39"/>
    <w:unhideWhenUsed/>
    <w:rsid w:val="003F579D"/>
    <w:pPr>
      <w:spacing w:before="240" w:line="259" w:lineRule="auto"/>
    </w:pPr>
    <w:rPr>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01-SemNumerao">
    <w:name w:val="Nível 01-Sem Numeração"/>
    <w:basedOn w:val="Normal"/>
    <w:link w:val="Nvel01-SemNumeraoChar"/>
    <w:autoRedefine/>
    <w:uiPriority w:val="1"/>
    <w:qFormat/>
    <w:rsid w:val="0055489E"/>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55489E"/>
    <w:rPr>
      <w:rFonts w:ascii="Arial" w:eastAsiaTheme="majorEastAsia" w:hAnsi="Arial" w:cs="Arial"/>
      <w:b/>
      <w:bCs/>
      <w:lang w:eastAsia="pt-BR"/>
    </w:rPr>
  </w:style>
  <w:style w:type="paragraph" w:styleId="Sumrio2">
    <w:name w:val="toc 2"/>
    <w:basedOn w:val="Normal"/>
    <w:next w:val="Normal"/>
    <w:autoRedefine/>
    <w:uiPriority w:val="39"/>
    <w:unhideWhenUsed/>
    <w:rsid w:val="006546E0"/>
    <w:pPr>
      <w:spacing w:after="100"/>
      <w:ind w:left="240"/>
    </w:pPr>
  </w:style>
  <w:style w:type="character" w:customStyle="1" w:styleId="MenoPendente7">
    <w:name w:val="Menção Pendente7"/>
    <w:basedOn w:val="Fontepargpadro"/>
    <w:uiPriority w:val="99"/>
    <w:semiHidden/>
    <w:unhideWhenUsed/>
    <w:rsid w:val="00DA37B9"/>
    <w:rPr>
      <w:color w:val="605E5C"/>
      <w:shd w:val="clear" w:color="auto" w:fill="E1DFDD"/>
    </w:rPr>
  </w:style>
  <w:style w:type="character" w:customStyle="1" w:styleId="findhit">
    <w:name w:val="findhit"/>
    <w:basedOn w:val="Fontepargpadro"/>
    <w:rsid w:val="005E1620"/>
  </w:style>
  <w:style w:type="paragraph" w:customStyle="1" w:styleId="Normal10">
    <w:name w:val="Normal1"/>
    <w:qFormat/>
    <w:rsid w:val="005E1620"/>
    <w:pPr>
      <w:spacing w:before="200" w:after="200" w:line="276" w:lineRule="auto"/>
    </w:pPr>
    <w:rPr>
      <w:rFonts w:ascii="Calibri" w:eastAsia="Calibri" w:hAnsi="Calibri" w:cs="Calibri"/>
    </w:rPr>
  </w:style>
  <w:style w:type="paragraph" w:customStyle="1" w:styleId="Nvel4">
    <w:name w:val="Nível 4"/>
    <w:basedOn w:val="Normal"/>
    <w:link w:val="Nvel4Char"/>
    <w:qFormat/>
    <w:rsid w:val="00C6380C"/>
    <w:pPr>
      <w:spacing w:before="120" w:after="120" w:line="276" w:lineRule="auto"/>
      <w:ind w:left="567"/>
      <w:jc w:val="both"/>
    </w:pPr>
    <w:rPr>
      <w:rFonts w:ascii="Arial" w:eastAsia="Times New Roman" w:hAnsi="Arial" w:cs="Arial"/>
      <w:sz w:val="20"/>
      <w:szCs w:val="20"/>
    </w:rPr>
  </w:style>
  <w:style w:type="paragraph" w:customStyle="1" w:styleId="SubTitNN">
    <w:name w:val="SubTitNN"/>
    <w:basedOn w:val="Normal"/>
    <w:link w:val="SubTitNNChar"/>
    <w:qFormat/>
    <w:rsid w:val="00587AD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587AD3"/>
    <w:rPr>
      <w:rFonts w:ascii="Arial" w:eastAsia="Times New Roman" w:hAnsi="Arial" w:cs="Arial"/>
      <w:b/>
      <w:bCs/>
      <w:iCs/>
      <w:lang w:eastAsia="pt-BR"/>
    </w:rPr>
  </w:style>
  <w:style w:type="paragraph" w:customStyle="1" w:styleId="Nvel3">
    <w:name w:val="Nível 3"/>
    <w:basedOn w:val="Nvel3-R"/>
    <w:link w:val="Nvel3Char"/>
    <w:qFormat/>
    <w:rsid w:val="00587AD3"/>
    <w:pPr>
      <w:spacing w:before="120" w:after="120" w:line="276" w:lineRule="auto"/>
    </w:pPr>
    <w:rPr>
      <w:rFonts w:eastAsia="Times New Roman"/>
      <w:i w:val="0"/>
      <w:iCs w:val="0"/>
    </w:rPr>
  </w:style>
  <w:style w:type="character" w:customStyle="1" w:styleId="Nvel3Char">
    <w:name w:val="Nível 3 Char"/>
    <w:basedOn w:val="Nvel3-RChar"/>
    <w:link w:val="Nvel3"/>
    <w:rsid w:val="00587AD3"/>
    <w:rPr>
      <w:rFonts w:ascii="Arial" w:eastAsia="Times New Roman" w:hAnsi="Arial" w:cs="Arial"/>
      <w:i w:val="0"/>
      <w:iCs w:val="0"/>
      <w:color w:val="FF0000"/>
      <w:lang w:eastAsia="pt-BR"/>
    </w:rPr>
  </w:style>
  <w:style w:type="character" w:customStyle="1" w:styleId="Nvel4Char">
    <w:name w:val="Nível 4 Char"/>
    <w:basedOn w:val="Nvel3Char"/>
    <w:link w:val="Nvel4"/>
    <w:rsid w:val="00587AD3"/>
    <w:rPr>
      <w:rFonts w:ascii="Arial" w:eastAsia="Times New Roman" w:hAnsi="Arial" w:cs="Arial"/>
      <w:i w:val="0"/>
      <w:iCs w:val="0"/>
      <w:color w:val="FF0000"/>
      <w:lang w:eastAsia="pt-BR"/>
    </w:rPr>
  </w:style>
  <w:style w:type="table" w:customStyle="1" w:styleId="tabela">
    <w:name w:val="tabela"/>
    <w:uiPriority w:val="99"/>
    <w:rsid w:val="00F131F0"/>
    <w:pPr>
      <w:spacing w:after="160" w:line="259"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ItensMedia">
    <w:name w:val="tabelaItensMedia"/>
    <w:uiPriority w:val="99"/>
    <w:rsid w:val="00F131F0"/>
    <w:pPr>
      <w:spacing w:after="160" w:line="259"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paragraph" w:customStyle="1" w:styleId="Nivel3-erro">
    <w:name w:val="Nivel 3-erro"/>
    <w:basedOn w:val="Nivel3"/>
    <w:link w:val="Nivel3-erroChar"/>
    <w:autoRedefine/>
    <w:qFormat/>
    <w:rsid w:val="00E40A44"/>
    <w:pPr>
      <w:numPr>
        <w:numId w:val="11"/>
      </w:numPr>
      <w:ind w:left="0" w:firstLine="0"/>
    </w:pPr>
    <w:rPr>
      <w:rFonts w:cs="Tahoma"/>
      <w:bCs/>
      <w:color w:val="000000" w:themeColor="text1"/>
      <w:szCs w:val="24"/>
    </w:rPr>
  </w:style>
  <w:style w:type="character" w:customStyle="1" w:styleId="Nivel3-erroChar">
    <w:name w:val="Nivel 3-erro Char"/>
    <w:basedOn w:val="Fontepargpadro"/>
    <w:link w:val="Nivel3-erro"/>
    <w:rsid w:val="00E40A44"/>
    <w:rPr>
      <w:rFonts w:ascii="Arial" w:hAnsi="Arial" w:cs="Tahoma"/>
      <w:bCs/>
      <w:color w:val="000000" w:themeColor="text1"/>
      <w:szCs w:val="24"/>
      <w:lang w:eastAsia="pt-BR"/>
    </w:rPr>
  </w:style>
  <w:style w:type="paragraph" w:customStyle="1" w:styleId="Nvel1-SemNumerao">
    <w:name w:val="Nível 1-Sem Numeração"/>
    <w:basedOn w:val="Nvel1-SemNum"/>
    <w:link w:val="Nvel1-SemNumeraoChar"/>
    <w:autoRedefine/>
    <w:qFormat/>
    <w:rsid w:val="008F71DE"/>
    <w:pPr>
      <w:shd w:val="clear" w:color="auto" w:fill="auto"/>
      <w:tabs>
        <w:tab w:val="left" w:pos="195"/>
      </w:tabs>
    </w:pPr>
    <w:rPr>
      <w:rFonts w:eastAsia="Arial"/>
      <w:spacing w:val="5"/>
      <w:kern w:val="28"/>
    </w:rPr>
  </w:style>
  <w:style w:type="character" w:customStyle="1" w:styleId="Nvel1-SemNumeraoChar">
    <w:name w:val="Nível 1-Sem Numeração Char"/>
    <w:basedOn w:val="Nvel1-SemNumChar"/>
    <w:link w:val="Nvel1-SemNumerao"/>
    <w:rsid w:val="008F71DE"/>
    <w:rPr>
      <w:rFonts w:ascii="Arial" w:eastAsia="Arial" w:hAnsi="Arial" w:cs="Arial"/>
      <w:b/>
      <w:bCs w:val="0"/>
      <w:color w:val="17365D" w:themeColor="text2" w:themeShade="BF"/>
      <w:spacing w:val="5"/>
      <w:kern w:val="28"/>
      <w:sz w:val="22"/>
      <w:szCs w:val="52"/>
      <w:shd w:val="clear" w:color="auto" w:fill="D6E3BC" w:themeFill="accent3" w:themeFillTint="66"/>
      <w:lang w:eastAsia="pt-BR"/>
    </w:rPr>
  </w:style>
  <w:style w:type="paragraph" w:customStyle="1" w:styleId="Alteraes">
    <w:name w:val="Alterações"/>
    <w:basedOn w:val="Nvel2-Red"/>
    <w:link w:val="AlteraesChar"/>
    <w:rsid w:val="001D28F8"/>
    <w:pPr>
      <w:numPr>
        <w:ilvl w:val="0"/>
        <w:numId w:val="0"/>
      </w:numPr>
      <w:spacing w:before="120" w:after="120" w:line="276" w:lineRule="auto"/>
    </w:pPr>
    <w:rPr>
      <w:rFonts w:eastAsia="Arial"/>
      <w:b/>
      <w:i w:val="0"/>
      <w:color w:val="0000FF"/>
    </w:rPr>
  </w:style>
  <w:style w:type="character" w:customStyle="1" w:styleId="AlteraesChar">
    <w:name w:val="Alterações Char"/>
    <w:basedOn w:val="Nvel2-RedChar"/>
    <w:link w:val="Alteraes"/>
    <w:rsid w:val="001D28F8"/>
    <w:rPr>
      <w:rFonts w:ascii="Arial" w:eastAsia="Arial" w:hAnsi="Arial" w:cs="Arial"/>
      <w:b/>
      <w:i w:val="0"/>
      <w:iCs/>
      <w:color w:val="0000FF"/>
      <w:lang w:eastAsia="pt-BR"/>
    </w:rPr>
  </w:style>
  <w:style w:type="character" w:customStyle="1" w:styleId="Estilo7">
    <w:name w:val="Estilo7"/>
    <w:basedOn w:val="Fontepargpadro"/>
    <w:uiPriority w:val="1"/>
    <w:rsid w:val="001D28F8"/>
    <w:rPr>
      <w:rFonts w:ascii="Arial" w:hAnsi="Arial"/>
      <w:sz w:val="20"/>
    </w:rPr>
  </w:style>
  <w:style w:type="character" w:customStyle="1" w:styleId="MenoPendente70">
    <w:name w:val="Menção Pendente7"/>
    <w:basedOn w:val="Fontepargpadro"/>
    <w:uiPriority w:val="99"/>
    <w:semiHidden/>
    <w:unhideWhenUsed/>
    <w:rsid w:val="001D28F8"/>
    <w:rPr>
      <w:color w:val="605E5C"/>
      <w:shd w:val="clear" w:color="auto" w:fill="E1DFDD"/>
    </w:rPr>
  </w:style>
  <w:style w:type="character" w:customStyle="1" w:styleId="MenoPendente8">
    <w:name w:val="Menção Pendente8"/>
    <w:basedOn w:val="Fontepargpadro"/>
    <w:uiPriority w:val="99"/>
    <w:semiHidden/>
    <w:unhideWhenUsed/>
    <w:rsid w:val="00D8679A"/>
    <w:rPr>
      <w:color w:val="605E5C"/>
      <w:shd w:val="clear" w:color="auto" w:fill="E1DFDD"/>
    </w:rPr>
  </w:style>
  <w:style w:type="numbering" w:customStyle="1" w:styleId="WW8Num16">
    <w:name w:val="WW8Num16"/>
    <w:basedOn w:val="Semlista"/>
    <w:rsid w:val="002F23C4"/>
  </w:style>
  <w:style w:type="paragraph" w:customStyle="1" w:styleId="TableContents">
    <w:name w:val="Table Contents"/>
    <w:basedOn w:val="Standard"/>
    <w:rsid w:val="002F23C4"/>
    <w:pPr>
      <w:widowControl w:val="0"/>
      <w:suppressLineNumbers/>
      <w:textAlignment w:val="baseline"/>
    </w:pPr>
    <w:rPr>
      <w:rFonts w:cs="Arial"/>
    </w:rPr>
  </w:style>
  <w:style w:type="paragraph" w:styleId="SemEspaamento">
    <w:name w:val="No Spacing"/>
    <w:uiPriority w:val="1"/>
    <w:qFormat/>
    <w:rsid w:val="002F23C4"/>
    <w:pPr>
      <w:ind w:right="3" w:firstLine="698"/>
      <w:jc w:val="both"/>
    </w:pPr>
    <w:rPr>
      <w:rFonts w:ascii="Calibri" w:eastAsia="Calibri" w:hAnsi="Calibri" w:cs="Calibri"/>
      <w:color w:val="000000"/>
      <w:kern w:val="2"/>
      <w:sz w:val="22"/>
      <w:szCs w:val="22"/>
    </w:rPr>
  </w:style>
  <w:style w:type="character" w:customStyle="1" w:styleId="MenoPendente9">
    <w:name w:val="Menção Pendente9"/>
    <w:basedOn w:val="Fontepargpadro"/>
    <w:uiPriority w:val="99"/>
    <w:semiHidden/>
    <w:unhideWhenUsed/>
    <w:rsid w:val="00CD646A"/>
    <w:rPr>
      <w:color w:val="605E5C"/>
      <w:shd w:val="clear" w:color="auto" w:fill="E1DFDD"/>
    </w:rPr>
  </w:style>
  <w:style w:type="table" w:customStyle="1" w:styleId="TableNormal1">
    <w:name w:val="Table Normal"/>
    <w:uiPriority w:val="2"/>
    <w:qFormat/>
    <w:rsid w:val="0001162D"/>
    <w:pPr>
      <w:spacing w:after="200" w:line="276" w:lineRule="auto"/>
    </w:pPr>
    <w:rPr>
      <w:rFonts w:ascii="Calibri" w:eastAsia="Calibri" w:hAnsi="Calibri"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01162D"/>
    <w:pPr>
      <w:widowControl w:val="0"/>
      <w:autoSpaceDE w:val="0"/>
      <w:autoSpaceDN w:val="0"/>
      <w:jc w:val="center"/>
    </w:pPr>
    <w:rPr>
      <w:rFonts w:ascii="Arial" w:eastAsia="Arial" w:hAnsi="Arial" w:cs="Arial"/>
      <w:sz w:val="22"/>
      <w:szCs w:val="22"/>
      <w:lang w:val="pt-PT" w:eastAsia="en-US"/>
    </w:rPr>
  </w:style>
  <w:style w:type="table" w:customStyle="1" w:styleId="a">
    <w:basedOn w:val="TableNormal1"/>
    <w:pPr>
      <w:spacing w:after="160" w:line="259" w:lineRule="auto"/>
    </w:pPr>
    <w:rPr>
      <w:rFonts w:ascii="Arial" w:eastAsia="Arial" w:hAnsi="Arial" w:cs="Arial"/>
    </w:rPr>
    <w:tblPr>
      <w:tblStyleRowBandSize w:val="1"/>
      <w:tblStyleColBandSize w:val="1"/>
      <w:tblCellMar>
        <w:top w:w="50" w:type="dxa"/>
        <w:left w:w="25" w:type="dxa"/>
        <w:right w:w="50"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pPr>
      <w:spacing w:after="160" w:line="259" w:lineRule="auto"/>
    </w:pPr>
    <w:rPr>
      <w:rFonts w:ascii="Arial" w:eastAsia="Arial" w:hAnsi="Arial" w:cs="Arial"/>
    </w:rPr>
    <w:tblPr>
      <w:tblStyleRowBandSize w:val="1"/>
      <w:tblStyleColBandSize w:val="1"/>
      <w:tblCellMar>
        <w:top w:w="50" w:type="dxa"/>
        <w:left w:w="25" w:type="dxa"/>
        <w:right w:w="50"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15" w:type="dxa"/>
        <w:right w:w="115" w:type="dxa"/>
      </w:tblCellMar>
    </w:tblPr>
  </w:style>
  <w:style w:type="character" w:styleId="MenoPendente">
    <w:name w:val="Unresolved Mention"/>
    <w:basedOn w:val="Fontepargpadro"/>
    <w:uiPriority w:val="99"/>
    <w:semiHidden/>
    <w:unhideWhenUsed/>
    <w:rsid w:val="006E3BD9"/>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0"/>
    <w:pPr>
      <w:spacing w:after="160" w:line="259" w:lineRule="auto"/>
    </w:pPr>
    <w:rPr>
      <w:rFonts w:ascii="Arial" w:eastAsia="Arial" w:hAnsi="Arial" w:cs="Arial"/>
    </w:rPr>
    <w:tblPr>
      <w:tblStyleRowBandSize w:val="1"/>
      <w:tblStyleColBandSize w:val="1"/>
      <w:tblCellMar>
        <w:top w:w="50" w:type="dxa"/>
        <w:left w:w="25" w:type="dxa"/>
        <w:right w:w="50" w:type="dxa"/>
      </w:tblCellMar>
    </w:tblPr>
  </w:style>
  <w:style w:type="table" w:customStyle="1" w:styleId="a5">
    <w:basedOn w:val="TableNormal0"/>
    <w:pPr>
      <w:spacing w:after="200" w:line="276" w:lineRule="auto"/>
    </w:pPr>
    <w:rPr>
      <w:rFonts w:ascii="Calibri" w:eastAsia="Calibri" w:hAnsi="Calibri" w:cs="Calibri"/>
      <w:sz w:val="22"/>
      <w:szCs w:val="22"/>
    </w:rPr>
    <w:tblPr>
      <w:tblStyleRowBandSize w:val="1"/>
      <w:tblStyleColBandSize w:val="1"/>
      <w:tblCellMar>
        <w:left w:w="108" w:type="dxa"/>
        <w:right w:w="108" w:type="dxa"/>
      </w:tblCellMar>
    </w:tblPr>
  </w:style>
  <w:style w:type="table" w:customStyle="1" w:styleId="a6">
    <w:basedOn w:val="TableNormal0"/>
    <w:pPr>
      <w:spacing w:after="160" w:line="259" w:lineRule="auto"/>
    </w:pPr>
    <w:rPr>
      <w:rFonts w:ascii="Arial" w:eastAsia="Arial" w:hAnsi="Arial" w:cs="Arial"/>
    </w:rPr>
    <w:tblPr>
      <w:tblStyleRowBandSize w:val="1"/>
      <w:tblStyleColBandSize w:val="1"/>
      <w:tblCellMar>
        <w:top w:w="50" w:type="dxa"/>
        <w:left w:w="25" w:type="dxa"/>
        <w:right w:w="50" w:type="dxa"/>
      </w:tblCellMar>
    </w:tblPr>
  </w:style>
  <w:style w:type="table" w:customStyle="1" w:styleId="a7">
    <w:basedOn w:val="TableNormal0"/>
    <w:pPr>
      <w:spacing w:after="200" w:line="276" w:lineRule="auto"/>
    </w:pPr>
    <w:rPr>
      <w:rFonts w:ascii="Calibri" w:eastAsia="Calibri" w:hAnsi="Calibri" w:cs="Calibri"/>
      <w:sz w:val="22"/>
      <w:szCs w:val="22"/>
    </w:rPr>
    <w:tblPr>
      <w:tblStyleRowBandSize w:val="1"/>
      <w:tblStyleColBandSize w:val="1"/>
      <w:tblCellMar>
        <w:left w:w="115" w:type="dxa"/>
        <w:right w:w="115" w:type="dxa"/>
      </w:tblCellMar>
    </w:tblPr>
  </w:style>
  <w:style w:type="table" w:styleId="TabeladeGradeClara">
    <w:name w:val="Grid Table Light"/>
    <w:basedOn w:val="Tabelanormal"/>
    <w:uiPriority w:val="40"/>
    <w:rsid w:val="00440B90"/>
    <w:rPr>
      <w:rFonts w:asciiTheme="minorHAnsi" w:eastAsiaTheme="minorHAnsi" w:hAnsiTheme="minorHAnsi" w:cstheme="minorBidi"/>
      <w:kern w:val="2"/>
      <w:sz w:val="22"/>
      <w:szCs w:val="22"/>
      <w:lang w:eastAsia="en-US"/>
      <w14:ligatures w14:val="standardContextual"/>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htm"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ortaldecompraspublicas.com.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cnes.datasus.gov.br/"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ortaldecompraspublicas.com.br/" TargetMode="External"/><Relationship Id="rId29"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normas.receita.fazenda.gov.br/sijut2consulta/link.action?visao=anotado&amp;idAto=56753"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www.portaldecompraspublicas.com.br/" TargetMode="External"/><Relationship Id="rId36"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9784.htm" TargetMode="External"/><Relationship Id="rId31" Type="http://schemas.openxmlformats.org/officeDocument/2006/relationships/hyperlink" Target="https://www.teixeiras.mg.gov.br/index.php/licitacoes/editais-de-licitacao"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igtap.datasus.gov.br/tabela-unificada/app/sec/inicio.jsp"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ortaldecompraspublicas.com.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www.portaldecompraspublicas.com.br/"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s://www.planalto.gov.br/ccivil_03/decreto-lei/del5452.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D7i9W1dZuKMhdHnLK4gmbElNog==">CgMxLjAyDmguNWIwbDBjODNpNWs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OaC54b2RmODlyejh1bzMyDmgucXV6N3V4dDV5d3lxMgloLjN3aHdtbDQyDmguOGFrNGpsOG5zejMxMgloLjJibjZ3c3gyCGgucXNoNzBxMg5oLjdvMWZnN2Rnc2E5aTIJaC4zYXM0cG9qMgloLjFweGV6d2MyCWguNDl4MmlrNTIJaC4ycDJjc3J5MgloLjE0N24yenIyCWguM283YWxuazIJaC4yM2NrdnZkMghoLmlodjYzNjIJaC4zMmhpb3F6MgloLjFobXN5eXMyCWguNDFtZ2htbDIJaC4yZ3JxcnVlMghoLnZ4MTIyNzIJaC4zZndva3EwMgloLjF2MXl1eHQyCWguNGYxbWRsbTIJaC4ydTZ3bnRmMgloLjE5YzZ5MTgyCWguM3RidWdwMTIJaC4yOGg0cXd1OAByITFWdnhnR2lCcUVRWW5NQXJHa0c2SXFaZ1hVUjRNbm8y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55</Pages>
  <Words>23093</Words>
  <Characters>124708</Characters>
  <Application>Microsoft Office Word</Application>
  <DocSecurity>0</DocSecurity>
  <Lines>1039</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FUMSAT Teixeiras</cp:lastModifiedBy>
  <cp:revision>21</cp:revision>
  <dcterms:created xsi:type="dcterms:W3CDTF">2024-02-16T16:59:00Z</dcterms:created>
  <dcterms:modified xsi:type="dcterms:W3CDTF">2025-09-18T14:02:00Z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0x01010012A2765E7DFD38469B2E626874CD0041</vt:lpwstr>
  </property>
</Properties>
</file>