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24"/>
          <w:shd w:fill="DBE5F1" w:val="clear"/>
        </w:rPr>
      </w:pPr>
      <w:r>
        <w:rPr>
          <w:rFonts w:ascii="Calibri" w:hAnsi="Calibri" w:cs="Calibri" w:eastAsia="Calibri"/>
          <w:b/>
          <w:color w:val="auto"/>
          <w:spacing w:val="0"/>
          <w:position w:val="0"/>
          <w:sz w:val="24"/>
          <w:shd w:fill="DBE5F1" w:val="clear"/>
        </w:rPr>
        <w:t xml:space="preserve">EDITAL Nº 011/2026</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INEXIGIBILIDADE Nº 003/2026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PROCESSO ADMINISTRATIVO Nº 012/2026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CREDENCIAMENTO Nº 002/2026</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Torna-se público que a </w:t>
      </w:r>
      <w:r>
        <w:rPr>
          <w:rFonts w:ascii="Calibri" w:hAnsi="Calibri" w:cs="Calibri" w:eastAsia="Calibri"/>
          <w:b/>
          <w:color w:val="auto"/>
          <w:spacing w:val="0"/>
          <w:position w:val="0"/>
          <w:sz w:val="22"/>
          <w:shd w:fill="auto" w:val="clear"/>
        </w:rPr>
        <w:t xml:space="preserve">Fundação Municipal de Saúde de Teixeiras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MG</w:t>
      </w:r>
      <w:r>
        <w:rPr>
          <w:rFonts w:ascii="Calibri" w:hAnsi="Calibri" w:cs="Calibri" w:eastAsia="Calibri"/>
          <w:color w:val="auto"/>
          <w:spacing w:val="0"/>
          <w:position w:val="0"/>
          <w:sz w:val="22"/>
          <w:shd w:fill="auto" w:val="clear"/>
        </w:rPr>
        <w:t xml:space="preserve">, inscrita no CNPJ sob o nº 18.134.122/0001-36, sediada na Rua Santa Teresa, nº 330, Centro, em Teixeiras, Estado de Minas Gerais, CEP 36.580-000, realizará, no período indicado neste Edital, procedimento de credenciamento para contratação de pessoas jurídicas especializadas na prestação de serviços de oftalmologia, compreendendo consultas, exames diagnósticos específicos e procedimentos cirúrgicos e ambulatoriais, com provimento dos equipamentos, aparelhos e insumos necessários, incluindo o fornecimento de próteses oftálmicas e óculos aos usuários, nos termos da Tipologia III da Deliberação CIB-SUS/MG nº 4.065, de 7 de dezembro de 2022, e suas alterações, caracterizando Oferta de Cuidados Integrados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OCI, custeada por recursos do Fundo de A</w:t>
      </w:r>
      <w:r>
        <w:rPr>
          <w:rFonts w:ascii="Calibri" w:hAnsi="Calibri" w:cs="Calibri" w:eastAsia="Calibri"/>
          <w:color w:val="auto"/>
          <w:spacing w:val="0"/>
          <w:position w:val="0"/>
          <w:sz w:val="22"/>
          <w:shd w:fill="auto" w:val="clear"/>
        </w:rPr>
        <w:t xml:space="preserve">ções Estratégicas e Compensações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FAEC, de natureza p</w:t>
      </w:r>
      <w:r>
        <w:rPr>
          <w:rFonts w:ascii="Calibri" w:hAnsi="Calibri" w:cs="Calibri" w:eastAsia="Calibri"/>
          <w:color w:val="auto"/>
          <w:spacing w:val="0"/>
          <w:position w:val="0"/>
          <w:sz w:val="22"/>
          <w:shd w:fill="auto" w:val="clear"/>
        </w:rPr>
        <w:t xml:space="preserve">ós-fixada/pós-faturada, no âmbito do Programa Agora Tem Especialistas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PATE, observada a Delibera</w:t>
      </w:r>
      <w:r>
        <w:rPr>
          <w:rFonts w:ascii="Calibri" w:hAnsi="Calibri" w:cs="Calibri" w:eastAsia="Calibri"/>
          <w:color w:val="auto"/>
          <w:spacing w:val="0"/>
          <w:position w:val="0"/>
          <w:sz w:val="22"/>
          <w:shd w:fill="auto" w:val="clear"/>
        </w:rPr>
        <w:t xml:space="preserve">ção CIB-SUS/MG nº 5.606, de 16 de janeiro de 2026, sem prejuízo de eventual complementação por recursos próprios do Tesouro Municipal, quando cabível, com fundamento no art. 74, inciso IV, c/c art. 79, inciso II, da Lei Federal nº 14.133, de 1º de abril de 2021, no Decreto Federal nº 11.878/2024, no que couber, no Decreto Municipal nº 553/2024, na Lei Complementar nº 123/2006 e nas demais normas aplicáveis, observadas as exigências estabelecidas neste Edital e em seus anexos</w:t>
      </w:r>
      <w:r>
        <w:rPr>
          <w:rFonts w:ascii="Calibri" w:hAnsi="Calibri" w:cs="Calibri" w:eastAsia="Calibri"/>
          <w:b/>
          <w:color w:val="auto"/>
          <w:spacing w:val="0"/>
          <w:position w:val="0"/>
          <w:sz w:val="22"/>
          <w:shd w:fill="auto" w:val="clear"/>
        </w:rPr>
        <w:t xml:space="preserve">.</w:t>
      </w:r>
    </w:p>
    <w:p>
      <w:pPr>
        <w:spacing w:before="0" w:after="120" w:line="240"/>
        <w:ind w:right="0" w:left="0" w:firstLine="0"/>
        <w:jc w:val="both"/>
        <w:rPr>
          <w:rFonts w:ascii="Calibri" w:hAnsi="Calibri" w:cs="Calibri" w:eastAsia="Calibri"/>
          <w:b/>
          <w:color w:val="auto"/>
          <w:spacing w:val="0"/>
          <w:position w:val="0"/>
          <w:sz w:val="22"/>
          <w:shd w:fill="auto" w:val="clear"/>
        </w:rPr>
      </w:pPr>
    </w:p>
    <w:p>
      <w:pPr>
        <w:spacing w:before="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Recebimento dos documentos de habilitação:</w:t>
      </w:r>
      <w:r>
        <w:rPr>
          <w:rFonts w:ascii="Calibri" w:hAnsi="Calibri" w:cs="Calibri" w:eastAsia="Calibri"/>
          <w:color w:val="auto"/>
          <w:spacing w:val="0"/>
          <w:position w:val="0"/>
          <w:sz w:val="22"/>
          <w:shd w:fill="auto" w:val="clear"/>
        </w:rPr>
        <w:t xml:space="preserve"> início em </w:t>
      </w:r>
      <w:r>
        <w:rPr>
          <w:rFonts w:ascii="Calibri" w:hAnsi="Calibri" w:cs="Calibri" w:eastAsia="Calibri"/>
          <w:b/>
          <w:color w:val="auto"/>
          <w:spacing w:val="0"/>
          <w:position w:val="0"/>
          <w:sz w:val="22"/>
          <w:shd w:fill="auto" w:val="clear"/>
        </w:rPr>
        <w:t xml:space="preserve">27/08/2026, às 8h</w:t>
      </w:r>
      <w:r>
        <w:rPr>
          <w:rFonts w:ascii="Calibri" w:hAnsi="Calibri" w:cs="Calibri" w:eastAsia="Calibri"/>
          <w:color w:val="auto"/>
          <w:spacing w:val="0"/>
          <w:position w:val="0"/>
          <w:sz w:val="22"/>
          <w:shd w:fill="auto" w:val="clear"/>
        </w:rPr>
        <w:t xml:space="preserve">.</w:t>
      </w:r>
    </w:p>
    <w:p>
      <w:pPr>
        <w:spacing w:before="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Primeira sessão de habilitação:</w:t>
      </w: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11/09/2026, às 8h</w:t>
      </w:r>
      <w:r>
        <w:rPr>
          <w:rFonts w:ascii="Calibri" w:hAnsi="Calibri" w:cs="Calibri" w:eastAsia="Calibri"/>
          <w:color w:val="auto"/>
          <w:spacing w:val="0"/>
          <w:position w:val="0"/>
          <w:sz w:val="22"/>
          <w:shd w:fill="auto" w:val="clear"/>
        </w:rPr>
        <w:t xml:space="preserve">.</w:t>
      </w:r>
    </w:p>
    <w:p>
      <w:pPr>
        <w:spacing w:before="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Periodicidade das sessões:</w:t>
      </w:r>
      <w:r>
        <w:rPr>
          <w:rFonts w:ascii="Calibri" w:hAnsi="Calibri" w:cs="Calibri" w:eastAsia="Calibri"/>
          <w:color w:val="auto"/>
          <w:spacing w:val="0"/>
          <w:position w:val="0"/>
          <w:sz w:val="22"/>
          <w:shd w:fill="auto" w:val="clear"/>
        </w:rPr>
        <w:t xml:space="preserve"> as sessões subsequentes ocorrerão na </w:t>
      </w:r>
      <w:r>
        <w:rPr>
          <w:rFonts w:ascii="Calibri" w:hAnsi="Calibri" w:cs="Calibri" w:eastAsia="Calibri"/>
          <w:b/>
          <w:color w:val="auto"/>
          <w:spacing w:val="0"/>
          <w:position w:val="0"/>
          <w:sz w:val="22"/>
          <w:shd w:fill="auto" w:val="clear"/>
        </w:rPr>
        <w:t xml:space="preserve">primeira segunda-feira de cada mês, às 8h</w:t>
      </w:r>
      <w:r>
        <w:rPr>
          <w:rFonts w:ascii="Calibri" w:hAnsi="Calibri" w:cs="Calibri" w:eastAsia="Calibri"/>
          <w:color w:val="auto"/>
          <w:spacing w:val="0"/>
          <w:position w:val="0"/>
          <w:sz w:val="22"/>
          <w:shd w:fill="auto" w:val="clear"/>
        </w:rPr>
        <w:t xml:space="preserve">, durante a vigência do credenciamento. Caso a data coincida com feriado ou dia sem expediente administrativo, a sessão será realizada no primeiro dia útil subsequente, no mesmo horário, salvo divulgação de nova data pela Administração.</w:t>
      </w:r>
    </w:p>
    <w:p>
      <w:pPr>
        <w:spacing w:before="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Horário da sessão:</w:t>
      </w:r>
      <w:r>
        <w:rPr>
          <w:rFonts w:ascii="Calibri" w:hAnsi="Calibri" w:cs="Calibri" w:eastAsia="Calibri"/>
          <w:color w:val="auto"/>
          <w:spacing w:val="0"/>
          <w:position w:val="0"/>
          <w:sz w:val="22"/>
          <w:shd w:fill="auto" w:val="clear"/>
        </w:rPr>
        <w:t xml:space="preserve"> 08h00min.</w:t>
      </w:r>
    </w:p>
    <w:p>
      <w:pPr>
        <w:spacing w:before="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Data limite para protocolo dos documentos:</w:t>
      </w: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10/09/2027, às 17h</w:t>
      </w:r>
      <w:r>
        <w:rPr>
          <w:rFonts w:ascii="Calibri" w:hAnsi="Calibri" w:cs="Calibri" w:eastAsia="Calibri"/>
          <w:color w:val="auto"/>
          <w:spacing w:val="0"/>
          <w:position w:val="0"/>
          <w:sz w:val="22"/>
          <w:shd w:fill="auto" w:val="clear"/>
        </w:rPr>
        <w:t xml:space="preserve">, observado o horário oficial do Município.</w:t>
      </w:r>
    </w:p>
    <w:p>
      <w:pPr>
        <w:spacing w:before="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Local:</w:t>
      </w:r>
      <w:r>
        <w:rPr>
          <w:rFonts w:ascii="Calibri" w:hAnsi="Calibri" w:cs="Calibri" w:eastAsia="Calibri"/>
          <w:color w:val="auto"/>
          <w:spacing w:val="0"/>
          <w:position w:val="0"/>
          <w:sz w:val="22"/>
          <w:shd w:fill="auto" w:val="clear"/>
        </w:rPr>
        <w:t xml:space="preserve"> Portal de Compras Públicas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https://www.portaldecompraspublicas.com.br/</w:t>
        </w:r>
      </w:hyperlink>
    </w:p>
    <w:p>
      <w:pPr>
        <w:keepNext w:val="true"/>
        <w:keepLines w:val="true"/>
        <w:numPr>
          <w:ilvl w:val="0"/>
          <w:numId w:val="4"/>
        </w:numPr>
        <w:spacing w:before="240" w:after="120" w:line="240"/>
        <w:ind w:right="0" w:left="0" w:firstLine="0"/>
        <w:jc w:val="both"/>
        <w:rPr>
          <w:rFonts w:ascii="Ecofont_Spranq_eco_Sans" w:hAnsi="Ecofont_Spranq_eco_Sans" w:cs="Ecofont_Spranq_eco_Sans" w:eastAsia="Ecofont_Spranq_eco_Sans"/>
          <w:color w:val="000000"/>
          <w:spacing w:val="0"/>
          <w:position w:val="0"/>
          <w:sz w:val="24"/>
          <w:shd w:fill="C6D9F1" w:val="clear"/>
        </w:rPr>
      </w:pPr>
      <w:r>
        <w:rPr>
          <w:rFonts w:ascii="Calibri" w:hAnsi="Calibri" w:cs="Calibri" w:eastAsia="Calibri"/>
          <w:b/>
          <w:color w:val="000000"/>
          <w:spacing w:val="0"/>
          <w:position w:val="0"/>
          <w:sz w:val="22"/>
          <w:shd w:fill="C6D9F1" w:val="clear"/>
        </w:rPr>
        <w:t xml:space="preserve">DO OBJETO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objeto do presente </w:t>
      </w:r>
      <w:r>
        <w:rPr>
          <w:rFonts w:ascii="Calibri" w:hAnsi="Calibri" w:cs="Calibri" w:eastAsia="Calibri"/>
          <w:b/>
          <w:color w:val="auto"/>
          <w:spacing w:val="0"/>
          <w:position w:val="0"/>
          <w:sz w:val="22"/>
          <w:shd w:fill="auto" w:val="clear"/>
        </w:rPr>
        <w:t xml:space="preserve">credenciamento é a contratação de clínicas especializadas em oftalmologia para execução de consultas, exames diagnósticos específicos e procedimentos cirúrgicos e ambulatoriais, em instalações próprias da credenciada ou, quando expressamente autorizado, em espaço físico disponibilizado pela Fundação Municipal de Saúde de Teixeiras, com provimento de todos os equipamentos, aparelhos e insumos necessários, incluindo o fornecimento de próteses oftálmicas e óculos aos usuários, nos termos da Tipologia III da Deliberação CIB-SUS/MG nº 4.065, de 7 de dezembro de 2022</w:t>
      </w:r>
      <w:r>
        <w:rPr>
          <w:rFonts w:ascii="Calibri" w:hAnsi="Calibri" w:cs="Calibri" w:eastAsia="Calibri"/>
          <w:color w:val="auto"/>
          <w:spacing w:val="0"/>
          <w:position w:val="0"/>
          <w:sz w:val="22"/>
          <w:shd w:fill="auto" w:val="clear"/>
        </w:rPr>
        <w:t xml:space="preserve">, e suas alterações, conforme condições, exigências e valores estabelecidos neste Edital e em seus anexos.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credenciamento compreenderá a carteira de procedimentos prevista no Termo de Referência, Anexo I deste Edital, observada a seleção do prestador pelo beneficiário direto da prestação, nos termos do art. 79, inciso II, da Lei nº 14.133/2021.</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serviços serão remunerados pelos valores oficiais aplicáveis aos respectivos procedimentos, conforme Tabela SIGTAP-SUS e, quando cabíveis, incentivos federais e estaduais das políticas vigentes, inclusive Valora Minas e Opera Mais, observadas as deliberações aplicáveis, a disponibilidade orçamentária e financeira e as regras de atualização previstas neste Edital e no Termo de Referência. O financiamento dos procedimentos de OCI ocorrerá, no que couber, por recursos do Fundo de Ações Estratégicas e Compensações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FAEC, de natureza p</w:t>
      </w:r>
      <w:r>
        <w:rPr>
          <w:rFonts w:ascii="Calibri" w:hAnsi="Calibri" w:cs="Calibri" w:eastAsia="Calibri"/>
          <w:color w:val="auto"/>
          <w:spacing w:val="0"/>
          <w:position w:val="0"/>
          <w:sz w:val="22"/>
          <w:shd w:fill="auto" w:val="clear"/>
        </w:rPr>
        <w:t xml:space="preserve">ós-fixada/pós-faturada, condicionados à aprovação da produção registrada em APAC nos sistemas oficiais do Ministério da Saúde (SIA/SUS), por emendas parlamentares específicas destinadas às Ofertas de Cuidados Integrados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OCI, e pelo teto financeiro de M</w:t>
      </w:r>
      <w:r>
        <w:rPr>
          <w:rFonts w:ascii="Calibri" w:hAnsi="Calibri" w:cs="Calibri" w:eastAsia="Calibri"/>
          <w:color w:val="auto"/>
          <w:spacing w:val="0"/>
          <w:position w:val="0"/>
          <w:sz w:val="22"/>
          <w:shd w:fill="auto" w:val="clear"/>
        </w:rPr>
        <w:t xml:space="preserve">édia e Alta Complexidade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MAC, custeado por recursos do Tesouro Municipal, sem preju</w:t>
      </w:r>
      <w:r>
        <w:rPr>
          <w:rFonts w:ascii="Calibri" w:hAnsi="Calibri" w:cs="Calibri" w:eastAsia="Calibri"/>
          <w:color w:val="auto"/>
          <w:spacing w:val="0"/>
          <w:position w:val="0"/>
          <w:sz w:val="22"/>
          <w:shd w:fill="auto" w:val="clear"/>
        </w:rPr>
        <w:t xml:space="preserve">ízo de eventual complementação por outros recursos próprios do Tesouro Municipal, quando cabível, observados os critérios e hipóteses de glosa aplicáveis a cada fonte, na forma detalhada no Termo de Referência. A Tabela SIGTAP-SUS poderá ser consultada em </w:t>
      </w: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http://sigtap.datasus.gov.br/tabela-unificada/app/sec/inicio.jsp</w:t>
        </w:r>
      </w:hyperlink>
      <w:r>
        <w:rPr>
          <w:rFonts w:ascii="Calibri" w:hAnsi="Calibri" w:cs="Calibri" w:eastAsia="Calibri"/>
          <w:color w:val="auto"/>
          <w:spacing w:val="0"/>
          <w:position w:val="0"/>
          <w:sz w:val="22"/>
          <w:shd w:fill="auto" w:val="clear"/>
        </w:rPr>
        <w:t xml:space="preserv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credenciamento não obriga a administração pública a contratar.</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000000"/>
          <w:spacing w:val="0"/>
          <w:position w:val="0"/>
          <w:sz w:val="22"/>
          <w:shd w:fill="C6D9F1" w:val="clear"/>
        </w:rPr>
        <w:t xml:space="preserve">DAS CONDIÇÕES DE PARTICIPAÇÃO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Poderão habilitar-se ao credenciamento as pessoas jurídicas que atendam integralmente às condições deste Edital e de seus anexos, observada a legislação vigente e os requisitos de habilitação previstos no Termo de Referência, Anexo I.</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Pessoas jurídicas com atuação compatível com o objeto e que comprovem capacidade para a prestação dos serviços credenciados.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não observância do disposto no item anterior poderá ensejar o indeferimento do requerimento de credenciamento, sem prejuízo da possibilidade de saneamento quando legalmente admitido.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000000"/>
          <w:spacing w:val="0"/>
          <w:position w:val="0"/>
          <w:sz w:val="22"/>
          <w:u w:val="single"/>
          <w:shd w:fill="auto" w:val="clear"/>
        </w:rPr>
        <w:t xml:space="preserve">Não</w:t>
      </w:r>
      <w:r>
        <w:rPr>
          <w:rFonts w:ascii="Calibri" w:hAnsi="Calibri" w:cs="Calibri" w:eastAsia="Calibri"/>
          <w:color w:val="000000"/>
          <w:spacing w:val="0"/>
          <w:position w:val="0"/>
          <w:sz w:val="22"/>
          <w:shd w:fill="auto" w:val="clear"/>
        </w:rPr>
        <w:t xml:space="preserve"> poderão participar deste </w:t>
      </w:r>
      <w:r>
        <w:rPr>
          <w:rFonts w:ascii="Calibri" w:hAnsi="Calibri" w:cs="Calibri" w:eastAsia="Calibri"/>
          <w:b/>
          <w:color w:val="000000"/>
          <w:spacing w:val="0"/>
          <w:position w:val="0"/>
          <w:sz w:val="22"/>
          <w:shd w:fill="auto" w:val="clear"/>
        </w:rPr>
        <w:t xml:space="preserve">CREDENCIAMENTO</w:t>
      </w:r>
      <w:r>
        <w:rPr>
          <w:rFonts w:ascii="Calibri" w:hAnsi="Calibri" w:cs="Calibri" w:eastAsia="Calibri"/>
          <w:color w:val="000000"/>
          <w:spacing w:val="0"/>
          <w:position w:val="0"/>
          <w:sz w:val="22"/>
          <w:shd w:fill="auto" w:val="clear"/>
        </w:rPr>
        <w:t xml:space="preserv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Pessoas jurídicas que estejam em situação irregular perante os órgãos competentes.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 jurídica que se enquadre na vedação do art. 14, inciso IV, da Lei nº 14.133/2021, por manter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 jurídica sancionada com impedimento de licitar e contratar, nos termos do art. 156, inciso III, da Lei nº 14.133/2021, enquanto vigentes os efeitos da sanção no âmbito aplicável;</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 jurídica declarada inidônea para licitar ou contratar, nos termos do art. 156, inciso IV, da Lei nº 14.133/2021, enquanto perdurarem os efeitos da sanção;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 jurídica alcançada por sanção ou impedimento superveniente que, nos termos da legislação vigente, obste a contratação com a Fundação Municipal de Saúde de Teixeiras;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Sociedade estrangeira não autorizada a funcionar no País;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Quaisquer interessadas enquadradas nas vedações previstas no art. 9º, §§ 1º e 2º, e art.14 da Lei nº 14.133/21;  </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Empresa cujo estatuto ou contrato social não seja pertinente e compatível com o objeto deste credenciamento;  </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 jurídica que se enquadre em qualquer outra hipótese legal de impedimento ou incompatibilidade para contratar com a Administração Pública, enquanto perdurar a causa impeditiva;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Consórcio   de   empresa, qualquer   que   seja   sua   forma   de constituição.  </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Pessoa jurídica com falência decretada, dissolução ou liquidação, ressalvadas as hipóteses de recuperação judicial ou extrajudicial em que seja demonstrada a aptidão econômico-financeira para o cumprimento das obrigações decorrentes do credenciamento;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Em caso de empresa em recuperação judicial ou extrajudicial, será admitida a participação desde que apresentada documentação idônea que demonstre sua aptidão econômico-financeira para executar o objeto, sem prejuízo dos demais requisitos de habilitação.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Como condição para participação no Credenciamento, a interessada assinalará “sim” ou “não” em campo próprio do sistema eletrônico, relativo às seguintes declarações: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Que cumpre os requisitos estabelecidos no </w:t>
      </w:r>
      <w:hyperlink xmlns:r="http://schemas.openxmlformats.org/officeDocument/2006/relationships" r:id="docRId2">
        <w:r>
          <w:rPr>
            <w:rFonts w:ascii="Calibri" w:hAnsi="Calibri" w:cs="Calibri" w:eastAsia="Calibri"/>
            <w:color w:val="000080"/>
            <w:spacing w:val="0"/>
            <w:position w:val="0"/>
            <w:sz w:val="22"/>
            <w:u w:val="single"/>
            <w:shd w:fill="auto" w:val="clear"/>
          </w:rPr>
          <w:t xml:space="preserve">art. 3º da Lei Complementar nº 123/2006</w:t>
        </w:r>
      </w:hyperlink>
      <w:r>
        <w:rPr>
          <w:rFonts w:ascii="Calibri" w:hAnsi="Calibri" w:cs="Calibri" w:eastAsia="Calibri"/>
          <w:color w:val="000000"/>
          <w:spacing w:val="0"/>
          <w:position w:val="0"/>
          <w:sz w:val="22"/>
          <w:shd w:fill="auto" w:val="clear"/>
        </w:rPr>
        <w:t xml:space="preserve">, estando apta a usufruir do tratamento favorecido estabelecido em seus arts. 42 a 49 e que não celebrou contratos com a Administração Pública cujos valores extrapolam a receita bruta máxima admitida para fins de enquadramento como empresa de pequeno porte;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000000"/>
          <w:spacing w:val="0"/>
          <w:position w:val="0"/>
          <w:sz w:val="24"/>
          <w:shd w:fill="auto" w:val="clear"/>
        </w:rPr>
      </w:pPr>
      <w:r>
        <w:rPr>
          <w:rFonts w:ascii="Calibri" w:hAnsi="Calibri" w:cs="Calibri" w:eastAsia="Calibri"/>
          <w:color w:val="auto"/>
          <w:spacing w:val="0"/>
          <w:position w:val="0"/>
          <w:sz w:val="22"/>
          <w:shd w:fill="auto" w:val="clear"/>
        </w:rPr>
        <w:t xml:space="preserve">A declaração quanto ao enquadramento como microempresa ou empresa de pequeno porte deverá refletir a condição real da interessada, sob pena das sanções cabíveis;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000000"/>
          <w:spacing w:val="0"/>
          <w:position w:val="0"/>
          <w:sz w:val="24"/>
          <w:shd w:fill="auto" w:val="clear"/>
        </w:rPr>
      </w:pPr>
      <w:r>
        <w:rPr>
          <w:rFonts w:ascii="Calibri" w:hAnsi="Calibri" w:cs="Calibri" w:eastAsia="Calibri"/>
          <w:color w:val="auto"/>
          <w:spacing w:val="0"/>
          <w:position w:val="0"/>
          <w:sz w:val="22"/>
          <w:shd w:fill="auto" w:val="clear"/>
        </w:rPr>
        <w:t xml:space="preserve">O tratamento favorecido previsto na Lei Complementar nº 123/2006 será aplicado quando cabível, sem restringir a participação de empresas de outros portes que atendam às condições do credenciamento.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Que está ciente e concorda com as condições contidas no Edital e seus Anexos;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Que cumpre os requisitos de habilitação definidos no Edital e que o requerimento de participação e a documentação apresentados estão em conformidade com as exigências editalícias;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Que inexistem fatos impeditivos para sua habilitação no credenciamento, ciente da obrigatoriedade de declarar ocorrências posteriores;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Que não emprega menor de 18 anos em trabalho noturno, perigoso ou insalubre e não emprega menor de 16 anos, salvo menor, a partir de 14 anos, na condição de aprendiz, nos termos do art. 7º, inciso XXXIII, da Constituição Federal de 1988;</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Que o requerimento de participação e os documentos apresentados refletem informações verdadeiras e foram preparados sob sua responsabilidade;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Que não possui, em sua cadeia produtiva, empregados executando trabalho degradante ou forçado, observando o disposto nos incisos </w:t>
      </w:r>
      <w:hyperlink xmlns:r="http://schemas.openxmlformats.org/officeDocument/2006/relationships" r:id="docRId3">
        <w:r>
          <w:rPr>
            <w:rFonts w:ascii="Calibri" w:hAnsi="Calibri" w:cs="Calibri" w:eastAsia="Calibri"/>
            <w:color w:val="000080"/>
            <w:spacing w:val="0"/>
            <w:position w:val="0"/>
            <w:sz w:val="22"/>
            <w:u w:val="single"/>
            <w:shd w:fill="auto" w:val="clear"/>
          </w:rPr>
          <w:t xml:space="preserve">III</w:t>
        </w:r>
      </w:hyperlink>
      <w:r>
        <w:rPr>
          <w:rFonts w:ascii="Calibri" w:hAnsi="Calibri" w:cs="Calibri" w:eastAsia="Calibri"/>
          <w:color w:val="000000"/>
          <w:spacing w:val="0"/>
          <w:position w:val="0"/>
          <w:sz w:val="22"/>
          <w:shd w:fill="auto" w:val="clear"/>
        </w:rPr>
        <w:t xml:space="preserve"> e </w:t>
      </w:r>
      <w:hyperlink xmlns:r="http://schemas.openxmlformats.org/officeDocument/2006/relationships" r:id="docRId4">
        <w:r>
          <w:rPr>
            <w:rFonts w:ascii="Calibri" w:hAnsi="Calibri" w:cs="Calibri" w:eastAsia="Calibri"/>
            <w:color w:val="000080"/>
            <w:spacing w:val="0"/>
            <w:position w:val="0"/>
            <w:sz w:val="22"/>
            <w:u w:val="single"/>
            <w:shd w:fill="auto" w:val="clear"/>
          </w:rPr>
          <w:t xml:space="preserve">IV</w:t>
        </w:r>
      </w:hyperlink>
      <w:r>
        <w:rPr>
          <w:rFonts w:ascii="Calibri" w:hAnsi="Calibri" w:cs="Calibri" w:eastAsia="Calibri"/>
          <w:color w:val="000000"/>
          <w:spacing w:val="0"/>
          <w:position w:val="0"/>
          <w:sz w:val="22"/>
          <w:shd w:fill="auto" w:val="clear"/>
        </w:rPr>
        <w:t xml:space="preserve"> do art. 1º e no </w:t>
      </w:r>
      <w:hyperlink xmlns:r="http://schemas.openxmlformats.org/officeDocument/2006/relationships" r:id="docRId5">
        <w:r>
          <w:rPr>
            <w:rFonts w:ascii="Calibri" w:hAnsi="Calibri" w:cs="Calibri" w:eastAsia="Calibri"/>
            <w:color w:val="000080"/>
            <w:spacing w:val="0"/>
            <w:position w:val="0"/>
            <w:sz w:val="22"/>
            <w:u w:val="single"/>
            <w:shd w:fill="auto" w:val="clear"/>
          </w:rPr>
          <w:t xml:space="preserve">inciso III do art. 5º da Constituição Federal de 1988</w:t>
        </w:r>
      </w:hyperlink>
      <w:r>
        <w:rPr>
          <w:rFonts w:ascii="Calibri" w:hAnsi="Calibri" w:cs="Calibri" w:eastAsia="Calibri"/>
          <w:color w:val="000000"/>
          <w:spacing w:val="0"/>
          <w:position w:val="0"/>
          <w:sz w:val="22"/>
          <w:shd w:fill="auto" w:val="clear"/>
        </w:rPr>
        <w:t xml:space="preserv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Que cumpre com a reserva de cargos prevista em lei para pessoa com deficiência ou para reabilitado da Previdência Social e que atendam às regras de acessibilidade previstas na legislação, conforme disposto no </w:t>
      </w:r>
      <w:hyperlink xmlns:r="http://schemas.openxmlformats.org/officeDocument/2006/relationships" r:id="docRId6">
        <w:r>
          <w:rPr>
            <w:rFonts w:ascii="Calibri" w:hAnsi="Calibri" w:cs="Calibri" w:eastAsia="Calibri"/>
            <w:color w:val="000080"/>
            <w:spacing w:val="0"/>
            <w:position w:val="0"/>
            <w:sz w:val="22"/>
            <w:u w:val="single"/>
            <w:shd w:fill="auto" w:val="clear"/>
          </w:rPr>
          <w:t xml:space="preserve">art. 93 da Lei Federal nº 8.213/1991</w:t>
        </w:r>
      </w:hyperlink>
      <w:r>
        <w:rPr>
          <w:rFonts w:ascii="Calibri" w:hAnsi="Calibri" w:cs="Calibri" w:eastAsia="Calibri"/>
          <w:color w:val="000000"/>
          <w:spacing w:val="0"/>
          <w:position w:val="0"/>
          <w:sz w:val="22"/>
          <w:shd w:fill="auto" w:val="clear"/>
        </w:rPr>
        <w:t xml:space="preserv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declaração falsa relativa ao cumprimento de qualquer condição sujeitará a interessada às sanções previstas em lei e neste Edital.</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000000"/>
          <w:spacing w:val="0"/>
          <w:position w:val="0"/>
          <w:sz w:val="22"/>
          <w:shd w:fill="C6D9F1" w:val="clear"/>
        </w:rPr>
        <w:t xml:space="preserve">DA PARTICIPAÇÃO DE MICROEMPRESAS E EMPRESAS DE PEQUENO PORTE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Não haverá restrição de participação exclusivamente a microempresas e empresas de pequeno porte, considerando a natureza do credenciamento, que permanecerá aberto às pessoas jurídicas que atendam às condições estabelecidas, sem prejuízo do tratamento favorecido legalmente aplicável às microempresas e empresas de pequeno porte.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Será assegurado às microempresas e empresas de pequeno porte o tratamento favorecido previsto na Lei Complementar nº 123/2006 e na regulamentação municipal aplicável, naquilo que for compatível com o procedimento de credenciamento.</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000000"/>
          <w:spacing w:val="0"/>
          <w:position w:val="0"/>
          <w:sz w:val="24"/>
          <w:shd w:fill="C6D9F1" w:val="clear"/>
        </w:rPr>
      </w:pPr>
      <w:r>
        <w:rPr>
          <w:rFonts w:ascii="Calibri" w:hAnsi="Calibri" w:cs="Calibri" w:eastAsia="Calibri"/>
          <w:b/>
          <w:color w:val="000000"/>
          <w:spacing w:val="0"/>
          <w:position w:val="0"/>
          <w:sz w:val="22"/>
          <w:shd w:fill="C6D9F1" w:val="clear"/>
        </w:rPr>
        <w:t xml:space="preserve">DO PROCEDIMENTO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procedimento obedecerá às disposições da Lei Federal nº 14.133/2021, especialmente aos arts. 74, inciso IV, e 79, inciso II, ao Decreto Municipal nº 553/2024, às normas sanitárias e assistenciais aplicáveis e, subsidiariamente, às demais normas pertinentes.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interessados deverão estar previamente cadastrados na plataforma Portal de Compras Públicas e apresentar requerimento de participação, acompanhado da documentação de habilitação e da Ficha de Inscrição, na forma estabelecida neste Edital.</w:t>
      </w:r>
    </w:p>
    <w:p>
      <w:pPr>
        <w:numPr>
          <w:ilvl w:val="0"/>
          <w:numId w:val="4"/>
        </w:numPr>
        <w:tabs>
          <w:tab w:val="left" w:pos="709" w:leader="none"/>
        </w:tabs>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É assegurado o cadastramento permanente de novas pessoas jurídicas interessadas que preencham as exigências estabelecidas para o credenciamento, </w:t>
      </w:r>
      <w:r>
        <w:rPr>
          <w:rFonts w:ascii="Calibri" w:hAnsi="Calibri" w:cs="Calibri" w:eastAsia="Calibri"/>
          <w:b/>
          <w:color w:val="auto"/>
          <w:spacing w:val="0"/>
          <w:position w:val="0"/>
          <w:sz w:val="22"/>
          <w:shd w:fill="auto" w:val="clear"/>
        </w:rPr>
        <w:t xml:space="preserve">a partir de 27/08/2026, às 8h, até 10/09/2027, às 17h</w:t>
      </w:r>
      <w:r>
        <w:rPr>
          <w:rFonts w:ascii="Calibri" w:hAnsi="Calibri" w:cs="Calibri" w:eastAsia="Calibri"/>
          <w:color w:val="auto"/>
          <w:spacing w:val="0"/>
          <w:position w:val="0"/>
          <w:sz w:val="22"/>
          <w:shd w:fill="auto" w:val="clear"/>
        </w:rPr>
        <w:t xml:space="preserve">, por meio do Portal de Compras Públicas (</w:t>
      </w: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https://www.portaldecompraspublicas.com.br/</w:t>
        </w:r>
      </w:hyperlink>
      <w:r>
        <w:rPr>
          <w:rFonts w:ascii="Calibri" w:hAnsi="Calibri" w:cs="Calibri" w:eastAsia="Calibri"/>
          <w:color w:val="auto"/>
          <w:spacing w:val="0"/>
          <w:position w:val="0"/>
          <w:sz w:val="22"/>
          <w:shd w:fill="auto" w:val="clear"/>
        </w:rPr>
        <w:t xml:space="preserve">), observado o prazo de vigência deste Edital e eventual prorrogação formalmente promovida pela Administração.</w:t>
      </w:r>
    </w:p>
    <w:p>
      <w:pPr>
        <w:numPr>
          <w:ilvl w:val="0"/>
          <w:numId w:val="4"/>
        </w:numPr>
        <w:tabs>
          <w:tab w:val="left" w:pos="709" w:leader="none"/>
        </w:tabs>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primeira sessão de habilitação ocorrerá em </w:t>
      </w:r>
      <w:r>
        <w:rPr>
          <w:rFonts w:ascii="Calibri" w:hAnsi="Calibri" w:cs="Calibri" w:eastAsia="Calibri"/>
          <w:b/>
          <w:color w:val="auto"/>
          <w:spacing w:val="0"/>
          <w:position w:val="0"/>
          <w:sz w:val="22"/>
          <w:shd w:fill="auto" w:val="clear"/>
        </w:rPr>
        <w:t xml:space="preserve">11/09/2026, às 8h</w:t>
      </w:r>
      <w:r>
        <w:rPr>
          <w:rFonts w:ascii="Calibri" w:hAnsi="Calibri" w:cs="Calibri" w:eastAsia="Calibri"/>
          <w:color w:val="auto"/>
          <w:spacing w:val="0"/>
          <w:position w:val="0"/>
          <w:sz w:val="22"/>
          <w:shd w:fill="auto" w:val="clear"/>
        </w:rPr>
        <w:t xml:space="preserve">, e as sessões subsequentes serão realizadas </w:t>
      </w:r>
      <w:r>
        <w:rPr>
          <w:rFonts w:ascii="Calibri" w:hAnsi="Calibri" w:cs="Calibri" w:eastAsia="Calibri"/>
          <w:b/>
          <w:color w:val="auto"/>
          <w:spacing w:val="0"/>
          <w:position w:val="0"/>
          <w:sz w:val="22"/>
          <w:shd w:fill="auto" w:val="clear"/>
        </w:rPr>
        <w:t xml:space="preserve">na primeira segunda-feira de cada mês, às 8h, durante a vigência do credenciamento</w:t>
      </w:r>
      <w:r>
        <w:rPr>
          <w:rFonts w:ascii="Calibri" w:hAnsi="Calibri" w:cs="Calibri" w:eastAsia="Calibri"/>
          <w:color w:val="auto"/>
          <w:spacing w:val="0"/>
          <w:position w:val="0"/>
          <w:sz w:val="22"/>
          <w:shd w:fill="auto" w:val="clear"/>
        </w:rPr>
        <w:t xml:space="preserve">, observado o disposto no item seguinte quanto a feriados e dias sem expediente administrativo.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Caso a data prevista para sessão de habilitação coincida com feriado ou dia sem expediente administrativo, a sessão será realizada no primeiro dia útil subsequente, no mesmo horário, salvo divulgação expressa de nova data pela Administração.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prazo de vigência do credenciamento é de 12 (doze) meses, contados da primeira sessão de habilitação, durante o qual permanecerá aberto o cadastramento de novas pessoas jurídicas interessadas por meio do Portal de Compras Públicas (</w:t>
      </w:r>
      <w:hyperlink xmlns:r="http://schemas.openxmlformats.org/officeDocument/2006/relationships" r:id="docRId8">
        <w:r>
          <w:rPr>
            <w:rFonts w:ascii="Calibri" w:hAnsi="Calibri" w:cs="Calibri" w:eastAsia="Calibri"/>
            <w:color w:val="000000"/>
            <w:spacing w:val="0"/>
            <w:position w:val="0"/>
            <w:sz w:val="22"/>
            <w:u w:val="single"/>
            <w:shd w:fill="auto" w:val="clear"/>
          </w:rPr>
          <w:t xml:space="preserve">https://www.portaldecompraspublicas.com.br/</w:t>
        </w:r>
      </w:hyperlink>
      <w:r>
        <w:rPr>
          <w:rFonts w:ascii="Calibri" w:hAnsi="Calibri" w:cs="Calibri" w:eastAsia="Calibri"/>
          <w:color w:val="000000"/>
          <w:spacing w:val="0"/>
          <w:position w:val="0"/>
          <w:sz w:val="22"/>
          <w:shd w:fill="auto" w:val="clear"/>
        </w:rPr>
        <w:t xml:space="preserve">), desde que atendidas as condições de habilitação previstas neste Edital e nas normas aplicáveis.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Após a homologação da habilitação, a relação com o credenciado será formalizada por Termo de Credenciamento/Contrato, cuja vigência e eventual prorrogação observarão este Edital, o Termo de Referência e os arts. 106 e 107 da Lei nº 14.133/2021.</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informações prestadas, assim como a documentação entregue, são de inteira responsabilidade do interessado, cabendo-lhe certificar-se, antes da sua inscrição, de que atende a todos os requisitos para participar do 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apresentação da documentação implica manifestação do interessado em participar do processo de credenciamento com a Fundação Municipal de Saúde de Teixeiras, aceitação e submissão, independentemente de declaração expressa, a todas as normas e condições estabelecidas no presente Edital e seus anexos.</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000000"/>
          <w:spacing w:val="0"/>
          <w:position w:val="0"/>
          <w:sz w:val="24"/>
          <w:shd w:fill="C6D9F1" w:val="clear"/>
        </w:rPr>
      </w:pPr>
      <w:r>
        <w:rPr>
          <w:rFonts w:ascii="Calibri" w:hAnsi="Calibri" w:cs="Calibri" w:eastAsia="Calibri"/>
          <w:color w:val="auto"/>
          <w:spacing w:val="0"/>
          <w:position w:val="0"/>
          <w:sz w:val="22"/>
          <w:shd w:fill="C6D9F1" w:val="clear"/>
        </w:rPr>
        <w:t xml:space="preserve">DO REQUERIMENTO DE PARTICIPAÇÃO E DOS DOCUMENTOS DE HABILITAÇÃO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Para acesso ao sistema eletrônico, os interessados em participar do Credenciamento deverão dispor de chave de identificação e de senha pessoal e intransferível, obtidas junto ao </w:t>
      </w:r>
      <w:r>
        <w:rPr>
          <w:rFonts w:ascii="Calibri" w:hAnsi="Calibri" w:cs="Calibri" w:eastAsia="Calibri"/>
          <w:b/>
          <w:color w:val="000000"/>
          <w:spacing w:val="0"/>
          <w:position w:val="0"/>
          <w:sz w:val="22"/>
          <w:shd w:fill="auto" w:val="clear"/>
        </w:rPr>
        <w:t xml:space="preserve">Portal de Compras Públicas</w:t>
      </w:r>
      <w:r>
        <w:rPr>
          <w:rFonts w:ascii="Calibri" w:hAnsi="Calibri" w:cs="Calibri" w:eastAsia="Calibri"/>
          <w:color w:val="000000"/>
          <w:spacing w:val="0"/>
          <w:position w:val="0"/>
          <w:sz w:val="22"/>
          <w:shd w:fill="auto" w:val="clear"/>
        </w:rPr>
        <w:t xml:space="preserve"> (</w:t>
      </w:r>
      <w:hyperlink xmlns:r="http://schemas.openxmlformats.org/officeDocument/2006/relationships" r:id="docRId9">
        <w:r>
          <w:rPr>
            <w:rFonts w:ascii="Calibri" w:hAnsi="Calibri" w:cs="Calibri" w:eastAsia="Calibri"/>
            <w:color w:val="0000FF"/>
            <w:spacing w:val="0"/>
            <w:position w:val="0"/>
            <w:sz w:val="22"/>
            <w:u w:val="single"/>
            <w:shd w:fill="auto" w:val="clear"/>
          </w:rPr>
          <w:t xml:space="preserve">https://www.portaldecompraspublicas.com.br/</w:t>
        </w:r>
      </w:hyperlink>
      <w:r>
        <w:rPr>
          <w:rFonts w:ascii="Calibri" w:hAnsi="Calibri" w:cs="Calibri" w:eastAsia="Calibri"/>
          <w:color w:val="000000"/>
          <w:spacing w:val="0"/>
          <w:position w:val="0"/>
          <w:sz w:val="22"/>
          <w:shd w:fill="auto" w:val="clear"/>
        </w:rPr>
        <w:t xml:space="preserve">), devendo informar-se junto ao sistema a respeito de seu funcionamento e regulamento.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interessada deverá informar-se junto ao Portal de Compras Públicas sobre os procedimentos e documentos necessários ao seu credenciamento e à obtenção da chave de acesso.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interessados poderão encaminhar, exclusivamente por meio do sistema eletrônico, o requerimento de participação, a Ficha de Inscrição e os documentos de habilitação exigidos neste Edital durante todo o período de vigência do credenciamento. Para fins de análise em cada sessão de habilitação, serão considerados os documentos protocolados até o horário de início da respectiva sessão; os protocolos posteriores serão analisados na sessão subsequente, preservado o cadastramento permanente de novos interessados.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declaração falsa relativa ao cumprimento de qualquer condição sujeitará a interessada às sanções previstas em lei e neste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Ficha de Inscrição (</w:t>
      </w:r>
      <w:r>
        <w:rPr>
          <w:rFonts w:ascii="Calibri" w:hAnsi="Calibri" w:cs="Calibri" w:eastAsia="Calibri"/>
          <w:b/>
          <w:color w:val="000000"/>
          <w:spacing w:val="0"/>
          <w:position w:val="0"/>
          <w:sz w:val="22"/>
          <w:shd w:fill="auto" w:val="clear"/>
        </w:rPr>
        <w:t xml:space="preserve">ANEXO II</w:t>
      </w:r>
      <w:r>
        <w:rPr>
          <w:rFonts w:ascii="Calibri" w:hAnsi="Calibri" w:cs="Calibri" w:eastAsia="Calibri"/>
          <w:color w:val="000000"/>
          <w:spacing w:val="0"/>
          <w:position w:val="0"/>
          <w:sz w:val="22"/>
          <w:shd w:fill="auto" w:val="clear"/>
        </w:rPr>
        <w:t xml:space="preserve">), deverá ser formulada e enviada em formulário específico, exclusivamente por meio do Sistema Eletrônico.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uso da senha de acesso pela interessada é de sua responsabilidade exclusiva, incluindo qualquer transação por ela efetuada diretamente ou por seu representante, não cabendo ao provedor do sistema ou à Fundação Municipal de Saúde de Teixeiras responsabilidade por danos decorrentes de uso indevido da senha, ainda que por terceiros.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inscrição de interessados no credenciamento implica a aceitação integral e irrestrita de todas as condições estabelecidas no edital de 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pessoa jurídica que atender aos requisitos de habilitação será credenciada e incluída na relação de prestadores aptos, podendo ser contratada para executar atendimentos quando escolhida pelo beneficiário direto da prestação e devidamente autorizada ou regulada pela Administração, conforme as condições deste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convocado para execução do objeto, o credenciado deverá comprovar que mantém todos os requisitos de habilitação exigidos no Edital de Credenciamento para fins de assinatura de contrato ou outro instrumento hábil.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Serão exigidos, para fins de habilitação, os documentos previstos no ITEM 8 do Termo de Referência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ANEXO I deste Edital, necess</w:t>
      </w:r>
      <w:r>
        <w:rPr>
          <w:rFonts w:ascii="Calibri" w:hAnsi="Calibri" w:cs="Calibri" w:eastAsia="Calibri"/>
          <w:color w:val="auto"/>
          <w:spacing w:val="0"/>
          <w:position w:val="0"/>
          <w:sz w:val="22"/>
          <w:shd w:fill="auto" w:val="clear"/>
        </w:rPr>
        <w:t xml:space="preserve">ários e suficientes para demonstrar a capacidade da interessada de executar o objeto.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documentos exigidos para fins de habilitação poderão ser apresentados em original, por cópia ou por ou outro meio expressamente admitido por esta Administração e poderão ser substituídos por registro cadastral emitido por órgão ou entidade pública, desde que o registro tenha sido feito em obediência ao disposto na Lei nº 14.133/2021.</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Ficha de Inscrição deverá ser apresentada sem emendas, rasuras, entrelinhas ou ambiguidade, devendo ser seguido o modelo constante no ANEXO II deste edital, acompanhada da documentação descrita no Termo de Referência ANEXO I deste edital.</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Havendo divergência entre as informações apresentadas na Ficha de Inscrição (Anexo II) e as da Plataforma, prevalecerão as da Plataforma.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Previamente à celebração do Termo de Credenciamento, a Administração verificará o eventual descumprimento das condições para contratação, especialmente quanto à existência de sanção que a impeça, mediante a consulta a cadastros informativos oficiais.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ausência de qualquer dos documentos exigidos neste Edital e seus anexos, bem como a presença de documentos incompletos, incorretos, em desacordo com este Edital, com rasuras, entrelinhas ou com a validade expirada, poderá acarretar o indeferimento da habilitação, podendo o interessado apresentar novo requerimento </w:t>
      </w:r>
      <w:r>
        <w:rPr>
          <w:rFonts w:ascii="Calibri" w:hAnsi="Calibri" w:cs="Calibri" w:eastAsia="Calibri"/>
          <w:color w:val="auto"/>
          <w:spacing w:val="0"/>
          <w:position w:val="0"/>
          <w:sz w:val="22"/>
          <w:shd w:fill="auto" w:val="clear"/>
        </w:rPr>
        <w:t xml:space="preserve">escoimadas</w:t>
      </w:r>
      <w:r>
        <w:rPr>
          <w:rFonts w:ascii="Calibri" w:hAnsi="Calibri" w:cs="Calibri" w:eastAsia="Calibri"/>
          <w:color w:val="000000"/>
          <w:spacing w:val="0"/>
          <w:position w:val="0"/>
          <w:sz w:val="22"/>
          <w:shd w:fill="auto" w:val="clear"/>
        </w:rPr>
        <w:t xml:space="preserve"> das causas que ensejaram sua inépcia, nas futuras datas de habilitação de novos interessados.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Todos os documentos emitidos em língua estrangeira deverão ser entregues acompanhados da tradução para língua portuguesa, efetuada por tradutor juramentado, e se for o caso, registrados no Cartório de Títulos e Documentos.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requerimento de credenciamento vincula a interessada às condições deste Edital, de seus anexos e aos compromissos assumidos na Ficha de Inscrição.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000000"/>
          <w:spacing w:val="0"/>
          <w:position w:val="0"/>
          <w:sz w:val="22"/>
          <w:shd w:fill="auto" w:val="clear"/>
        </w:rPr>
        <w:t xml:space="preserve">Procedimentos de verificação da habilitação: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prazo para análise da documentação para habilitação de forma integral será de no máximo 05 (cinco) dias úteis, contados da data de habilitação estabelecida no Edital, prorrogável uma vez por igual período, admitida a hipótese de solicitação de esclarecimentos, retificações e complementações da documentação do interessado.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fim de ampliar o acesso ao credenciamento e assegurar o interesse público, os documentos complementares exigidos para habilitação que não estejam contemplados na Plataforma serão apresentados quando solicitados pela Comissão de Contratação, até a conclusão da análise, no prazo estabelecido pela Administração e observados os limites legais de saneamento e diligência.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análise dos documentos de habilitação, a Comissão de Contratação poderá sanar erros ou falhas que não alterem a substância dos documentos nem sua validade jurídica, bem como realizar diligências para complementação de informações acerca de documentos já apresentados e para atualização de documentos cuja validade tenha expirado, observados os limites da Lei nº 14.133/2021 e das normas aplicáveis ao credenciamento.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verificação pela comissão de contratação, em sítios eletrônicos oficiais de órgãos e entidades emissores de certidões, constitui meio legal de prova para fins de habilitação.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comprovação de regularidade fiscal e trabalhista das microempresas e das empresas de pequeno porte observará o disposto no  </w:t>
      </w:r>
      <w:hyperlink xmlns:r="http://schemas.openxmlformats.org/officeDocument/2006/relationships" r:id="docRId10">
        <w:r>
          <w:rPr>
            <w:rFonts w:ascii="Calibri" w:hAnsi="Calibri" w:cs="Calibri" w:eastAsia="Calibri"/>
            <w:color w:val="000080"/>
            <w:spacing w:val="0"/>
            <w:position w:val="0"/>
            <w:sz w:val="22"/>
            <w:u w:val="single"/>
            <w:shd w:fill="auto" w:val="clear"/>
          </w:rPr>
          <w:t xml:space="preserve">art. 42 da Lei Complementar nº 123, de 14 de agosto de 2006.</w:t>
        </w:r>
      </w:hyperlink>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Caso uma sessão de habilitação seja adiada ou cancelada por motivo justificado, a nova data será divulgada aos interessados pelos meios oficiais previstos neste Edital, preservada a possibilidade de cadastramento permanente durante sua vigência.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Considerar-se-ão habilitado(s) o(s) interessado(s) cujos documentos tenham atendido às exigências constantes neste edital e seus anexos.</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000000"/>
          <w:spacing w:val="0"/>
          <w:position w:val="0"/>
          <w:sz w:val="22"/>
          <w:shd w:fill="C6D9F1" w:val="clear"/>
        </w:rPr>
        <w:t xml:space="preserve">DO CRITÉRIO DE SELEÇÃO DO CREDENCIADO PELO BENEFICIÁRIO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seleção do credenciado responsável pela prestação do serviço caberá ao beneficiário direto da prestação ou, quando for o caso, ao seu representante legal, dentre os prestadores regularmente credenciados e habilitados para o procedimento indicado, nos termos do art. 79, inciso II, da Lei nº 14.133/2021.</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Fundação Municipal de Saúde de Teixeiras, por meio do setor de regulação, disponibilizará ao beneficiário relação atualizada dos credenciados aptos ao atendimento, contendo, sempre que possível, nome empresarial, local de atendimento, contatos, procedimentos credenciados e informações de agenda, de modo a permitir escolha livre e informada.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escolha do prestador será formalizada no fluxo de regulação ou em documento próprio, antes do encaminhamento ou agendamento, respeitados a indicação clínica, os protocolos assistenciais, a habilitação do credenciado para o procedimento, a disponibilidade de agenda e a disponibilidade orçamentária e financeira da Fundação.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Administração não estabelecerá preferência, classificação, rodízio ou ordem cronológica entre os credenciados para direcionar a escolha do beneficiário, devendo assegurar tratamento isonômico e acesso às informações necessárias à decisão.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o beneficiário for menor de idade ou legalmente incapaz, a escolha será exercida por seu responsável ou representante legal, observadas as mesmas condições previstas neste Edital.</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 o credenciado escolhido estiver temporariamente indisponível, recusar justificadamente o atendimento ou não puder realizar o procedimento no prazo compatível com a regulação assistencial, o beneficiário será informado e poderá escolher outro prestador dentre os credenciados aptos, vedado o redirecionamento automático com base em ordem de 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novos credenciados serão incluídos na relação disponibilizada aos beneficiários tão logo concluída e homologada sua habilitação, garantindo-se o cadastramento permanente durante a vigência do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escolha pelo beneficiário não confere ao credenciado direito a quantidade mínima de atendimentos, exclusividade, preferência ou garantia de faturamento, sendo a execução condicionada à demanda efetivamente regulada e autorizada.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utilização de espaço físico disponibilizado pela Fundação observará a capacidade instalada, a disponibilidade de salas e a programação assistencial, mediante critérios objetivos de organização do uso do espaço, sem afastar o direito de escolha do beneficiário entre os credenciados que estejam aptos a prestar o serviço nas condições disponíveis.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houver credenciados localizados fora do Município, a Fundação poderá informar ao beneficiário dados relativos à localização, acessibilidade e disponibilidade de agenda, exclusivamente para subsidiar a escolha, vedado direcionamento indevido para prestador específico.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credenciado escolhido somente poderá executar os procedimentos para os quais esteja regularmente habilitado e credenciado, mediante encaminhamento, autorização ou regulação da Secretaria Municipal de Saúde, quando exigidos.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descredenciamento de prestador implicará sua imediata retirada da relação disponibilizada aos beneficiários, sem prejuízo da continuidade e conclusão dos atendimentos já assumidos, quando tecnicamente possível e juridicamente cabível.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000000"/>
          <w:spacing w:val="0"/>
          <w:position w:val="0"/>
          <w:sz w:val="22"/>
          <w:shd w:fill="auto" w:val="clear"/>
        </w:rPr>
        <w:t xml:space="preserve">A habilitação e o credenciamento não obrigam a Administração a contratar nem asseguram ao credenciado volume mínimo de serviços.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O Termo de Credenciamento e os instrumentos contratuais dele decorrentes poderão ser alterados nas hipóteses e condições admitidas pela Lei nº 14.133/2021 e demais normas aplicáveis.</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AVALIAÇÃO PERIÓDICA, DA INCLUSÃO DE NOVOS ITENS E DA MAJORAÇÃO DO TETO DO 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Fundação Municipal de Saúde de Teixeiras realizará avaliação periódica, com periodicidade mínima anual, das condições do credenciamento, compreendendo a reavaliação da necessidade dos serviços, a atualização da estimativa de demanda, a conferência das condições de habilitação dos credenciados, a verificação de licenças e registros profissionais, a avaliação do desempenho dos prestadores e a análise da disponibilidade orçamentária e financeira, sem prejuízo de verificações extraordinárias.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É admitida a inclusão de novos serviços, procedimentos ou itens no objeto deste credenciamento durante sua vigência, desde que precedida de justificativa técnica e assistencial, demonstração de compatibilidade com o objeto original, atualização dos documentos de planejamento, definição de preço e condições de execução, formalização mediante termo de alteração ou aditamento, e publicidade pelos mesmos meios utilizados para o instrumento original, inclusive no Portal Nacional de Contratações Públicas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PNCP quando aplic</w:t>
      </w:r>
      <w:r>
        <w:rPr>
          <w:rFonts w:ascii="Calibri" w:hAnsi="Calibri" w:cs="Calibri" w:eastAsia="Calibri"/>
          <w:color w:val="auto"/>
          <w:spacing w:val="0"/>
          <w:position w:val="0"/>
          <w:sz w:val="22"/>
          <w:shd w:fill="auto" w:val="clear"/>
        </w:rPr>
        <w:t xml:space="preserve">ável, assegurada isonomia de acesso a todos os interessados que preencham as condições estabelecidas, exigindo-se dos credenciados já habilitados manifestação expressa de adesão ao novo item.</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É admitida a alteração, ampliação ou redução dos quantitativos estimados e do teto financeiro do credenciamento durante sua vigência, desde que motivada tecnicamente, instruída com atualização da estimativa de demanda, do impacto orçamentário e da disponibilidade de recursos, e formalizada por termo de alteração ou instrumento equivalente, publicado pelos mesmos meios do ato original e estendido isonomicamente a todos os interessados, sem restringir a majoração aos credenciados já habilitados, observando-se que tal alteração não se confunde com a alteração do valor de contrato individual já celebrado, sujeita às regras próprias dos arts. 124 e seguintes da Lei nº 14.133/2021.</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Quando o financiamento do procedimento envolver recursos do Fundo de Ações Estratégicas e Compensações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FAEC, a majora</w:t>
      </w:r>
      <w:r>
        <w:rPr>
          <w:rFonts w:ascii="Calibri" w:hAnsi="Calibri" w:cs="Calibri" w:eastAsia="Calibri"/>
          <w:color w:val="auto"/>
          <w:spacing w:val="0"/>
          <w:position w:val="0"/>
          <w:sz w:val="22"/>
          <w:shd w:fill="auto" w:val="clear"/>
        </w:rPr>
        <w:t xml:space="preserve">ção do teto financeiro estimado não implicará, por si só, disponibilidade financeira imediata, dado o caráter pós-fixado do recurso, condicionado à aprovação da produção pelos sistemas oficiais do Ministério da Saúde.</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DO DESCREDENCIAMENTO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manutenção do credenciamento fica condicionada à preservação, durante toda a sua vigência, das condições de habilitação e das demais obrigações estabelecidas neste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credenciado poderá solicitar seu descredenciamento a qualquer tempo, mediante requerimento formal dirigido à Fundação Municipal de Saúde de Teixeiras, sem prejuízo das obrigações decorrentes de atendimentos ou instrumentos já assumidos.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pedido de descredenciamento não desincumbe o credenciado do cumprimento das obrigações já constituídas nem das responsabilidades decorrentes de sua atuação durante o período em que permaneceu credenciado.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Fundação poderá promover o descredenciamento quando houver perda das condições de habilitação, descumprimento injustificado de obrigações assumidas, sanção superveniente que impeça a contratação ou outra hipótese prevista em lei, neste Edital ou no instrumento contratual.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Nas hipóteses de descredenciamento por fato imputável ao credenciado, será assegurado o contraditório e a ampla defesa, sem prejuízo da apuração de responsabilidade e da aplicação das sanções cabíveis.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interessado descredenciado poderá formular novo requerimento quando cessada a causa impeditiva e desde que comprove novamente o atendimento integral às condições vigentes do Edital.</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FORMA E REGIME DE EXECUÇÃO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serviços serão executados pelos credenciados escolhidos pelos beneficiários diretos da prestação, dentre aqueles habilitados para o procedimento demandado, mediante prévia regulação e autorização da Fundação Municipal de Saúde de Teixeiras, realizada exclusivamente por meio do sistema municipal de regulação, conforme o Termo de Referência, Anexo I deste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Todos os pacientes atendidos deverão estar previamente autorizados pela regulação municipal, vedada a execução de qualquer procedimento sem a correspondente autorização, ressalvadas as hipóteses de urgência ou emergência, na forma a ser disciplinada no Termo de Referência. </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procedimentos executados deverão ser apresentados pelo credenciado em Autorização de Procedimento Ambulatorial de Alta Complexidade/Custo e ou APAC devidamente autorizada, observadas as regras de registro, validade e identificação do paciente vigentes no programa, sob pena de não reconhecimento do crédito correspondente.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Após a prestação da assistência e a apresentação das respectivas contas pelo credenciado, a Fundação Municipal de Saúde de Teixeiras poderá revisar o faturamento apresentado e aplicar glosa, total ou parcial, quando comprovada inconsistência, incompatibilidade ou irregularidade no faturamento, no prazo de até 6 (seis) competências subsequentes à apresentação das contas, assegurados o contraditório e a ampla defesa ao credenciado.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Para fins de revisão de contas e aplicação de glosas, o Município adotará, como padrão normativo e técnico de referência, o Manual de Glosas do Sistema Nacional de Auditoria do SUS e o Manual de Aplicação de Glosas da Secretaria de Estado de Saúde de Minas Gerais, constantes do Anexo V deste Edital, sem prejuízo das demais normas de auditoria e controle aplicáveis ao Sistema Único de Saúde.</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DAS OBRIGAÇÕES DA CONTRATANTE E DA CONTRATADA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obrigações da Contratante e da Contratada são as estabelecidas na Minuta do Termo de Credenciamento, Anexo deste Edital.</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REMUNERAÇÃO DOS SERVIÇOS PRESTADOS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preços, bem como os procedimentos e orientações técnicas relativas ao faturamento e pagamento das despesas, são os constantes da tabela de preços estabelecida no </w:t>
      </w:r>
      <w:r>
        <w:rPr>
          <w:rFonts w:ascii="Calibri" w:hAnsi="Calibri" w:cs="Calibri" w:eastAsia="Calibri"/>
          <w:b/>
          <w:color w:val="auto"/>
          <w:spacing w:val="0"/>
          <w:position w:val="0"/>
          <w:sz w:val="22"/>
          <w:shd w:fill="auto" w:val="clear"/>
        </w:rPr>
        <w:t xml:space="preserve">Termo de Referência,</w:t>
      </w: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Anexo I </w:t>
      </w:r>
      <w:r>
        <w:rPr>
          <w:rFonts w:ascii="Calibri" w:hAnsi="Calibri" w:cs="Calibri" w:eastAsia="Calibri"/>
          <w:color w:val="auto"/>
          <w:spacing w:val="0"/>
          <w:position w:val="0"/>
          <w:sz w:val="22"/>
          <w:shd w:fill="auto" w:val="clear"/>
        </w:rPr>
        <w:t xml:space="preserve">deste Edital.</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DOS RECURSOS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interposição de recurso referente à habilitação ou inabilitação de interessados, bem como aos demais atos recorríveis do credenciamento, observará o art. 165 da Lei nº 14.133/2021 e as regras previstas neste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Após a divulgação da decisão sobre a habilitação, o interessado poderá interpor recurso no prazo de 3 (três) dias úteis, contado da publicação ou ciência da decisão, conforme operacionalização da plataforma eletrônica.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recurso será dirigido à Comissão de Contratação, que poderá reconsiderar sua decisão no prazo de 3 (três) dias úteis ou, nesse mesmo prazo, encaminhá-lo à autoridade superior, devidamente motivado.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demais interessados serão cientificados da interposição do recurso para, querendo, apresentar contrarrazões no prazo de 3 (três) dias úteis, contado da respectiva ciência, assegurado acesso aos elementos indispensáveis à defesa de seus interesses.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autoridade superior deverá proferir decisão no prazo máximo de 10 (dez) dias úteis, contado do recebimento dos autos.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Os recursos deverão ser encaminhados SOMENTE em campo próprio do sistema.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recursos interpostos fora do prazo não serão conhecidos. </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autos do processo permanecerão com vista franqueada aos interessados, no endereço constante neste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recurso e o pedido de reconsideração terão efeito suspensivo do ato ou da decisão recorrida até que sobrevenha decisão final da autoridade competente. </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acolhimento do recurso invalida tão somente os atos insuscetíveis de aproveitamento. </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HOMOLOGAÇÃO E CONVOCAÇÃO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Todos aqueles que preencherem os requisitos exigidos neste edital terão seus requerimentos de credenciamento homologados pela autoridade competente;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Cumpridas as exigências de habilitação, o credenciamento será homologado pela autoridade competente e formalizado mediante assinatura do Termo de Credenciamento/Contrato, na forma deste Edital e de sua minuta.</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GARANTIA DE EXECUÇÃO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Não haverá exigência de garantia de execução para a presente contratação.</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EXTINÇÃO DO INSTRUMENTO, ANULAÇÃO E REVOGAÇÃO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Termo de Credenciamento/Contrato poderá ser extinto nas hipóteses e na forma dos arts. 137 a 139 da Lei nº 14.133/2021, assegurados o contraditório e a ampla defesa quando cabíveis.</w:t>
      </w:r>
    </w:p>
    <w:p>
      <w:pPr>
        <w:numPr>
          <w:ilvl w:val="0"/>
          <w:numId w:val="4"/>
        </w:numPr>
        <w:tabs>
          <w:tab w:val="left" w:pos="709" w:leader="none"/>
        </w:tabs>
        <w:spacing w:before="24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edital de credenciamento poderá ser anulado, a qualquer tempo, em caso de vício de legalidade, ou revogado, por motivos de conveniência e de oportunidade da administração.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hipótese de anulação do edital de credenciamento, os instrumentos que dele resultaram ficarão sujeitos ao disposto nos art. 147 ao art. 150 da Lei nº 14.133, de 2021.</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revogação do edital de credenciamento não repercutirá nos instrumentos já celebrados que dele resultaram.</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DO TERMO DE CREDENCIAMENTO/CONTRATO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Após a homologação da habilitação, a formalização da relação com o credenciado ocorrerá mediante assinatura de Termo de Credenciamento/Contrato, contendo as cláusulas necessárias à execução dos serviços e observando-se a minuta constante do Anexo IV.</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credenciado, quando convocado, terá o prazo de 5 (cinco) dias úteis, contado da ciência da convocação, para assinar o Termo de Credenciamento/Contrato, sob pena de decair do direito à formalização naquele momento, sem prejuízo das sanções cabíveis quando houver recusa injustificada.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Administração poderá encaminhar o instrumento para assinatura por meio eletrônico, correspondência com aviso de recebimento ou outro meio idôneo que permita comprovar a ciência do credenciado.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prazo para assinatura poderá ser prorrogado uma vez, por igual período, mediante solicitação justificada do credenciado apresentada durante seu transcurso e aceita pela Administração.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assinatura do Termo de Credenciamento/Contrato implica o reconhecimento de que: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contratada se vincula integralmente às condições do Edital, do Termo de Referência, de sua Ficha de Inscrição e dos demais anexos aplicáveis;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contratada deverá manter, durante toda a execução, as condições de habilitação e qualificação exigidas no credenciamento;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hipóteses de extinção contratual e os direitos da Administração observarão os arts. 137 a 139 da Lei nº 14.133/2021 e as demais disposições deste Edital e do instrumento firmado.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prazo de vigência da contratação é o estabelecido no Termo de Referência, Anexo deste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Previamente à assinatura do Termo de Credenciamento/Contrato e a cada contratação ou autorização de execução que o exigir, a Administração verificará a manutenção das condições de habilitação e a existência de eventual sanção ou impedimento, mediante consulta aos cadastros e sistemas oficiais aplicáveis.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assinatura do instrumento contratual, será exigida a comprovação da manutenção das condições de habilitação consignadas neste Edital, que deverão ser preservadas durante toda a execução.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hipótese de irregularidade, o contratado deverá regularizar a sua situação perante o cadastro no prazo de até 5 (cinco) dias úteis, sob pena de aplicação das penalidades previstas no Edital e seus Anexos.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Se o credenciado escolhido pelo beneficiário não mantiver as condições de habilitação, recusar injustificadamente a assinatura do instrumento ou estiver impossibilitado de executar o atendimento, o beneficiário será informado para que possa escolher outro prestador dentre os credenciados aptos, sem prejuízo das sanções cabíveis ao credenciado que tiver dado causa à situação.</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DO REAJUSTAMENTO EM SENTIDO GERAL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regras acerca do reajustamento em sentido geral do valor contratual são as estabelecidas na Minuta de Termo de Credenciamento, Anexo deste Edital.</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DAS INFRAÇÕES E SANÇÕES ADMINISTRATIVAS </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Comete infração administrativa, nos termos do art. 155 da Lei Federal nº 14.133/2021, o interessado ou credenciado que, com dolo ou culpa: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Der causa à inexecução parcial do Termo de Credenciamento/Contrato;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Der causa à inexecução parcial que cause grave dano à Administração, ao funcionamento dos serviços públicos ou ao interesse coletivo;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Descumprir as condições declaradas ou obrigações inerentes ao credenciamento, especialmente quando: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Deixar de manter atualizados os documentos ou requisitos de habilitação exigidos durante a vigência do credenciamento;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Recusar injustificadamente atendimento regularmente escolhido pelo beneficiário e autorizado pela Administração, após confirmada a disponibilidade para sua execução;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Deixar de comunicar, em tempo hábil, alteração que comprometa a capacidade de executar os serviços credenciados;</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Apresentar cobrança, faturamento ou registro de produção em desacordo com os valores, procedimentos ou regras estabelecidos no Edital e no Termo de Referência;</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Executar procedimento sem a necessária regulação, autorização ou indicação assistencial, quando exigida;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Recusar-se injustificadamente a assinar o Termo de Credenciamento/Contrato quando regularmente convocado;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Ensejar o retardamento da execução do objeto sem motivo justificado;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Apresentar declaração ou documentação falsa durante o credenciamento ou a execução contratual;</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Fraudar o credenciamento, o faturamento ou a execução do contrato;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Comportar-se de modo inidôneo ou cometer fraude de qualquer natureza, especialmente quando: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Agir em conluio ou em desconformidade com a lei;</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Induzir deliberadamente a Administração ou o beneficiário a erro;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Adulterar, falsificar ou manipular registros assistenciais, autorizações, documentos de produção ou faturamento;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Praticar atos ilícitos com vistas a frustrar os objetivos do credenciamento;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Praticar ato lesivo previsto no art. 5º da Lei Federal nº 12.846/2013.</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Com fundamento na Lei nº 14.133/2021, a Administração poderá, assegurados o contraditório e a ampla defesa, aplicar aos interessados e credenciados as sanções legalmente previstas, sem prejuízo das responsabilidades civil e criminal:</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Advertência; </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Multa;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Impedimento de licitar e contratar; 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Declaração de inidoneidade para licitar ou contratar, enquanto perdurarem os motivos determinantes da punição ou até que seja promovida sua reabilitação perante a própria autoridade que aplicou a penalidade.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penalidade de multa pode ser aplicada cumulativamente com as demais sanções;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aplicação das sanções serão considerados: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natureza e a gravidade da infração cometida;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peculiaridades do caso concreto;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circunstâncias agravantes ou atenuantes;</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danos que dela provierem para a Administração Pública;</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implantação ou o aperfeiçoamento de programa de integridade, conforme normas e orientações dos órgãos de controle;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multa será aplicada nos limites e condições definidos neste Edital e na minuta contratual, observando o intervalo legal de 0,5% (cinco décimos por cento) a 30% (trinta por cento), conforme a gravidade da infração e a base de cálculo pertinente.</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Para infrações de menor gravidade e hipóteses de inexecução parcial sem grave dano, a multa poderá ser fixada entre 0,5% e 15% da parcela ou obrigação inadimplida, observadas as circunstâncias do caso concreto.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Para infrações graves, fraude, declaração falsa, comportamento inidôneo ou atos que causem grave dano à Administração ou ao interesse coletivo, a multa poderá ser fixada entre 15% e 30% da base de cálculo definida no instrumento contratual, sem prejuízo das demais sanções cabíveis.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sanções de advertência, impedimento de licitar e contratar e declaração de inidoneidade para licitar ou contratar poderão ser aplicadas, cumulativamente ou não, à penalidade de multa.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aplicação da sanção de multa será facultada a defesa do interessado no prazo de 15 (quinze) dias úteis, contado da data de sua intimação.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sanção de impedimento de licitar e contratar será aplicada nas hipóteses e pelo prazo previstos no art. 156 da Lei nº 14.133/2021, quando não se justificar a imposição de penalidade mais grave.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sanção de declaração de inidoneidade para licitar ou contratar será aplicada nas hipóteses e pelo prazo previstos no art. 156 da Lei nº 14.133/2021, observada a gravidade da conduta e o devido processo administrativo.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recusa injustificada do credenciado em assinar o instrumento contratual ou equivalente, quando regularmente convocado, poderá caracterizar infração administrativa e sujeitá-lo às sanções cabíveis, assegurados o contraditório e a ampla defesa.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apuração das infrações e a aplicação das sanções observarão o procedimento previsto na Lei nº 14.133/2021, assegurados o contraditório e a ampla defesa, com atuação da comissão ou autoridade competente, conforme o caso.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recurso e o pedido de reconsideração terão efeito suspensivo do ato ou da decisão recorrida até que sobrevenha decisão final da autoridade competente.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Serão publicadas no Diário Oficial do Município de Teixeiras-MG, as sanções administrativas de impedimento de licitar e contratar e declaração de inidoneidade para licitar ou contratar, inclusive a reabilitação perante a Administração Pública.</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DA FRAUDE E DA CORRUPÇÃO: Os interessados, credenciados e contratados deverão observar e fazer observar, por seus empregados e colaboradores, o mais alto padrão de ética durante o procedimento de credenciamento e a execução do objeto contratual.</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PARA OS PROPÓSITOS DESTA CLÁUSULA, DEFINEM-SE AS SEGUINTES PRÁTICAS</w:t>
      </w:r>
      <w:r>
        <w:rPr>
          <w:rFonts w:ascii="Calibri" w:hAnsi="Calibri" w:cs="Calibri" w:eastAsia="Calibri"/>
          <w:color w:val="auto"/>
          <w:spacing w:val="0"/>
          <w:position w:val="0"/>
          <w:sz w:val="22"/>
          <w:shd w:fill="auto" w:val="clear"/>
        </w:rPr>
        <w:t xml:space="preserve">:</w:t>
      </w:r>
    </w:p>
    <w:p>
      <w:pPr>
        <w:numPr>
          <w:ilvl w:val="0"/>
          <w:numId w:val="4"/>
        </w:num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PRÁTICA CORRUPTA: oferecer, dar, receber ou solicitar, direta ou indiretamente, qualquer vantagem com o objetivo de influenciar a ação de servidor público no procedimento de credenciamento ou na execução do contrato.</w:t>
      </w:r>
    </w:p>
    <w:p>
      <w:pPr>
        <w:numPr>
          <w:ilvl w:val="0"/>
          <w:numId w:val="4"/>
        </w:num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PRÁTICA FRAUDULENTA: a falsificação ou omissão dos fatos, com o objetivo de influenciar o procedimento de credenciamento ou de execução do contrato.</w:t>
      </w:r>
    </w:p>
    <w:p>
      <w:pPr>
        <w:numPr>
          <w:ilvl w:val="0"/>
          <w:numId w:val="4"/>
        </w:num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PRÁTICA CONCERTADA: combinar ou estabelecer acordo com outros interessados ou credenciados com a finalidade de fraudar o credenciamento, o faturamento, a escolha do beneficiário ou a execução dos serviços;</w:t>
      </w:r>
    </w:p>
    <w:p>
      <w:pPr>
        <w:numPr>
          <w:ilvl w:val="0"/>
          <w:numId w:val="4"/>
        </w:num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PRÁTICA COERCITIVA: causar danos ou ameaçar causar dano, direta ou indiretamente, às pessoas ou à sua propriedade, visando influenciar sua participação no procedimento de credenciamento, a escolha do beneficiário ou a execução do contrato.</w:t>
      </w:r>
    </w:p>
    <w:p>
      <w:pPr>
        <w:numPr>
          <w:ilvl w:val="0"/>
          <w:numId w:val="4"/>
        </w:num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PRÁTICA OBSTRUTIVA</w:t>
      </w:r>
      <w:r>
        <w:rPr>
          <w:rFonts w:ascii="Calibri" w:hAnsi="Calibri" w:cs="Calibri" w:eastAsia="Calibri"/>
          <w:color w:val="auto"/>
          <w:spacing w:val="0"/>
          <w:position w:val="0"/>
          <w:sz w:val="22"/>
          <w:shd w:fill="auto" w:val="clear"/>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aplicação das sanções previstas neste edital não exclui, em hipótese alguma, a obrigação de reparação integral dos danos causados.</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 IMPUGNAÇÃO AO EDITAL E DO PEDIDO DE ESCLARECIMENTO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Qualquer pessoa poderá impugnar este Edital e/ou apresentar pedido de esclarecimento a qualquer momento, a partir de sua publicação.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A IMPUGNAÇÃO e/ou PEDIDO DE ESCLARECIMENTO DEVERÃO ser feitos EXCLUSIVAMENTE por FORMA ELETRÔNICA no sistema</w:t>
      </w:r>
      <w:r>
        <w:rPr>
          <w:rFonts w:ascii="Calibri" w:hAnsi="Calibri" w:cs="Calibri" w:eastAsia="Calibri"/>
          <w:color w:val="auto"/>
          <w:spacing w:val="0"/>
          <w:position w:val="0"/>
          <w:sz w:val="22"/>
          <w:shd w:fill="auto" w:val="clear"/>
        </w:rPr>
        <w:t xml:space="preserve"> </w:t>
      </w:r>
      <w:hyperlink xmlns:r="http://schemas.openxmlformats.org/officeDocument/2006/relationships" r:id="docRId11">
        <w:r>
          <w:rPr>
            <w:rFonts w:ascii="Calibri" w:hAnsi="Calibri" w:cs="Calibri" w:eastAsia="Calibri"/>
            <w:color w:val="0000FF"/>
            <w:spacing w:val="0"/>
            <w:position w:val="0"/>
            <w:sz w:val="22"/>
            <w:u w:val="single"/>
            <w:shd w:fill="auto" w:val="clear"/>
          </w:rPr>
          <w:t xml:space="preserve">https://www.portaldecompraspublicas.com.br/</w:t>
        </w:r>
      </w:hyperlink>
      <w:r>
        <w:rPr>
          <w:rFonts w:ascii="Calibri" w:hAnsi="Calibri" w:cs="Calibri" w:eastAsia="Calibri"/>
          <w:color w:val="auto"/>
          <w:spacing w:val="0"/>
          <w:position w:val="0"/>
          <w:sz w:val="22"/>
          <w:u w:val="single"/>
          <w:shd w:fill="auto" w:val="clear"/>
        </w:rPr>
        <w:t xml:space="preserve">.</w:t>
      </w:r>
      <w:r>
        <w:rPr>
          <w:rFonts w:ascii="Calibri" w:hAnsi="Calibri" w:cs="Calibri" w:eastAsia="Calibri"/>
          <w:color w:val="auto"/>
          <w:spacing w:val="0"/>
          <w:position w:val="0"/>
          <w:sz w:val="22"/>
          <w:shd w:fill="auto" w:val="clear"/>
        </w:rPr>
        <w:t xml:space="preserve">  </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resposta à impugnação ou ao pedido de esclarecimento será divulgada no </w:t>
      </w:r>
      <w:r>
        <w:rPr>
          <w:rFonts w:ascii="Calibri" w:hAnsi="Calibri" w:cs="Calibri" w:eastAsia="Calibri"/>
          <w:b/>
          <w:color w:val="auto"/>
          <w:spacing w:val="0"/>
          <w:position w:val="0"/>
          <w:sz w:val="22"/>
          <w:shd w:fill="auto" w:val="clear"/>
        </w:rPr>
        <w:t xml:space="preserve">Portal de Compras Públicas</w:t>
      </w:r>
      <w:r>
        <w:rPr>
          <w:rFonts w:ascii="Calibri" w:hAnsi="Calibri" w:cs="Calibri" w:eastAsia="Calibri"/>
          <w:color w:val="auto"/>
          <w:spacing w:val="0"/>
          <w:position w:val="0"/>
          <w:sz w:val="22"/>
          <w:shd w:fill="auto" w:val="clear"/>
        </w:rPr>
        <w:t xml:space="preserve"> no prazo de até 3 (três) dias úteis, contado da data de recebimento do pedido.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Acolhida a impugnação, o Edital retificado será publicado e divulgado pelos mesmos meios utilizados para o instrumento original, com observância dos prazos aplicáveis e do tratamento isonômico dos interessados.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impugnação não terá efeito suspensivo, sem prejuízo da adoção de providência cautelar devidamente motivada quando necessária à preservação da legalidade do procedimento.</w:t>
      </w:r>
    </w:p>
    <w:p>
      <w:pPr>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decisões relativas às impugnações e aos pedidos de esclarecimento serão motivadas nos autos pela Comissão de Contratação.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respostas aos pedidos de esclarecimentos serão divulgadas pelo sistema e vincularão os participantes e a administração.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respostas às impugnações e aos pedidos de esclarecimento, bem como outros avisos de ordem geral, serão divulgadas na plataforma do Portal de Compras Públicas, cabendo aos interessados acompanhar as publicações do procedimento.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Em caso de pessoa física, a petição de impugnação deverá ser apresentada pelo próprio requerente ou procurador, acompanhada de procuração pública ou particular (instrumento de mandato com poderes para impugnar o Edital).</w:t>
      </w:r>
    </w:p>
    <w:p>
      <w:pPr>
        <w:keepNext w:val="true"/>
        <w:keepLines w:val="true"/>
        <w:numPr>
          <w:ilvl w:val="0"/>
          <w:numId w:val="4"/>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C6D9F1" w:val="clear"/>
        </w:rPr>
      </w:pPr>
      <w:r>
        <w:rPr>
          <w:rFonts w:ascii="Calibri" w:hAnsi="Calibri" w:cs="Calibri" w:eastAsia="Calibri"/>
          <w:b/>
          <w:color w:val="auto"/>
          <w:spacing w:val="0"/>
          <w:position w:val="0"/>
          <w:sz w:val="22"/>
          <w:shd w:fill="C6D9F1" w:val="clear"/>
        </w:rPr>
        <w:t xml:space="preserve">DAS DISPOSIÇÕES GERAIS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Todas as referências de tempo no Edital, no aviso e durante as sessões observarão o horário oficial de Brasília/DF.</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homologação do credenciamento não implicará direito à contratação, à quantidade mínima de atendimentos ou à exclusividade.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Fundação Municipal de Saúde de Teixeiras poderá revogar o Edital de credenciamento por razões de conveniência e oportunidade devidamente motivadas, ou anulá-lo em caso de vício de legalidade, observados os efeitos sobre os instrumentos já celebrados e as garantias processuais cabíveis.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Nenhuma indenização será devida aos interessados pela apresentação de documentos relativos a este instrumento de 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interessados e credenciados obrigam-se a observar e guardar sigilo de todos os dados pessoais e profissionais obtidos em decorrência do presente instrumento de credenciamento, e a não utilizar ou divulgar as informações obtidas para qualquer fim diverso da execução do objeto, sob as penas da legislação aplicável.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Aplicam-se ao presente credenciamento, naquilo que compatível, a Lei nº 14.133/2021 e demais normas legais pertinentes.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informações relativas à habilitação e ao credenciamento, bem como os avisos referentes a este procedimento, estarão disponíveis na plataforma do Portal de Compras Públicas e, complementarmente, no sítio oficial do Município/Fundação.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casos omissos serão resolvidos com base nas disposições constantes da Lei nº 14.133/2021, nos princípios de direito público e, subsidiariamente, com base em outras leis que se prestem a suprir eventuais lacunas.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interessados e contratados deverão manter atualizados seus endereços físico e eletrônico e comunicar à Administração qualquer alteração no prazo máximo de 2 (dois) dias úteis.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normas disciplinadoras deste credenciamento serão interpretadas de modo a assegurar legalidade, isonomia, transparência, ampliação do acesso de interessados aptos e preservação do direito de escolha do beneficiário direto, sem comprometimento do interesse público e da segurança assistencial.</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interessados assumem todos os custos de preparação e apresentação de seus requerimentos e documentos, não cabendo à Administração ressarcimento por tais despesas, independentemente do resultado do credenciamento.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Na contagem dos prazos estabelecidos neste Edital e seus Anexos, excluir-se-á o dia do início e incluir-se-á o do vencimento. Só se iniciam e vencem os prazos em dias de expediente na Administração.</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desatendimento de exigências formais não essenciais não importará o indeferimento do credenciamento quando for possível o saneamento da falha sem prejuízo à isonomia, à segurança da contratação e à validade jurídica dos documentos.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interessado é responsável pela fidelidade e legitimidade das informações prestadas e dos documentos apresentados em qualquer fase do credenciamento.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falsidade de documento ou a inverdade de informação poderá implicar inabilitação, descredenciamento ou extinção do instrumento contratual, conforme o momento em que for constatada, sem prejuízo das demais sanções cabíveis.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Em caso de divergência entre disposições deste Edital e de seus anexos ou demais peças que compõem o processo, prevalecerão as disposições deste Edital, ressalvadas as normas legais e regulamentares de hierarquia superior.</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anulação do credenciamento produzirá os efeitos previstos na Lei nº 14.133/2021 sobre os instrumentos dele decorrentes, conforme a extensão do vício e a possibilidade de aproveitamento dos atos válidos.</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anulação do credenciamento por motivo de ilegalidade não gera obrigação de indenizar.</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É facultado à autoridade competente ou à Comissão de Contratação, em qualquer fase deste procedimento, promover diligência destinada a esclarecer ou complementar a instrução, observados os limites legais para apresentação, saneamento e atualização de documentos.</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Edital está disponibilizado, na íntegra, no endereço eletrônico:  </w:t>
      </w:r>
      <w:hyperlink xmlns:r="http://schemas.openxmlformats.org/officeDocument/2006/relationships" r:id="docRId12">
        <w:r>
          <w:rPr>
            <w:rFonts w:ascii="Calibri" w:hAnsi="Calibri" w:cs="Calibri" w:eastAsia="Calibri"/>
            <w:color w:val="0000FF"/>
            <w:spacing w:val="0"/>
            <w:position w:val="0"/>
            <w:sz w:val="22"/>
            <w:u w:val="single"/>
            <w:shd w:fill="auto" w:val="clear"/>
          </w:rPr>
          <w:t xml:space="preserve">https://www.portaldecompraspublicas.com.br/</w:t>
        </w:r>
      </w:hyperlink>
      <w:r>
        <w:rPr>
          <w:rFonts w:ascii="Calibri" w:hAnsi="Calibri" w:cs="Calibri" w:eastAsia="Calibri"/>
          <w:color w:val="auto"/>
          <w:spacing w:val="0"/>
          <w:position w:val="0"/>
          <w:sz w:val="22"/>
          <w:u w:val="single"/>
          <w:shd w:fill="auto" w:val="clear"/>
        </w:rPr>
        <w:t xml:space="preserve">,</w:t>
      </w:r>
      <w:r>
        <w:rPr>
          <w:rFonts w:ascii="Calibri" w:hAnsi="Calibri" w:cs="Calibri" w:eastAsia="Calibri"/>
          <w:color w:val="auto"/>
          <w:spacing w:val="0"/>
          <w:position w:val="0"/>
          <w:sz w:val="22"/>
          <w:shd w:fill="auto" w:val="clear"/>
        </w:rPr>
        <w:t xml:space="preserve"> e também poderão ser lidos e/ou obtidos no endereço eletrônico </w:t>
      </w:r>
      <w:hyperlink xmlns:r="http://schemas.openxmlformats.org/officeDocument/2006/relationships" r:id="docRId13">
        <w:r>
          <w:rPr>
            <w:rFonts w:ascii="Calibri" w:hAnsi="Calibri" w:cs="Calibri" w:eastAsia="Calibri"/>
            <w:color w:val="0000FF"/>
            <w:spacing w:val="0"/>
            <w:position w:val="0"/>
            <w:sz w:val="22"/>
            <w:u w:val="single"/>
            <w:shd w:fill="auto" w:val="clear"/>
          </w:rPr>
          <w:t xml:space="preserve">https://www.teixeiras.mg.gov.br/index.php/licitacoes/editais-de-licitacao</w:t>
        </w:r>
      </w:hyperlink>
      <w:r>
        <w:rPr>
          <w:rFonts w:ascii="Calibri" w:hAnsi="Calibri" w:cs="Calibri" w:eastAsia="Calibri"/>
          <w:color w:val="auto"/>
          <w:spacing w:val="0"/>
          <w:position w:val="0"/>
          <w:sz w:val="22"/>
          <w:shd w:fill="auto" w:val="clear"/>
        </w:rPr>
        <w:t xml:space="preserve">.</w:t>
      </w:r>
    </w:p>
    <w:p>
      <w:pPr>
        <w:numPr>
          <w:ilvl w:val="0"/>
          <w:numId w:val="4"/>
        </w:numPr>
        <w:tabs>
          <w:tab w:val="left" w:pos="709"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Integram este Edital, para todos os fins e efeitos, os seguintes anexos:</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ANEXO 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Termo de Refer</w:t>
      </w:r>
      <w:r>
        <w:rPr>
          <w:rFonts w:ascii="Calibri" w:hAnsi="Calibri" w:cs="Calibri" w:eastAsia="Calibri"/>
          <w:color w:val="auto"/>
          <w:spacing w:val="0"/>
          <w:position w:val="0"/>
          <w:sz w:val="22"/>
          <w:shd w:fill="auto" w:val="clear"/>
        </w:rPr>
        <w:t xml:space="preserve">ência</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ANEXO I-A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Estudo T</w:t>
      </w:r>
      <w:r>
        <w:rPr>
          <w:rFonts w:ascii="Calibri" w:hAnsi="Calibri" w:cs="Calibri" w:eastAsia="Calibri"/>
          <w:color w:val="auto"/>
          <w:spacing w:val="0"/>
          <w:position w:val="0"/>
          <w:sz w:val="22"/>
          <w:shd w:fill="auto" w:val="clear"/>
        </w:rPr>
        <w:t xml:space="preserve">écnico Preliminar</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ANEXO II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Ficha de Inscri</w:t>
      </w:r>
      <w:r>
        <w:rPr>
          <w:rFonts w:ascii="Calibri" w:hAnsi="Calibri" w:cs="Calibri" w:eastAsia="Calibri"/>
          <w:color w:val="auto"/>
          <w:spacing w:val="0"/>
          <w:position w:val="0"/>
          <w:sz w:val="22"/>
          <w:shd w:fill="auto" w:val="clear"/>
        </w:rPr>
        <w:t xml:space="preserve">ção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ANEXO III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Declara</w:t>
      </w:r>
      <w:r>
        <w:rPr>
          <w:rFonts w:ascii="Calibri" w:hAnsi="Calibri" w:cs="Calibri" w:eastAsia="Calibri"/>
          <w:color w:val="auto"/>
          <w:spacing w:val="0"/>
          <w:position w:val="0"/>
          <w:sz w:val="22"/>
          <w:shd w:fill="auto" w:val="clear"/>
        </w:rPr>
        <w:t xml:space="preserve">ção de ciência e disponibilidade de recursos</w:t>
      </w:r>
    </w:p>
    <w:p>
      <w:pPr>
        <w:numPr>
          <w:ilvl w:val="0"/>
          <w:numId w:val="4"/>
        </w:numPr>
        <w:tabs>
          <w:tab w:val="left" w:pos="851" w:leader="none"/>
        </w:tabs>
        <w:spacing w:before="24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ANEXO IV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Minuta do Termo de Credenciamento</w:t>
      </w:r>
    </w:p>
    <w:p>
      <w:pPr>
        <w:numPr>
          <w:ilvl w:val="0"/>
          <w:numId w:val="4"/>
        </w:numPr>
        <w:tabs>
          <w:tab w:val="left" w:pos="851"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ANEXO V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Manual de Glosas do Sistema Nacional de Auditoria do SUS e Manual de Aplica</w:t>
      </w:r>
      <w:r>
        <w:rPr>
          <w:rFonts w:ascii="Calibri" w:hAnsi="Calibri" w:cs="Calibri" w:eastAsia="Calibri"/>
          <w:color w:val="auto"/>
          <w:spacing w:val="0"/>
          <w:position w:val="0"/>
          <w:sz w:val="22"/>
          <w:shd w:fill="auto" w:val="clear"/>
        </w:rPr>
        <w:t xml:space="preserve">ção de Glosas da Secretaria de Estado de Saúde de Minas Gerais</w:t>
      </w:r>
    </w:p>
    <w:p>
      <w:pPr>
        <w:tabs>
          <w:tab w:val="left" w:pos="851" w:leader="none"/>
        </w:tabs>
        <w:spacing w:before="240" w:after="0" w:line="240"/>
        <w:ind w:right="0" w:left="0" w:firstLine="0"/>
        <w:jc w:val="both"/>
        <w:rPr>
          <w:rFonts w:ascii="Calibri" w:hAnsi="Calibri" w:cs="Calibri" w:eastAsia="Calibri"/>
          <w:color w:val="000000"/>
          <w:spacing w:val="0"/>
          <w:position w:val="0"/>
          <w:sz w:val="22"/>
          <w:shd w:fill="auto" w:val="clear"/>
        </w:rPr>
      </w:pPr>
    </w:p>
    <w:p>
      <w:pPr>
        <w:tabs>
          <w:tab w:val="left" w:pos="851" w:leader="none"/>
        </w:tabs>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Teixeiras, 25 de agosto de 2026.</w:t>
      </w:r>
    </w:p>
    <w:p>
      <w:pPr>
        <w:tabs>
          <w:tab w:val="left" w:pos="851" w:leader="none"/>
        </w:tabs>
        <w:spacing w:before="240" w:after="0" w:line="240"/>
        <w:ind w:right="0" w:left="0" w:firstLine="0"/>
        <w:jc w:val="both"/>
        <w:rPr>
          <w:rFonts w:ascii="Calibri" w:hAnsi="Calibri" w:cs="Calibri" w:eastAsia="Calibri"/>
          <w:color w:val="000000"/>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Nacife Miguel Burjaile Sobrinho</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Diretor Administrativo</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keepLines w:val="true"/>
        <w:spacing w:before="0" w:after="0" w:line="240"/>
        <w:ind w:right="0" w:left="0" w:firstLine="0"/>
        <w:jc w:val="center"/>
        <w:rPr>
          <w:rFonts w:ascii="Calibri" w:hAnsi="Calibri" w:cs="Calibri" w:eastAsia="Calibri"/>
          <w:b/>
          <w:color w:val="auto"/>
          <w:spacing w:val="0"/>
          <w:position w:val="0"/>
          <w:sz w:val="22"/>
          <w:shd w:fill="FFFFFF" w:val="clear"/>
        </w:rPr>
      </w:pPr>
    </w:p>
    <w:p>
      <w:pPr>
        <w:keepLines w:val="true"/>
        <w:spacing w:before="0" w:after="0" w:line="240"/>
        <w:ind w:right="0" w:left="0" w:firstLine="0"/>
        <w:jc w:val="center"/>
        <w:rPr>
          <w:rFonts w:ascii="Calibri" w:hAnsi="Calibri" w:cs="Calibri" w:eastAsia="Calibri"/>
          <w:b/>
          <w:color w:val="auto"/>
          <w:spacing w:val="0"/>
          <w:position w:val="0"/>
          <w:sz w:val="22"/>
          <w:shd w:fill="DBE5F1" w:val="clear"/>
        </w:rPr>
      </w:pPr>
      <w:r>
        <w:rPr>
          <w:rFonts w:ascii="Calibri" w:hAnsi="Calibri" w:cs="Calibri" w:eastAsia="Calibri"/>
          <w:b/>
          <w:color w:val="auto"/>
          <w:spacing w:val="0"/>
          <w:position w:val="0"/>
          <w:sz w:val="22"/>
          <w:shd w:fill="DBE5F1" w:val="clear"/>
        </w:rPr>
        <w:t xml:space="preserve">ANEXO I -TERMO DE REFERÊNCIA</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INEXIGIBILIDADE Nº 003/2026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PROCESSO ADMINISTRATIVO Nº 012/2026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CREDENCIAMENTO Nº 002/2026</w:t>
      </w:r>
    </w:p>
    <w:p>
      <w:pPr>
        <w:keepNext w:val="true"/>
        <w:keepLines w:val="true"/>
        <w:numPr>
          <w:ilvl w:val="0"/>
          <w:numId w:val="96"/>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auto"/>
          <w:spacing w:val="0"/>
          <w:position w:val="0"/>
          <w:sz w:val="22"/>
          <w:shd w:fill="C6D9F1" w:val="clear"/>
        </w:rPr>
        <w:t xml:space="preserve">OBJETO DA CONTRATAÇÃO</w:t>
      </w:r>
    </w:p>
    <w:p>
      <w:pPr>
        <w:numPr>
          <w:ilvl w:val="0"/>
          <w:numId w:val="96"/>
        </w:numPr>
        <w:spacing w:before="24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Credenciamento de clínicas especializadas em oftalmologia para execução de consultas, exames diagnósticos específicos e procedimentos cirúrgicos e ambulatoriais, em instalações próprias da credenciada ou, quando expressamente autorizado, em espaço físico disponibilizado pela Fundação Municipal de Saúde de Teixeiras, com provimento de todos os equipamentos, aparelhos e insumos necessários, incluindo o fornecimento de próteses oftálmicas e óculos aos usuários, nos termos da Tipologia III da Deliberação CIB-SUS/MG nº 4.065, de 7 de dezembro de 2022</w:t>
      </w:r>
      <w:r>
        <w:rPr>
          <w:rFonts w:ascii="Calibri" w:hAnsi="Calibri" w:cs="Calibri" w:eastAsia="Calibri"/>
          <w:color w:val="auto"/>
          <w:spacing w:val="0"/>
          <w:position w:val="0"/>
          <w:sz w:val="22"/>
          <w:shd w:fill="auto" w:val="clear"/>
        </w:rPr>
        <w:t xml:space="preserve">, e suas alterações, conforme especificações e condições a seguir:</w:t>
      </w:r>
    </w:p>
    <w:tbl>
      <w:tblPr/>
      <w:tblGrid>
        <w:gridCol w:w="599"/>
        <w:gridCol w:w="6484"/>
        <w:gridCol w:w="2261"/>
      </w:tblGrid>
      <w:tr>
        <w:trPr>
          <w:trHeight w:val="1" w:hRule="atLeast"/>
          <w:jc w:val="left"/>
        </w:trPr>
        <w:tc>
          <w:tcPr>
            <w:tcW w:w="599" w:type="dxa"/>
            <w:tcBorders>
              <w:top w:val="single" w:color="bfbfbf" w:sz="4"/>
              <w:left w:val="single" w:color="bfbfbf" w:sz="4"/>
              <w:bottom w:val="single" w:color="bfbfbf" w:sz="4"/>
              <w:right w:val="single" w:color="bfbfbf" w:sz="4"/>
            </w:tcBorders>
            <w:shd w:color="auto" w:fill="dbe5f1"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ITEM</w:t>
            </w:r>
          </w:p>
        </w:tc>
        <w:tc>
          <w:tcPr>
            <w:tcW w:w="6484" w:type="dxa"/>
            <w:tcBorders>
              <w:top w:val="single" w:color="bfbfbf" w:sz="4"/>
              <w:left w:val="single" w:color="bfbfbf" w:sz="4"/>
              <w:bottom w:val="single" w:color="bfbfbf" w:sz="4"/>
              <w:right w:val="single" w:color="bfbfbf" w:sz="4"/>
            </w:tcBorders>
            <w:shd w:color="auto" w:fill="dbe5f1"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DESCRIÇÃO</w:t>
            </w:r>
          </w:p>
        </w:tc>
        <w:tc>
          <w:tcPr>
            <w:tcW w:w="2261" w:type="dxa"/>
            <w:tcBorders>
              <w:top w:val="single" w:color="bfbfbf" w:sz="4"/>
              <w:left w:val="single" w:color="bfbfbf" w:sz="4"/>
              <w:bottom w:val="single" w:color="bfbfbf" w:sz="4"/>
              <w:right w:val="single" w:color="bfbfbf" w:sz="4"/>
            </w:tcBorders>
            <w:shd w:color="auto" w:fill="dbe5f1"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VAL. TOTAL ESTIMADO</w:t>
            </w:r>
          </w:p>
        </w:tc>
      </w:tr>
      <w:tr>
        <w:trPr>
          <w:trHeight w:val="1" w:hRule="atLeast"/>
          <w:jc w:val="left"/>
        </w:trPr>
        <w:tc>
          <w:tcPr>
            <w:tcW w:w="59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18"/>
                <w:shd w:fill="auto" w:val="clear"/>
              </w:rPr>
              <w:t xml:space="preserve">01</w:t>
            </w:r>
          </w:p>
        </w:tc>
        <w:tc>
          <w:tcPr>
            <w:tcW w:w="648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Carteira de procedimentos oftalmológicos </w:t>
            </w:r>
            <w:r>
              <w:rPr>
                <w:rFonts w:ascii="Calibri" w:hAnsi="Calibri" w:cs="Calibri" w:eastAsia="Calibri"/>
                <w:color w:val="auto"/>
                <w:spacing w:val="0"/>
                <w:position w:val="0"/>
                <w:sz w:val="18"/>
                <w:shd w:fill="auto" w:val="clear"/>
              </w:rPr>
              <w:t xml:space="preserve">constantes da Tabela SIGTAP-SUS, da Deliberação CIB-SUS/MG nº 4.065, de 07 de dezembro de 2022, e suas alterações, bem como de incentivos, complementações e políticas federais e estaduais aplicáveis, inclusive Valora Minas, Opera Mais e, quando cabível, Ofertas de Cuidados Integrados </w:t>
            </w:r>
            <w:r>
              <w:rPr>
                <w:rFonts w:ascii="Calibri" w:hAnsi="Calibri" w:cs="Calibri" w:eastAsia="Calibri"/>
                <w:color w:val="auto"/>
                <w:spacing w:val="0"/>
                <w:position w:val="0"/>
                <w:sz w:val="18"/>
                <w:shd w:fill="auto" w:val="clear"/>
              </w:rPr>
              <w:t xml:space="preserve">–</w:t>
            </w:r>
            <w:r>
              <w:rPr>
                <w:rFonts w:ascii="Calibri" w:hAnsi="Calibri" w:cs="Calibri" w:eastAsia="Calibri"/>
                <w:color w:val="auto"/>
                <w:spacing w:val="0"/>
                <w:position w:val="0"/>
                <w:sz w:val="18"/>
                <w:shd w:fill="auto" w:val="clear"/>
              </w:rPr>
              <w:t xml:space="preserve"> OCI no </w:t>
            </w:r>
            <w:r>
              <w:rPr>
                <w:rFonts w:ascii="Calibri" w:hAnsi="Calibri" w:cs="Calibri" w:eastAsia="Calibri"/>
                <w:color w:val="auto"/>
                <w:spacing w:val="0"/>
                <w:position w:val="0"/>
                <w:sz w:val="18"/>
                <w:shd w:fill="auto" w:val="clear"/>
              </w:rPr>
              <w:t xml:space="preserve">âmbito do Programa Agora Tem Especialistas </w:t>
            </w:r>
            <w:r>
              <w:rPr>
                <w:rFonts w:ascii="Calibri" w:hAnsi="Calibri" w:cs="Calibri" w:eastAsia="Calibri"/>
                <w:color w:val="auto"/>
                <w:spacing w:val="0"/>
                <w:position w:val="0"/>
                <w:sz w:val="18"/>
                <w:shd w:fill="auto" w:val="clear"/>
              </w:rPr>
              <w:t xml:space="preserve">–</w:t>
            </w:r>
            <w:r>
              <w:rPr>
                <w:rFonts w:ascii="Calibri" w:hAnsi="Calibri" w:cs="Calibri" w:eastAsia="Calibri"/>
                <w:color w:val="auto"/>
                <w:spacing w:val="0"/>
                <w:position w:val="0"/>
                <w:sz w:val="18"/>
                <w:shd w:fill="auto" w:val="clear"/>
              </w:rPr>
              <w:t xml:space="preserve"> PATE, observados os valores unit</w:t>
            </w:r>
            <w:r>
              <w:rPr>
                <w:rFonts w:ascii="Calibri" w:hAnsi="Calibri" w:cs="Calibri" w:eastAsia="Calibri"/>
                <w:color w:val="auto"/>
                <w:spacing w:val="0"/>
                <w:position w:val="0"/>
                <w:sz w:val="18"/>
                <w:shd w:fill="auto" w:val="clear"/>
              </w:rPr>
              <w:t xml:space="preserve">ários oficiais vigentes e as respectivas regras de financiamento.</w:t>
            </w:r>
          </w:p>
        </w:tc>
        <w:tc>
          <w:tcPr>
            <w:tcW w:w="2261"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R$ 3.000.000,00</w:t>
            </w:r>
          </w:p>
        </w:tc>
      </w:tr>
    </w:tbl>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preços unitários aplicáveis aos procedimentos e serviços corresponderão aos valores oficiais definidos na Tabela SIGTAP-SUS e, quando cabíveis, aos incentivos e complementações federais ou estaduais previstos nas políticas e deliberações vigentes, observada a data de referência adotada pela Administração e as regras de atualização deste Termo de Referência.</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atualizações oficiais da Tabela SIGTAP-SUS, dos incentivos federais ou estaduais e das deliberações que componham a remuneração poderão ser incorporadas aos valores do credenciamento mediante ato administrativo formal, com a devida publicidade e observância da disponibilidade orçamentária e financeira, sem necessidade de negociação individual com os credenciados.</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serviços objeto desta contratação são caracterizados como serviços comuns, pois seus padrões de desempenho e qualidade podem ser definidos objetivamente por especificações técnicas, protocolos assistenciais, normas sanitárias e tabelas oficiais aplicáveis.</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validade do credenciamento para este Edital será de 12 (doze) meses, podendo ser prorrogada por igual período conforme interesse e necessidade da Administração, nos termos dos artigos 106 e 107 da Lei 14.133/2021.</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Minuta do Termo de Credenciamento </w:t>
      </w:r>
      <w:r>
        <w:rPr>
          <w:rFonts w:ascii="Calibri" w:hAnsi="Calibri" w:cs="Calibri" w:eastAsia="Calibri"/>
          <w:b/>
          <w:color w:val="auto"/>
          <w:spacing w:val="0"/>
          <w:position w:val="0"/>
          <w:sz w:val="22"/>
          <w:shd w:fill="auto" w:val="clear"/>
        </w:rPr>
        <w:t xml:space="preserve">(Anexo IV)</w:t>
      </w:r>
      <w:r>
        <w:rPr>
          <w:rFonts w:ascii="Calibri" w:hAnsi="Calibri" w:cs="Calibri" w:eastAsia="Calibri"/>
          <w:color w:val="auto"/>
          <w:spacing w:val="0"/>
          <w:position w:val="0"/>
          <w:sz w:val="22"/>
          <w:shd w:fill="auto" w:val="clear"/>
        </w:rPr>
        <w:t xml:space="preserve"> detalha as regras aplicáveis à vigência e à formalização dos instrumentos decorrentes deste credenciamento.</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serviços serão prestados conforme a necessidade da Fundação Municipal de Saúde e a demanda regulada da Secretaria Municipal de Saúde.</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execução será remunerada por preço unitário, mediante pagamento exclusivamente pelos procedimentos efetivamente realizados, autorizados, comprovados e aceitos pela fiscalização, conforme os valores oficiais aplicáveis.</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serviços são de natureza continuada e serão prestados sob demanda durante a vigência dos instrumentos decorrentes do credenciamento, podendo haver prorrogação quando presentes os requisitos legais, o interesse público e a vantajosidade para a Administração.</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Será levada em consideração a demanda cadastrada e a disponibilidade orçamentária para realização dos serviços, podendo, assim, o credenciado realizar mais de um dos serviços requisitados.</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prestação dos serviços não gera vínculo empregatício entre os empregados da Contratada e a Administração Contratante, vedando-se qualquer relação entre estes que caracterize pessoalidade e subordinação direta. </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Fundação Municipal de Saúde de Teixeiras não está obrigada a contratar a totalidade estimada dos serviços credenciados.</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DA ESPECIALIDADE DO SERVIÇO DE OFTALMOLOGIA:</w:t>
      </w:r>
    </w:p>
    <w:p>
      <w:pPr>
        <w:numPr>
          <w:ilvl w:val="0"/>
          <w:numId w:val="106"/>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São os serviços objeto de contratação, descritos como de Tipologia III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pela DELIBERA</w:t>
      </w:r>
      <w:r>
        <w:rPr>
          <w:rFonts w:ascii="Calibri" w:hAnsi="Calibri" w:cs="Calibri" w:eastAsia="Calibri"/>
          <w:color w:val="auto"/>
          <w:spacing w:val="0"/>
          <w:position w:val="0"/>
          <w:sz w:val="22"/>
          <w:shd w:fill="auto" w:val="clear"/>
        </w:rPr>
        <w:t xml:space="preserve">ÇÃO CIB-SUS/MG Nº 4.065, DE 07 DE DEZEMBRO DE 2022:</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t>
        <w:tab/>
        <w:t xml:space="preserve">Consultas oftalmológicas de primeiro atendimento, incluindo exames básicos de avaliação inicial, a serem realizados conforme a necessidade clínica do paciente;</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w:t>
        <w:tab/>
        <w:t xml:space="preserve">Consultas de retorno, abrangendo acompanhamento, avaliações pré e pós-operatórias, com a execução apenas dos procedimentos efetivamente necessários, ficando a cargo do profissional decidir quanto a necessidade de realizar todos os procedimentos elencados no momento da realização da consulta e SOMENTE poderão ser cobrados os procedimentos efetivamente realizados.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w:t>
        <w:tab/>
        <w:t xml:space="preserve">Solicitação e encaminhamento para exames complementares, quando indicados, mediante prévia autorização da Secretaria Municipal de Saúde.</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w:t>
        <w:tab/>
        <w:t xml:space="preserve">Procedimentos cirúrgicos e terapêuticos especializados, previstos para a Tipologia III, tais como tratamento de retina (laser e aplicação intravítrea de anti-VEGF), cirurgias de glaucoma, plástica ocular (diagnóstico e pequenos procedimentos), atendimentos de urgência em regime clínico e cirúrgico, além das carteiras obrigatórias e opcionais das Tipologias I e II.</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CONSIDERAÇÕES GERAIS DA PRESTAÇÃO DE SERVIÇOS:</w:t>
      </w:r>
    </w:p>
    <w:p>
      <w:pPr>
        <w:numPr>
          <w:ilvl w:val="0"/>
          <w:numId w:val="108"/>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usuários somente poderão ser atendidos mediante encaminhamento, autorização ou regulação da Secretaria Municipal de Saúde, observados o fluxo assistencial estabelecido e a escolha do credenciado pelo beneficiário direto ou por seu representante legal.</w:t>
      </w:r>
    </w:p>
    <w:p>
      <w:pPr>
        <w:tabs>
          <w:tab w:val="left" w:pos="290" w:leader="none"/>
          <w:tab w:val="left" w:pos="885" w:leader="none"/>
        </w:tabs>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1.14.1.  Excepcionalmente, em situações de urgência ou emergência oftalmológica devidamente caracterizadas pelo profissional responsável pelo atendimento, poderá ser iniciado o atendimento antes da conclusão do fluxo ordinário de autorização, quando a espera pela autorização prévia puder implicar risco de agravamento do quadro clínico, comprometimento da função visual ou prejuízo relevante à saúde do paciente.</w:t>
      </w:r>
    </w:p>
    <w:p>
      <w:pPr>
        <w:tabs>
          <w:tab w:val="left" w:pos="290" w:leader="none"/>
          <w:tab w:val="left" w:pos="885" w:leader="none"/>
        </w:tabs>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1.14.2. Nessas hipóteses, a credenciada deverá comunicar a ocorrência à Fundação Municipal de Saúde de Teixeiras e ao setor responsável pela regulação tão logo seja possível, apresentando a justificativa clínica, os registros assistenciais e os demais documentos necessários à regularização do atendimento e ao correspondente registro nos sistemas oficiais do SUS.</w:t>
      </w:r>
    </w:p>
    <w:p>
      <w:pPr>
        <w:tabs>
          <w:tab w:val="left" w:pos="290" w:leader="none"/>
          <w:tab w:val="left" w:pos="885" w:leader="none"/>
        </w:tabs>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1.14.3. A excepcionalidade prevista neste item não afasta a necessidade de posterior conferência da pertinência clínica, da regularidade do atendimento, dos registros de produção e dos requisitos de faturamento aplicáveis, inclusive APAC, quando exigível, permanecendo o procedimento sujeito à análise da fiscalização e às hipóteses de glosa previstas neste Termo de Referência e no Edital.</w:t>
      </w:r>
    </w:p>
    <w:p>
      <w:pPr>
        <w:tabs>
          <w:tab w:val="left" w:pos="290" w:leader="none"/>
          <w:tab w:val="left" w:pos="885" w:leader="none"/>
        </w:tabs>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1.14.4. A realização de atendimento em caráter de urgência ou emergência não assegura, por si só, direito ao pagamento, que permanecerá condicionado à comprovação da efetiva prestação do serviço, à compatibilidade do procedimento executado com a situação clínica apresentada e ao atendimento das exigências legais, assistenciais, regulatórias e de faturamento aplicáveis.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serviços serão autorizados conforme a demanda regulada e a disponibilidade orçamentária e financeira da Fundação, sem garantia de quantitativo mínimo a qualquer credenciado.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equipamentos utilizados na execução dos serviços deverão atender às normas técnicas, sanitárias e de segurança aplicáveis, permanecer com manutenção preventiva e corretiva atualizada e possuir documentação comprobatória disponível para apresentação à fiscalização sempre que solicitada.</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Todo atendimento do paciente deverá ser registrado no sistema informatizado determinado ou aceito pela Fundação Municipal de Saúde.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prestação do serviço deverá ocorrer de forma contínua, conforme necessidade da Fundação Municipal de Saúde.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submeter-se ao fluxo de regulação de consultas, exames e procedimentos adotado pela Fundação Municipal de Saúde;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disponibilizar suas agendas por meio do sistema informatizado determinado ou aceito pela Fundação Municipal de Saúde;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agenda deverá ser disponibilizada até o dia 5 de cada mês para o mês subsequente, por meio do sistema informatizado adotado ou por outro canal eletrônico formalmente definido pela Fundação;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encaminhará à Fundação Municipal de Saúde o calendário das cirurgias e demais procedimentos, com indicação das respectivas datas e horários de realização.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clinicamente aplicável, para cada procedimento cirúrgico o prestador deverá assegurar, no mínimo, uma consulta pré-operatória e uma consulta pós-operatória, sem cobrança em duplicidade de atos já abrangidos pelo procedimento segundo as regras de faturamento do SUS.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manter Plano de Contingência com medidas imediatas e de continuidade assistencial para situações de indisponibilidade de equipamentos, sistemas, infraestrutura, insumos ou profissionais, de modo a evitar interrupções indevidas do atendimento.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instalação, disponibilização e manutenção dos equipamentos necessários à execução dos serviços serão de responsabilidade da Contratada, ressalvados apenas os bens que venham a ser expressamente disponibilizados pela Fundação.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serviços serão prestados em conformidade com os protocolos assistenciais vigentes e com os fluxos definidos pela Fundação e pelo SUS. A infraestrutura necessária à execução permanecerá sob responsabilidade da Contratada, nos termos deste Termo de Referência, cabendo-lhe dar ciência aos seus profissionais acerca dos protocolos, fluxos e condutas aplicáveis.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garantir a prestação contínua e integral dos serviços assumidos, de acordo com as necessidades da Fundação, observando integralmente o instrumento contratual. Seus profissionais não manterão vínculo empregatício com o Contratante, cabendo exclusivamente à Contratada os encargos trabalhistas, previdenciários, tributários, fiscais e demais obrigações decorrentes de sua equipe.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assumirá responsabilidade integral pela prestação dos serviços e responderá pelos atos e atividades desenvolvidos por seus sócios, empregados, profissionais, colaboradores e prepostos.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possuir CNPJ compatível com o objeto e estabelecimento regularmente cadastrado no CNES para a execução dos serviços, mantendo os registros válidos e atualizados durante toda a vigência contratual.</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observar a carteira de serviços correspondente à Tipologia III prevista na Deliberação CIB-SUS/MG nº 4.065/2022 e suas alterações, bem como os fluxos de regulação, comando único e demais diretrizes do Sistema Único de Saúde aplicáveis ao objeto.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manter, durante toda a execução, compatibilidade com as obrigações assumidas e todas as condições de habilitação e qualificação exigidas no credenciamento.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orientar seus profissionais e colaboradores quanto às normas de segurança, conduta, biossegurança e disciplina aplicáveis e responderá pelos danos pessoais ou materiais que lhes sejam imputáveis, causados ao Contratante, aos usuários ou a terceiros por ação ou omissão.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manter atualizados os dados cadastrais dos profissionais vinculados à execução e comunicar imediatamente ao Gestor do Contrato qualquer alteração ou substituição relevante, apresentando a documentação comprobatória exigível.</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É vedado à Contratada utilizar o nome, a marca ou a imagem institucional do Contratante, bem como dados clínicos, pessoais ou estatísticos obtidos em razão da execução, para finalidade diversa da contratada, salvo autorização expressa e observância da legislação de proteção de dados e do sigilo profissional.</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disponibilizar quantitativo suficiente de médicos oftalmologistas e demais profissionais necessários para executar, com qualidade e segurança, os atendimentos que assumir.</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observar integralmente as normas de saúde, segurança, higiene, biossegurança e proteção do trabalho aplicáveis às atividades executadas.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apresentar mensalmente relatório detalhado da produção executada, documentos de comprovação dos atendimentos e demais registros exigidos para fiscalização, liquidação e faturamento, juntamente com a Nota Fiscal ou documento de cobrança equivalente.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Sem prejuízo da responsabilidade integral da Contratada, o Contratante exercerá a fiscalização dos serviços por meio dos agentes formalmente designados, podendo solicitar documentos, esclarecimentos e correções necessárias ao fiel cumprimento do ajuste.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inexecução total ou parcial das obrigações assumidas, bem como qualquer ação ou omissão que configure infração administrativa ou contratual, sujeitará a Contratada às medidas corretivas, ao descredenciamento, quando cabível, e às sanções previstas na Lei nº 14.133/2021, no Edital e no instrumento contratual, assegurados o contraditório e a ampla defesa.</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cumprir as normas e diretrizes aplicáveis à proteção da saúde e da segurança dos trabalhadores dos serviços de saúde e dos demais profissionais envolvidos na assistência, inclusive as que vierem a substituí-las ou atualizá-las.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prestar os serviços de forma presencial, de acordo com a regulação, as agendas disponibilizadas e as autorizações emitidas durante a vigência do instrumento contratual.</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solicitado pela Fundação e quando tecnicamente cabível, a Contratada deverá emitir parecer, laudo ou relatório médico devidamente identificado, datado e assinado pelo profissional responsável, admitida assinatura eletrônica válida.</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fluxos e rotinas assistenciais não detalhados no instrumento serão definidos pela Fundação e pela Secretaria Municipal de Saúde, dentro de suas competências, em conformidade com as normas do Ministério da Saúde, da Secretaria de Estado de Saúde de Minas Gerais e demais regras aplicáveis.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manter número de profissionais compatível com o volume de atendimentos assumido, de modo a preservar a qualidade, a continuidade e a segurança assistencial.</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adotar as medidas necessárias para garantir a continuidade dos serviços assumidos, inclusive diante de férias, afastamentos, faltas ou outras ocorrências previsíveis relacionadas à sua organização interna.</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assegurar o cumprimento das agendas e dos horários de atendimento pactuados, observados os intervalos e demais direitos trabalhistas aplicáveis aos seus profissionais, respondendo por eventuais falhas de organização que prejudiquem a prestação dos serviços.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Contratante estabelecerá as diretrizes administrativas e assistenciais necessárias à execução, preservada a autonomia técnica dos profissionais de saúde. Alterações relevantes nas condições de execução deverão ser previamente submetidas à apreciação da Fundação.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observar e executar protocolos técnicos e assistenciais compatíveis com o nível de atenção e com a legislação vigente.</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assegurar que os profissionais responsáveis pelo atendimento orientem adequadamente os pacientes e, quando cabível, seus cuidadores, familiares ou responsáveis, acerca dos cuidados, riscos, condutas e recomendações relacionados ao tratamento.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É vedada qualquer cobrança direta ou indireta ao paciente, familiar ou responsável por serviços abrangidos pelo credenciamento, bem como a exigência de aquisição particular de medicamentos, materiais ou insumos que integrem o procedimento remunerado, sob pena de descredenciamento, extinção contratual e aplicação das demais sanções cabíveis.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responsabilidade técnica, profissional, civil, administrativa e, quando cabível, penal pela adequada prestação dos serviços caberá à Contratada e aos respectivos profissionais, nos limites de suas atribuições e da legislação aplicável.</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manter Responsável Técnico regularmente habilitado, responsável pela supervisão técnica da equipe e pela interlocução com a Fundação nos assuntos assistenciais e regulatórios pertinentes.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deverá selecionar profissionais devidamente habilitados e promover as orientações e capacitações necessárias ao cumprimento dos protocolos e das obrigações do credenciamento.</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valores de remuneração compreenderão todas as despesas necessárias à execução dos serviços, inclusive pessoal, encargos, tributos, seguros, materiais, insumos, equipamentos, manutenção, transporte e demais custos diretos e indiretos, ressalvadas apenas as parcelas expressamente previstas de forma distinta nas tabelas oficiais aplicáveis.</w:t>
      </w:r>
    </w:p>
    <w:p>
      <w:pPr>
        <w:numPr>
          <w:ilvl w:val="0"/>
          <w:numId w:val="110"/>
        </w:numPr>
        <w:tabs>
          <w:tab w:val="left" w:pos="290" w:leader="none"/>
          <w:tab w:val="left" w:pos="885" w:leader="none"/>
        </w:tabs>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fiscalização exercida pelo Contratante não reduzirá nem excluirá a responsabilidade da Contratada pela execução do objeto.</w:t>
      </w:r>
    </w:p>
    <w:p>
      <w:pPr>
        <w:numPr>
          <w:ilvl w:val="0"/>
          <w:numId w:val="11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Contratante poderá fiscalizar e vistoriar a execução dos serviços a qualquer tempo, observadas as normas de acesso, sigilo, segurança do paciente e proteção de dados.</w:t>
      </w:r>
    </w:p>
    <w:p>
      <w:pPr>
        <w:keepNext w:val="true"/>
        <w:keepLines w:val="true"/>
        <w:numPr>
          <w:ilvl w:val="0"/>
          <w:numId w:val="110"/>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FUNDAMENTAÇÃO E DESCRIÇÃO DA NECESSIDADE DA CONTRATAÇÃO</w:t>
      </w:r>
    </w:p>
    <w:p>
      <w:pPr>
        <w:numPr>
          <w:ilvl w:val="0"/>
          <w:numId w:val="11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Fundamentação e Descrição da Necessidade da Contratação e de seus quantitativos encontra-se pormenorizada em tópico específico dos Estudos Técnicos Preliminares, anexo deste Termo de Referência. </w:t>
      </w:r>
    </w:p>
    <w:p>
      <w:pPr>
        <w:numPr>
          <w:ilvl w:val="0"/>
          <w:numId w:val="11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especificações técnicas do Termo de Referência foram delimitadas de forma a atender às necessidades desta Administração em sua totalidade, levando em consideração a realidade do mercado. Os critérios ora adotados dentro da razoabilidade, buscam garantir a qualidade técnica do objeto a ser executado, bem como a economicidade para o município.</w:t>
      </w:r>
    </w:p>
    <w:p>
      <w:pPr>
        <w:keepNext w:val="true"/>
        <w:keepLines w:val="true"/>
        <w:numPr>
          <w:ilvl w:val="0"/>
          <w:numId w:val="110"/>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DESCRIÇÃO DA SOLUÇÃO COMO UM TODO </w:t>
      </w:r>
    </w:p>
    <w:p>
      <w:pPr>
        <w:numPr>
          <w:ilvl w:val="0"/>
          <w:numId w:val="11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descrição da solução como um todo encontra-se pormenorizada em tópico específico dos Estudos Técnicos Preliminares, anexo deste Termo de Referência.</w:t>
      </w:r>
    </w:p>
    <w:p>
      <w:pPr>
        <w:keepNext w:val="true"/>
        <w:keepLines w:val="true"/>
        <w:numPr>
          <w:ilvl w:val="0"/>
          <w:numId w:val="110"/>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REQUISITOS DA CONTRATAÇÃO</w:t>
      </w:r>
    </w:p>
    <w:p>
      <w:pPr>
        <w:numPr>
          <w:ilvl w:val="0"/>
          <w:numId w:val="11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Requisitos da Contratação encontram-se pormenorizados em tópico específico dos Estudos Técnicos Preliminares, anexo deste Termo de Referência.</w:t>
      </w:r>
    </w:p>
    <w:p>
      <w:pPr>
        <w:keepNext w:val="true"/>
        <w:keepLines w:val="true"/>
        <w:numPr>
          <w:ilvl w:val="0"/>
          <w:numId w:val="110"/>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MODELO DE EXECUÇÃO DO OBJETO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Condições de execução</w:t>
      </w:r>
    </w:p>
    <w:p>
      <w:pPr>
        <w:numPr>
          <w:ilvl w:val="0"/>
          <w:numId w:val="12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execução do objeto seguirá a seguinte dinâmica:</w:t>
      </w:r>
    </w:p>
    <w:p>
      <w:pPr>
        <w:numPr>
          <w:ilvl w:val="0"/>
          <w:numId w:val="12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prestação do serviço será de acordo com a demanda da Fundação Municipal de Saúde de Teixeiras/MG e seu início deverá ocorrer em até </w:t>
      </w:r>
      <w:r>
        <w:rPr>
          <w:rFonts w:ascii="Calibri" w:hAnsi="Calibri" w:cs="Calibri" w:eastAsia="Calibri"/>
          <w:b/>
          <w:color w:val="000000"/>
          <w:spacing w:val="0"/>
          <w:position w:val="0"/>
          <w:sz w:val="22"/>
          <w:shd w:fill="auto" w:val="clear"/>
        </w:rPr>
        <w:t xml:space="preserve">05 (cinco) dias úteis</w:t>
      </w:r>
      <w:r>
        <w:rPr>
          <w:rFonts w:ascii="Calibri" w:hAnsi="Calibri" w:cs="Calibri" w:eastAsia="Calibri"/>
          <w:color w:val="000000"/>
          <w:spacing w:val="0"/>
          <w:position w:val="0"/>
          <w:sz w:val="22"/>
          <w:shd w:fill="auto" w:val="clear"/>
        </w:rPr>
        <w:t xml:space="preserve"> após a data de recebimento da ordem de serviço de acordo com o Termo de Referência;</w:t>
      </w:r>
    </w:p>
    <w:p>
      <w:pPr>
        <w:numPr>
          <w:ilvl w:val="0"/>
          <w:numId w:val="12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Especificações quanto à emissão e recepção da ordem de serviço:</w:t>
      </w:r>
    </w:p>
    <w:p>
      <w:pPr>
        <w:numPr>
          <w:ilvl w:val="0"/>
          <w:numId w:val="12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ordem de serviço, autorização ou encaminhamento regulado será emitido pela unidade competente da Fundação, preferencialmente por meio eletrônico, e encaminhado à credenciada pelo sistema adotado ou por e-mail, sem prejuízo de outro meio idôneo de comunicação.</w:t>
      </w:r>
    </w:p>
    <w:p>
      <w:pPr>
        <w:numPr>
          <w:ilvl w:val="0"/>
          <w:numId w:val="12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interessada deverá informar, em sua ficha de inscrição, endereço eletrônico e demais contatos válidos para recebimento das comunicações, ordens de serviço e autorizações.</w:t>
      </w:r>
    </w:p>
    <w:p>
      <w:pPr>
        <w:numPr>
          <w:ilvl w:val="0"/>
          <w:numId w:val="120"/>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Considera-se recebida a ordem de serviço ou autorização: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a) no primeiro dia útil seguinte ao envio eletrônico, quando encaminhada por e-mail ou sistema que permita comprovar a transmissão;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b) na data comprovada do recebimento, quando utilizada outra forma idônea de comunicação.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Forma de execução</w:t>
      </w:r>
    </w:p>
    <w:p>
      <w:pPr>
        <w:numPr>
          <w:ilvl w:val="0"/>
          <w:numId w:val="12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serviços prestados se darão de forma parcelada e o Regime de Execução será indireto, de acordo com as necessidades do Município de Teixeiras/MG.</w:t>
      </w:r>
    </w:p>
    <w:p>
      <w:pPr>
        <w:numPr>
          <w:ilvl w:val="0"/>
          <w:numId w:val="12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Não será admitida a cessão, transferência ou subcontratação total ou parcial do objeto, em razão da responsabilidade técnica e assistencial diretamente vinculada ao credenciado, sem prejuízo de contratações meramente instrumentais que não representem transferência da execução do objeto.</w:t>
      </w:r>
    </w:p>
    <w:p>
      <w:pPr>
        <w:numPr>
          <w:ilvl w:val="0"/>
          <w:numId w:val="12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obriga-se a manter, durante toda a vigência do contrato, em compatibilidade com as obrigações assumidas, todas as condições de habilitação e qualificação exigidas no credenciamento, devendo comunicar imediatamente à Contratante qualquer alteração que possa comprometer a execução ou a manutenção do vínculo.</w:t>
      </w:r>
    </w:p>
    <w:p>
      <w:pPr>
        <w:numPr>
          <w:ilvl w:val="0"/>
          <w:numId w:val="12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Contratada será responsável por todos os encargos, tributos, custos operacionais e demais despesas necessárias à prestação dos serviços, inclusive pela correta apresentação da produção assistencial nos sistemas oficiais aplicáveis, junto ao setor de faturamento da FUMSAT.</w:t>
      </w:r>
    </w:p>
    <w:p>
      <w:pPr>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Local e Horário da Prestação dos Serviços</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serviços requisitados neste credenciamento deverão ser prestados, preferencialmente dentro dos limites do Município de Teixeiras/MG, em instalações próprias da credenciada ou em espaço físico disponibilizado pela Fundação Municipal de Saúde. </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Fundação Municipal de Saúde de Teixeiras poderá disponibilizar salas de suas dependências, atualmente ociosas, para utilização pelas clínicas credenciadas, exclusivamente para a execução dos serviços objeto deste termo. Toda a infraestrutura de equipamentos, insumos, mobiliário</w:t>
      </w:r>
      <w:r>
        <w:rPr>
          <w:rFonts w:ascii="Calibri" w:hAnsi="Calibri" w:cs="Calibri" w:eastAsia="Calibri"/>
          <w:color w:val="auto"/>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profissionais e habilitações </w:t>
      </w:r>
      <w:r>
        <w:rPr>
          <w:rFonts w:ascii="Calibri" w:hAnsi="Calibri" w:cs="Calibri" w:eastAsia="Calibri"/>
          <w:color w:val="auto"/>
          <w:spacing w:val="0"/>
          <w:position w:val="0"/>
          <w:sz w:val="22"/>
          <w:shd w:fill="auto" w:val="clear"/>
        </w:rPr>
        <w:t xml:space="preserve">sanitárias</w:t>
      </w:r>
      <w:r>
        <w:rPr>
          <w:rFonts w:ascii="Calibri" w:hAnsi="Calibri" w:cs="Calibri" w:eastAsia="Calibri"/>
          <w:color w:val="000000"/>
          <w:spacing w:val="0"/>
          <w:position w:val="0"/>
          <w:sz w:val="22"/>
          <w:shd w:fill="auto" w:val="clear"/>
        </w:rPr>
        <w:t xml:space="preserve"> necessários ficará sob a responsabilidade da credenciada, cabendo à Fundação apenas a cessão do espaço físico.</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Na hipótese de mais de uma clínica credenciada utilizar as dependências da Fundação Municipal de Saúde, o uso compartilhado do espaço será organizado mediante agenda e escala operacional definidas pela Administração, considerando os atendimentos escolhidos pelos beneficiários, a capacidade física instalada e critérios objetivos de organização, sem estabelecimento de preferência entre os prestadores.</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Independentemente do local de execução escolhido (instalações próprias da credenciada ou espaço cedido pela Fundação), a credenciada será integralmente responsável pela instalação, manutenção e utilização de equipamentos, bem como pela observância dos protocolos técnicos, sanitários e assistenciais exigidos pela legislação vigente e pelas normas do SUS.</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Eventuais reformas, adaptações ou adequações físicas que se mostrem necessárias à instalação, ao funcionamento ou à adequada prestação dos serviços em espaço físico disponibilizado pela Fundação Municipal de Saúde serão de inteira e exclusiva responsabilidade da credenciada, inclusive quanto à elaboração de projetos, obtenção de licenças e autorizações, fornecimento de materiais, mão de obra e demais despesas necessárias, não recaindo qualquer ônus sobre a Fundação.</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Qualquer reforma, adaptação, adequação ou outra intervenção física nas dependências da Fundação somente poderá ser iniciada após prévia anuência expressa e por escrito da Administração, sem prejuízo da obtenção, pela credenciada, das licenças, autorizações e aprovações técnicas ou sanitárias eventualmente exigíveis.</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anuência da Administração para a realização de intervenção física não implicará assunção, compartilhamento ou transferência de custos, encargos ou responsabilidades à Fundação, permanecendo todas as despesas e riscos decorrentes da intervenção sob responsabilidade exclusiva da credenciada.</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Ao término do contrato, do credenciamento ou da autorização de uso do espaço, as reformas, adaptações, adequações, benfeitorias ou intervenções realizadas pela credenciada não gerarão, em nenhuma hipótese, direito a indenização, ressarcimento, compensação ou retenção, a qualquer título, perante a Fundação.</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Após a indicação clínica e a regulação do atendimento, o beneficiário direto da prestação, ou seu representante legal, escolherá o prestador dentre os credenciados habilitados para o procedimento, conforme relação atualizada disponibilizada pela Fundação Municipal de Saúde.</w:t>
      </w:r>
    </w:p>
    <w:p>
      <w:pPr>
        <w:numPr>
          <w:ilvl w:val="0"/>
          <w:numId w:val="12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Fundação poderá disponibilizar ao beneficiário informações sobre localização, acessibilidade, disponibilidade de agenda e condições de atendimento dos credenciados, inclusive quando houver prestadores fora do Município de Teixeiras, exclusivamente para subsidiar escolha livre e informada, vedado o direcionamento indevido para clínica específica.</w:t>
      </w:r>
    </w:p>
    <w:p>
      <w:pPr>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Rotinas a serem cumpridas</w:t>
      </w:r>
    </w:p>
    <w:p>
      <w:pPr>
        <w:numPr>
          <w:ilvl w:val="0"/>
          <w:numId w:val="12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execução contratual observará as rotinas abaixo:</w:t>
      </w:r>
    </w:p>
    <w:p>
      <w:pPr>
        <w:numPr>
          <w:ilvl w:val="0"/>
          <w:numId w:val="12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Para a perfeita execução dos serviços, a CREDENCIADA deverá disponibilizar pessoal, materiais, equipamentos, ferramentas e utensílios necessários, promovendo sua substituição quando necessário.</w:t>
      </w:r>
    </w:p>
    <w:p>
      <w:pPr>
        <w:numPr>
          <w:ilvl w:val="0"/>
          <w:numId w:val="12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acompanhamento do serviço será feito por servidor ou comissão acompanhamento e controle, constituída para este fim e, em caso de irregularidade não sanada pelo prestador de serviço, a comissão/servidor reduzirá a termo os fatos ocorridos e encaminhará ao órgão competente para providências de penalização;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Procedimentos de transição e finalização do contrato</w:t>
      </w:r>
    </w:p>
    <w:p>
      <w:pPr>
        <w:numPr>
          <w:ilvl w:val="0"/>
          <w:numId w:val="129"/>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Não serão necessários procedimentos específicos de transição ao término do contrato, sem prejuízo da obrigação de assegurar continuidade assistencial aos pacientes com atendimento em curso, quando tecnicamente necessária, e de cumprir as regras relativas às intervenções físicas realizadas em espaço da Fundação.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Garantia e responsabilidade pela qualidade dos serviços</w:t>
      </w:r>
    </w:p>
    <w:p>
      <w:pPr>
        <w:numPr>
          <w:ilvl w:val="0"/>
          <w:numId w:val="13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responderá pela qualidade, segurança, regularidade técnica e conformidade dos serviços prestados durante toda a execução e após o recebimento, quando constatados vícios, falhas ou irregularidades imputáveis à prestação, sem prejuízo das responsabilidades administrativas, civis, sanitárias e profissionais previstas na legislação aplicável.</w:t>
      </w:r>
    </w:p>
    <w:p>
      <w:pPr>
        <w:keepNext w:val="true"/>
        <w:keepLines w:val="true"/>
        <w:numPr>
          <w:ilvl w:val="0"/>
          <w:numId w:val="131"/>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MODELO DE GESTÃO DO CONTRATO</w:t>
      </w:r>
    </w:p>
    <w:p>
      <w:pPr>
        <w:numPr>
          <w:ilvl w:val="0"/>
          <w:numId w:val="13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contrato deverá ser executado fielmente pelas partes, de acordo com as cláusulas avençadas e as normas da Lei 14.133/2021, e cada parte responderá pelas consequências de sua inexecução total ou parcial.</w:t>
      </w:r>
    </w:p>
    <w:p>
      <w:pPr>
        <w:numPr>
          <w:ilvl w:val="0"/>
          <w:numId w:val="13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Em caso de impedimento, ordem de paralisação ou suspensão dos serviços, a ocorrência será registrada nos autos e seus efeitos sobre prazos, agendas e obrigações serão avaliados pelo Gestor do Contrato, adotando-se o instrumento formal cabível quando necessária alteração de prazo ou de condição de execução.</w:t>
      </w:r>
    </w:p>
    <w:p>
      <w:pPr>
        <w:numPr>
          <w:ilvl w:val="0"/>
          <w:numId w:val="13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comunicações entre o órgão ou entidade e a empresa devem ser realizadas por escrito sempre que o ato exigir tal formalidade, admitindo-se o uso de mensagem eletrônica para esse fim.</w:t>
      </w:r>
    </w:p>
    <w:p>
      <w:pPr>
        <w:numPr>
          <w:ilvl w:val="0"/>
          <w:numId w:val="13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órgão ou entidade poderá convocar o preposto da empresa para adoção de providências que devam ser cumpridas de imediato.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Fiscalização </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execução do serviço deverá ser acompanhada e fiscalizada pelo fiscal responsável, ou pelos respectivos substitutos.</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fiscal acompanhará a execução do serviço, para que sejam cumpridas todas as condições estabelecidas no termo, de modo a assegurar os melhores resultados para a Administração. Também anotará em registro próprio todas as ocorrências relacionadas à sua execução, com a descrição do que for necessário para a regularização dos defeitos observados, sempre que necessário. </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Identificada qualquer inexatidão ou irregularidade, o fiscal emitirá notificações para a correção da execução do serviço, determinando prazo para a correção. </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fiscal informará ao gestor do contrato, em tempo hábil, qualquer situação que demande decisão ou providência além de sua competência, para adoção das medidas necessárias e saneadoras, quando cabível.</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Ocorrências de caso fortuito ou força maior que afetem a prestação dos serviços deverão ser comunicadas imediatamente à fiscalização, acompanhadas de justificativa e das medidas de contingência adotadas, sem prejuízo da análise administrativa quanto a eventuais ajustes de prazo, agenda ou condição de execução.</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No caso de ocorrências que possam inviabilizar a execução total do serviço nas datas aprazadas, o fiscal comunicará o fato imediatamente ao gestor do contrato. </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Na hipótese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É vedada a atribuição à contratada da avaliação de desempenho e qualidade da prestação dos serviços por ela realizada.</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fiscal poderá realizar a avaliação diária, semanal ou mensal, desde que o período escolhido seja suficiente para avaliar ou, se for o caso, aferir o desempenho e qualidade da prestação dos serviços.</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pPr>
        <w:numPr>
          <w:ilvl w:val="0"/>
          <w:numId w:val="13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fiscal verificará a manutenção das condições de habilitação da contratada, acompanhará o empenho, o pagamento, as garantias e as glosas, solicitando quaisquer documentos comprobatórios pertinentes, caso necessário.</w:t>
      </w:r>
    </w:p>
    <w:p>
      <w:pPr>
        <w:keepNext w:val="true"/>
        <w:keepLines w:val="true"/>
        <w:spacing w:before="240" w:after="0" w:line="240"/>
        <w:ind w:right="0" w:left="0" w:firstLine="0"/>
        <w:jc w:val="both"/>
        <w:rPr>
          <w:rFonts w:ascii="Calibri" w:hAnsi="Calibri" w:cs="Calibri" w:eastAsia="Calibri"/>
          <w:b/>
          <w: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Gestor do Contrato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deverá elaborar relatório final com informações sobre a consecução dos objetivos que tenham justificado a contratação e eventuais condutas a serem adotadas para o aprimoramento das atividades da Administração.  </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gestor do contrato deverá enviar a documentação pertinente ao setor de contratos para a formalização dos procedimentos de liquidação e pagamento, no valor dimensionado pela fiscalização e gestão nos termos do contrato.</w:t>
      </w:r>
    </w:p>
    <w:p>
      <w:pPr>
        <w:keepNext w:val="true"/>
        <w:keepLines w:val="true"/>
        <w:numPr>
          <w:ilvl w:val="0"/>
          <w:numId w:val="137"/>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DA AVALIAÇÃO DA EXECUÇÃO DO OBJETO E CRITÉRIOS DE MEDIÇÃO E PAGAMENTO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avaliação da execução do objeto será realizada com base nos atendimentos, consultas, exames e procedimentos efetivamente prestados, mediante verificação do cumprimento das especificações técnicas, dos protocolos assistenciais, das normas sanitárias, dos registros de produção, dos prazos aplicáveis, da escolha formalizada pelo beneficiário e dos demais requisitos estabelecidos no Termo de Referência e nas respectivas autorizações.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Caso sejam constatadas irregularidades na execução dos serviços, poderá haver retenção ou glosa no pagamento, proporcional à não conformidade verificada, sem prejuízo da aplicação das sanções cabíveis, inclusive extinção contratual e impedimento de licitar e contratar, quando presentes os respectivos pressupostos legais.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Será indicada a retenção ou glosa no pagamento, proporcional à irregularidade verificada, sem prejuízo das sanções cabíveis, caso se constate que a Contratada:</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produzir os resultados acordados;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Deixar de executar, ou não executar com a qualidade mínima exigida as atividades contratadas; ou</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Deixar de utilizar materiais e recursos humanos exigidos para a execução do serviço, ou utilizá-los com qualidade ou quantidade inferior à demandada.</w:t>
      </w:r>
    </w:p>
    <w:p>
      <w:pPr>
        <w:numPr>
          <w:ilvl w:val="0"/>
          <w:numId w:val="137"/>
        </w:numPr>
        <w:spacing w:before="24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Prestação de consultas, exames ou procedimentos em desacordo com os padrões técnicos, assistenciais, sanitários ou de qualidade exigidos para o atendimento;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Utilização de medicamentos, materiais, insumos, próteses, equipamentos ou dispositivos vencidos, inadequadamente acondicionados, sem manutenção ou em desconformidade com as normas técnicas e sanitárias aplicáveis;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Descumprimento dos prazos, agendas, fluxos de atendimento ou demais condições de execução estabelecidas, salvo em situações excepcionais devidamente justificadas e previamente aceitas pela Administração.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indicação do Gestor, do Fiscal e de seus respectivos substitutos caberá à autoridade competente da Fundação Municipal de Saúde de Teixeiras.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Gestão do Contrato será realizada por servidor designado pela Administração.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fiscalização será coordenada pela Fundação Municipal de Saúde de Teixeiras e realizada por servidor(es) formalmente designado(s) para o acompanhamento da execução contratual.</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fiscalização poderá ser efetivada com base em critérios estatísticos, levando-se em consideração falhas que impactem o contrato como um todo e não apenas erros e falhas eventuais.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Em caso de eventuais necessidades de modificações no quadro de gestores e fiscais do contrato, o ato será formalizado por meio de portaria desta instituição.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designado para a formalização dos procedimentos relativos à repactuação, alteração, reequilíbrio, prorrogação, pagamento, eventual aplicação de sanções, extinção do contrato, dentre outras, com vista a assegurar o cumprimento das cláusulas avençadas e a solução de problemas relativos ao objeto (art. 13 do Decreto Municipal 553/2024).</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(art. 14 e 15 do Decreto Municipal 553/2024).</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serviços deverão ser executados com base nos parâmetros mínimos estabelecidos.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Será adotado, durante toda a vigência do contrato, parâmetros para medição dos resultados, contemplando indicadores e respectivas metas a cumprir, que serão acompanhados pela fiscalização designada pela Administração, visando a qualidade da prestação do serviço e respectiva adequação de pagamento.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indicadores eleitos refletem fatores que estão sob controle da Administração no acompanhamento da execução do contrato que são essencialmente relevantes para obtenção de resultados positivos dos serviços.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São indicadores básicos de avaliação do serviço: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Rotina de trabalho;</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Qualidade na prestação dos serviços;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Disponibilidade de funcionários;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Disponibilidade, adequação, manutenção e regularidade dos equipamentos utilizados na prestação dos serviços;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Cumprimento das obrigações trabalhistas e previdenciárias;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Cumprimento de obrigações contratualmente estabelecidas;</w:t>
      </w:r>
    </w:p>
    <w:p>
      <w:pPr>
        <w:numPr>
          <w:ilvl w:val="0"/>
          <w:numId w:val="13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Cumprimento de determinações e notificações.</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Do recebimento</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recebimento dos serviços ocorrerá mediante conferência, pela fiscalização designada, dos atendimentos, consultas, exames e procedimentos efetivamente realizados, dos respectivos registros de produção e da conformidade com as especificações do Termo de Referência, os protocolos assistenciais e as ordens de serviço emitidas pela Fundação.</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atendimentos, consultas, exames e procedimentos poderão ser rejeitados, total ou parcialmente, no momento da execução, caso apresentem inadequações quanto à técnica empregada, à qualidade do serviço, ao cumprimento das normas sanitárias, à observância dos protocolos assistenciais ou quaisquer outras irregularidades que comprometam a segurança do paciente ou a conformidade contratual.</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Fundação Municipal de Saúde de Teixeiras não se obriga a receber serviços que não atendam integralmente às especificações estabelecidas neste Termo de Referência. Em caso de não conformidade, a contratada deverá providenciar, sem ônus para a Fundação, a substituição ou correção imediata do atendimento rejeitado, no prazo máximo de 24 (vinte e quatro) horas, sob pena de aplicação das penalidades previstas no contrato.</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Dada a natureza essencial e contínua dos serviços de saúde, o recebimento será considerado provisório no ato de cada atendimento, consulta, exame ou procedimento, condicionado à posterior verificação de conformidade pela fiscalização contratual.</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Excepcionalmente, caso a fiscalização identifique a necessidade de avaliação complementar, esta deverá ocorrer no prazo de até 05 (cinco) dias úteis, contados da realização do serviço, sendo o aceite definitivo condicionado à conclusão da verificação.</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contratada permanecerá integralmente responsável pela qualidade, segurança, regularidade técnica e conformidade dos serviços prestados, mesmo após o recebimento definitivo, respondendo por vícios ocultos, irregularidades sanitárias ou qualquer descumprimento contratual constatado posteriormente, nos termos da legislação aplicável.</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Em caso de controvérsias sobre a execução contratual, especialmente quanto à adequação dos serviços ou valores cobrados, aplicar-se-á o disposto no art. 143 da Lei Federal nº 14.133/2021, devendo a contratada emitir nota fiscal apenas relativa à parcela incontroversa, viabilizando o prosseguimento da liquidação e pagamento.</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prazo para substituição ou correção de eventuais falhas na execução dos serviços, bem como de inconsistências na nota fiscal ou instrumento de cobrança, será excluído da contagem para efeitos de verificação de inadimplemento contratual.</w:t>
      </w:r>
    </w:p>
    <w:p>
      <w:pPr>
        <w:numPr>
          <w:ilvl w:val="0"/>
          <w:numId w:val="14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recebimento dos serviços, ainda que sem ressalvas, não exime a contratada de sua responsabilidade pela integridade, qualidade e segurança do atendimento prestado, cabendo-lhe o dever de manter padrão compatível com as exigências legais, contratuais, sanitárias e de saúde pública.</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Liquidação e Prazo de pagamento</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Para fins de liquidação, a contratada </w:t>
      </w:r>
      <w:r>
        <w:rPr>
          <w:rFonts w:ascii="Calibri" w:hAnsi="Calibri" w:cs="Calibri" w:eastAsia="Calibri"/>
          <w:b/>
          <w:color w:val="000000"/>
          <w:spacing w:val="0"/>
          <w:position w:val="0"/>
          <w:sz w:val="22"/>
          <w:shd w:fill="auto" w:val="clear"/>
        </w:rPr>
        <w:t xml:space="preserve">deverá </w:t>
      </w:r>
      <w:r>
        <w:rPr>
          <w:rFonts w:ascii="Calibri" w:hAnsi="Calibri" w:cs="Calibri" w:eastAsia="Calibri"/>
          <w:color w:val="000000"/>
          <w:spacing w:val="0"/>
          <w:position w:val="0"/>
          <w:sz w:val="22"/>
          <w:shd w:fill="auto" w:val="clear"/>
        </w:rPr>
        <w:t xml:space="preserve">apresentar nota fiscal dos serviços prestados;</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Recebida a Nota Fiscal ou documento de cobrança equivalente, correrá o prazo de até </w:t>
      </w:r>
      <w:r>
        <w:rPr>
          <w:rFonts w:ascii="Calibri" w:hAnsi="Calibri" w:cs="Calibri" w:eastAsia="Calibri"/>
          <w:b/>
          <w:color w:val="000000"/>
          <w:spacing w:val="0"/>
          <w:position w:val="0"/>
          <w:sz w:val="22"/>
          <w:shd w:fill="auto" w:val="clear"/>
        </w:rPr>
        <w:t xml:space="preserve">15 (quinze)</w:t>
      </w:r>
      <w:r>
        <w:rPr>
          <w:rFonts w:ascii="Calibri" w:hAnsi="Calibri" w:cs="Calibri" w:eastAsia="Calibri"/>
          <w:color w:val="000000"/>
          <w:spacing w:val="0"/>
          <w:position w:val="0"/>
          <w:sz w:val="22"/>
          <w:shd w:fill="auto" w:val="clear"/>
        </w:rPr>
        <w:t xml:space="preserve"> dias úteis para fins de liquidação, na forma desta seção, prorrogáveis por igual período.</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Para fins de liquidação, o setor competente deve verificar se a Nota Fiscal ou Fatura apresentada expressa os elementos necessários e essenciais do documento, tais como:</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 O prazo de validade;</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 A data da emissão;</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 Os dados do contrato e do órgão contratante;</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descrição dos serviços e procedimentos efetivamente realizados;</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 O valor a pagar; e</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 Eventual destaque do valor de retenções tributárias cabíveis.</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Nota Fiscal ou Fatura deverá ser obrigatoriamente acompanhada da comprovação da regularidade fiscal.</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Persistindo a irregularidade e configurada hipótese legal de extinção contratual, o Contratante adotará as providências cabíveis em processo administrativo, assegurados o contraditório e a ampla defesa.</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Havendo efetiva execução do objeto e inexistindo impedimento legal ao pagamento, as parcelas regularmente executadas e aceitas serão liquidadas normalmente até a decisão administrativa pertinente, sem prejuízo das medidas de regularização e responsabilização cabíveis.</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pagamento será efetuado no prazo máximo de até </w:t>
      </w:r>
      <w:r>
        <w:rPr>
          <w:rFonts w:ascii="Calibri" w:hAnsi="Calibri" w:cs="Calibri" w:eastAsia="Calibri"/>
          <w:b/>
          <w:color w:val="000000"/>
          <w:spacing w:val="0"/>
          <w:position w:val="0"/>
          <w:sz w:val="22"/>
          <w:shd w:fill="auto" w:val="clear"/>
        </w:rPr>
        <w:t xml:space="preserve">15 (quinze) dias úteis</w:t>
      </w:r>
      <w:r>
        <w:rPr>
          <w:rFonts w:ascii="Calibri" w:hAnsi="Calibri" w:cs="Calibri" w:eastAsia="Calibri"/>
          <w:color w:val="000000"/>
          <w:spacing w:val="0"/>
          <w:position w:val="0"/>
          <w:sz w:val="22"/>
          <w:shd w:fill="auto" w:val="clear"/>
        </w:rPr>
        <w:t xml:space="preserve">, contados da finalização da liquidação da despesa, conforme seção anterior.</w:t>
      </w:r>
    </w:p>
    <w:p>
      <w:pPr>
        <w:numPr>
          <w:ilvl w:val="0"/>
          <w:numId w:val="14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No caso de atraso pelo Contratante, os valores devidos ao contratado serão atualizados monetariamente entre o termo final do prazo de pagamento até a data de sua efetiva realização, mediante aplicação do índice IPCA de correção monetária.</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Forma de pagamento</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pagamento será realizado através de ordem bancária, para crédito em banco, agência e conta corrente indicados pelo contratado.</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Será considerada data do pagamento o dia em que constar como emitida a ordem bancária para pagamento.</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do pagamento, será efetuada a retenção tributária prevista na legislação aplicável.</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Independentemente do percentual de tributo inserido na planilha, quando houver, serão retidos na fonte, quando da realização do pagamento, os percentuais estabelecidos na legislação vigente.</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contratado regularmente optante pelo Simples Nacional, nos termos da Lei Complementar nº 123, de 2006, não sofrerá a retenção tributária quanto aos impostos e contribuições abrangidos por aquele regime. </w:t>
      </w:r>
    </w:p>
    <w:p>
      <w:pPr>
        <w:keepNext w:val="true"/>
        <w:keepLines w:val="true"/>
        <w:numPr>
          <w:ilvl w:val="0"/>
          <w:numId w:val="147"/>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auto"/>
          <w:spacing w:val="0"/>
          <w:position w:val="0"/>
          <w:sz w:val="22"/>
          <w:shd w:fill="C6D9F1" w:val="clear"/>
        </w:rPr>
        <w:t xml:space="preserve">FORMA E CRITÉRIOS DE SELEÇÃO DO CREDENCIADO</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contratado será selecionado por meio de contratação direta, por inexigibilidade de licitação, mediante procedimento auxiliar de credenciamento eletrônico, com fundamento no art. 74, inciso IV, c/c art. 79, inciso II, da Lei Federal nº 14.133/2021, cabendo ao beneficiário direto da prestação escolher o credenciado responsável pelo atendimento, dentre aqueles habilitados para o procedimento demandado.</w:t>
      </w:r>
    </w:p>
    <w:p>
      <w:pPr>
        <w:numPr>
          <w:ilvl w:val="0"/>
          <w:numId w:val="14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execução será remunerada por preço unitário, conforme os procedimentos efetivamente realizados e os valores oficiais definidos no Edital e neste Termo de Referência.</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Exigências de habilitação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Habilitação jurídica</w:t>
      </w:r>
    </w:p>
    <w:p>
      <w:pPr>
        <w:numPr>
          <w:ilvl w:val="0"/>
          <w:numId w:val="15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000000"/>
          <w:spacing w:val="0"/>
          <w:position w:val="0"/>
          <w:sz w:val="22"/>
          <w:shd w:fill="auto" w:val="clear"/>
        </w:rPr>
        <w:t xml:space="preserve">Empresário individual</w:t>
      </w:r>
      <w:r>
        <w:rPr>
          <w:rFonts w:ascii="Calibri" w:hAnsi="Calibri" w:cs="Calibri" w:eastAsia="Calibri"/>
          <w:color w:val="000000"/>
          <w:spacing w:val="0"/>
          <w:position w:val="0"/>
          <w:sz w:val="22"/>
          <w:shd w:fill="auto" w:val="clear"/>
        </w:rPr>
        <w:t xml:space="preserve">: inscrição no Registro Público de Empresas Mercantis, a cargo da Junta Comercial da respectiva sede;</w:t>
      </w:r>
    </w:p>
    <w:p>
      <w:pPr>
        <w:numPr>
          <w:ilvl w:val="0"/>
          <w:numId w:val="15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Sociedade empresária ou sociedade limitada unipessoal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SLU: inscri</w:t>
      </w:r>
      <w:r>
        <w:rPr>
          <w:rFonts w:ascii="Calibri" w:hAnsi="Calibri" w:cs="Calibri" w:eastAsia="Calibri"/>
          <w:color w:val="auto"/>
          <w:spacing w:val="0"/>
          <w:position w:val="0"/>
          <w:sz w:val="22"/>
          <w:shd w:fill="auto" w:val="clear"/>
        </w:rPr>
        <w:t xml:space="preserve">ção do ato constitutivo, estatuto ou contrato social no Registro Público de Empresas Mercantis, a cargo da Junta Comercial da respectiva sede, acompanhada de documento comprobatório de seus administradores;</w:t>
      </w:r>
    </w:p>
    <w:p>
      <w:pPr>
        <w:numPr>
          <w:ilvl w:val="0"/>
          <w:numId w:val="15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000000"/>
          <w:spacing w:val="0"/>
          <w:position w:val="0"/>
          <w:sz w:val="22"/>
          <w:shd w:fill="auto" w:val="clear"/>
        </w:rPr>
        <w:t xml:space="preserve">Sociedade simples</w:t>
      </w:r>
      <w:r>
        <w:rPr>
          <w:rFonts w:ascii="Calibri" w:hAnsi="Calibri" w:cs="Calibri" w:eastAsia="Calibri"/>
          <w:color w:val="000000"/>
          <w:spacing w:val="0"/>
          <w:position w:val="0"/>
          <w:sz w:val="22"/>
          <w:shd w:fill="auto" w:val="clear"/>
        </w:rPr>
        <w:t xml:space="preserve">: inscrição do ato constitutivo no Registro Civil de Pessoas Jurídicas do local de sua sede, acompanhada de documento comprobatório de seus administradores;</w:t>
      </w:r>
    </w:p>
    <w:p>
      <w:pPr>
        <w:numPr>
          <w:ilvl w:val="0"/>
          <w:numId w:val="15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000000"/>
          <w:spacing w:val="0"/>
          <w:position w:val="0"/>
          <w:sz w:val="22"/>
          <w:shd w:fill="auto" w:val="clear"/>
        </w:rPr>
        <w:t xml:space="preserve">Filial, sucursal ou agência de sociedade simples ou empresária</w:t>
      </w:r>
      <w:r>
        <w:rPr>
          <w:rFonts w:ascii="Calibri" w:hAnsi="Calibri" w:cs="Calibri" w:eastAsia="Calibri"/>
          <w:color w:val="000000"/>
          <w:spacing w:val="0"/>
          <w:position w:val="0"/>
          <w:sz w:val="22"/>
          <w:shd w:fill="auto" w:val="clea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numPr>
          <w:ilvl w:val="0"/>
          <w:numId w:val="15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documentos apresentados deverão estar acompanhados de todas as alterações ou da consolidação respectiva.</w:t>
      </w:r>
    </w:p>
    <w:p>
      <w:pPr>
        <w:numPr>
          <w:ilvl w:val="0"/>
          <w:numId w:val="15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apresentação do ato constitutivo poderá ser dispensada quando as informações correspondentes puderem ser verificadas de forma atualizada e segura em cadastro oficial aceito pela Administração.</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Habilitação fiscal, social e trabalhista</w:t>
      </w:r>
    </w:p>
    <w:p>
      <w:pPr>
        <w:numPr>
          <w:ilvl w:val="0"/>
          <w:numId w:val="15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Prova de inscrição no Cadastro Nacional de Pessoas Jurídicas;</w:t>
      </w:r>
    </w:p>
    <w:p>
      <w:pPr>
        <w:numPr>
          <w:ilvl w:val="0"/>
          <w:numId w:val="15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xmlns:r="http://schemas.openxmlformats.org/officeDocument/2006/relationships" r:id="docRId14">
        <w:r>
          <w:rPr>
            <w:rFonts w:ascii="Calibri" w:hAnsi="Calibri" w:cs="Calibri" w:eastAsia="Calibri"/>
            <w:color w:val="000000"/>
            <w:spacing w:val="0"/>
            <w:position w:val="0"/>
            <w:sz w:val="22"/>
            <w:u w:val="single"/>
            <w:shd w:fill="auto" w:val="clear"/>
          </w:rPr>
          <w:t xml:space="preserve">Portaria Conjunta nº 1.751, de 02 de outubro de 2014</w:t>
        </w:r>
      </w:hyperlink>
      <w:r>
        <w:rPr>
          <w:rFonts w:ascii="Calibri" w:hAnsi="Calibri" w:cs="Calibri" w:eastAsia="Calibri"/>
          <w:color w:val="000000"/>
          <w:spacing w:val="0"/>
          <w:position w:val="0"/>
          <w:sz w:val="22"/>
          <w:shd w:fill="auto" w:val="clear"/>
        </w:rPr>
        <w:t xml:space="preserve">, do Secretário da Receita Federal do Brasil e da Procuradora-Geral da Fazenda Nacional.</w:t>
      </w:r>
    </w:p>
    <w:p>
      <w:pPr>
        <w:numPr>
          <w:ilvl w:val="0"/>
          <w:numId w:val="15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Prova de regularidade com o Fundo de Garantia do Tempo de Serviço (FGTS);</w:t>
      </w:r>
    </w:p>
    <w:p>
      <w:pPr>
        <w:numPr>
          <w:ilvl w:val="0"/>
          <w:numId w:val="15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numPr>
          <w:ilvl w:val="0"/>
          <w:numId w:val="15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Prova de regularidade com a Fazenda Estadual do domicílio ou sede da interessada, relativa à atividade em cujo exercício contrata ou concorre;</w:t>
      </w:r>
    </w:p>
    <w:p>
      <w:pPr>
        <w:numPr>
          <w:ilvl w:val="0"/>
          <w:numId w:val="153"/>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Prova de regularidade com a Fazenda Municipal do domicílio ou sede da interessada, relativa à atividade em cujo exercício contrata ou concorre;</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Qualificação Econômico-Financeira</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Certidão negativa de falência expedida pelo distribuidor da sede da interessada;</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No caso de certidão positiva de recuperação judicial ou extrajudicial, a interessada deverá apresentar documentação que demonstre sua aptidão econômico-financeira para cumprir as obrigações decorrentes do credenciamento, sem prejuízo dos demais requisitos de habilitação.</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Balanço Patrimonial, Demonstração de Resultado de exercício e demais demonstrações contábeis dos 2 (dois) últimos exercícios sociais, comprovando: Índices de Liquidez Geral (LG), Liquidez Corrente (LC), e Solvência Geral (SG) superiores a 1 (um).</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Os documentos referidos acima limitar-se-ão ao último exercício no caso de a pessoa jurídica ter sido constituída há menos de 2 (dois) anos. </w:t>
      </w:r>
    </w:p>
    <w:p>
      <w:pPr>
        <w:numPr>
          <w:ilvl w:val="0"/>
          <w:numId w:val="155"/>
        </w:numPr>
        <w:spacing w:before="24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Os documentos referidos acima deverão ser exigidos com base no limite definido pela Receita Federal do Brasil para transmissão da Escrituração Contábil Digital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ECD ao Sped. </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Caso a empresa interessada apresente resultado inferior ou igual a 1 (um) em qualquer dos índices de Liquidez Geral (LG), Solvência Geral (SG) e Liquidez Corrente (LC), será exigido, para fins de habilitação, capital mínimo ou patrimônio líquido mínimo de até 10% (dez por cento) do valor estimado pertinente à contratação, observados os limites e a proporcionalidade previstos na Lei nº 14.133/2021.</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empresas criadas no exercício financeiro do credenciamento deverão atender a todas as exigências de habilitação e poderão substituir os demonstrativos contábeis pelo balanço de abertura, nos termos do art. 65, § 1º, da Lei nº 14.133/2021.</w:t>
      </w:r>
    </w:p>
    <w:p>
      <w:pPr>
        <w:numPr>
          <w:ilvl w:val="0"/>
          <w:numId w:val="155"/>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O atendimento dos índices econômicos previstos neste item deverá ser atestado mediante declaração assinada por profissional habilitado da área contábil, apresentada pela interessada.</w:t>
      </w:r>
    </w:p>
    <w:p>
      <w:pPr>
        <w:keepNext w:val="true"/>
        <w:keepLines w:val="true"/>
        <w:tabs>
          <w:tab w:val="left" w:pos="195" w:leader="none"/>
        </w:tabs>
        <w:spacing w:before="240" w:after="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Qualificação Técnica</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CÓPIA DO CERTIFICADO DE REGULARIDADE DE INSCRIÇÃO DA PESSOA JURÍDICA </w:t>
      </w:r>
      <w:r>
        <w:rPr>
          <w:rFonts w:ascii="Calibri" w:hAnsi="Calibri" w:cs="Calibri" w:eastAsia="Calibri"/>
          <w:color w:val="auto"/>
          <w:spacing w:val="0"/>
          <w:position w:val="0"/>
          <w:sz w:val="22"/>
          <w:shd w:fill="auto" w:val="clear"/>
        </w:rPr>
        <w:t xml:space="preserve">junto ao Conselho Regional de Medicina/MG, com a indicação do Responsável Técnico;</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FICHA DO ESTABELECIMENTO emitida pelo CADASTRO NACIONAL DE ESTABELECIMENTOS DE SAÚDE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CNES, contendo n</w:t>
      </w:r>
      <w:r>
        <w:rPr>
          <w:rFonts w:ascii="Calibri" w:hAnsi="Calibri" w:cs="Calibri" w:eastAsia="Calibri"/>
          <w:b/>
          <w:color w:val="auto"/>
          <w:spacing w:val="0"/>
          <w:position w:val="0"/>
          <w:sz w:val="22"/>
          <w:shd w:fill="auto" w:val="clear"/>
        </w:rPr>
        <w:t xml:space="preserve">úmero de CNES ativo e regular na data do requerimento de credenciamento, compatível com os serviços a serem prestados;</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aceitação fica condicionada à verificação da autenticidade pela Internet ou junto ao órgão emissor, não sendo aceito protocolo de cadastro;</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Alvará Sanitário emitido pelo órgão competente da sede da interessada, ou documento equivalente emitido por órgão federal ou estadual que comprove a regularidade sanitária da atividade; quando houver dispensa legal, deverá ser apresentada declaração, legislação local ou outro documento idôneo que a comprove.</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b/>
          <w:color w:val="auto"/>
          <w:spacing w:val="0"/>
          <w:position w:val="0"/>
          <w:sz w:val="22"/>
          <w:shd w:fill="auto" w:val="clear"/>
        </w:rPr>
        <w:t xml:space="preserve">DOS MÉDICOS QUE IRÃO PRESTAR OS SERVIÇOS</w:t>
      </w:r>
      <w:r>
        <w:rPr>
          <w:rFonts w:ascii="Calibri" w:hAnsi="Calibri" w:cs="Calibri" w:eastAsia="Calibri"/>
          <w:color w:val="auto"/>
          <w:spacing w:val="0"/>
          <w:position w:val="0"/>
          <w:sz w:val="22"/>
          <w:shd w:fill="auto" w:val="clear"/>
        </w:rPr>
        <w:t xml:space="preserve">: Cópia de documento oficial de identificação (RG, CPF ou Identidade Profissional); Cópia de comprovante de endereço; Currículo, preferencialmente resumido; Cópia do diploma de graduação do curso de medicina; Cópia da Carteira de Inscrição no Conselho Regional de Medicina, conforme legislações vigentes; Certificado de quitação junto ao CRMMG; Cópia do título de especialista em Oftalmologia;</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Ficha de </w:t>
      </w:r>
      <w:r>
        <w:rPr>
          <w:rFonts w:ascii="Calibri" w:hAnsi="Calibri" w:cs="Calibri" w:eastAsia="Calibri"/>
          <w:color w:val="auto"/>
          <w:spacing w:val="0"/>
          <w:position w:val="0"/>
          <w:sz w:val="22"/>
          <w:shd w:fill="auto" w:val="clear"/>
        </w:rPr>
        <w:t xml:space="preserve">Inscrição (ANEXO II);</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Declaração de ciência e disponibilidade de recursos (ANEXO III);</w:t>
      </w:r>
    </w:p>
    <w:p>
      <w:pPr>
        <w:numPr>
          <w:ilvl w:val="0"/>
          <w:numId w:val="157"/>
        </w:numPr>
        <w:spacing w:before="24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Comprovante de habilitação descentralizada 38.01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Programa Mais Acesso a Especialistas/Agora Tem Especialistas no Cadastro Nacional de Estabelecimentos de Sa</w:t>
      </w:r>
      <w:r>
        <w:rPr>
          <w:rFonts w:ascii="Calibri" w:hAnsi="Calibri" w:cs="Calibri" w:eastAsia="Calibri"/>
          <w:color w:val="auto"/>
          <w:spacing w:val="0"/>
          <w:position w:val="0"/>
          <w:sz w:val="22"/>
          <w:shd w:fill="auto" w:val="clear"/>
        </w:rPr>
        <w:t xml:space="preserve">úde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CNES do estabelecimento executor, quando o financiamento do procedimento envolver recursos do Fundo de A</w:t>
      </w:r>
      <w:r>
        <w:rPr>
          <w:rFonts w:ascii="Calibri" w:hAnsi="Calibri" w:cs="Calibri" w:eastAsia="Calibri"/>
          <w:color w:val="auto"/>
          <w:spacing w:val="0"/>
          <w:position w:val="0"/>
          <w:sz w:val="22"/>
          <w:shd w:fill="auto" w:val="clear"/>
        </w:rPr>
        <w:t xml:space="preserve">ções Estratégicas e Compensações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FAEC/PATE;</w:t>
      </w:r>
    </w:p>
    <w:p>
      <w:pPr>
        <w:numPr>
          <w:ilvl w:val="0"/>
          <w:numId w:val="157"/>
        </w:numPr>
        <w:spacing w:before="240" w:after="0" w:line="24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Comprovante de conformação e registro do Núcleo de Gestão do Cuidado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NGC no estabelecimento executor, quando exigido pelas normas do Programa Agora Tem Especialistas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PATE para a execu</w:t>
      </w:r>
      <w:r>
        <w:rPr>
          <w:rFonts w:ascii="Calibri" w:hAnsi="Calibri" w:cs="Calibri" w:eastAsia="Calibri"/>
          <w:color w:val="auto"/>
          <w:spacing w:val="0"/>
          <w:position w:val="0"/>
          <w:sz w:val="22"/>
          <w:shd w:fill="auto" w:val="clear"/>
        </w:rPr>
        <w:t xml:space="preserve">ção da Oferta de Cuidados Integrados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OCI;</w:t>
      </w:r>
    </w:p>
    <w:p>
      <w:pPr>
        <w:keepNext w:val="true"/>
        <w:keepLines w:val="true"/>
        <w:numPr>
          <w:ilvl w:val="0"/>
          <w:numId w:val="157"/>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ESTIMATIVA DO VALOR DA CONTRATAÇÃO</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custo estimado total da contratação será de R$ 3.000.000,00 (três milhões de reais).</w:t>
      </w:r>
    </w:p>
    <w:p>
      <w:pPr>
        <w:keepNext w:val="true"/>
        <w:keepLines w:val="true"/>
        <w:numPr>
          <w:ilvl w:val="0"/>
          <w:numId w:val="157"/>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ADEQUAÇÃO ORÇAMENTÁRIA</w:t>
      </w:r>
    </w:p>
    <w:p>
      <w:pPr>
        <w:numPr>
          <w:ilvl w:val="0"/>
          <w:numId w:val="157"/>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despesas decorrentes da presente contratação correrão à conta das dotações e fontes consignadas no orçamento da Fundação Municipal de Saúde de Teixeiras e de outros recursos legalmente vinculados ao objeto, conforme indicação constante dos autos e dos respectivos instrumentos contratuais.</w:t>
      </w:r>
    </w:p>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Teixeiras, 25 de agosto de 2026.</w:t>
      </w:r>
    </w:p>
    <w:p>
      <w:pPr>
        <w:spacing w:before="24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Nacife Miguel Burjaile Sobrinho</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Diretor Administrativo</w:t>
      </w:r>
    </w:p>
    <w:p>
      <w:pPr>
        <w:pageBreakBefore w:val="true"/>
        <w:spacing w:before="0" w:after="0" w:line="240"/>
        <w:ind w:right="0" w:left="0" w:firstLine="0"/>
        <w:jc w:val="center"/>
        <w:rPr>
          <w:rFonts w:ascii="Calibri" w:hAnsi="Calibri" w:cs="Calibri" w:eastAsia="Calibri"/>
          <w:b/>
          <w:color w:val="000000"/>
          <w:spacing w:val="0"/>
          <w:position w:val="0"/>
          <w:sz w:val="22"/>
          <w:shd w:fill="DBE5F1" w:val="clear"/>
        </w:rPr>
      </w:pPr>
      <w:r>
        <w:rPr>
          <w:rFonts w:ascii="Calibri" w:hAnsi="Calibri" w:cs="Calibri" w:eastAsia="Calibri"/>
          <w:b/>
          <w:color w:val="000000"/>
          <w:spacing w:val="0"/>
          <w:position w:val="0"/>
          <w:sz w:val="22"/>
          <w:shd w:fill="DBE5F1" w:val="clear"/>
        </w:rPr>
        <w:t xml:space="preserve">ANEXO </w:t>
      </w:r>
      <w:r>
        <w:rPr>
          <w:rFonts w:ascii="Calibri" w:hAnsi="Calibri" w:cs="Calibri" w:eastAsia="Calibri"/>
          <w:b/>
          <w:color w:val="000000"/>
          <w:spacing w:val="0"/>
          <w:position w:val="0"/>
          <w:sz w:val="22"/>
          <w:shd w:fill="DBE5F1" w:val="clear"/>
        </w:rPr>
        <w:t xml:space="preserve">–</w:t>
      </w:r>
      <w:r>
        <w:rPr>
          <w:rFonts w:ascii="Calibri" w:hAnsi="Calibri" w:cs="Calibri" w:eastAsia="Calibri"/>
          <w:b/>
          <w:color w:val="000000"/>
          <w:spacing w:val="0"/>
          <w:position w:val="0"/>
          <w:sz w:val="22"/>
          <w:shd w:fill="DBE5F1" w:val="clear"/>
        </w:rPr>
        <w:t xml:space="preserve"> I-A ESTUDO T</w:t>
      </w:r>
      <w:r>
        <w:rPr>
          <w:rFonts w:ascii="Calibri" w:hAnsi="Calibri" w:cs="Calibri" w:eastAsia="Calibri"/>
          <w:b/>
          <w:color w:val="000000"/>
          <w:spacing w:val="0"/>
          <w:position w:val="0"/>
          <w:sz w:val="22"/>
          <w:shd w:fill="DBE5F1" w:val="clear"/>
        </w:rPr>
        <w:t xml:space="preserve">ÉCNICO PRELIMINAR</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INEXIGIBILIDADE Nº 003/2026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PROCESSO ADMINISTRATIVO Nº 012/2026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CREDENCIAMENTO Nº 002/2026</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presente documento caracteriza a primeira etapa da fase de planejamento e apresenta os estudos necessários para a contratação de solução destinada ao atendimento da necessidade abaixo especificada.</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O objetivo principal é examinar detalhadamente a demanda, avaliar as alternativas disponíveis no mercado e demonstrar a viabilidade técnica, econômica e administrativa da futura contratação, em observância à Lei nº 14.133/2021 e aos princípios aplicáveis às contratações públicas.</w:t>
      </w:r>
    </w:p>
    <w:p>
      <w:pPr>
        <w:keepNext w:val="true"/>
        <w:keepLines w:val="true"/>
        <w:numPr>
          <w:ilvl w:val="0"/>
          <w:numId w:val="168"/>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DESCRIÇÃO DA NECESSIDADE DA CONTRATAÇÃO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Fundação Municipal de Saúde de Teixeiras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FUMSAT identifica a necessidade de continuidade e amplia</w:t>
      </w:r>
      <w:r>
        <w:rPr>
          <w:rFonts w:ascii="Calibri" w:hAnsi="Calibri" w:cs="Calibri" w:eastAsia="Calibri"/>
          <w:color w:val="auto"/>
          <w:spacing w:val="0"/>
          <w:position w:val="0"/>
          <w:sz w:val="22"/>
          <w:shd w:fill="auto" w:val="clear"/>
        </w:rPr>
        <w:t xml:space="preserve">ção da oferta de serviços especializados em oftalmologia, em razão do aumento significativo da demanda por consultas, exames diagnósticos, procedimentos ambulatoriais e cirúrgicos, verificado no decorrer da prestação desses serviços, bem como da necessidade de assegurar capacidade assistencial compatível com o volume crescente de usuários encaminhados pela rede pública de saúde.</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experiência decorrente da execução dos atendimentos oftalmológicos demonstrou que a necessidade inicialmente projetada apresenta comportamento variável e crescente, abrangendo não apenas consultas especializadas, mas também exames complementares, acompanhamentos, procedimentos terapêuticos, cirurgias e demais intervenções integrantes da linha de cuidado em oftalmologia. A demanda por esses serviços está diretamente relacionada às condições clínicas efetivamente identificadas nos pacientes e aos respectivos encaminhamentos realizados pela regulação municipal, circunstâncias que dificultam a definição antecipada de quantitativos rígidos e exigem estrutura contratual capaz de absorver as necessidades apresentadas ao longo da vigência.</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Além do crescimento da demanda corrente, permanece relevante a necessidade de atendimento dos usuários que aguardam procedimentos oftalmológicos especializados, havendo registro de demanda expressiva por consultas, exames e procedimentos. Esse cenário evidencia a necessidade de disponibilização de rede assistencial suficiente para proporcionar maior capacidade de resposta, reduzir o tempo de espera e evitar o agravamento de condições clínicas que, quando não diagnosticadas ou tratadas oportunamente, podem resultar em comprometimento permanente da capacidade visual.</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aumento do número e da diversidade dos procedimentos demandados também repercute diretamente na necessidade financeira da contratação, uma vez que os atendimentos são remunerados conforme os procedimentos efetivamente realizados, observados os valores e critérios estabelecidos na Tabela SIGTAP-SUS e nos demais incentivos e políticas de financiamento aplicáveis. Dessa forma, a estimativa da contratação deve considerar não apenas a demanda atualmente identificada, mas também a projeção de continuidade e crescimento dos atendimentos durante todo o período de vigência do credenciamento.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estruturação da solução deverá considerar, ainda, quando aplicáveis aos procedimentos executados, as Ofertas de Cuidados Integrados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OCI no </w:t>
      </w:r>
      <w:r>
        <w:rPr>
          <w:rFonts w:ascii="Calibri" w:hAnsi="Calibri" w:cs="Calibri" w:eastAsia="Calibri"/>
          <w:color w:val="auto"/>
          <w:spacing w:val="0"/>
          <w:position w:val="0"/>
          <w:sz w:val="22"/>
          <w:shd w:fill="auto" w:val="clear"/>
        </w:rPr>
        <w:t xml:space="preserve">âmbito do Programa Agora Tem Especialistas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PATE e as respectivas regras de financiamento, autoriza</w:t>
      </w:r>
      <w:r>
        <w:rPr>
          <w:rFonts w:ascii="Calibri" w:hAnsi="Calibri" w:cs="Calibri" w:eastAsia="Calibri"/>
          <w:color w:val="auto"/>
          <w:spacing w:val="0"/>
          <w:position w:val="0"/>
          <w:sz w:val="22"/>
          <w:shd w:fill="auto" w:val="clear"/>
        </w:rPr>
        <w:t xml:space="preserve">ção, produção e faturamento, inclusive aquelas relacionadas ao Fundo de Ações Estratégicas e Compensações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FAEC, de modo a compatibilizar a amplia</w:t>
      </w:r>
      <w:r>
        <w:rPr>
          <w:rFonts w:ascii="Calibri" w:hAnsi="Calibri" w:cs="Calibri" w:eastAsia="Calibri"/>
          <w:color w:val="auto"/>
          <w:spacing w:val="0"/>
          <w:position w:val="0"/>
          <w:sz w:val="22"/>
          <w:shd w:fill="auto" w:val="clear"/>
        </w:rPr>
        <w:t xml:space="preserve">ção assistencial pretendida com os mecanismos vigentes de financiamento da atenção especializada.</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FUMSAT não dispõe, em sua estrutura própria, de todos os profissionais especializados, equipamentos, insumos e recursos necessários para absorver diretamente a totalidade dessa demanda, especialmente diante da diversidade e da complexidade dos procedimentos compreendidos na Tipologia III da Rede de Atenção em Oftalmologia. Por essa razão, mostra-se necessária a manutenção de rede complementar formada por prestadores especializados e devidamente habilitados.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Nesse contexto, o novo credenciamento busca proporcionar capacidade assistencial adequada ao atual nível de demanda, permitindo a habilitação de clínicas aptas à execução dos diferentes procedimentos oftalmológicos e possibilitando que os atendimentos sejam realizados conforme a necessidade efetivamente regulada pela Secretaria Municipal de Saúde, respeitada a escolha do prestador pelo beneficiário direto dentre os credenciados aptos, sem imposição de quantitativos mínimos de execução e observada a disponibilidade orçamentária e financeira da Fundação.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contratação mostra-se, portanto, necessária para assegurar a continuidade, ampliação e regularidade da assistência oftalmológica, absorver o aumento significativo dos procedimentos demandados, reduzir a demanda reprimida, ampliar o acesso dos usuários aos tratamentos necessários e garantir a integralidade da atenção à saúde ocular da população atendida pelo Sistema Único de Saúde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SUS.</w:t>
      </w:r>
    </w:p>
    <w:p>
      <w:pPr>
        <w:keepNext w:val="true"/>
        <w:keepLines w:val="true"/>
        <w:numPr>
          <w:ilvl w:val="0"/>
          <w:numId w:val="170"/>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PREVISÃO NO PLANO DE CONTRATAÇÕES ANUAL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Embora a Fundação Municipal de Saúde de Teixeiras ainda não tenha consolidado seu Plano de Contratações Anual (PCA), a presente contratação encontra-se alinhada ao planejamento institucional e orçamentário, por se tratar de serviço essencial e de demanda continuada na área de saúde, com previsão de recursos para sua execução durante os exercícios abrangidos pela contratação.</w:t>
      </w:r>
    </w:p>
    <w:p>
      <w:pPr>
        <w:keepNext w:val="true"/>
        <w:keepLines w:val="true"/>
        <w:numPr>
          <w:ilvl w:val="0"/>
          <w:numId w:val="172"/>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REQUISITOS DA CONTRATAÇÃO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Sustentabilidade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Os res</w:t>
      </w:r>
      <w:r>
        <w:rPr>
          <w:rFonts w:ascii="Calibri" w:hAnsi="Calibri" w:cs="Calibri" w:eastAsia="Calibri"/>
          <w:color w:val="000000"/>
          <w:spacing w:val="0"/>
          <w:position w:val="0"/>
          <w:sz w:val="22"/>
          <w:shd w:fill="auto" w:val="clear"/>
        </w:rPr>
        <w:t xml:space="preserve">íduos de serviços de saúde deverão ser manejados em conformidade com a Resolução CONAMA nº 358/2005 e a RDC ANVISA nº 222/2018, que dispõem sobre o gerenciamento de resíduos de serviços de saúde, incluindo coleta, transporte, armazenamento e destinação final ambientalmente adequada.</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Os insumos e materiais utilizados nos atendimentos (como lentes, pr</w:t>
      </w:r>
      <w:r>
        <w:rPr>
          <w:rFonts w:ascii="Calibri" w:hAnsi="Calibri" w:cs="Calibri" w:eastAsia="Calibri"/>
          <w:color w:val="000000"/>
          <w:spacing w:val="0"/>
          <w:position w:val="0"/>
          <w:sz w:val="22"/>
          <w:shd w:fill="auto" w:val="clear"/>
        </w:rPr>
        <w:t xml:space="preserve">óteses, medicamentos e descartáveis) deverão observar critérios de qualidade, biossegurança e descarte adequado, preferencialmente com utilização de fornecedores que adotem práticas de logística reversa e certificações ambientais.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implementar medidas de uso racional de energia e água em suas instalações, bem como adotar práticas de redução de consumo de papel por meio de sistemas eletrônicos de registro e comunicação.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Dever</w:t>
      </w:r>
      <w:r>
        <w:rPr>
          <w:rFonts w:ascii="Calibri" w:hAnsi="Calibri" w:cs="Calibri" w:eastAsia="Calibri"/>
          <w:color w:val="000000"/>
          <w:spacing w:val="0"/>
          <w:position w:val="0"/>
          <w:sz w:val="22"/>
          <w:shd w:fill="auto" w:val="clear"/>
        </w:rPr>
        <w:t xml:space="preserve">ão ser observados os princípios da Política Nacional de Resíduos Sólidos (Lei nº 12.305/2010), privilegiando a reutilização, reciclagem e descarte responsável de materiais.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manter ambiente acessível, seguro e inclusivo, em conformidade com a Lei Brasileira de Inclusão (Lei nº 13.146/2015), garantindo acessibilidade física, comunicacional e atitudinal aos usuários.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Requisitos técnicos e operacionais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Os servi</w:t>
      </w:r>
      <w:r>
        <w:rPr>
          <w:rFonts w:ascii="Calibri" w:hAnsi="Calibri" w:cs="Calibri" w:eastAsia="Calibri"/>
          <w:color w:val="000000"/>
          <w:spacing w:val="0"/>
          <w:position w:val="0"/>
          <w:sz w:val="22"/>
          <w:shd w:fill="auto" w:val="clear"/>
        </w:rPr>
        <w:t xml:space="preserve">ços deverão ser prestados nas dependências da Fundação ou em instalações próprias da clínica credenciada, devidamente registradas no Cadastro Nacional de Estabelecimentos de Saúde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CNES, com infraestrutura f</w:t>
      </w:r>
      <w:r>
        <w:rPr>
          <w:rFonts w:ascii="Calibri" w:hAnsi="Calibri" w:cs="Calibri" w:eastAsia="Calibri"/>
          <w:color w:val="000000"/>
          <w:spacing w:val="0"/>
          <w:position w:val="0"/>
          <w:sz w:val="22"/>
          <w:shd w:fill="auto" w:val="clear"/>
        </w:rPr>
        <w:t xml:space="preserve">ísica, tecnológica e de pessoal compatíveis com a Tipologia III da Rede de Atenção em Oftalmologia, conforme a Deliberação CIB-SUS/MG nº 4.065/2022 e suas alterações, observadas, quando aplicáveis, as exigências específicas relacionadas às Ofertas de Cuidados Integrados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OCI no </w:t>
      </w:r>
      <w:r>
        <w:rPr>
          <w:rFonts w:ascii="Calibri" w:hAnsi="Calibri" w:cs="Calibri" w:eastAsia="Calibri"/>
          <w:color w:val="000000"/>
          <w:spacing w:val="0"/>
          <w:position w:val="0"/>
          <w:sz w:val="22"/>
          <w:shd w:fill="auto" w:val="clear"/>
        </w:rPr>
        <w:t xml:space="preserve">âmbito do Programa Agora Tem Especialistas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PATE.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garantir a disponibilidade de profissionais médicos especialistas em oftalmologia, habilitados junto aos respectivos conselhos profissionais, além de equipe de apoio técnico-administrativo compatível com os serviços assumidos.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Todos os equipamentos utilizados, inclusive aparelhos de diagn</w:t>
      </w:r>
      <w:r>
        <w:rPr>
          <w:rFonts w:ascii="Calibri" w:hAnsi="Calibri" w:cs="Calibri" w:eastAsia="Calibri"/>
          <w:color w:val="000000"/>
          <w:spacing w:val="0"/>
          <w:position w:val="0"/>
          <w:sz w:val="22"/>
          <w:shd w:fill="auto" w:val="clear"/>
        </w:rPr>
        <w:t xml:space="preserve">óstico, instrumentos cirúrgicos e sistemas de registro eletrônico, deverão estar em conformidade com as normas técnicas e sanitárias aplicáveis, especialmente aquelas expedidas pela ANVISA e pelo Ministério da Saúde, devendo ser mantidos em condições adequadas de funcionamento, com manutenção preventiva e corretiva em dia.</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cl</w:t>
      </w:r>
      <w:r>
        <w:rPr>
          <w:rFonts w:ascii="Calibri" w:hAnsi="Calibri" w:cs="Calibri" w:eastAsia="Calibri"/>
          <w:color w:val="000000"/>
          <w:spacing w:val="0"/>
          <w:position w:val="0"/>
          <w:sz w:val="22"/>
          <w:shd w:fill="auto" w:val="clear"/>
        </w:rPr>
        <w:t xml:space="preserve">ínica deverá disponibilizar agenda eletrônica de marcação integrada ao fluxo de regulação da Secretaria Municipal de Saúde, em quantidade compatível com sua capacidade declarada e com os atendimentos que assumir.</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N</w:t>
      </w:r>
      <w:r>
        <w:rPr>
          <w:rFonts w:ascii="Calibri" w:hAnsi="Calibri" w:cs="Calibri" w:eastAsia="Calibri"/>
          <w:color w:val="000000"/>
          <w:spacing w:val="0"/>
          <w:position w:val="0"/>
          <w:sz w:val="22"/>
          <w:shd w:fill="auto" w:val="clear"/>
        </w:rPr>
        <w:t xml:space="preserve">ão será admitida a subcontratação total ou parcial da execução dos serviços credenciados, em razão da responsabilidade técnica e assistencial diretamente vinculada à pessoa jurídica habilitada.</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Na hip</w:t>
      </w:r>
      <w:r>
        <w:rPr>
          <w:rFonts w:ascii="Calibri" w:hAnsi="Calibri" w:cs="Calibri" w:eastAsia="Calibri"/>
          <w:color w:val="000000"/>
          <w:spacing w:val="0"/>
          <w:position w:val="0"/>
          <w:sz w:val="22"/>
          <w:shd w:fill="auto" w:val="clear"/>
        </w:rPr>
        <w:t xml:space="preserve">ótese de utilização de espaço físico disponibilizado pela Fundação Municipal de Saúde, eventuais reformas, adaptações ou adequações necessárias à prestação dos serviços serão executadas sob responsabilidade exclusiva da futura contratada e integralmente às suas expensas, condicionadas à prévia anuência expressa da Administração. A autorização da Fundação não importará assunção de qualquer ônus ou responsabilidade financeira e, ao término do ajuste, as intervenções realizadas não gerarão direito a indenização, ressarcimento, compensação ou retenção, a qualquer título.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Requisitos regulatórios e contratuais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Todos os servi</w:t>
      </w:r>
      <w:r>
        <w:rPr>
          <w:rFonts w:ascii="Calibri" w:hAnsi="Calibri" w:cs="Calibri" w:eastAsia="Calibri"/>
          <w:color w:val="000000"/>
          <w:spacing w:val="0"/>
          <w:position w:val="0"/>
          <w:sz w:val="22"/>
          <w:shd w:fill="auto" w:val="clear"/>
        </w:rPr>
        <w:t xml:space="preserve">ços deverão obedecer às diretrizes da Rede de Atenção em Oftalmologia, conforme a Deliberação CIB-SUS/MG nº 4.065/2022 e suas alterações, respeitando os protocolos assistenciais e regulatórios e, quando aplicáveis, as regras específicas das Ofertas de Cuidados Integrados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OCI no </w:t>
      </w:r>
      <w:r>
        <w:rPr>
          <w:rFonts w:ascii="Calibri" w:hAnsi="Calibri" w:cs="Calibri" w:eastAsia="Calibri"/>
          <w:color w:val="000000"/>
          <w:spacing w:val="0"/>
          <w:position w:val="0"/>
          <w:sz w:val="22"/>
          <w:shd w:fill="auto" w:val="clear"/>
        </w:rPr>
        <w:t xml:space="preserve">âmbito do Programa Agora Tem Especialistas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PATE.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 atendimento aos usu</w:t>
      </w:r>
      <w:r>
        <w:rPr>
          <w:rFonts w:ascii="Calibri" w:hAnsi="Calibri" w:cs="Calibri" w:eastAsia="Calibri"/>
          <w:color w:val="000000"/>
          <w:spacing w:val="0"/>
          <w:position w:val="0"/>
          <w:sz w:val="22"/>
          <w:shd w:fill="auto" w:val="clear"/>
        </w:rPr>
        <w:t xml:space="preserve">ários deverá ocorrer mediante prévia regulação e autorização da Secretaria Municipal de Saúde, respeitada a escolha do prestador pelo beneficiário direto dentre os credenciados aptos, sendo vedada qualquer cobrança direta ou indireta ao paciente.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emitir relatórios mensais de produção, contendo informações sobre consultas, exames e procedimentos realizados, devidamente compatíveis com os sistemas oficiais de regulação, produção, faturamento e controle do SUS.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assegurar a rastreabilidade de todos os atendimentos, inclusive mediante registros assistenciais e relatórios pré e pós-operatórios, quando couber.</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manter atualizados os cadastros de seus profissionais, equipamentos e estabelecimento junto ao CNES e demais sistemas oficiais aplicáveis, durante toda a execução do credenciamento.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Quando os procedimentos estiverem vinculados </w:t>
      </w:r>
      <w:r>
        <w:rPr>
          <w:rFonts w:ascii="Calibri" w:hAnsi="Calibri" w:cs="Calibri" w:eastAsia="Calibri"/>
          <w:color w:val="000000"/>
          <w:spacing w:val="0"/>
          <w:position w:val="0"/>
          <w:sz w:val="22"/>
          <w:shd w:fill="auto" w:val="clear"/>
        </w:rPr>
        <w:t xml:space="preserve">às OCI/PATE/FAEC, deverão ser observadas as regras específicas de autorização, registro da produção, faturamento e processamento nos sistemas oficiais do SUS, inclusive mediante APAC, quando exigível.</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VII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Quando exig</w:t>
      </w:r>
      <w:r>
        <w:rPr>
          <w:rFonts w:ascii="Calibri" w:hAnsi="Calibri" w:cs="Calibri" w:eastAsia="Calibri"/>
          <w:color w:val="000000"/>
          <w:spacing w:val="0"/>
          <w:position w:val="0"/>
          <w:sz w:val="22"/>
          <w:shd w:fill="auto" w:val="clear"/>
        </w:rPr>
        <w:t xml:space="preserve">ível para a execução ou financiamento dos procedimentos no âmbito das OCI/PATE/FAEC, a credenciada deverá comprovar a habilitação descentralizada </w:t>
      </w:r>
      <w:r>
        <w:rPr>
          <w:rFonts w:ascii="Calibri" w:hAnsi="Calibri" w:cs="Calibri" w:eastAsia="Calibri"/>
          <w:b/>
          <w:color w:val="000000"/>
          <w:spacing w:val="0"/>
          <w:position w:val="0"/>
          <w:sz w:val="22"/>
          <w:shd w:fill="auto" w:val="clear"/>
        </w:rPr>
        <w:t xml:space="preserve">38.01</w:t>
      </w:r>
      <w:r>
        <w:rPr>
          <w:rFonts w:ascii="Calibri" w:hAnsi="Calibri" w:cs="Calibri" w:eastAsia="Calibri"/>
          <w:color w:val="000000"/>
          <w:spacing w:val="0"/>
          <w:position w:val="0"/>
          <w:sz w:val="22"/>
          <w:shd w:fill="auto" w:val="clear"/>
        </w:rPr>
        <w:t xml:space="preserve"> no CNES, bem como a conformação e o registro do </w:t>
      </w:r>
      <w:r>
        <w:rPr>
          <w:rFonts w:ascii="Calibri" w:hAnsi="Calibri" w:cs="Calibri" w:eastAsia="Calibri"/>
          <w:b/>
          <w:color w:val="000000"/>
          <w:spacing w:val="0"/>
          <w:position w:val="0"/>
          <w:sz w:val="22"/>
          <w:shd w:fill="auto" w:val="clear"/>
        </w:rPr>
        <w:t xml:space="preserve">Núcleo de Gestão do Cuidado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 NGC</w:t>
      </w:r>
      <w:r>
        <w:rPr>
          <w:rFonts w:ascii="Calibri" w:hAnsi="Calibri" w:cs="Calibri" w:eastAsia="Calibri"/>
          <w:color w:val="000000"/>
          <w:spacing w:val="0"/>
          <w:position w:val="0"/>
          <w:sz w:val="22"/>
          <w:shd w:fill="auto" w:val="clear"/>
        </w:rPr>
        <w:t xml:space="preserve">, conforme as normas aplicáveis.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Requisitos de Responsabilidade Técnica e Qualidade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dever</w:t>
      </w:r>
      <w:r>
        <w:rPr>
          <w:rFonts w:ascii="Calibri" w:hAnsi="Calibri" w:cs="Calibri" w:eastAsia="Calibri"/>
          <w:color w:val="000000"/>
          <w:spacing w:val="0"/>
          <w:position w:val="0"/>
          <w:sz w:val="22"/>
          <w:shd w:fill="auto" w:val="clear"/>
        </w:rPr>
        <w:t xml:space="preserve">á manter responsável técnico registrado no Conselho Regional de Medicina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CRM, que responder</w:t>
      </w:r>
      <w:r>
        <w:rPr>
          <w:rFonts w:ascii="Calibri" w:hAnsi="Calibri" w:cs="Calibri" w:eastAsia="Calibri"/>
          <w:color w:val="000000"/>
          <w:spacing w:val="0"/>
          <w:position w:val="0"/>
          <w:sz w:val="22"/>
          <w:shd w:fill="auto" w:val="clear"/>
        </w:rPr>
        <w:t xml:space="preserve">á pela qualidade assistencial e pela conformidade dos serviços prestados.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Dever</w:t>
      </w:r>
      <w:r>
        <w:rPr>
          <w:rFonts w:ascii="Calibri" w:hAnsi="Calibri" w:cs="Calibri" w:eastAsia="Calibri"/>
          <w:color w:val="000000"/>
          <w:spacing w:val="0"/>
          <w:position w:val="0"/>
          <w:sz w:val="22"/>
          <w:shd w:fill="auto" w:val="clear"/>
        </w:rPr>
        <w:t xml:space="preserve">á ser assegurada a disponibilidade de protocolos clínicos atualizados e alinhados às diretrizes do Ministério da Saúde e da Secretaria de Estado de Saúde de Minas Gerais.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III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 contratada ser</w:t>
      </w:r>
      <w:r>
        <w:rPr>
          <w:rFonts w:ascii="Calibri" w:hAnsi="Calibri" w:cs="Calibri" w:eastAsia="Calibri"/>
          <w:color w:val="000000"/>
          <w:spacing w:val="0"/>
          <w:position w:val="0"/>
          <w:sz w:val="22"/>
          <w:shd w:fill="auto" w:val="clear"/>
        </w:rPr>
        <w:t xml:space="preserve">á responsável pela capacitação e atualização periódica dos profissionais envolvidos na execução do objeto, garantindo a melhoria contínua da qualidade.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IV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Dever</w:t>
      </w:r>
      <w:r>
        <w:rPr>
          <w:rFonts w:ascii="Calibri" w:hAnsi="Calibri" w:cs="Calibri" w:eastAsia="Calibri"/>
          <w:color w:val="000000"/>
          <w:spacing w:val="0"/>
          <w:position w:val="0"/>
          <w:sz w:val="22"/>
          <w:shd w:fill="auto" w:val="clear"/>
        </w:rPr>
        <w:t xml:space="preserve">á ser apresentado Plano de Contingência, contendo ações imediatas e de longo prazo para situações de indisponibilidade de equipamentos, interrupção de serviços ou aumento de demanda.</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Da Subcontratação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Não será admitida a subcontratação do objeto contratual.</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Garantia da contratação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Não haverá exigência de garantia de execução, nos termos dos arts. 96 e seguintes da Lei nº 14.133/2021, diante das características do objeto e da ausência de justificativa técnica para a medida, sem prejuízo das demais garantias de cumprimento previstas no Edital e no instrumento contratual.</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futura Contratada deverá cumprir todas as obrigações constantes no Edital, em seus anexos e no Termo de Credenciamento/Contrato, assumindo como exclusivamente seus os riscos e as despesas decorrentes da boa e perfeita execução do objeto.</w:t>
      </w:r>
    </w:p>
    <w:p>
      <w:pPr>
        <w:keepNext w:val="true"/>
        <w:keepLines w:val="true"/>
        <w:numPr>
          <w:ilvl w:val="0"/>
          <w:numId w:val="174"/>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ESTIMATIVA DO QUANTITATIVO </w:t>
      </w:r>
      <w:r>
        <w:rPr>
          <w:rFonts w:ascii="Calibri" w:hAnsi="Calibri" w:cs="Calibri" w:eastAsia="Calibri"/>
          <w:b/>
          <w:color w:val="FF0000"/>
          <w:spacing w:val="0"/>
          <w:position w:val="0"/>
          <w:sz w:val="22"/>
          <w:shd w:fill="C6D9F1" w:val="clear"/>
        </w:rPr>
        <w:t xml:space="preserve">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estimativa da contratação foi definida a partir da análise da demanda atual e reprimida por consultas, exames diagnósticos, procedimentos ambulatoriais e cirúrgicos em oftalmologia no Município de Teixeiras/MG, considerando o volume de usuários que aguardam atendimento especializado, o histórico de solicitações e procedimentos realizados, a tendência de crescimento dos encaminhamentos e a limitada capacidade da rede pública municipal para absorver diretamente toda a necessidade existente.</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Também foi considerada a própria natureza da assistência oftalmológica, cuja demanda não se restringe à consulta inicial, podendo gerar necessidade de exames complementares, retornos, procedimentos terapêuticos e intervenções cirúrgicas, conforme a condição clínica identificada em cada paciente. Dessa forma, o quantitativo necessário ao longo da vigência não pode ser determinado de maneira rígida e antecipada, uma vez que depende do fluxo efetivo de usuários regulados pela Secretaria Municipal de Saúde e dos procedimentos clinicamente indicados durante o acompanhamento assistencial.</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histórico da execução dos serviços demonstra, ainda, </w:t>
      </w:r>
      <w:r>
        <w:rPr>
          <w:rFonts w:ascii="Calibri" w:hAnsi="Calibri" w:cs="Calibri" w:eastAsia="Calibri"/>
          <w:b/>
          <w:color w:val="auto"/>
          <w:spacing w:val="0"/>
          <w:position w:val="0"/>
          <w:sz w:val="22"/>
          <w:shd w:fill="auto" w:val="clear"/>
        </w:rPr>
        <w:t xml:space="preserve">crescimento significativo da demanda e do número de procedimentos necessários</w:t>
      </w:r>
      <w:r>
        <w:rPr>
          <w:rFonts w:ascii="Calibri" w:hAnsi="Calibri" w:cs="Calibri" w:eastAsia="Calibri"/>
          <w:color w:val="auto"/>
          <w:spacing w:val="0"/>
          <w:position w:val="0"/>
          <w:sz w:val="22"/>
          <w:shd w:fill="auto" w:val="clear"/>
        </w:rPr>
        <w:t xml:space="preserve">, circunstância que deve ser considerada no dimensionamento da nova contratação, de modo a assegurar capacidade suficiente para atendimento tanto da demanda já existente quanto daquela que vier a surgir durante a vigência do credenciamento.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Assim, a estimativa contempla não apenas a necessidade de redução da demanda reprimida, mas também a manutenção de oferta regular e contínua de consultas, exames, procedimentos ambulatoriais e cirúrgicos, de forma compatível com as necessidades efetivamente identificadas ao longo da execução.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Ressalta-se que a estimativa possui caráter de planejamento e </w:t>
      </w:r>
      <w:r>
        <w:rPr>
          <w:rFonts w:ascii="Calibri" w:hAnsi="Calibri" w:cs="Calibri" w:eastAsia="Calibri"/>
          <w:b/>
          <w:color w:val="auto"/>
          <w:spacing w:val="0"/>
          <w:position w:val="0"/>
          <w:sz w:val="22"/>
          <w:shd w:fill="auto" w:val="clear"/>
        </w:rPr>
        <w:t xml:space="preserve">não implica obrigação de execução ou consumo integral do valor previsto</w:t>
      </w:r>
      <w:r>
        <w:rPr>
          <w:rFonts w:ascii="Calibri" w:hAnsi="Calibri" w:cs="Calibri" w:eastAsia="Calibri"/>
          <w:color w:val="auto"/>
          <w:spacing w:val="0"/>
          <w:position w:val="0"/>
          <w:sz w:val="22"/>
          <w:shd w:fill="auto" w:val="clear"/>
        </w:rPr>
        <w:t xml:space="preserve">, uma vez que os serviços serão solicitados e remunerados de acordo com a demanda efetivamente regulada e os procedimentos efetivamente realizados, observados os valores aplicáveis da Tabela SIGTAP-SUS e demais incentivos pertinentes, bem como a disponibilidade orçamentária e financeira da Fundação Municipal de Saúde de Teixeiras.</w:t>
      </w:r>
    </w:p>
    <w:p>
      <w:pPr>
        <w:keepNext w:val="true"/>
        <w:keepLines w:val="true"/>
        <w:numPr>
          <w:ilvl w:val="0"/>
          <w:numId w:val="176"/>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LEVANTAMENTO DE MERCADO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atendimento às demandas de consultas, exames diagnósticos e procedimentos cirúrgicos em oftalmologia é essencial para garantir a atenção integral à saúde ocular da população do Município de Teixeiras/MG, em conformidade com as diretrizes da Rede de Atenção em Oftalmologia instituída pela Deliberação CIB-SUS/MG nº 4.065/2022. Tais serviços são fundamentais para prevenir agravos à visão, ampliar o acesso a diagnósticos precoces e assegurar a realização de intervenções terapêuticas oportunas, reduzindo riscos de deficiência visual permanente e promovendo qualidade de vida aos usuários do SUS.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Diante disso, realizou-se levantamento de mercado com o objetivo de identificar as alternativas viáveis disponíveis para suprir essa necessidade, considerando aspectos técnicos, operacionais e econômicos. Foram avaliadas, principalmente, duas possibilidades: a prestação direta dos serviços pela Administração Pública Municipal e a contratação de prestadores privados já habilitados no mercado.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primeira alternativa, consistente na implantação de serviço próprio de oftalmologia no município, revelou-se inviável. Para tanto, seria necessária a construção ou adaptação de instalações de alta complexidade, aquisição de equipamentos sofisticados (como retinógrafos, aparelhos de laser, tonômetros, entre outros), contratação de corpo clínico especializado e manutenção de equipe multiprofissional, além da habilitação junto ao Ministério da Saúde. Tal modelo acarretaria elevados custos estruturais e operacionais, além de prazos incompatíveis com a urgência da demanda, tornando-se economicamente desvantajoso e de difícil execução para um município de porte reduzido.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segunda alternativa, amplamente utilizada em outros municípios, consiste na contratação de clínicas privadas especializadas, com estrutura já consolidada para execução de consultas, exames diagnósticos, cirurgias ambulatoriais e fornecimento de próteses oftálmicas (óculos). Essas clínicas possuem profissionais habilitados, equipamentos em conformidade com a legislação sanitária e experiência acumulada na prestação desse tipo de assistência. Além disso, permitem maior flexibilidade de atendimento, garantindo que os usuários sejam acolhidos em instalações adequadas e dentro dos fluxos regulatórios do SUS.</w:t>
      </w:r>
    </w:p>
    <w:p>
      <w:pPr>
        <w:spacing w:before="240" w:after="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Justificativa da opção pelo Credenciamento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adoção do modelo de credenciamento para a prestação dos serviços oftalmológicos é tecnicamente e economicamente mais vantajosa para a Fundação Municipal de Saúde de Teixeiras, considerando os seguintes aspectos: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Flexibilidade, ampliação da rede e liberdade de escolha: o credenciamento possibilita a habilitação de diversas clínicas e assegura ao beneficiário direto da prestação a escolha do credenciado responsável pelo atendimento, dentre aqueles aptos ao procedimento, ampliando a rede assistencial e oferecendo alternativas de acesso.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Atendimento à demanda variável: Os serviços de saúde apresentam oscilações conforme o perfil epidemiológico e o fluxo regulatório. O credenciamento permite que a Administração contrate conforme a real necessidade, sem a obrigação de manter estrutura ociosa ou assumir custos fixos desnecessários.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Segurança jurídica e compatibilidade legal: a contratação por credenciamento enquadra-se na hipótese de inexigibilidade prevista no art. 74, inciso IV, da Lei nº 14.133/2021 e, no caso concreto, será estruturada segundo o art. 79, inciso II, da mesma Lei, com seleção do contratado pelo beneficiário direto da prestação.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Uniformidade de preços: O modelo permite a fixação de valores de referência baseados na Tabela SUS, garantindo isonomia entre os prestadores credenciados e previsibilidade nos gastos públicos.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Qualidade e continuidade da assistência: A seleção de clínicas que atendam aos requisitos da Tipologia III assegura a integralidade do cuidado, incluindo consultas iniciais, exames complementares, cirurgias e reabilitação visual, em consonância com a política estadual de saúde ocular.</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Eficiência e economicidade: Ao evitar a criação de estrutura própria, o município reduz custos administrativos e operacionais, direcionando recursos para a efetiva prestação dos serviços assistenciais, com ganho de eficiência e melhor aproveitamento do orçamento.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 suma, o levantamento de mercado demonstra que o credenciamento de clínicas oftalmológicas é o modelo mais adequado para a Fundação Municipal de Saúde de Teixeiras, conciliando viabilidade técnica, legalidade, economicidade e garantia de atendimento integral à população usuária do SUS, nos termos da Rede de Atenção em Oftalmologia do Estado de Minas Gerais.</w:t>
      </w:r>
    </w:p>
    <w:p>
      <w:pPr>
        <w:keepNext w:val="true"/>
        <w:keepLines w:val="true"/>
        <w:numPr>
          <w:ilvl w:val="0"/>
          <w:numId w:val="178"/>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ESTIMATIVA DE VALOR DA CONTRATAÇÃO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definição do valor estimado da contratação de serviços de saúde, especialmente na área de oftalmologia, apresenta particularidades decorrentes da natureza do objeto e da impossibilidade de se prever, com precisão, o quantitativo exato de consultas, exames diagnósticos, procedimentos ambulatoriais e cirúrgicos que serão demandados ao longo da execução. A necessidade assistencial depende do fluxo efetivo de usuários regulados pela Secretaria Municipal de Saúde, das condições clínicas identificadas e dos procedimentos efetivamente indicados e autorizados, razão pela qual não se mostra adequada a fixação rígida e antecipada de quantitativos por procedimento.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Nessa perspectiva, a Administração adota parâmetro financeiro global para fins de planejamento da contratação, considerando a demanda existente e reprimida, o histórico dos atendimentos, a tendência de crescimento dos encaminhamentos e a necessidade de assegurar capacidade suficiente para a continuidade e ampliação da assistência oftalmológica. Dessa forma, foi estabelecido o valor global estimado de </w:t>
      </w:r>
      <w:r>
        <w:rPr>
          <w:rFonts w:ascii="Calibri" w:hAnsi="Calibri" w:cs="Calibri" w:eastAsia="Calibri"/>
          <w:b/>
          <w:color w:val="auto"/>
          <w:spacing w:val="0"/>
          <w:position w:val="0"/>
          <w:sz w:val="22"/>
          <w:shd w:fill="auto" w:val="clear"/>
        </w:rPr>
        <w:t xml:space="preserve">R$ 3.000.000,00 (três milhões de reais)</w:t>
      </w:r>
      <w:r>
        <w:rPr>
          <w:rFonts w:ascii="Calibri" w:hAnsi="Calibri" w:cs="Calibri" w:eastAsia="Calibri"/>
          <w:color w:val="auto"/>
          <w:spacing w:val="0"/>
          <w:position w:val="0"/>
          <w:sz w:val="22"/>
          <w:shd w:fill="auto" w:val="clear"/>
        </w:rPr>
        <w:t xml:space="preserve"> para a execução de consultas, exames diagnósticos, procedimentos ambulatoriais e cirúrgicos, incluindo o fornecimento de próteses oftálmicas (óculos).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Os valores devidos às clínicas credenciadas corresponderão aos procedimentos efetivamente autorizados, realizados, comprovados e aceitos, observados os valores oficiais constantes da Tabela SIGTAP-SUS e, quando cabíveis, os incentivos, complementações e políticas de financiamento federais e estaduais aplicáveis, inclusive aquelas relacionadas às </w:t>
      </w:r>
      <w:r>
        <w:rPr>
          <w:rFonts w:ascii="Calibri" w:hAnsi="Calibri" w:cs="Calibri" w:eastAsia="Calibri"/>
          <w:b/>
          <w:color w:val="auto"/>
          <w:spacing w:val="0"/>
          <w:position w:val="0"/>
          <w:sz w:val="22"/>
          <w:shd w:fill="auto" w:val="clear"/>
        </w:rPr>
        <w:t xml:space="preserve">Ofertas de Cuidados Integrados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OCI</w:t>
      </w:r>
      <w:r>
        <w:rPr>
          <w:rFonts w:ascii="Calibri" w:hAnsi="Calibri" w:cs="Calibri" w:eastAsia="Calibri"/>
          <w:color w:val="auto"/>
          <w:spacing w:val="0"/>
          <w:position w:val="0"/>
          <w:sz w:val="22"/>
          <w:shd w:fill="auto" w:val="clear"/>
        </w:rPr>
        <w:t xml:space="preserve">, no âmbito do </w:t>
      </w:r>
      <w:r>
        <w:rPr>
          <w:rFonts w:ascii="Calibri" w:hAnsi="Calibri" w:cs="Calibri" w:eastAsia="Calibri"/>
          <w:b/>
          <w:color w:val="auto"/>
          <w:spacing w:val="0"/>
          <w:position w:val="0"/>
          <w:sz w:val="22"/>
          <w:shd w:fill="auto" w:val="clear"/>
        </w:rPr>
        <w:t xml:space="preserve">Programa Agora Tem Especialistas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PATE</w:t>
      </w:r>
      <w:r>
        <w:rPr>
          <w:rFonts w:ascii="Calibri" w:hAnsi="Calibri" w:cs="Calibri" w:eastAsia="Calibri"/>
          <w:color w:val="auto"/>
          <w:spacing w:val="0"/>
          <w:position w:val="0"/>
          <w:sz w:val="22"/>
          <w:shd w:fill="auto" w:val="clear"/>
        </w:rPr>
        <w:t xml:space="preserve">, garantindo tratamento isonômico aos credenciados submetidos às mesmas condições e compatibilidade com os critérios técnicos e financeiros vigentes. Essa sistemática está alinhada ao próprio Edital, que prevê remuneração com base na SIGTAP e nos incentivos e políticas oficialmente aplicáveis.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Quando o financiamento dos procedimentos envolver recursos do </w:t>
      </w:r>
      <w:r>
        <w:rPr>
          <w:rFonts w:ascii="Calibri" w:hAnsi="Calibri" w:cs="Calibri" w:eastAsia="Calibri"/>
          <w:b/>
          <w:color w:val="auto"/>
          <w:spacing w:val="0"/>
          <w:position w:val="0"/>
          <w:sz w:val="22"/>
          <w:shd w:fill="auto" w:val="clear"/>
        </w:rPr>
        <w:t xml:space="preserve">Fundo de Ações Estratégicas e Compensações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FAEC</w:t>
      </w:r>
      <w:r>
        <w:rPr>
          <w:rFonts w:ascii="Calibri" w:hAnsi="Calibri" w:cs="Calibri" w:eastAsia="Calibri"/>
          <w:color w:val="auto"/>
          <w:spacing w:val="0"/>
          <w:position w:val="0"/>
          <w:sz w:val="22"/>
          <w:shd w:fill="auto" w:val="clear"/>
        </w:rPr>
        <w:t xml:space="preserve">, deverão ser observadas as regras específicas aplicáveis, inclusive sua natureza pós-fixada/pós-faturada e a necessidade de regular autorização, registro e aprovação da produção nos sistemas oficiais do SUS, por meio de APAC quando exigível. Assim, a estimativa global da contratação não representa garantia de ingresso imediato ou automático de recursos dessa fonte, ficando a execução condicionada à produção efetivamente realizada e às regras de financiamento correspondentes.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montante de </w:t>
      </w:r>
      <w:r>
        <w:rPr>
          <w:rFonts w:ascii="Calibri" w:hAnsi="Calibri" w:cs="Calibri" w:eastAsia="Calibri"/>
          <w:b/>
          <w:color w:val="auto"/>
          <w:spacing w:val="0"/>
          <w:position w:val="0"/>
          <w:sz w:val="22"/>
          <w:shd w:fill="auto" w:val="clear"/>
        </w:rPr>
        <w:t xml:space="preserve">R$ 3.000.000,00</w:t>
      </w:r>
      <w:r>
        <w:rPr>
          <w:rFonts w:ascii="Calibri" w:hAnsi="Calibri" w:cs="Calibri" w:eastAsia="Calibri"/>
          <w:color w:val="auto"/>
          <w:spacing w:val="0"/>
          <w:position w:val="0"/>
          <w:sz w:val="22"/>
          <w:shd w:fill="auto" w:val="clear"/>
        </w:rPr>
        <w:t xml:space="preserve"> constitui valor estimado global para fins de planejamento, instrução processual e adequação orçamentária, não representando obrigação de contratação ou consumo integral. A execução financeira ficará limitada aos serviços efetivamente demandados, regulados, autorizados, realizados e aceitos, observados os valores oficiais aplicáveis, as respectivas fontes de financiamento e a disponibilidade orçamentária e financeira da Fundação Municipal de Saúde de Teixeiras. Eventual necessidade de alteração do valor global deverá ser devidamente justificada, instruída e formalizada na forma da legislação aplicável.</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Assim, a estimativa de </w:t>
      </w:r>
      <w:r>
        <w:rPr>
          <w:rFonts w:ascii="Calibri" w:hAnsi="Calibri" w:cs="Calibri" w:eastAsia="Calibri"/>
          <w:b/>
          <w:color w:val="auto"/>
          <w:spacing w:val="0"/>
          <w:position w:val="0"/>
          <w:sz w:val="22"/>
          <w:shd w:fill="auto" w:val="clear"/>
        </w:rPr>
        <w:t xml:space="preserve">R$ 3.000.000,00</w:t>
      </w:r>
      <w:r>
        <w:rPr>
          <w:rFonts w:ascii="Calibri" w:hAnsi="Calibri" w:cs="Calibri" w:eastAsia="Calibri"/>
          <w:color w:val="auto"/>
          <w:spacing w:val="0"/>
          <w:position w:val="0"/>
          <w:sz w:val="22"/>
          <w:shd w:fill="auto" w:val="clear"/>
        </w:rPr>
        <w:t xml:space="preserve"> mostra-se compatível com a natureza variável da demanda assistencial e com o modelo de credenciamento adotado, proporcionando à FUMSAT instrumento de planejamento suficiente para ampliar a capacidade de atendimento e reduzir a demanda reprimida, sem gerar obrigação de execução integral do montante estimado.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Essa redação corrige principalmente o problema do texto atual que dizia que a remuneração observaria </w:t>
      </w:r>
      <w:r>
        <w:rPr>
          <w:rFonts w:ascii="Calibri" w:hAnsi="Calibri" w:cs="Calibri" w:eastAsia="Calibri"/>
          <w:b/>
          <w:color w:val="auto"/>
          <w:spacing w:val="0"/>
          <w:position w:val="0"/>
          <w:sz w:val="22"/>
          <w:shd w:fill="auto" w:val="clear"/>
        </w:rPr>
        <w:t xml:space="preserve">“obrigatoriamente” somente a Tabela SIGTAP-SUS</w:t>
      </w:r>
      <w:r>
        <w:rPr>
          <w:rFonts w:ascii="Calibri" w:hAnsi="Calibri" w:cs="Calibri" w:eastAsia="Calibri"/>
          <w:color w:val="auto"/>
          <w:spacing w:val="0"/>
          <w:position w:val="0"/>
          <w:sz w:val="22"/>
          <w:shd w:fill="auto" w:val="clear"/>
        </w:rPr>
        <w:t xml:space="preserve">, o que estava desalinhado com o próprio Edital, que também prevê incentivos, complementações e OCI/FAEC/PATE.</w:t>
      </w:r>
    </w:p>
    <w:p>
      <w:pPr>
        <w:keepNext w:val="true"/>
        <w:keepLines w:val="true"/>
        <w:numPr>
          <w:ilvl w:val="0"/>
          <w:numId w:val="180"/>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DESCRIÇÃO DA SOLUÇÃO COMO UM TODO </w:t>
      </w:r>
      <w:r>
        <w:rPr>
          <w:rFonts w:ascii="Calibri" w:hAnsi="Calibri" w:cs="Calibri" w:eastAsia="Calibri"/>
          <w:b/>
          <w:color w:val="FF0000"/>
          <w:spacing w:val="0"/>
          <w:position w:val="0"/>
          <w:sz w:val="22"/>
          <w:shd w:fill="C6D9F1" w:val="clear"/>
        </w:rPr>
        <w:t xml:space="preserve"> </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solução proposta para o atendimento da necessidade identificada consiste no credenciamento de pessoas jurídicas especializadas em oftalmologia para a prestação continuada e sob demanda de consultas, exames diagnósticos específicos e procedimentos cirúrgicos e ambulatoriais, incluindo o fornecimento de próteses oftálmicas (óculos), em conformidade com a Tipologia III da Rede de Atenção em Oftalmologia, instituída pela Deliberação CIB-SUS/MG nº 4.065/2022 e suas alterações, abrangendo, quando aplicáveis, as Ofertas de Cuidados Integrados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OCI no </w:t>
      </w:r>
      <w:r>
        <w:rPr>
          <w:rFonts w:ascii="Calibri" w:hAnsi="Calibri" w:cs="Calibri" w:eastAsia="Calibri"/>
          <w:color w:val="000000"/>
          <w:spacing w:val="0"/>
          <w:position w:val="0"/>
          <w:sz w:val="22"/>
          <w:shd w:fill="auto" w:val="clear"/>
        </w:rPr>
        <w:t xml:space="preserve">âmbito do Programa Agora Tem Especialistas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PATE e as respectivas regras assistenciais, cadastrais, de produ</w:t>
      </w:r>
      <w:r>
        <w:rPr>
          <w:rFonts w:ascii="Calibri" w:hAnsi="Calibri" w:cs="Calibri" w:eastAsia="Calibri"/>
          <w:color w:val="000000"/>
          <w:spacing w:val="0"/>
          <w:position w:val="0"/>
          <w:sz w:val="22"/>
          <w:shd w:fill="auto" w:val="clear"/>
        </w:rPr>
        <w:t xml:space="preserve">ção e financiamento.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serviços serão executados de forma continuada e conforme a demanda efetivamente regulada pela Secretaria Municipal de Saúde, sem fixação prévia de quantitativos mínimos por procedimento, uma vez que a necessidade assistencial depende do fluxo de usuários, das condições clínicas identificadas e dos procedimentos efetivamente indicados e autorizados ao longo da vigência do credenciamento.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prestação dos serviços poderá ocorrer em instalações próprias das clínicas credenciadas, devidamente registradas no Cadastro Nacional de Estabelecimentos de Saúde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CNES, ou, quando expressamente autorizado pela Administração, em espaço físico disponibilizado pela Fundação Municipal de Saúde, observadas as condições de infraestrutura, equipamentos, profissionais, licenças, responsabilidades e regras de adequação estabelecidas no Termo de Referência. Na hipótese de utilização de espaço da FUMSAT, eventuais reformas, adaptações ou adequações necessárias serão de responsabilidade exclusiva da credenciada, às suas expensas, mediante prévia anuência da Administração, sem qualquer ônus para a Fundação ou direito a indenização, ressarcimento, compensação ou retenção ao término do ajuste.</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atendimentos serão realizados mediante prévia regulação e autorização da Secretaria Municipal de Saúde, respeitada a escolha do prestador pelo beneficiário direto ou por seu representante legal dentre os credenciados aptos à execução do procedimento, sem direcionamento, preferência, classificação ou rodízio imposto pela Administração. Essa sistemática é compatível com a modelagem de credenciamento com seleção a critério de terceiros adotada no processo. </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Quando os procedimentos estiverem submetidos às regras das OCI/PATE/FAEC, sua execução observará os requisitos específicos de autorização, registro da produção, faturamento e processamento nos sistemas oficiais do SUS, inclusive por meio de APAC, quando exigível, bem como os demais requisitos cadastrais e operacionais aplicáveis ao estabelecimento executor.</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Para que a solução produza os resultados pretendidos pela Administração e assegure a adequada prestação da assistência oftalmológica, deverão ser observadas, ainda, as seguintes condições: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execução dos serviços deverá assegurar a integralidade da carteira de procedimentos abrangida pela Tipologia III da Rede de Atenção em Oftalmologia, incluindo consultas iniciais e de retorno, exames complementares, procedimentos ambulatoriais, cirurgias e fornecimento de próteses oftálmicas, conforme indicação clínica, regulação e autorização aplicáveis;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atendimentos deverão ser prestados em condições adequadas de biossegurança, com utilização de equipamentos, materiais e insumos compatíveis com os procedimentos executados e observância das normas técnicas e sanitárias vigentes;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Não serão admitidos serviços realizados em desacordo com os protocolos assistenciais e regulatórios aplicáveis ao SUS ou que comprometam a segurança do paciente, cabendo à credenciada promover a correção das não conformidades identificadas, sem ônus para a Fundação;</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procedimentos executados estarão sujeitos ao acompanhamento e à fiscalização contratual, à conferência da produção apresentada e, quando cabível, às regras de glosa, podendo ser rejeitados total ou parcialmente quando não comprovada sua regular execução ou quando constatada divergência em relação às autorizações, registros, códigos, valores ou demais requisitos aplicáveis;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credenciada deverá manter equipe profissional suficiente e devidamente habilitada para a plena execução dos serviços assumidos, incluindo médico oftalmologista responsável técnico e profissionais de apoio compatíveis com a natureza dos procedimentos;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Caberá à Secretaria Municipal de Saúde organizar o fluxo de regulação, emitir as autorizações necessárias, manter atualizada a relação de credenciados aptos aos respectivos procedimentos e assegurar ao beneficiário ou ao seu representante legal a escolha do prestador, observadas as condições estabelecidas no Edital e no Termo de Referência;</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clínica credenciada será integralmente responsável pela qualidade dos serviços prestados, pela segurança dos usuários, pela regularidade dos registros assistenciais e da produção apresentada e pelo cumprimento das normas técnicas, sanitárias, regulatórias e contratuais aplicáveis.</w:t>
      </w:r>
    </w:p>
    <w:p>
      <w:p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Assim, o credenciamento permitirá à Fundação Municipal de Saúde de Teixeiras ampliar a rede complementar de atenção em saúde ocular, aumentar a capacidade de resposta à demanda existente e reprimida, reduzir o tempo de espera dos usuários e assegurar acesso contínuo, equânime, oportuno e seguro aos serviços especializados de oftalmologia, com remuneração vinculada aos procedimentos efetivamente autorizados, realizados e comprovados, observadas as regras e fontes de financiamento aplicáveis.</w:t>
      </w:r>
    </w:p>
    <w:p>
      <w:pPr>
        <w:keepNext w:val="true"/>
        <w:keepLines w:val="true"/>
        <w:numPr>
          <w:ilvl w:val="0"/>
          <w:numId w:val="182"/>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JUSTIFICATIVA PARA O PARCELAMENTO OU NÃO DA CONTRATAÇÃO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Considerando a natureza do objeto em análise, qual seja, o credenciamento de clínicas especializadas em oftalmologia para a execução de consultas, exames diagnósticos específicos e procedimentos cirúrgicos e ambulatoriais, observa-se que a contratação envolve um conjunto de serviços integrados, cuja prestação se dá de forma complementar no âmbito da Tipologia III da Rede de Atenção em Oftalmologia, conforme disposto na Deliberação CIB-SUS/MG nº 4.065/2022 e suas alterações.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rol de procedimentos abrangidos compreende desde o atendimento inicial, consultas de retorno e exames diagnósticos até a realização de procedimentos terapêuticos, intervenções cirúrgicas e o fornecimento de próteses oftálmicas (óculos), compondo uma linha de cuidado que deve ser disponibilizada de forma integrada, de modo a assegurar a continuidade e a integralidade da assistência ao usuário do SUS.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Nesse contexto, não se mostra adequada a fragmentação da contratação em objetos estanques ou contratações distintas por grupos de procedimentos, uma vez que os serviços integram a mesma linha assistencial e deverão estar disponíveis no âmbito de um único procedimento de credenciamento, observados os fluxos de regulação, autorização e atendimento definidos pela Fundação Municipal de Saúde de Teixeiras. A fragmentação poderia dificultar a gestão da rede credenciada, aumentar a complexidade administrativa da fiscalização e comprometer a continuidade assistencial.</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opção pela não divisão do objeto em contratações autônomas, entretanto, </w:t>
      </w:r>
      <w:r>
        <w:rPr>
          <w:rFonts w:ascii="Calibri" w:hAnsi="Calibri" w:cs="Calibri" w:eastAsia="Calibri"/>
          <w:b/>
          <w:color w:val="auto"/>
          <w:spacing w:val="0"/>
          <w:position w:val="0"/>
          <w:sz w:val="22"/>
          <w:shd w:fill="auto" w:val="clear"/>
        </w:rPr>
        <w:t xml:space="preserve">não implica concentração da execução em um único prestador</w:t>
      </w:r>
      <w:r>
        <w:rPr>
          <w:rFonts w:ascii="Calibri" w:hAnsi="Calibri" w:cs="Calibri" w:eastAsia="Calibri"/>
          <w:color w:val="auto"/>
          <w:spacing w:val="0"/>
          <w:position w:val="0"/>
          <w:sz w:val="22"/>
          <w:shd w:fill="auto" w:val="clear"/>
        </w:rPr>
        <w:t xml:space="preserve">, uma vez que o credenciamento admite a participação de múltiplas pessoas jurídicas que atendam às condições estabelecidas no Edital. A execução dos serviços será distribuída conforme a demanda efetivamente regulada e a escolha do prestador pelo beneficiário direto ou por seu representante legal dentre os credenciados aptos ao respectivo procedimento, nos termos do art. 79, inciso II, da Lei nº 14.133/2021.</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Dessa forma, a modelagem adotada preserva a integralidade da linha de cuidado e, simultaneamente, possibilita a atuação de diversos prestadores credenciados, assegurando ao beneficiário a liberdade de escolha e permitindo que os atendimentos sejam autorizados conforme a necessidade assistencial efetivamente identificada, a capacidade dos prestadores e a disponibilidade orçamentária e financeira da Fundação.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Assim, conclui-se pela </w:t>
      </w:r>
      <w:r>
        <w:rPr>
          <w:rFonts w:ascii="Calibri" w:hAnsi="Calibri" w:cs="Calibri" w:eastAsia="Calibri"/>
          <w:b/>
          <w:color w:val="auto"/>
          <w:spacing w:val="0"/>
          <w:position w:val="0"/>
          <w:sz w:val="22"/>
          <w:shd w:fill="auto" w:val="clear"/>
        </w:rPr>
        <w:t xml:space="preserve">não adoção do parcelamento do objeto em contratações distintas</w:t>
      </w:r>
      <w:r>
        <w:rPr>
          <w:rFonts w:ascii="Calibri" w:hAnsi="Calibri" w:cs="Calibri" w:eastAsia="Calibri"/>
          <w:color w:val="auto"/>
          <w:spacing w:val="0"/>
          <w:position w:val="0"/>
          <w:sz w:val="22"/>
          <w:shd w:fill="auto" w:val="clear"/>
        </w:rPr>
        <w:t xml:space="preserve">, por se mostrar mais adequada à organização integrada da assistência oftalmológica, sem prejuízo da pluralidade de credenciados, da ampla participação de interessados e da seleção do prestador pelo beneficiário direto, em consonância com os princípios da eficiência, economicidade, universalidade, integralidade e equidade que orientam a prestação dos serviços no âmbito do SUS. </w:t>
      </w:r>
    </w:p>
    <w:p>
      <w:pPr>
        <w:keepNext w:val="true"/>
        <w:keepLines w:val="true"/>
        <w:numPr>
          <w:ilvl w:val="0"/>
          <w:numId w:val="184"/>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DEMONSTRATIVO DOS RESULTADOS PRETENDIDOS </w:t>
      </w:r>
      <w:r>
        <w:rPr>
          <w:rFonts w:ascii="Calibri" w:hAnsi="Calibri" w:cs="Calibri" w:eastAsia="Calibri"/>
          <w:b/>
          <w:color w:val="FF0000"/>
          <w:spacing w:val="0"/>
          <w:position w:val="0"/>
          <w:sz w:val="22"/>
          <w:shd w:fill="C6D9F1" w:val="clear"/>
        </w:rPr>
        <w:t xml:space="preserve">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contratação pretende ampliar e qualificar a oferta de serviços especializados em oftalmologia aos usuários do Sistema Único de Saúde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SUS no Munic</w:t>
      </w:r>
      <w:r>
        <w:rPr>
          <w:rFonts w:ascii="Calibri" w:hAnsi="Calibri" w:cs="Calibri" w:eastAsia="Calibri"/>
          <w:color w:val="auto"/>
          <w:spacing w:val="0"/>
          <w:position w:val="0"/>
          <w:sz w:val="22"/>
          <w:shd w:fill="auto" w:val="clear"/>
        </w:rPr>
        <w:t xml:space="preserve">ípio de Teixeiras/MG, assegurando maior capacidade de atendimento diante do crescimento da demanda por consultas, exames diagnósticos, procedimentos ambulatoriais e cirúrgicos.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 a ampliação da rede de prestadores credenciados, espera-se reduzir o tempo de espera dos pacientes, diminuir a demanda reprimida e assegurar maior agilidade no acesso ao diagnóstico, ao tratamento e aos demais procedimentos necessários, especialmente nos casos em que a demora no atendimento possa ocasionar agravamento do quadro clínico ou comprometimento permanente da capacidade visual.</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Busca-se, ainda, garantir a continuidade e a integralidade da assistência oftalmológica, permitindo que o usuário tenha acesso, conforme indicação clínica, regulação e autorização, às diferentes etapas da linha de cuidado, compreendendo consultas iniciais e de retorno, exames complementares, procedimentos terapêuticos, cirurgias, fornecimento de próteses oftálmicas e demais atendimentos abrangidos pela Tipologia III da Rede de Atenção em Oftalmologia.</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contratação também deverá contribuir para ampliar a capacidade de resposta da rede municipal de saúde, permitindo que os atendimentos sejam realizados de acordo com a demanda efetivamente regulada pela Secretaria Municipal de Saúde, respeitada a escolha do prestador pelo beneficiário direto ou por seu representante legal dentre os credenciados aptos, sem necessidade de manutenção, pela Administração, de estrutura própria de elevada complexidade, equipamentos especializados e quadro permanente de profissionais suficientes para absorver integralmente a demanda existente.</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Sob o aspecto da economicidade, pretende-se assegurar a aplicação eficiente dos recursos públicos, uma vez que a remuneração dos serviços estará vinculada aos procedimentos efetivamente autorizados, realizados e comprovados, observados os valores da Tabela SIGTAP-SUS e os demais incentivos, complementações e políticas de financiamento aplicáveis, inclusive, quando cabível, aquelas relacionadas às Ofertas de Cuidados Integrados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OCI, ao Programa Agora Tem Especialistas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PATE e ao Fundo de A</w:t>
      </w:r>
      <w:r>
        <w:rPr>
          <w:rFonts w:ascii="Calibri" w:hAnsi="Calibri" w:cs="Calibri" w:eastAsia="Calibri"/>
          <w:color w:val="auto"/>
          <w:spacing w:val="0"/>
          <w:position w:val="0"/>
          <w:sz w:val="22"/>
          <w:shd w:fill="auto" w:val="clear"/>
        </w:rPr>
        <w:t xml:space="preserve">ções Estratégicas e Compensações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FAEC.</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Pretende-se, ainda, assegurar maior regularidade nos processos de autorização, registro da produção e faturamento dos procedimentos, especialmente naqueles submetidos às regras das OCI/PATE/FAEC, com observância da APAC, quando exigível, e dos demais registros necessários nos sistemas oficiais do SUS, contribuindo para prevenir inconsistências, rejeições de produção, glosas e pagamentos indevidos.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Espera-se, igualmente, fortalecer o acompanhamento e o controle da execução contratual, mediante registros adequados dos atendimentos e da produção, fiscalização dos serviços prestados, conferência dos procedimentos faturados e avaliação contínua da qualidade assistencial, promovendo maior transparência, eficiência e segurança na utilização dos recursos destinados à assistência oftalmológica.</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Dessa forma, os resultados pretendidos consistem na ampliação do acesso aos serviços especializados, redução das filas de espera e da demanda reprimida, maior resolutividade dos atendimentos, continuidade e integralidade da assistência, prevenção de agravamentos, melhoria da qualidade da atenção à saúde ocular e adequada utilização dos recursos públicos, em benefício da população atendida pela FUMSAT.</w:t>
      </w:r>
    </w:p>
    <w:p>
      <w:pPr>
        <w:keepNext w:val="true"/>
        <w:keepLines w:val="true"/>
        <w:numPr>
          <w:ilvl w:val="0"/>
          <w:numId w:val="186"/>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PROVIDÊNCIAS A SEREM ADOTADAS PELA ADMINISTRAÇÃO PREVIAMENTE À CONTRATAÇÃO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Considerando que as providências administrativas necessárias à instrução e ao planejamento da contratação já foram adotadas pela Fundação Municipal de Saúde de Teixeiras, não se identificam medidas adicionais de maior complexidade a serem implementadas previamente à formalização dos credenciamentos.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Administração já realizou o levantamento da necessidade assistencial, definiu o escopo dos serviços a serem prestados, estabeleceu os requisitos técnicos, sanitários e operacionais aplicáveis, bem como estruturou os fluxos de regulação e encaminhamento dos pacientes, observadas as diretrizes do Sistema Único de Saúde e da Rede de Atenção em Oftalmologia.</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Também foram definidas as condições de execução dos serviços, inclusive quanto à possibilidade de utilização de espaço físico disponibilizado pela Fundação, quando aplicável, às responsabilidades da credenciada, aos critérios de fiscalização, acompanhamento, medição e pagamento e às exigências necessárias para assegurar a adequada prestação dos serviços.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Dessa forma, previamente à celebração dos instrumentos decorrentes do credenciamento, caberá à Administração apenas dar continuidade aos procedimentos ordinários de formalização, designação dos responsáveis pela gestão e fiscalização contratual, emissão das autorizações de atendimento e demais atos necessários à execução, conforme a demanda efetivamente regulada pela Secretaria Municipal de Saúde.</w:t>
      </w:r>
    </w:p>
    <w:p>
      <w:pPr>
        <w:spacing w:before="240" w:after="0" w:line="240"/>
        <w:ind w:right="0" w:left="0" w:firstLine="0"/>
        <w:jc w:val="both"/>
        <w:rPr>
          <w:rFonts w:ascii="Calibri" w:hAnsi="Calibri" w:cs="Calibri" w:eastAsia="Calibri"/>
          <w:i/>
          <w:color w:val="auto"/>
          <w:spacing w:val="0"/>
          <w:position w:val="0"/>
          <w:sz w:val="22"/>
          <w:shd w:fill="auto" w:val="clear"/>
        </w:rPr>
      </w:pPr>
      <w:r>
        <w:rPr>
          <w:rFonts w:ascii="Calibri" w:hAnsi="Calibri" w:cs="Calibri" w:eastAsia="Calibri"/>
          <w:color w:val="auto"/>
          <w:spacing w:val="0"/>
          <w:position w:val="0"/>
          <w:sz w:val="22"/>
          <w:shd w:fill="auto" w:val="clear"/>
        </w:rPr>
        <w:t xml:space="preserve">Assim, não se verifica a necessidade de adoção de providências extraordinárias ou de adequações estruturais prévias por parte da Fundação, estando a Administração apta ao prosseguimento da contratação nos termos definidos nos documentos que integram a fase preparatória.</w:t>
      </w:r>
    </w:p>
    <w:p>
      <w:pPr>
        <w:keepNext w:val="true"/>
        <w:keepLines w:val="true"/>
        <w:numPr>
          <w:ilvl w:val="0"/>
          <w:numId w:val="188"/>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CONTRATAÇÕES CORRELATAS E/OU INTERDEPENDENTES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Não serão necessárias contratações correlatas, pois, os serviços já incluem todas as responsabilidades e atribuições por parte da contratada para que a mesma gere a solução que atenda ao interesse do município.</w:t>
      </w:r>
    </w:p>
    <w:p>
      <w:pPr>
        <w:keepNext w:val="true"/>
        <w:keepLines w:val="true"/>
        <w:numPr>
          <w:ilvl w:val="0"/>
          <w:numId w:val="190"/>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DESCRIÇÃO DE POSSÍVEIS IMPACTOS AMBIENTAIS E DAS RESPECTIVAS MEDIDAS MITIGADORAS QUE PODEM SER ADOTADAS </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execução do credenciamento de clínicas especializadas em oftalmologia, embora não envolva atividades de grande porte ou obras com potencial poluidor elevado, pode gerar impactos ambientais decorrentes da própria natureza dos serviços de saúde. Entre os aspectos mais relevantes está a geração de resíduos de serviços de saúde, como materiais perfurocortantes, insumos contaminados e medicamentos vencidos, que exigem manejo adequado para evitar riscos à saúde pública e ao meio ambiente. Para mitigar esse impacto, é imprescindível que as clínicas credenciadas cumpram rigorosamente as normas da ANVISA e do CONAMA, realizando a segregação, acondicionamento, coleta, transporte e destinação final de forma ambientalmente segura, em conformidade com a RDC nº 222/2018 e a Resolução nº 358/2005.</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Outro ponto a ser considerado diz respeito ao consumo de energia elétrica e água, uma vez que a utilização contínua de equipamentos oftalmológicos de alta tecnologia, somada à necessidade de iluminação e climatização das instalações, contribui para a elevação do gasto de recursos naturais. Nesse caso, medidas como a adoção de equipamentos com maior eficiência energética, sistemas de reuso e o uso racional da água podem reduzir significativamente o impacto ambiental.</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utilização de insumos e descartáveis, comuns na rotina assistencial, também representa desafio para a sustentabilidade. O incentivo à aquisição de materiais recicláveis ou biodegradáveis, bem como a preferência por fornecedores que adotem práticas de logística reversa, contribui para minimizar os resíduos sólidos gerados. Além disso, deve-se considerar o impacto indireto do deslocamento de pacientes e profissionais até as unidades credenciadas, que pode resultar em maior emissão de gases de efeito estufa. O planejamento de agendas reguladas e o credenciamento de clínicas localizadas em áreas de fácil acesso funcionam como medidas mitigadoras, reduzindo deslocamentos desnecessários e favorecendo o uso de transporte público.</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Por fim, determinados procedimentos que envolvem a utilização de laser ou substâncias químicas demandam protocolos rígidos de biossegurança para evitar riscos ocupacionais e ambientais. A manutenção preventiva de equipamentos, o fornecimento de equipamentos de proteção individual e o treinamento constante das equipes são ações indispensáveis para garantir a segurança dos profissionais, dos pacientes e do meio ambiente.</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Assim, constata-se que, embora os impactos ambientais sejam inerentes à execução dos serviços de saúde, eles são plenamente mitigáveis mediante o cumprimento da legislação vigente e a adoção de práticas de sustentabilidade, alinhadas aos princípios da Política Nacional de Resíduos Sólidos e da Política Nacional do Meio Ambiente. Dessa forma, o objeto em discussão revela-se compatível com a responsabilidade socioambiental que deve nortear as contratações públicas.</w:t>
      </w:r>
    </w:p>
    <w:p>
      <w:pPr>
        <w:keepNext w:val="true"/>
        <w:keepLines w:val="true"/>
        <w:numPr>
          <w:ilvl w:val="0"/>
          <w:numId w:val="192"/>
        </w:numPr>
        <w:spacing w:before="240" w:after="0" w:line="240"/>
        <w:ind w:right="0" w:left="360" w:hanging="36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POSICIONAMENTO CONCLUSIVO ACERCA DA VIABILIDADE DA CONTRATAÇÃO </w:t>
      </w:r>
    </w:p>
    <w:p>
      <w:pPr>
        <w:spacing w:before="240" w:after="0" w:line="240"/>
        <w:ind w:right="0" w:left="0" w:firstLine="709"/>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Considerando o exposto, em especial à importância da realização das atividades para a melhor qualidade de vida da população do município, conclui-se pela viabilidade técnica e econômica da contratação, opinando-se pelo prosseguimento do feito.</w:t>
      </w:r>
    </w:p>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Teixeiras, 25 de agosto de 2026.</w:t>
      </w:r>
    </w:p>
    <w:p>
      <w:pPr>
        <w:spacing w:before="240" w:after="0" w:line="240"/>
        <w:ind w:right="0" w:left="0" w:firstLine="0"/>
        <w:jc w:val="center"/>
        <w:rPr>
          <w:rFonts w:ascii="Calibri" w:hAnsi="Calibri" w:cs="Calibri" w:eastAsia="Calibri"/>
          <w:b/>
          <w:color w:val="auto"/>
          <w:spacing w:val="0"/>
          <w:position w:val="0"/>
          <w:sz w:val="22"/>
          <w:shd w:fill="auto" w:val="clear"/>
        </w:rPr>
      </w:pPr>
    </w:p>
    <w:p>
      <w:pPr>
        <w:spacing w:before="240" w:after="0" w:line="240"/>
        <w:ind w:right="0" w:left="0" w:firstLine="0"/>
        <w:jc w:val="center"/>
        <w:rPr>
          <w:rFonts w:ascii="Calibri" w:hAnsi="Calibri" w:cs="Calibri" w:eastAsia="Calibri"/>
          <w:b/>
          <w:color w:val="auto"/>
          <w:spacing w:val="0"/>
          <w:position w:val="0"/>
          <w:sz w:val="22"/>
          <w:shd w:fill="auto" w:val="clear"/>
        </w:rPr>
      </w:pPr>
    </w:p>
    <w:p>
      <w:pPr>
        <w:spacing w:before="24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Nacife Miguel Burjaile Sobrinho</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Diretor Administrativo</w:t>
      </w:r>
    </w:p>
    <w:p>
      <w:pPr>
        <w:spacing w:before="240" w:after="0" w:line="240"/>
        <w:ind w:right="0" w:left="0" w:firstLine="0"/>
        <w:jc w:val="left"/>
        <w:rPr>
          <w:rFonts w:ascii="Calibri" w:hAnsi="Calibri" w:cs="Calibri" w:eastAsia="Calibri"/>
          <w:b/>
          <w:color w:val="000000"/>
          <w:spacing w:val="0"/>
          <w:position w:val="0"/>
          <w:sz w:val="22"/>
          <w:shd w:fill="auto" w:val="clear"/>
        </w:rPr>
      </w:pPr>
    </w:p>
    <w:p>
      <w:pPr>
        <w:spacing w:before="240" w:after="0" w:line="240"/>
        <w:ind w:right="0" w:left="0" w:firstLine="0"/>
        <w:jc w:val="left"/>
        <w:rPr>
          <w:rFonts w:ascii="Calibri" w:hAnsi="Calibri" w:cs="Calibri" w:eastAsia="Calibri"/>
          <w:b/>
          <w:color w:val="000000"/>
          <w:spacing w:val="0"/>
          <w:position w:val="0"/>
          <w:sz w:val="22"/>
          <w:shd w:fill="auto" w:val="clear"/>
        </w:rPr>
      </w:pPr>
    </w:p>
    <w:p>
      <w:pPr>
        <w:spacing w:before="240" w:after="0" w:line="240"/>
        <w:ind w:right="0" w:left="0" w:firstLine="0"/>
        <w:jc w:val="left"/>
        <w:rPr>
          <w:rFonts w:ascii="Calibri" w:hAnsi="Calibri" w:cs="Calibri" w:eastAsia="Calibri"/>
          <w:b/>
          <w:color w:val="000000"/>
          <w:spacing w:val="0"/>
          <w:position w:val="0"/>
          <w:sz w:val="22"/>
          <w:shd w:fill="auto" w:val="clear"/>
        </w:rPr>
      </w:pPr>
    </w:p>
    <w:p>
      <w:pPr>
        <w:spacing w:before="240" w:after="0" w:line="240"/>
        <w:ind w:right="0" w:left="0" w:firstLine="0"/>
        <w:jc w:val="left"/>
        <w:rPr>
          <w:rFonts w:ascii="Calibri" w:hAnsi="Calibri" w:cs="Calibri" w:eastAsia="Calibri"/>
          <w:b/>
          <w:color w:val="000000"/>
          <w:spacing w:val="0"/>
          <w:position w:val="0"/>
          <w:sz w:val="22"/>
          <w:shd w:fill="auto" w:val="clear"/>
        </w:rPr>
      </w:pPr>
    </w:p>
    <w:p>
      <w:pPr>
        <w:spacing w:before="240" w:after="0" w:line="240"/>
        <w:ind w:right="0" w:left="0" w:firstLine="0"/>
        <w:jc w:val="center"/>
        <w:rPr>
          <w:rFonts w:ascii="Calibri" w:hAnsi="Calibri" w:cs="Calibri" w:eastAsia="Calibri"/>
          <w:b/>
          <w:color w:val="auto"/>
          <w:spacing w:val="0"/>
          <w:position w:val="0"/>
          <w:sz w:val="22"/>
          <w:u w:val="single"/>
          <w:shd w:fill="auto" w:val="clear"/>
        </w:rPr>
      </w:pPr>
    </w:p>
    <w:p>
      <w:pPr>
        <w:spacing w:before="0" w:after="0" w:line="240"/>
        <w:ind w:right="0" w:left="0" w:firstLine="0"/>
        <w:jc w:val="left"/>
        <w:rPr>
          <w:rFonts w:ascii="Ecofont_Spranq_eco_Sans" w:hAnsi="Ecofont_Spranq_eco_Sans" w:cs="Ecofont_Spranq_eco_Sans" w:eastAsia="Ecofont_Spranq_eco_Sans"/>
          <w:color w:val="auto"/>
          <w:spacing w:val="0"/>
          <w:position w:val="0"/>
          <w:sz w:val="24"/>
          <w:shd w:fill="auto" w:val="clear"/>
        </w:rPr>
      </w:pPr>
      <w:r>
        <w:rPr>
          <w:rFonts w:ascii="Ecofont_Spranq_eco_Sans" w:hAnsi="Ecofont_Spranq_eco_Sans" w:cs="Ecofont_Spranq_eco_Sans" w:eastAsia="Ecofont_Spranq_eco_Sans"/>
          <w:color w:val="auto"/>
          <w:spacing w:val="0"/>
          <w:position w:val="0"/>
          <w:sz w:val="24"/>
          <w:shd w:fill="auto" w:val="clear"/>
        </w:rPr>
        <w:t xml:space="preserve"> </w:t>
      </w:r>
    </w:p>
    <w:p>
      <w:pPr>
        <w:spacing w:before="0" w:after="0" w:line="240"/>
        <w:ind w:right="0" w:left="0" w:firstLine="0"/>
        <w:jc w:val="left"/>
        <w:rPr>
          <w:rFonts w:ascii="Calibri" w:hAnsi="Calibri" w:cs="Calibri" w:eastAsia="Calibri"/>
          <w:b/>
          <w:color w:val="auto"/>
          <w:spacing w:val="0"/>
          <w:position w:val="0"/>
          <w:sz w:val="22"/>
          <w:u w:val="single"/>
          <w:shd w:fill="auto" w:val="clear"/>
        </w:rPr>
      </w:pPr>
    </w:p>
    <w:p>
      <w:pPr>
        <w:spacing w:before="240" w:after="0" w:line="240"/>
        <w:ind w:right="0" w:left="0" w:firstLine="0"/>
        <w:jc w:val="center"/>
        <w:rPr>
          <w:rFonts w:ascii="Calibri" w:hAnsi="Calibri" w:cs="Calibri" w:eastAsia="Calibri"/>
          <w:b/>
          <w:color w:val="auto"/>
          <w:spacing w:val="0"/>
          <w:position w:val="0"/>
          <w:sz w:val="22"/>
          <w:shd w:fill="DBE5F1" w:val="clear"/>
        </w:rPr>
      </w:pPr>
      <w:r>
        <w:rPr>
          <w:rFonts w:ascii="Calibri" w:hAnsi="Calibri" w:cs="Calibri" w:eastAsia="Calibri"/>
          <w:b/>
          <w:color w:val="auto"/>
          <w:spacing w:val="0"/>
          <w:position w:val="0"/>
          <w:sz w:val="22"/>
          <w:shd w:fill="DBE5F1" w:val="clear"/>
        </w:rPr>
        <w:t xml:space="preserve">ANEXO </w:t>
      </w:r>
      <w:r>
        <w:rPr>
          <w:rFonts w:ascii="Calibri" w:hAnsi="Calibri" w:cs="Calibri" w:eastAsia="Calibri"/>
          <w:b/>
          <w:color w:val="auto"/>
          <w:spacing w:val="0"/>
          <w:position w:val="0"/>
          <w:sz w:val="22"/>
          <w:shd w:fill="DBE5F1" w:val="clear"/>
        </w:rPr>
        <w:t xml:space="preserve">–</w:t>
      </w:r>
      <w:r>
        <w:rPr>
          <w:rFonts w:ascii="Calibri" w:hAnsi="Calibri" w:cs="Calibri" w:eastAsia="Calibri"/>
          <w:b/>
          <w:color w:val="auto"/>
          <w:spacing w:val="0"/>
          <w:position w:val="0"/>
          <w:sz w:val="22"/>
          <w:shd w:fill="DBE5F1" w:val="clear"/>
        </w:rPr>
        <w:t xml:space="preserve"> II FICHA DE INSCRI</w:t>
      </w:r>
      <w:r>
        <w:rPr>
          <w:rFonts w:ascii="Calibri" w:hAnsi="Calibri" w:cs="Calibri" w:eastAsia="Calibri"/>
          <w:b/>
          <w:color w:val="auto"/>
          <w:spacing w:val="0"/>
          <w:position w:val="0"/>
          <w:sz w:val="22"/>
          <w:shd w:fill="DBE5F1" w:val="clear"/>
        </w:rPr>
        <w:t xml:space="preserve">ÇÃO</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INEXIGIBILIDADE Nº 003/2026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PROCESSO ADMINISTRATIVO Nº 012/2026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CREDENCIAMENTO Nº 002/2026</w:t>
      </w:r>
    </w:p>
    <w:p>
      <w:pPr>
        <w:spacing w:before="240" w:after="0" w:line="240"/>
        <w:ind w:right="0" w:left="0" w:firstLine="0"/>
        <w:jc w:val="center"/>
        <w:rPr>
          <w:rFonts w:ascii="Calibri" w:hAnsi="Calibri" w:cs="Calibri" w:eastAsia="Calibri"/>
          <w:b/>
          <w:color w:val="auto"/>
          <w:spacing w:val="0"/>
          <w:position w:val="0"/>
          <w:sz w:val="22"/>
          <w:u w:val="single"/>
          <w:shd w:fill="auto" w:val="clear"/>
        </w:rPr>
      </w:pPr>
    </w:p>
    <w:tbl>
      <w:tblPr/>
      <w:tblGrid>
        <w:gridCol w:w="4813"/>
        <w:gridCol w:w="4815"/>
      </w:tblGrid>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auto" w:fill="dbe5f1" w:val="clear"/>
            <w:tcMar>
              <w:left w:w="108" w:type="dxa"/>
              <w:right w:w="108" w:type="dxa"/>
            </w:tcMar>
            <w:vAlign w:val="center"/>
          </w:tcPr>
          <w:p>
            <w:pPr>
              <w:spacing w:before="240" w:after="24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FICHA DE INSCRIÇÃO</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NOME DA EMPRESA (FANTASIA):</w:t>
            </w:r>
          </w:p>
          <w:p>
            <w:pPr>
              <w:spacing w:before="24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Razão Social:</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CNPJ:</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Endereço da Empresa (logradouro, n°/complemento, cidade, Estado, CEP):</w:t>
            </w:r>
          </w:p>
          <w:p>
            <w:pPr>
              <w:spacing w:before="240" w:after="0" w:line="240"/>
              <w:ind w:right="0" w:left="0" w:firstLine="0"/>
              <w:jc w:val="left"/>
              <w:rPr>
                <w:rFonts w:ascii="Calibri" w:hAnsi="Calibri" w:cs="Calibri" w:eastAsia="Calibri"/>
                <w:color w:val="auto"/>
                <w:spacing w:val="0"/>
                <w:position w:val="0"/>
                <w:sz w:val="22"/>
                <w:shd w:fill="auto" w:val="clear"/>
              </w:rPr>
            </w:pPr>
          </w:p>
          <w:p>
            <w:pPr>
              <w:spacing w:before="24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INFORMAÇÕES DO RESPONSÁVEL LEGAL DA EMPRESA</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Nome:</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CPF:</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RG:</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Endereço completo do Responsável legal (logradouro, n°/complemento, CEP, cidade, Estado):</w:t>
            </w:r>
          </w:p>
          <w:p>
            <w:pPr>
              <w:spacing w:before="240" w:after="0" w:line="240"/>
              <w:ind w:right="0" w:left="0" w:firstLine="0"/>
              <w:jc w:val="left"/>
              <w:rPr>
                <w:rFonts w:ascii="Calibri" w:hAnsi="Calibri" w:cs="Calibri" w:eastAsia="Calibri"/>
                <w:color w:val="auto"/>
                <w:spacing w:val="0"/>
                <w:position w:val="0"/>
                <w:sz w:val="22"/>
                <w:shd w:fill="auto" w:val="clear"/>
              </w:rPr>
            </w:pPr>
          </w:p>
          <w:p>
            <w:pPr>
              <w:spacing w:before="24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DADOS PARA CONTATO:</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E-mail:</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Telefone: (          )                                                        / (          )</w:t>
            </w: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DADOS PARA PAGAMENTO:</w:t>
            </w:r>
          </w:p>
        </w:tc>
      </w:tr>
      <w:tr>
        <w:trPr>
          <w:trHeight w:val="1" w:hRule="atLeast"/>
          <w:jc w:val="left"/>
        </w:trPr>
        <w:tc>
          <w:tcPr>
            <w:tcW w:w="4813"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 bancária:</w:t>
            </w:r>
          </w:p>
        </w:tc>
        <w:tc>
          <w:tcPr>
            <w:tcW w:w="4815" w:type="dxa"/>
            <w:vMerge w:val="restart"/>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Informações complementares:</w:t>
            </w:r>
          </w:p>
          <w:p>
            <w:pPr>
              <w:spacing w:before="24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813"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Agência:</w:t>
            </w:r>
          </w:p>
        </w:tc>
        <w:tc>
          <w:tcPr>
            <w:tcW w:w="4815" w:type="dxa"/>
            <w:vMerge/>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628" w:type="dxa"/>
            <w:gridSpan w:val="2"/>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 a agência e a conta bancária deverão estar em nome da pessoa jurídica credenciada, vedada a indicação de conta de terceiros.</w:t>
            </w:r>
          </w:p>
        </w:tc>
      </w:tr>
    </w:tbl>
    <w:p>
      <w:pPr>
        <w:spacing w:before="240" w:after="0" w:line="240"/>
        <w:ind w:right="0" w:left="0" w:firstLine="0"/>
        <w:jc w:val="both"/>
        <w:rPr>
          <w:rFonts w:ascii="Calibri" w:hAnsi="Calibri" w:cs="Calibri" w:eastAsia="Calibri"/>
          <w:b/>
          <w:color w:val="auto"/>
          <w:spacing w:val="0"/>
          <w:position w:val="0"/>
          <w:sz w:val="22"/>
          <w:shd w:fill="auto" w:val="clear"/>
        </w:rPr>
      </w:pPr>
    </w:p>
    <w:tbl>
      <w:tblPr/>
      <w:tblGrid>
        <w:gridCol w:w="599"/>
        <w:gridCol w:w="6484"/>
        <w:gridCol w:w="2261"/>
      </w:tblGrid>
      <w:tr>
        <w:trPr>
          <w:trHeight w:val="1" w:hRule="atLeast"/>
          <w:jc w:val="left"/>
        </w:trPr>
        <w:tc>
          <w:tcPr>
            <w:tcW w:w="599" w:type="dxa"/>
            <w:tcBorders>
              <w:top w:val="single" w:color="bfbfbf" w:sz="4"/>
              <w:left w:val="single" w:color="bfbfbf" w:sz="4"/>
              <w:bottom w:val="single" w:color="bfbfbf" w:sz="4"/>
              <w:right w:val="single" w:color="bfbfbf" w:sz="4"/>
            </w:tcBorders>
            <w:shd w:color="auto" w:fill="dbe5f1"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ITEM</w:t>
            </w:r>
          </w:p>
        </w:tc>
        <w:tc>
          <w:tcPr>
            <w:tcW w:w="6484" w:type="dxa"/>
            <w:tcBorders>
              <w:top w:val="single" w:color="bfbfbf" w:sz="4"/>
              <w:left w:val="single" w:color="bfbfbf" w:sz="4"/>
              <w:bottom w:val="single" w:color="bfbfbf" w:sz="4"/>
              <w:right w:val="single" w:color="bfbfbf" w:sz="4"/>
            </w:tcBorders>
            <w:shd w:color="auto" w:fill="dbe5f1"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DESCRIÇÃO</w:t>
            </w:r>
          </w:p>
        </w:tc>
        <w:tc>
          <w:tcPr>
            <w:tcW w:w="2261" w:type="dxa"/>
            <w:tcBorders>
              <w:top w:val="single" w:color="bfbfbf" w:sz="4"/>
              <w:left w:val="single" w:color="bfbfbf" w:sz="4"/>
              <w:bottom w:val="single" w:color="bfbfbf" w:sz="4"/>
              <w:right w:val="single" w:color="bfbfbf" w:sz="4"/>
            </w:tcBorders>
            <w:shd w:color="auto" w:fill="dbe5f1"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VAL. TOTAL ESTIMADO</w:t>
            </w:r>
          </w:p>
        </w:tc>
      </w:tr>
      <w:tr>
        <w:trPr>
          <w:trHeight w:val="1" w:hRule="atLeast"/>
          <w:jc w:val="left"/>
        </w:trPr>
        <w:tc>
          <w:tcPr>
            <w:tcW w:w="59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18"/>
                <w:shd w:fill="auto" w:val="clear"/>
              </w:rPr>
              <w:t xml:space="preserve">01</w:t>
            </w:r>
          </w:p>
        </w:tc>
        <w:tc>
          <w:tcPr>
            <w:tcW w:w="648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Carteira de procedimentos oftalmológicos </w:t>
            </w:r>
            <w:r>
              <w:rPr>
                <w:rFonts w:ascii="Calibri" w:hAnsi="Calibri" w:cs="Calibri" w:eastAsia="Calibri"/>
                <w:color w:val="auto"/>
                <w:spacing w:val="0"/>
                <w:position w:val="0"/>
                <w:sz w:val="18"/>
                <w:shd w:fill="auto" w:val="clear"/>
              </w:rPr>
              <w:t xml:space="preserve">constantes da Tabela SIGTAP-SUS, da Deliberação CIB-SUS/MG nº 4.065, de 07 de dezembro de 2022, e suas alterações, bem como de incentivos, complementações e políticas federais e estaduais aplicáveis, inclusive Valora Minas, Opera Mais e, quando cabível, Ofertas de Cuidados Integrados </w:t>
            </w:r>
            <w:r>
              <w:rPr>
                <w:rFonts w:ascii="Calibri" w:hAnsi="Calibri" w:cs="Calibri" w:eastAsia="Calibri"/>
                <w:color w:val="auto"/>
                <w:spacing w:val="0"/>
                <w:position w:val="0"/>
                <w:sz w:val="18"/>
                <w:shd w:fill="auto" w:val="clear"/>
              </w:rPr>
              <w:t xml:space="preserve">–</w:t>
            </w:r>
            <w:r>
              <w:rPr>
                <w:rFonts w:ascii="Calibri" w:hAnsi="Calibri" w:cs="Calibri" w:eastAsia="Calibri"/>
                <w:color w:val="auto"/>
                <w:spacing w:val="0"/>
                <w:position w:val="0"/>
                <w:sz w:val="18"/>
                <w:shd w:fill="auto" w:val="clear"/>
              </w:rPr>
              <w:t xml:space="preserve"> OCI no </w:t>
            </w:r>
            <w:r>
              <w:rPr>
                <w:rFonts w:ascii="Calibri" w:hAnsi="Calibri" w:cs="Calibri" w:eastAsia="Calibri"/>
                <w:color w:val="auto"/>
                <w:spacing w:val="0"/>
                <w:position w:val="0"/>
                <w:sz w:val="18"/>
                <w:shd w:fill="auto" w:val="clear"/>
              </w:rPr>
              <w:t xml:space="preserve">âmbito do Programa Agora Tem Especialistas </w:t>
            </w:r>
            <w:r>
              <w:rPr>
                <w:rFonts w:ascii="Calibri" w:hAnsi="Calibri" w:cs="Calibri" w:eastAsia="Calibri"/>
                <w:color w:val="auto"/>
                <w:spacing w:val="0"/>
                <w:position w:val="0"/>
                <w:sz w:val="18"/>
                <w:shd w:fill="auto" w:val="clear"/>
              </w:rPr>
              <w:t xml:space="preserve">–</w:t>
            </w:r>
            <w:r>
              <w:rPr>
                <w:rFonts w:ascii="Calibri" w:hAnsi="Calibri" w:cs="Calibri" w:eastAsia="Calibri"/>
                <w:color w:val="auto"/>
                <w:spacing w:val="0"/>
                <w:position w:val="0"/>
                <w:sz w:val="18"/>
                <w:shd w:fill="auto" w:val="clear"/>
              </w:rPr>
              <w:t xml:space="preserve"> PATE, observados os valores unit</w:t>
            </w:r>
            <w:r>
              <w:rPr>
                <w:rFonts w:ascii="Calibri" w:hAnsi="Calibri" w:cs="Calibri" w:eastAsia="Calibri"/>
                <w:color w:val="auto"/>
                <w:spacing w:val="0"/>
                <w:position w:val="0"/>
                <w:sz w:val="18"/>
                <w:shd w:fill="auto" w:val="clear"/>
              </w:rPr>
              <w:t xml:space="preserve">ários oficiais vigentes e as respectivas regras de financiamento.</w:t>
            </w:r>
          </w:p>
        </w:tc>
        <w:tc>
          <w:tcPr>
            <w:tcW w:w="2261"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8"/>
                <w:shd w:fill="auto" w:val="clear"/>
              </w:rPr>
              <w:t xml:space="preserve">R$ 3.000.000,00</w:t>
            </w:r>
          </w:p>
        </w:tc>
      </w:tr>
    </w:tbl>
    <w:p>
      <w:pPr>
        <w:spacing w:before="240" w:after="0" w:line="240"/>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b/>
          <w:color w:val="auto"/>
          <w:spacing w:val="0"/>
          <w:position w:val="0"/>
          <w:sz w:val="22"/>
          <w:u w:val="single"/>
          <w:shd w:fill="auto" w:val="clear"/>
        </w:rPr>
        <w:t xml:space="preserve">DECLARO QUE</w:t>
      </w:r>
      <w:r>
        <w:rPr>
          <w:rFonts w:ascii="Calibri" w:hAnsi="Calibri" w:cs="Calibri" w:eastAsia="Calibri"/>
          <w:color w:val="auto"/>
          <w:spacing w:val="0"/>
          <w:position w:val="0"/>
          <w:sz w:val="22"/>
          <w:u w:val="single"/>
          <w:shd w:fill="auto" w:val="clear"/>
        </w:rPr>
        <w:t xml:space="preserve">: </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Estou ciente e de acordo com as regras e condições estabelecidas neste Edital de Credenciamento e neste Formulário de Inscrição. </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Afirmo também que as informações constantes no mesmo são verdadeiras. </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Declaro minha total responsabilidade pela utilização de documentos, textos, imagens e outros meios, cujos direitos autorais estejam protegidos pela legislação vigente. </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Declaro, ainda, o pleno conhecimento e atendimento às exigências de habilitação, cientes das sanções factíveis de serem aplicadas a teor da lei federal 14.133/21.</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Os serviços prestados serão remunerados de acordo com os valores previamente definidos no edital do processo referido acima;</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O requerimento de credenciamento e os documentos apresentados foram elaborados e apresentados sob minha responsabilidade;</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Nos valores de remuneração estão incluídos todos os tributos, encargos sociais, trabalhistas, previdenciários, fiscais, comerciais e demais custos necessários à execução dos serviços, observadas as regras do Edital e do Termo de Referência;</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t xml:space="preserve">A interessada declara possuir capacidade jurídica, econômico-financeira, técnica e operacional para executar os serviços abrangidos pelo credenciamento;</w:t>
      </w:r>
    </w:p>
    <w:p>
      <w:pPr>
        <w:numPr>
          <w:ilvl w:val="0"/>
          <w:numId w:val="253"/>
        </w:numPr>
        <w:spacing w:before="240" w:after="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O pagamento observará os prazos e condições definidos no Termo de Referência, após a regular liquidação da despesa e o aceite dos serviços efetivamente prestados;</w:t>
      </w:r>
    </w:p>
    <w:p>
      <w:pPr>
        <w:spacing w:before="24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de 2026.</w:t>
      </w:r>
    </w:p>
    <w:p>
      <w:pPr>
        <w:spacing w:before="24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Local e Data</w:t>
      </w:r>
    </w:p>
    <w:p>
      <w:pPr>
        <w:spacing w:before="240" w:after="0" w:line="240"/>
        <w:ind w:right="0" w:left="0" w:firstLine="0"/>
        <w:jc w:val="center"/>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Assinatura do Responsável pela Empresa - (Nome Legível/Cargo)</w:t>
      </w:r>
      <w:r>
        <w:rPr>
          <w:rFonts w:ascii="Ecofont_Spranq_eco_Sans" w:hAnsi="Ecofont_Spranq_eco_Sans" w:cs="Ecofont_Spranq_eco_Sans" w:eastAsia="Ecofont_Spranq_eco_Sans"/>
          <w:color w:val="auto"/>
          <w:spacing w:val="0"/>
          <w:position w:val="0"/>
          <w:sz w:val="24"/>
          <w:shd w:fill="auto" w:val="clear"/>
        </w:rPr>
        <w:t xml:space="preserve"> </w:t>
      </w:r>
    </w:p>
    <w:p>
      <w:pPr>
        <w:spacing w:before="240" w:after="0" w:line="240"/>
        <w:ind w:right="0" w:left="0" w:firstLine="0"/>
        <w:jc w:val="center"/>
        <w:rPr>
          <w:rFonts w:ascii="Calibri" w:hAnsi="Calibri" w:cs="Calibri" w:eastAsia="Calibri"/>
          <w:color w:val="auto"/>
          <w:spacing w:val="0"/>
          <w:position w:val="0"/>
          <w:sz w:val="22"/>
          <w:shd w:fill="auto" w:val="clear"/>
        </w:rPr>
      </w:pPr>
    </w:p>
    <w:p>
      <w:pPr>
        <w:spacing w:before="240" w:after="0" w:line="240"/>
        <w:ind w:right="0" w:left="0" w:firstLine="0"/>
        <w:jc w:val="center"/>
        <w:rPr>
          <w:rFonts w:ascii="Calibri" w:hAnsi="Calibri" w:cs="Calibri" w:eastAsia="Calibri"/>
          <w:b/>
          <w:color w:val="auto"/>
          <w:spacing w:val="0"/>
          <w:position w:val="0"/>
          <w:sz w:val="22"/>
          <w:u w:val="single"/>
          <w:shd w:fill="auto" w:val="clear"/>
        </w:rPr>
      </w:pPr>
    </w:p>
    <w:p>
      <w:pPr>
        <w:spacing w:before="240" w:after="0" w:line="240"/>
        <w:ind w:right="0" w:left="0" w:firstLine="0"/>
        <w:jc w:val="center"/>
        <w:rPr>
          <w:rFonts w:ascii="Calibri" w:hAnsi="Calibri" w:cs="Calibri" w:eastAsia="Calibri"/>
          <w:b/>
          <w:color w:val="auto"/>
          <w:spacing w:val="0"/>
          <w:position w:val="0"/>
          <w:sz w:val="22"/>
          <w:shd w:fill="DBE5F1" w:val="clear"/>
        </w:rPr>
      </w:pPr>
      <w:r>
        <w:rPr>
          <w:rFonts w:ascii="Calibri" w:hAnsi="Calibri" w:cs="Calibri" w:eastAsia="Calibri"/>
          <w:b/>
          <w:color w:val="auto"/>
          <w:spacing w:val="0"/>
          <w:position w:val="0"/>
          <w:sz w:val="22"/>
          <w:shd w:fill="DBE5F1" w:val="clear"/>
        </w:rPr>
        <w:t xml:space="preserve">ANEXO III - </w:t>
      </w:r>
      <w:r>
        <w:rPr>
          <w:rFonts w:ascii="Calibri" w:hAnsi="Calibri" w:cs="Calibri" w:eastAsia="Calibri"/>
          <w:b/>
          <w:color w:val="000000"/>
          <w:spacing w:val="0"/>
          <w:position w:val="0"/>
          <w:sz w:val="22"/>
          <w:shd w:fill="DBE5F1" w:val="clear"/>
        </w:rPr>
        <w:t xml:space="preserve">DECLARAÇÃO DE CIÊNCIA E DISPONIBILIDADE DE RECURSOS</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INEXIGIBILIDADE Nº 003/2026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PROCESSO ADMINISTRATIVO Nº 012/2026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CREDENCIAMENTO Nº 002/2026</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empresa _______________________________________, inscrita no CNPJ sob o nº ______________________, por meio de seu representante legal infra-assinado, DECLARA, para os devidos fins, que tomou pleno conhecimento das condições de execução previstas no Edital de Credenciamento nº 011/2026, promovido pela Fundação Municipal de Saúde de Teixeiras/MG, estando ciente de todas as obrigações, requisitos técnicos e demais disposições estabelecidas no referido instrumento convocatório e seus anexos.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t xml:space="preserve">Declara, ainda, que possui plena disponibilidade de equipamentos, infraestrutura física e corpo técnico habilitado, em conformidade com a legislação vigente, para a adequada prestação dos serviços de consultas, exames diagnósticos específicos e procedimentos cirúrgicos e ambulatoriais em oftalmologia, incluindo o fornecimento de próteses oftálmicas (óculos), conforme as condições do edital e seus anexos.</w:t>
        <w:br/>
        <w:t xml:space="preserve">Por ser expressão da verdade, firma a presente declaração, ciente de que sua falsidade poderá acarretar as sanções legais cabíveis.</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Declara, igualmente, estar ciente de que, caso utilize espaço físico disponibilizado pela Fundação Municipal de Saúde, toda reforma, adaptação ou adequação eventualmente necessária dependerá de prévia anuência expressa da Administração, será executada integralmente às suas expensas e sob sua exclusiva responsabilidade, sem qualquer ônus para a Fundação, e não gerará, ao término do ajuste, direito a indenização, ressarcimento, compensação ou retenção, a qualquer título.</w:t>
      </w:r>
    </w:p>
    <w:p>
      <w:pPr>
        <w:spacing w:before="24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br/>
        <w:t xml:space="preserve">............................., .............................................................................., de 2026.</w:t>
      </w:r>
    </w:p>
    <w:p>
      <w:pPr>
        <w:spacing w:before="24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Local e Data</w:t>
      </w:r>
    </w:p>
    <w:p>
      <w:pPr>
        <w:spacing w:before="240" w:after="0" w:line="240"/>
        <w:ind w:right="0" w:left="0" w:firstLine="0"/>
        <w:jc w:val="center"/>
        <w:rPr>
          <w:rFonts w:ascii="Calibri" w:hAnsi="Calibri" w:cs="Calibri" w:eastAsia="Calibri"/>
          <w:color w:val="auto"/>
          <w:spacing w:val="0"/>
          <w:position w:val="0"/>
          <w:sz w:val="22"/>
          <w:shd w:fill="auto" w:val="clear"/>
        </w:rPr>
      </w:pPr>
    </w:p>
    <w:p>
      <w:pPr>
        <w:spacing w:before="240" w:after="0" w:line="240"/>
        <w:ind w:right="0" w:left="0" w:firstLine="0"/>
        <w:jc w:val="center"/>
        <w:rPr>
          <w:rFonts w:ascii="Calibri" w:hAnsi="Calibri" w:cs="Calibri" w:eastAsia="Calibri"/>
          <w:color w:val="auto"/>
          <w:spacing w:val="0"/>
          <w:position w:val="0"/>
          <w:sz w:val="22"/>
          <w:shd w:fill="auto" w:val="clear"/>
        </w:rPr>
      </w:pPr>
    </w:p>
    <w:p>
      <w:pPr>
        <w:spacing w:before="240" w:after="0" w:line="240"/>
        <w:ind w:right="0" w:left="0" w:firstLine="0"/>
        <w:jc w:val="center"/>
        <w:rPr>
          <w:rFonts w:ascii="Calibri" w:hAnsi="Calibri" w:cs="Calibri" w:eastAsia="Calibri"/>
          <w:color w:val="auto"/>
          <w:spacing w:val="0"/>
          <w:position w:val="0"/>
          <w:sz w:val="22"/>
          <w:shd w:fill="auto" w:val="clear"/>
        </w:rPr>
      </w:pPr>
    </w:p>
    <w:p>
      <w:pPr>
        <w:spacing w:before="24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Assinatura do Responsável pela Empresa - (Nome Legível/Cargo)</w:t>
      </w:r>
    </w:p>
    <w:p>
      <w:pPr>
        <w:spacing w:before="240" w:after="0" w:line="240"/>
        <w:ind w:right="0" w:left="0" w:firstLine="0"/>
        <w:jc w:val="center"/>
        <w:rPr>
          <w:rFonts w:ascii="Ecofont_Spranq_eco_Sans" w:hAnsi="Ecofont_Spranq_eco_Sans" w:cs="Ecofont_Spranq_eco_Sans" w:eastAsia="Ecofont_Spranq_eco_Sans"/>
          <w:color w:val="auto"/>
          <w:spacing w:val="0"/>
          <w:position w:val="0"/>
          <w:sz w:val="24"/>
          <w:shd w:fill="auto" w:val="clear"/>
        </w:rPr>
      </w:pPr>
      <w:r>
        <w:rPr>
          <w:rFonts w:ascii="Ecofont_Spranq_eco_Sans" w:hAnsi="Ecofont_Spranq_eco_Sans" w:cs="Ecofont_Spranq_eco_Sans" w:eastAsia="Ecofont_Spranq_eco_Sans"/>
          <w:color w:val="auto"/>
          <w:spacing w:val="0"/>
          <w:position w:val="0"/>
          <w:sz w:val="24"/>
          <w:shd w:fill="auto" w:val="clear"/>
        </w:rPr>
        <w:t xml:space="preserve"> </w:t>
      </w:r>
    </w:p>
    <w:p>
      <w:pPr>
        <w:spacing w:before="240" w:after="0" w:line="240"/>
        <w:ind w:right="0" w:left="0" w:firstLine="0"/>
        <w:jc w:val="center"/>
        <w:rPr>
          <w:rFonts w:ascii="Calibri" w:hAnsi="Calibri" w:cs="Calibri" w:eastAsia="Calibri"/>
          <w:color w:val="auto"/>
          <w:spacing w:val="0"/>
          <w:position w:val="0"/>
          <w:sz w:val="22"/>
          <w:shd w:fill="auto" w:val="clear"/>
        </w:rPr>
      </w:pPr>
    </w:p>
    <w:p>
      <w:pPr>
        <w:spacing w:before="240" w:after="0" w:line="240"/>
        <w:ind w:right="0" w:left="0" w:firstLine="0"/>
        <w:jc w:val="center"/>
        <w:rPr>
          <w:rFonts w:ascii="Calibri" w:hAnsi="Calibri" w:cs="Calibri" w:eastAsia="Calibri"/>
          <w:color w:val="auto"/>
          <w:spacing w:val="0"/>
          <w:position w:val="0"/>
          <w:sz w:val="22"/>
          <w:shd w:fill="DBE5F1" w:val="clear"/>
        </w:rPr>
      </w:pPr>
      <w:r>
        <w:rPr>
          <w:rFonts w:ascii="Calibri" w:hAnsi="Calibri" w:cs="Calibri" w:eastAsia="Calibri"/>
          <w:b/>
          <w:color w:val="000000"/>
          <w:spacing w:val="0"/>
          <w:position w:val="0"/>
          <w:sz w:val="22"/>
          <w:shd w:fill="DBE5F1" w:val="clear"/>
        </w:rPr>
        <w:t xml:space="preserve">ANEXO </w:t>
      </w:r>
      <w:r>
        <w:rPr>
          <w:rFonts w:ascii="Calibri" w:hAnsi="Calibri" w:cs="Calibri" w:eastAsia="Calibri"/>
          <w:b/>
          <w:color w:val="000000"/>
          <w:spacing w:val="0"/>
          <w:position w:val="0"/>
          <w:sz w:val="22"/>
          <w:shd w:fill="DBE5F1" w:val="clear"/>
        </w:rPr>
        <w:t xml:space="preserve">–</w:t>
      </w:r>
      <w:r>
        <w:rPr>
          <w:rFonts w:ascii="Calibri" w:hAnsi="Calibri" w:cs="Calibri" w:eastAsia="Calibri"/>
          <w:b/>
          <w:color w:val="000000"/>
          <w:spacing w:val="0"/>
          <w:position w:val="0"/>
          <w:sz w:val="22"/>
          <w:shd w:fill="DBE5F1" w:val="clear"/>
        </w:rPr>
        <w:t xml:space="preserve"> IV MINUTA DO TERMO DE CREDENCIAMENTO </w:t>
      </w: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INEXIGIBILIDADE Nº 003/2026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PROCESSO ADMINISTRATIVO Nº 012/2026</w:t>
      </w:r>
    </w:p>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CREDENCIAMENTO Nº 002/2026</w:t>
      </w:r>
    </w:p>
    <w:p>
      <w:pPr>
        <w:spacing w:before="240" w:after="0" w:line="240"/>
        <w:ind w:right="0" w:left="4820" w:firstLine="0"/>
        <w:jc w:val="both"/>
        <w:rPr>
          <w:rFonts w:ascii="Calibri" w:hAnsi="Calibri" w:cs="Calibri" w:eastAsia="Calibri"/>
          <w:b/>
          <w:color w:val="000000"/>
          <w:spacing w:val="0"/>
          <w:position w:val="0"/>
          <w:sz w:val="18"/>
          <w:shd w:fill="auto" w:val="clear"/>
        </w:rPr>
      </w:pPr>
      <w:r>
        <w:rPr>
          <w:rFonts w:ascii="Calibri" w:hAnsi="Calibri" w:cs="Calibri" w:eastAsia="Calibri"/>
          <w:b/>
          <w:color w:val="000000"/>
          <w:spacing w:val="0"/>
          <w:position w:val="0"/>
          <w:sz w:val="18"/>
          <w:shd w:fill="auto" w:val="clear"/>
        </w:rPr>
        <w:t xml:space="preserve">TERMO DE CREDENCIAMENTO Nº ____/2026, QUE FAZEM ENTRE SI A FUNDAÇÃO MUNICIPAL DE SAÚDE DE TEIXEIRAS, E XXXXXXXXXXXXXXXXXXXXXX, PARA OS FINS QUE SE ESPECIFICA.</w:t>
      </w:r>
    </w:p>
    <w:p>
      <w:pPr>
        <w:spacing w:before="24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FUMSAT </w:t>
      </w: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 Funda</w:t>
      </w:r>
      <w:r>
        <w:rPr>
          <w:rFonts w:ascii="Calibri" w:hAnsi="Calibri" w:cs="Calibri" w:eastAsia="Calibri"/>
          <w:b/>
          <w:color w:val="auto"/>
          <w:spacing w:val="0"/>
          <w:position w:val="0"/>
          <w:sz w:val="22"/>
          <w:shd w:fill="auto" w:val="clear"/>
        </w:rPr>
        <w:t xml:space="preserve">ção Municipal de Saúde de Teixeiras/MG</w:t>
      </w:r>
      <w:r>
        <w:rPr>
          <w:rFonts w:ascii="Calibri" w:hAnsi="Calibri" w:cs="Calibri" w:eastAsia="Calibri"/>
          <w:color w:val="auto"/>
          <w:spacing w:val="0"/>
          <w:position w:val="0"/>
          <w:sz w:val="22"/>
          <w:shd w:fill="auto" w:val="clear"/>
        </w:rPr>
        <w:t xml:space="preserve">, inscrita no CNPJ sob o nº </w:t>
      </w:r>
      <w:r>
        <w:rPr>
          <w:rFonts w:ascii="Calibri" w:hAnsi="Calibri" w:cs="Calibri" w:eastAsia="Calibri"/>
          <w:b/>
          <w:color w:val="auto"/>
          <w:spacing w:val="0"/>
          <w:position w:val="0"/>
          <w:sz w:val="22"/>
          <w:shd w:fill="auto" w:val="clear"/>
        </w:rPr>
        <w:t xml:space="preserve">18.134.122/0001-36</w:t>
      </w:r>
      <w:r>
        <w:rPr>
          <w:rFonts w:ascii="Calibri" w:hAnsi="Calibri" w:cs="Calibri" w:eastAsia="Calibri"/>
          <w:color w:val="auto"/>
          <w:spacing w:val="0"/>
          <w:position w:val="0"/>
          <w:sz w:val="22"/>
          <w:shd w:fill="auto" w:val="clear"/>
        </w:rPr>
        <w:t xml:space="preserve">, sediada na Rua Santa Teresa, nº 330, Centro, Teixeiras/MG, CEP 36.580-000, neste ato representada por seu Presidente, Sr. </w:t>
      </w:r>
      <w:r>
        <w:rPr>
          <w:rFonts w:ascii="Calibri" w:hAnsi="Calibri" w:cs="Calibri" w:eastAsia="Calibri"/>
          <w:b/>
          <w:color w:val="auto"/>
          <w:spacing w:val="0"/>
          <w:position w:val="0"/>
          <w:sz w:val="22"/>
          <w:shd w:fill="auto" w:val="clear"/>
        </w:rPr>
        <w:t xml:space="preserve">Paulo Sérgio de Oliveira</w:t>
      </w:r>
      <w:r>
        <w:rPr>
          <w:rFonts w:ascii="Calibri" w:hAnsi="Calibri" w:cs="Calibri" w:eastAsia="Calibri"/>
          <w:color w:val="auto"/>
          <w:spacing w:val="0"/>
          <w:position w:val="0"/>
          <w:sz w:val="22"/>
          <w:shd w:fill="auto" w:val="clear"/>
        </w:rPr>
        <w:t xml:space="preserve">, doravante denominada </w:t>
      </w:r>
      <w:r>
        <w:rPr>
          <w:rFonts w:ascii="Calibri" w:hAnsi="Calibri" w:cs="Calibri" w:eastAsia="Calibri"/>
          <w:b/>
          <w:color w:val="auto"/>
          <w:spacing w:val="0"/>
          <w:position w:val="0"/>
          <w:sz w:val="22"/>
          <w:shd w:fill="auto" w:val="clear"/>
        </w:rPr>
        <w:t xml:space="preserve">CONTRATANTE</w:t>
      </w:r>
      <w:r>
        <w:rPr>
          <w:rFonts w:ascii="Calibri" w:hAnsi="Calibri" w:cs="Calibri" w:eastAsia="Calibri"/>
          <w:color w:val="auto"/>
          <w:spacing w:val="0"/>
          <w:position w:val="0"/>
          <w:sz w:val="22"/>
          <w:shd w:fill="auto" w:val="clear"/>
        </w:rPr>
        <w:t xml:space="preserve">, e a pessoa jurídica </w:t>
      </w:r>
      <w:r>
        <w:rPr>
          <w:rFonts w:ascii="Calibri" w:hAnsi="Calibri" w:cs="Calibri" w:eastAsia="Calibri"/>
          <w:b/>
          <w:color w:val="auto"/>
          <w:spacing w:val="0"/>
          <w:position w:val="0"/>
          <w:sz w:val="22"/>
          <w:shd w:fill="auto" w:val="clear"/>
        </w:rPr>
        <w:t xml:space="preserve">XXXXXXXXXXXXXXXXXXXXXX</w:t>
      </w:r>
      <w:r>
        <w:rPr>
          <w:rFonts w:ascii="Calibri" w:hAnsi="Calibri" w:cs="Calibri" w:eastAsia="Calibri"/>
          <w:color w:val="auto"/>
          <w:spacing w:val="0"/>
          <w:position w:val="0"/>
          <w:sz w:val="22"/>
          <w:shd w:fill="auto" w:val="clear"/>
        </w:rPr>
        <w:t xml:space="preserve">, inscrita no CNPJ sob o nº </w:t>
      </w:r>
      <w:r>
        <w:rPr>
          <w:rFonts w:ascii="Calibri" w:hAnsi="Calibri" w:cs="Calibri" w:eastAsia="Calibri"/>
          <w:b/>
          <w:color w:val="auto"/>
          <w:spacing w:val="0"/>
          <w:position w:val="0"/>
          <w:sz w:val="22"/>
          <w:shd w:fill="auto" w:val="clear"/>
        </w:rPr>
        <w:t xml:space="preserve">xxxxxxxxxxxxxxxxxxxxx</w:t>
      </w:r>
      <w:r>
        <w:rPr>
          <w:rFonts w:ascii="Calibri" w:hAnsi="Calibri" w:cs="Calibri" w:eastAsia="Calibri"/>
          <w:color w:val="auto"/>
          <w:spacing w:val="0"/>
          <w:position w:val="0"/>
          <w:sz w:val="22"/>
          <w:shd w:fill="auto" w:val="clear"/>
        </w:rPr>
        <w:t xml:space="preserve">, sediada na </w:t>
      </w:r>
      <w:r>
        <w:rPr>
          <w:rFonts w:ascii="Calibri" w:hAnsi="Calibri" w:cs="Calibri" w:eastAsia="Calibri"/>
          <w:b/>
          <w:color w:val="auto"/>
          <w:spacing w:val="0"/>
          <w:position w:val="0"/>
          <w:sz w:val="22"/>
          <w:shd w:fill="auto" w:val="clear"/>
        </w:rPr>
        <w:t xml:space="preserve">xxxxxxxxxxxxxxxxxxxxx</w:t>
      </w:r>
      <w:r>
        <w:rPr>
          <w:rFonts w:ascii="Calibri" w:hAnsi="Calibri" w:cs="Calibri" w:eastAsia="Calibri"/>
          <w:color w:val="auto"/>
          <w:spacing w:val="0"/>
          <w:position w:val="0"/>
          <w:sz w:val="22"/>
          <w:shd w:fill="auto" w:val="clear"/>
        </w:rPr>
        <w:t xml:space="preserve">, doravante denominada </w:t>
      </w:r>
      <w:r>
        <w:rPr>
          <w:rFonts w:ascii="Calibri" w:hAnsi="Calibri" w:cs="Calibri" w:eastAsia="Calibri"/>
          <w:b/>
          <w:color w:val="auto"/>
          <w:spacing w:val="0"/>
          <w:position w:val="0"/>
          <w:sz w:val="22"/>
          <w:shd w:fill="auto" w:val="clear"/>
        </w:rPr>
        <w:t xml:space="preserve">CONTRATADA</w:t>
      </w:r>
      <w:r>
        <w:rPr>
          <w:rFonts w:ascii="Calibri" w:hAnsi="Calibri" w:cs="Calibri" w:eastAsia="Calibri"/>
          <w:color w:val="auto"/>
          <w:spacing w:val="0"/>
          <w:position w:val="0"/>
          <w:sz w:val="22"/>
          <w:shd w:fill="auto" w:val="clear"/>
        </w:rPr>
        <w:t xml:space="preserve">, neste ato representada por </w:t>
      </w:r>
      <w:r>
        <w:rPr>
          <w:rFonts w:ascii="Calibri" w:hAnsi="Calibri" w:cs="Calibri" w:eastAsia="Calibri"/>
          <w:b/>
          <w:color w:val="auto"/>
          <w:spacing w:val="0"/>
          <w:position w:val="0"/>
          <w:sz w:val="22"/>
          <w:shd w:fill="auto" w:val="clear"/>
        </w:rPr>
        <w:t xml:space="preserve">xxxxxxxxxxxxxxxxxxxxxxxxxxxxxx</w:t>
      </w:r>
      <w:r>
        <w:rPr>
          <w:rFonts w:ascii="Calibri" w:hAnsi="Calibri" w:cs="Calibri" w:eastAsia="Calibri"/>
          <w:color w:val="auto"/>
          <w:spacing w:val="0"/>
          <w:position w:val="0"/>
          <w:sz w:val="22"/>
          <w:shd w:fill="auto" w:val="clear"/>
        </w:rPr>
        <w:t xml:space="preserve">, na qualidade de </w:t>
      </w:r>
      <w:r>
        <w:rPr>
          <w:rFonts w:ascii="Calibri" w:hAnsi="Calibri" w:cs="Calibri" w:eastAsia="Calibri"/>
          <w:b/>
          <w:color w:val="auto"/>
          <w:spacing w:val="0"/>
          <w:position w:val="0"/>
          <w:sz w:val="22"/>
          <w:shd w:fill="auto" w:val="clear"/>
        </w:rPr>
        <w:t xml:space="preserve">xxxxxxxxxxxxxxxx</w:t>
      </w:r>
      <w:r>
        <w:rPr>
          <w:rFonts w:ascii="Calibri" w:hAnsi="Calibri" w:cs="Calibri" w:eastAsia="Calibri"/>
          <w:color w:val="auto"/>
          <w:spacing w:val="0"/>
          <w:position w:val="0"/>
          <w:sz w:val="22"/>
          <w:shd w:fill="auto" w:val="clear"/>
        </w:rPr>
        <w:t xml:space="preserve">, conforme seus atos constitutivos ou instrumento de procuração apresentado nos autos, tendo em vista o que consta no </w:t>
      </w:r>
      <w:r>
        <w:rPr>
          <w:rFonts w:ascii="Calibri" w:hAnsi="Calibri" w:cs="Calibri" w:eastAsia="Calibri"/>
          <w:b/>
          <w:color w:val="auto"/>
          <w:spacing w:val="0"/>
          <w:position w:val="0"/>
          <w:sz w:val="22"/>
          <w:shd w:fill="auto" w:val="clear"/>
        </w:rPr>
        <w:t xml:space="preserve">Processo Administrativo nº 012/2026</w:t>
      </w:r>
      <w:r>
        <w:rPr>
          <w:rFonts w:ascii="Calibri" w:hAnsi="Calibri" w:cs="Calibri" w:eastAsia="Calibri"/>
          <w:color w:val="auto"/>
          <w:spacing w:val="0"/>
          <w:position w:val="0"/>
          <w:sz w:val="22"/>
          <w:shd w:fill="auto" w:val="clear"/>
        </w:rPr>
        <w:t xml:space="preserve">, referente à </w:t>
      </w:r>
      <w:r>
        <w:rPr>
          <w:rFonts w:ascii="Calibri" w:hAnsi="Calibri" w:cs="Calibri" w:eastAsia="Calibri"/>
          <w:b/>
          <w:color w:val="auto"/>
          <w:spacing w:val="0"/>
          <w:position w:val="0"/>
          <w:sz w:val="22"/>
          <w:shd w:fill="auto" w:val="clear"/>
        </w:rPr>
        <w:t xml:space="preserve">Inexigibilidade nº 003/2026</w:t>
      </w:r>
      <w:r>
        <w:rPr>
          <w:rFonts w:ascii="Calibri" w:hAnsi="Calibri" w:cs="Calibri" w:eastAsia="Calibri"/>
          <w:color w:val="auto"/>
          <w:spacing w:val="0"/>
          <w:position w:val="0"/>
          <w:sz w:val="22"/>
          <w:shd w:fill="auto" w:val="clear"/>
        </w:rPr>
        <w:t xml:space="preserve"> e ao </w:t>
      </w:r>
      <w:r>
        <w:rPr>
          <w:rFonts w:ascii="Calibri" w:hAnsi="Calibri" w:cs="Calibri" w:eastAsia="Calibri"/>
          <w:b/>
          <w:color w:val="auto"/>
          <w:spacing w:val="0"/>
          <w:position w:val="0"/>
          <w:sz w:val="22"/>
          <w:shd w:fill="auto" w:val="clear"/>
        </w:rPr>
        <w:t xml:space="preserve">CREDENCIAMENTO Nº 002/2026</w:t>
      </w:r>
      <w:r>
        <w:rPr>
          <w:rFonts w:ascii="Calibri" w:hAnsi="Calibri" w:cs="Calibri" w:eastAsia="Calibri"/>
          <w:color w:val="auto"/>
          <w:spacing w:val="0"/>
          <w:position w:val="0"/>
          <w:sz w:val="22"/>
          <w:shd w:fill="auto" w:val="clear"/>
        </w:rPr>
        <w:t xml:space="preserve">, e em observância às disposições da </w:t>
      </w:r>
      <w:r>
        <w:rPr>
          <w:rFonts w:ascii="Calibri" w:hAnsi="Calibri" w:cs="Calibri" w:eastAsia="Calibri"/>
          <w:b/>
          <w:color w:val="auto"/>
          <w:spacing w:val="0"/>
          <w:position w:val="0"/>
          <w:sz w:val="22"/>
          <w:shd w:fill="auto" w:val="clear"/>
        </w:rPr>
        <w:t xml:space="preserve">Lei Federal nº 14.133, de 1º de abril de 2021</w:t>
      </w:r>
      <w:r>
        <w:rPr>
          <w:rFonts w:ascii="Calibri" w:hAnsi="Calibri" w:cs="Calibri" w:eastAsia="Calibri"/>
          <w:color w:val="auto"/>
          <w:spacing w:val="0"/>
          <w:position w:val="0"/>
          <w:sz w:val="22"/>
          <w:shd w:fill="auto" w:val="clear"/>
        </w:rPr>
        <w:t xml:space="preserve">, do Decreto Municipal nº 553/2024 e demais normas aplicáveis, resolvem celebrar o presente </w:t>
      </w:r>
      <w:r>
        <w:rPr>
          <w:rFonts w:ascii="Calibri" w:hAnsi="Calibri" w:cs="Calibri" w:eastAsia="Calibri"/>
          <w:b/>
          <w:color w:val="auto"/>
          <w:spacing w:val="0"/>
          <w:position w:val="0"/>
          <w:sz w:val="22"/>
          <w:shd w:fill="auto" w:val="clear"/>
        </w:rPr>
        <w:t xml:space="preserve">TERMO DE CREDENCIAMENTO</w:t>
      </w:r>
      <w:r>
        <w:rPr>
          <w:rFonts w:ascii="Calibri" w:hAnsi="Calibri" w:cs="Calibri" w:eastAsia="Calibri"/>
          <w:color w:val="auto"/>
          <w:spacing w:val="0"/>
          <w:position w:val="0"/>
          <w:sz w:val="22"/>
          <w:shd w:fill="auto" w:val="clear"/>
        </w:rPr>
        <w:t xml:space="preserve">, mediante as cláusulas e condições a seguir enunciadas.</w:t>
      </w:r>
    </w:p>
    <w:p>
      <w:pPr>
        <w:keepNext w:val="true"/>
        <w:keepLines w:val="true"/>
        <w:numPr>
          <w:ilvl w:val="0"/>
          <w:numId w:val="261"/>
        </w:numPr>
        <w:spacing w:before="24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PRIMEIRA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OBJETO</w:t>
      </w:r>
    </w:p>
    <w:p>
      <w:pPr>
        <w:numPr>
          <w:ilvl w:val="0"/>
          <w:numId w:val="261"/>
        </w:numPr>
        <w:spacing w:before="240" w:after="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objeto do presente instrumento é a </w:t>
      </w:r>
      <w:r>
        <w:rPr>
          <w:rFonts w:ascii="Calibri" w:hAnsi="Calibri" w:cs="Calibri" w:eastAsia="Calibri"/>
          <w:b/>
          <w:color w:val="auto"/>
          <w:spacing w:val="0"/>
          <w:position w:val="0"/>
          <w:sz w:val="22"/>
          <w:shd w:fill="auto" w:val="clear"/>
        </w:rPr>
        <w:t xml:space="preserve">contratação de clínicas especializadas em oftalmologia para execução de consultas, exames diagnósticos específicos e procedimentos cirúrgicos e ambulatoriais, em instalações próprias da credenciada ou, quando expressamente autorizado, em espaço físico disponibilizado pela Fundação Municipal de Saúde de Teixeiras, com provimento de todos os equipamentos, aparelhos e insumos necessários, incluindo o fornecimento de próteses oftálmicas e óculos aos usuários, nos termos da Tipologia III da Deliberação CIB-SUS/MG nº 4.065, de 7 de dezembro de 2022</w:t>
      </w:r>
      <w:r>
        <w:rPr>
          <w:rFonts w:ascii="Calibri" w:hAnsi="Calibri" w:cs="Calibri" w:eastAsia="Calibri"/>
          <w:color w:val="000000"/>
          <w:spacing w:val="0"/>
          <w:position w:val="0"/>
          <w:sz w:val="22"/>
          <w:shd w:fill="auto" w:val="clear"/>
        </w:rPr>
        <w:t xml:space="preserve">, nas condições estabelecidas no Termo de Referência.</w:t>
      </w:r>
    </w:p>
    <w:p>
      <w:pPr>
        <w:numPr>
          <w:ilvl w:val="0"/>
          <w:numId w:val="261"/>
        </w:numPr>
        <w:spacing w:before="24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Objeto da contratação, com valor global estimado de R$ 3.000.000,00 (três milhões de reais):</w:t>
      </w:r>
    </w:p>
    <w:tbl>
      <w:tblPr/>
      <w:tblGrid>
        <w:gridCol w:w="1141"/>
        <w:gridCol w:w="3757"/>
        <w:gridCol w:w="1589"/>
        <w:gridCol w:w="1300"/>
        <w:gridCol w:w="1841"/>
      </w:tblGrid>
      <w:tr>
        <w:trPr>
          <w:trHeight w:val="1" w:hRule="atLeast"/>
          <w:jc w:val="left"/>
        </w:trPr>
        <w:tc>
          <w:tcPr>
            <w:tcW w:w="1141" w:type="dxa"/>
            <w:tcBorders>
              <w:top w:val="single" w:color="b8cce4" w:sz="4"/>
              <w:left w:val="single" w:color="b8cce4" w:sz="4"/>
              <w:bottom w:val="single" w:color="b8cce4" w:sz="4"/>
              <w:right w:val="single" w:color="b8cce4" w:sz="4"/>
            </w:tcBorders>
            <w:shd w:color="auto" w:fill="dbe5f1" w:val="clear"/>
            <w:tcMar>
              <w:left w:w="108" w:type="dxa"/>
              <w:right w:w="108" w:type="dxa"/>
            </w:tcMar>
            <w:vAlign w:val="center"/>
          </w:tcPr>
          <w:p>
            <w:pPr>
              <w:spacing w:before="240" w:after="0" w:line="240"/>
              <w:ind w:right="0" w:left="0" w:firstLine="0"/>
              <w:jc w:val="center"/>
              <w:rPr>
                <w:rFonts w:ascii="Calibri" w:hAnsi="Calibri" w:cs="Calibri" w:eastAsia="Calibri"/>
                <w:spacing w:val="0"/>
                <w:position w:val="0"/>
                <w:shd w:fill="auto" w:val="clear"/>
              </w:rPr>
            </w:pPr>
            <w:r>
              <w:rPr>
                <w:rFonts w:ascii="Calibri" w:hAnsi="Calibri" w:cs="Calibri" w:eastAsia="Calibri"/>
                <w:b/>
                <w:color w:val="000000"/>
                <w:spacing w:val="0"/>
                <w:position w:val="0"/>
                <w:sz w:val="16"/>
                <w:shd w:fill="auto" w:val="clear"/>
              </w:rPr>
              <w:t xml:space="preserve">ITEM</w:t>
            </w:r>
          </w:p>
        </w:tc>
        <w:tc>
          <w:tcPr>
            <w:tcW w:w="3757" w:type="dxa"/>
            <w:tcBorders>
              <w:top w:val="single" w:color="b8cce4" w:sz="4"/>
              <w:left w:val="single" w:color="b8cce4" w:sz="4"/>
              <w:bottom w:val="single" w:color="b8cce4" w:sz="4"/>
              <w:right w:val="single" w:color="b8cce4" w:sz="4"/>
            </w:tcBorders>
            <w:shd w:color="auto" w:fill="dbe5f1" w:val="clear"/>
            <w:tcMar>
              <w:left w:w="108" w:type="dxa"/>
              <w:right w:w="108" w:type="dxa"/>
            </w:tcMar>
            <w:vAlign w:val="center"/>
          </w:tcPr>
          <w:p>
            <w:pPr>
              <w:spacing w:before="240" w:after="0" w:line="240"/>
              <w:ind w:right="0" w:left="0" w:firstLine="0"/>
              <w:jc w:val="center"/>
              <w:rPr>
                <w:rFonts w:ascii="Calibri" w:hAnsi="Calibri" w:cs="Calibri" w:eastAsia="Calibri"/>
                <w:spacing w:val="0"/>
                <w:position w:val="0"/>
                <w:shd w:fill="auto" w:val="clear"/>
              </w:rPr>
            </w:pPr>
            <w:r>
              <w:rPr>
                <w:rFonts w:ascii="Calibri" w:hAnsi="Calibri" w:cs="Calibri" w:eastAsia="Calibri"/>
                <w:b/>
                <w:color w:val="000000"/>
                <w:spacing w:val="0"/>
                <w:position w:val="0"/>
                <w:sz w:val="16"/>
                <w:shd w:fill="auto" w:val="clear"/>
              </w:rPr>
              <w:t xml:space="preserve">ESPECIFICAÇÃO DO SERVIÇO</w:t>
            </w:r>
          </w:p>
        </w:tc>
        <w:tc>
          <w:tcPr>
            <w:tcW w:w="1589" w:type="dxa"/>
            <w:tcBorders>
              <w:top w:val="single" w:color="b8cce4" w:sz="4"/>
              <w:left w:val="single" w:color="b8cce4" w:sz="4"/>
              <w:bottom w:val="single" w:color="b8cce4" w:sz="4"/>
              <w:right w:val="single" w:color="b8cce4" w:sz="4"/>
            </w:tcBorders>
            <w:shd w:color="auto" w:fill="dbe5f1" w:val="clear"/>
            <w:tcMar>
              <w:left w:w="108" w:type="dxa"/>
              <w:right w:w="108" w:type="dxa"/>
            </w:tcMar>
            <w:vAlign w:val="center"/>
          </w:tcPr>
          <w:p>
            <w:pPr>
              <w:spacing w:before="240" w:after="0" w:line="240"/>
              <w:ind w:right="0" w:left="0" w:firstLine="0"/>
              <w:jc w:val="center"/>
              <w:rPr>
                <w:rFonts w:ascii="Calibri" w:hAnsi="Calibri" w:cs="Calibri" w:eastAsia="Calibri"/>
                <w:spacing w:val="0"/>
                <w:position w:val="0"/>
                <w:shd w:fill="auto" w:val="clear"/>
              </w:rPr>
            </w:pPr>
            <w:r>
              <w:rPr>
                <w:rFonts w:ascii="Calibri" w:hAnsi="Calibri" w:cs="Calibri" w:eastAsia="Calibri"/>
                <w:b/>
                <w:color w:val="000000"/>
                <w:spacing w:val="0"/>
                <w:position w:val="0"/>
                <w:sz w:val="16"/>
                <w:shd w:fill="auto" w:val="clear"/>
              </w:rPr>
              <w:t xml:space="preserve">UN</w:t>
            </w:r>
          </w:p>
        </w:tc>
        <w:tc>
          <w:tcPr>
            <w:tcW w:w="1300" w:type="dxa"/>
            <w:tcBorders>
              <w:top w:val="single" w:color="b8cce4" w:sz="4"/>
              <w:left w:val="single" w:color="b8cce4" w:sz="4"/>
              <w:bottom w:val="single" w:color="b8cce4" w:sz="4"/>
              <w:right w:val="single" w:color="b8cce4" w:sz="4"/>
            </w:tcBorders>
            <w:shd w:color="auto" w:fill="dbe5f1" w:val="clear"/>
            <w:tcMar>
              <w:left w:w="108" w:type="dxa"/>
              <w:right w:w="108" w:type="dxa"/>
            </w:tcMar>
            <w:vAlign w:val="center"/>
          </w:tcPr>
          <w:p>
            <w:pPr>
              <w:spacing w:before="24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6"/>
                <w:shd w:fill="auto" w:val="clear"/>
              </w:rPr>
              <w:t xml:space="preserve">QUANT.</w:t>
            </w:r>
          </w:p>
        </w:tc>
        <w:tc>
          <w:tcPr>
            <w:tcW w:w="1841" w:type="dxa"/>
            <w:tcBorders>
              <w:top w:val="single" w:color="b8cce4" w:sz="4"/>
              <w:left w:val="single" w:color="b8cce4" w:sz="4"/>
              <w:bottom w:val="single" w:color="b8cce4" w:sz="4"/>
              <w:right w:val="single" w:color="b8cce4" w:sz="4"/>
            </w:tcBorders>
            <w:shd w:color="auto" w:fill="dbe5f1" w:val="clear"/>
            <w:tcMar>
              <w:left w:w="108" w:type="dxa"/>
              <w:right w:w="108" w:type="dxa"/>
            </w:tcMar>
            <w:vAlign w:val="center"/>
          </w:tcPr>
          <w:p>
            <w:pPr>
              <w:spacing w:before="24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6"/>
                <w:shd w:fill="auto" w:val="clear"/>
              </w:rPr>
              <w:t xml:space="preserve">VALOR UNITÁRIO</w:t>
            </w:r>
          </w:p>
        </w:tc>
      </w:tr>
      <w:tr>
        <w:trPr>
          <w:trHeight w:val="1" w:hRule="atLeast"/>
          <w:jc w:val="left"/>
        </w:trPr>
        <w:tc>
          <w:tcPr>
            <w:tcW w:w="1141"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16"/>
                <w:shd w:fill="auto" w:val="clear"/>
              </w:rPr>
              <w:t xml:space="preserve">01</w:t>
            </w:r>
          </w:p>
        </w:tc>
        <w:tc>
          <w:tcPr>
            <w:tcW w:w="3757"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16"/>
                <w:shd w:fill="auto" w:val="clear"/>
              </w:rPr>
              <w:t xml:space="preserve">Carteira de procedimentos oftalmológicos </w:t>
            </w:r>
            <w:r>
              <w:rPr>
                <w:rFonts w:ascii="Calibri" w:hAnsi="Calibri" w:cs="Calibri" w:eastAsia="Calibri"/>
                <w:color w:val="auto"/>
                <w:spacing w:val="0"/>
                <w:position w:val="0"/>
                <w:sz w:val="16"/>
                <w:shd w:fill="auto" w:val="clear"/>
              </w:rPr>
              <w:t xml:space="preserve">constantes da Tabela SIGTAP-SUS, da Deliberação CIB-SUS/MG nº 4.065, de 07 de dezembro de 2022, e suas alterações, bem como de incentivos, complementações e políticas federais e estaduais aplicáveis, inclusive Valora Minas, Opera Mais e, quando cabível, Ofertas de Cuidados Integrados </w:t>
            </w:r>
            <w:r>
              <w:rPr>
                <w:rFonts w:ascii="Calibri" w:hAnsi="Calibri" w:cs="Calibri" w:eastAsia="Calibri"/>
                <w:color w:val="auto"/>
                <w:spacing w:val="0"/>
                <w:position w:val="0"/>
                <w:sz w:val="16"/>
                <w:shd w:fill="auto" w:val="clear"/>
              </w:rPr>
              <w:t xml:space="preserve">–</w:t>
            </w:r>
            <w:r>
              <w:rPr>
                <w:rFonts w:ascii="Calibri" w:hAnsi="Calibri" w:cs="Calibri" w:eastAsia="Calibri"/>
                <w:color w:val="auto"/>
                <w:spacing w:val="0"/>
                <w:position w:val="0"/>
                <w:sz w:val="16"/>
                <w:shd w:fill="auto" w:val="clear"/>
              </w:rPr>
              <w:t xml:space="preserve"> OCI no </w:t>
            </w:r>
            <w:r>
              <w:rPr>
                <w:rFonts w:ascii="Calibri" w:hAnsi="Calibri" w:cs="Calibri" w:eastAsia="Calibri"/>
                <w:color w:val="auto"/>
                <w:spacing w:val="0"/>
                <w:position w:val="0"/>
                <w:sz w:val="16"/>
                <w:shd w:fill="auto" w:val="clear"/>
              </w:rPr>
              <w:t xml:space="preserve">âmbito do Programa Agora Tem Especialistas </w:t>
            </w:r>
            <w:r>
              <w:rPr>
                <w:rFonts w:ascii="Calibri" w:hAnsi="Calibri" w:cs="Calibri" w:eastAsia="Calibri"/>
                <w:color w:val="auto"/>
                <w:spacing w:val="0"/>
                <w:position w:val="0"/>
                <w:sz w:val="16"/>
                <w:shd w:fill="auto" w:val="clear"/>
              </w:rPr>
              <w:t xml:space="preserve">–</w:t>
            </w:r>
            <w:r>
              <w:rPr>
                <w:rFonts w:ascii="Calibri" w:hAnsi="Calibri" w:cs="Calibri" w:eastAsia="Calibri"/>
                <w:color w:val="auto"/>
                <w:spacing w:val="0"/>
                <w:position w:val="0"/>
                <w:sz w:val="16"/>
                <w:shd w:fill="auto" w:val="clear"/>
              </w:rPr>
              <w:t xml:space="preserve"> PATE, observados os valores unit</w:t>
            </w:r>
            <w:r>
              <w:rPr>
                <w:rFonts w:ascii="Calibri" w:hAnsi="Calibri" w:cs="Calibri" w:eastAsia="Calibri"/>
                <w:color w:val="auto"/>
                <w:spacing w:val="0"/>
                <w:position w:val="0"/>
                <w:sz w:val="16"/>
                <w:shd w:fill="auto" w:val="clear"/>
              </w:rPr>
              <w:t xml:space="preserve">ários oficiais vigentes e as respectivas regras de financiamento.</w:t>
            </w:r>
          </w:p>
        </w:tc>
        <w:tc>
          <w:tcPr>
            <w:tcW w:w="1589"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16"/>
                <w:shd w:fill="auto" w:val="clear"/>
              </w:rPr>
              <w:t xml:space="preserve">Procedimento</w:t>
            </w:r>
          </w:p>
        </w:tc>
        <w:tc>
          <w:tcPr>
            <w:tcW w:w="1300"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16"/>
                <w:shd w:fill="auto" w:val="clear"/>
              </w:rPr>
              <w:t xml:space="preserve">Conforme demanda regulada</w:t>
            </w:r>
          </w:p>
        </w:tc>
        <w:tc>
          <w:tcPr>
            <w:tcW w:w="1841" w:type="dxa"/>
            <w:tcBorders>
              <w:top w:val="single" w:color="b8cce4" w:sz="4"/>
              <w:left w:val="single" w:color="b8cce4" w:sz="4"/>
              <w:bottom w:val="single" w:color="b8cce4" w:sz="4"/>
              <w:right w:val="single" w:color="b8cce4" w:sz="4"/>
            </w:tcBorders>
            <w:shd w:color="000000" w:fill="ffffff" w:val="clear"/>
            <w:tcMar>
              <w:left w:w="108" w:type="dxa"/>
              <w:right w:w="108" w:type="dxa"/>
            </w:tcMar>
            <w:vAlign w:val="center"/>
          </w:tcPr>
          <w:p>
            <w:pPr>
              <w:spacing w:before="240" w:after="0" w:line="240"/>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16"/>
                <w:shd w:fill="auto" w:val="clear"/>
              </w:rPr>
              <w:t xml:space="preserve">Conforme Tabela SIGTAP-SUS e valores oficiais aplicáveis</w:t>
            </w:r>
          </w:p>
        </w:tc>
      </w:tr>
    </w:tbl>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Vinculam esta contratação, independentemente de transcrição:</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Termo de Referência;</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Edital de Credenciamento;</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Eventuais anexos dos documentos supracitados.</w:t>
      </w:r>
    </w:p>
    <w:p>
      <w:pPr>
        <w:keepNext w:val="true"/>
        <w:keepLines w:val="true"/>
        <w:numPr>
          <w:ilvl w:val="0"/>
          <w:numId w:val="272"/>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SEGUNDA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VIG</w:t>
      </w:r>
      <w:r>
        <w:rPr>
          <w:rFonts w:ascii="Calibri" w:hAnsi="Calibri" w:cs="Calibri" w:eastAsia="Calibri"/>
          <w:b/>
          <w:color w:val="000000"/>
          <w:spacing w:val="0"/>
          <w:position w:val="0"/>
          <w:sz w:val="22"/>
          <w:shd w:fill="C6D9F1" w:val="clear"/>
        </w:rPr>
        <w:t xml:space="preserve">ÊNCIA E PRORROGAÇÃO</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prazo de vigência da contratação será de 12 (doze) meses, contados da assinatura do instrumento contratual, observadas as condições previstas neste Termo e no Termo de Referência.</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vigência poderá ser prorrogada sucessivamente, quando caracterizada a natureza continuada dos serviços e desde que demonstrados o interesse da Administração, a manutenção da vantajosidade e o atendimento aos requisitos dos arts. 106 e 107 da Lei nº 14.133/2021, mediante a formalização cabível.</w:t>
      </w:r>
    </w:p>
    <w:p>
      <w:pPr>
        <w:keepNext w:val="true"/>
        <w:keepLines w:val="true"/>
        <w:numPr>
          <w:ilvl w:val="0"/>
          <w:numId w:val="272"/>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TERCEIRA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MODELOS DE EXECU</w:t>
      </w:r>
      <w:r>
        <w:rPr>
          <w:rFonts w:ascii="Calibri" w:hAnsi="Calibri" w:cs="Calibri" w:eastAsia="Calibri"/>
          <w:b/>
          <w:color w:val="000000"/>
          <w:spacing w:val="0"/>
          <w:position w:val="0"/>
          <w:sz w:val="22"/>
          <w:shd w:fill="C6D9F1" w:val="clear"/>
        </w:rPr>
        <w:t xml:space="preserve">ÇÃO E GESTÃO CONTRATUAIS </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regime de execução contratual, os modelos de gestão e de execução, assim como os prazos e condições de conclusão, entrega, observação e recebimento do objeto constam no Termo de Referência (</w:t>
      </w:r>
      <w:r>
        <w:rPr>
          <w:rFonts w:ascii="Calibri" w:hAnsi="Calibri" w:cs="Calibri" w:eastAsia="Calibri"/>
          <w:b/>
          <w:color w:val="000000"/>
          <w:spacing w:val="0"/>
          <w:position w:val="0"/>
          <w:sz w:val="22"/>
          <w:u w:val="single"/>
          <w:shd w:fill="auto" w:val="clear"/>
        </w:rPr>
        <w:t xml:space="preserve">ANEXO I DO EDITAL</w:t>
      </w:r>
      <w:r>
        <w:rPr>
          <w:rFonts w:ascii="Calibri" w:hAnsi="Calibri" w:cs="Calibri" w:eastAsia="Calibri"/>
          <w:color w:val="000000"/>
          <w:spacing w:val="0"/>
          <w:position w:val="0"/>
          <w:sz w:val="22"/>
          <w:shd w:fill="auto" w:val="clear"/>
        </w:rPr>
        <w:t xml:space="preserve">).</w:t>
      </w:r>
    </w:p>
    <w:p>
      <w:pPr>
        <w:keepNext w:val="true"/>
        <w:keepLines w:val="true"/>
        <w:numPr>
          <w:ilvl w:val="0"/>
          <w:numId w:val="272"/>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QUARTA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SUBCONTRATA</w:t>
      </w:r>
      <w:r>
        <w:rPr>
          <w:rFonts w:ascii="Calibri" w:hAnsi="Calibri" w:cs="Calibri" w:eastAsia="Calibri"/>
          <w:b/>
          <w:color w:val="000000"/>
          <w:spacing w:val="0"/>
          <w:position w:val="0"/>
          <w:sz w:val="22"/>
          <w:shd w:fill="C6D9F1" w:val="clear"/>
        </w:rPr>
        <w:t xml:space="preserve">ÇÃO</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será admitida a subcontratação do objeto contratual.</w:t>
      </w:r>
    </w:p>
    <w:p>
      <w:pPr>
        <w:keepNext w:val="true"/>
        <w:keepLines w:val="true"/>
        <w:numPr>
          <w:ilvl w:val="0"/>
          <w:numId w:val="272"/>
        </w:numPr>
        <w:spacing w:before="0" w:after="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QUINTA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PRE</w:t>
      </w:r>
      <w:r>
        <w:rPr>
          <w:rFonts w:ascii="Calibri" w:hAnsi="Calibri" w:cs="Calibri" w:eastAsia="Calibri"/>
          <w:b/>
          <w:color w:val="000000"/>
          <w:spacing w:val="0"/>
          <w:position w:val="0"/>
          <w:sz w:val="22"/>
          <w:shd w:fill="C6D9F1" w:val="clear"/>
        </w:rPr>
        <w:t xml:space="preserve">ÇO E PRAZOS</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valores devidos corresponderão aos procedimentos efetivamente realizados e aceitos, conforme os valores oficiais definidos no Edital e no Termo de Referência, observado o valor global estimado da contratação e a disponibilidade orçamentária e financeira.</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Nos valores de remuneração estão incluídas todas as despesas diretas e indiretas necessárias à execução do objeto, inclusive tributos, encargos sociais, trabalhistas, previdenciários, fiscais e comerciais, seguros, materiais, equipamentos, insumos, mão de obra e demais custos inerentes à prestação dos serviços.</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execução dos serviços terá início após a formalização do instrumento e a emissão da respectiva autorização, ordem de serviço ou encaminhamento regulado, conforme o fluxo estabelecido pela Fundação, observada a escolha do credenciado pelo beneficiário direto da prestação.</w:t>
      </w:r>
    </w:p>
    <w:p>
      <w:pPr>
        <w:keepNext w:val="true"/>
        <w:keepLines w:val="true"/>
        <w:numPr>
          <w:ilvl w:val="0"/>
          <w:numId w:val="272"/>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SEXTA - PAGAMENTO</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prazo para pagamento ao contratado e demais condições a ele referentes encontram-se definidos no Termo de Referência, anexo a este Contrato.</w:t>
      </w:r>
    </w:p>
    <w:p>
      <w:pPr>
        <w:keepNext w:val="true"/>
        <w:keepLines w:val="true"/>
        <w:numPr>
          <w:ilvl w:val="0"/>
          <w:numId w:val="272"/>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SÉTIMA - ATUALIZAÇÃO DOS VALORES</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valores dos procedimentos observarão a Tabela SIGTAP-SUS e os incentivos, complementações e deliberações oficiais expressamente adotados no Edital e no Termo de Referência.</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alterações oficiais dos valores de referência poderão ser incorporadas à remuneração do credenciamento mediante ato administrativo formal, com publicidade e observância da disponibilidade orçamentária e financeira.</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atualização decorrente de alteração oficial das tabelas ou políticas de financiamento não dependerá de negociação individual com cada credenciado, desde que aplicada de forma uniforme e isonômica aos prestadores submetidos às mesmas condições.</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haverá aplicação cumulativa automática de índice inflacionário sobre procedimentos cujo valor seja integralmente definido por tabela ou ato oficial, salvo previsão específica e juridicamente cabível no Edital para parcela de remuneração não vinculada a tais referências.</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Eventuais pedidos de restabelecimento do equilíbrio econômico-financeiro serão analisados nos termos da Lei nº 14.133/2021, mediante demonstração dos pressupostos legais e da repercussão efetiva sobre as obrigações contratadas.</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atualização de valores será formalizada pelo instrumento administrativo juridicamente adequado, inclusive apostilamento quando a hipótese assim permitir.</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Toda atualização deverá preservar a isonomia entre os credenciados, a transparência dos valores aplicáveis e a compatibilidade com as fontes de financiamento do serviço.</w:t>
      </w:r>
    </w:p>
    <w:p>
      <w:pPr>
        <w:numPr>
          <w:ilvl w:val="0"/>
          <w:numId w:val="272"/>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aplicação dos novos valores produzirá efeitos apenas a partir da data definida no ato administrativo que os incorporar, vedada a cobrança retroativa sem fundamento legal e autorização expressa da Administração.</w:t>
      </w:r>
    </w:p>
    <w:p>
      <w:pPr>
        <w:keepNext w:val="true"/>
        <w:keepLines w:val="true"/>
        <w:numPr>
          <w:ilvl w:val="0"/>
          <w:numId w:val="272"/>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OITAVA - OBRIGAÇÕES DAS PARTES </w:t>
      </w:r>
    </w:p>
    <w:p>
      <w:pPr>
        <w:keepNext w:val="true"/>
        <w:keepLines w:val="true"/>
        <w:spacing w:before="0" w:after="24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Obrigações da contratada</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Manter preposto aceito pela Administração para a prestação do serviço para representá-lo na execução do contrato.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indicação ou a manutenção do preposto da empresa poderá ser recusada pelo órgão ou entidade, desde que devidamente justificada, devendo a empresa designar outro para o exercício da atividade.</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Atender às determinações regulares emitidas pelo fiscal do contrato ou autoridade superior (</w:t>
      </w:r>
      <w:hyperlink xmlns:r="http://schemas.openxmlformats.org/officeDocument/2006/relationships" r:id="docRId15">
        <w:r>
          <w:rPr>
            <w:rFonts w:ascii="Calibri" w:hAnsi="Calibri" w:cs="Calibri" w:eastAsia="Calibri"/>
            <w:color w:val="000000"/>
            <w:spacing w:val="0"/>
            <w:position w:val="0"/>
            <w:sz w:val="22"/>
            <w:u w:val="single"/>
            <w:shd w:fill="auto" w:val="clear"/>
          </w:rPr>
          <w:t xml:space="preserve">art. 137, II</w:t>
        </w:r>
      </w:hyperlink>
      <w:r>
        <w:rPr>
          <w:rFonts w:ascii="Calibri" w:hAnsi="Calibri" w:cs="Calibri" w:eastAsia="Calibri"/>
          <w:color w:val="000000"/>
          <w:spacing w:val="0"/>
          <w:position w:val="0"/>
          <w:sz w:val="22"/>
          <w:shd w:fill="auto" w:val="clear"/>
        </w:rPr>
        <w:t xml:space="preserve">) e prestar todo esclarecimento ou informação por eles solicitados;</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Responsabilizar-se pelos vícios, falhas e danos decorrentes da execução do objeto, bem como por todo e qualquer dano causado à Administração, aos usuários ou a terceiros, nos termos dos arts. 119 e 120 da Lei nº 14.133/2021 e da legislação civil, sanitária e profissional aplicável, não sendo essa responsabilidade reduzida pela fiscalização ou pelo acompanhamento da execução contratual;</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contratar, durante a vigência do contrato, cônjuge, companheiro ou parente em linha reta, colateral ou por afinidade, até o terceiro grau, de dirigente do contratante ou do fiscal ou gestor do contrato, nos termos do </w:t>
      </w:r>
      <w:hyperlink xmlns:r="http://schemas.openxmlformats.org/officeDocument/2006/relationships" r:id="docRId16">
        <w:r>
          <w:rPr>
            <w:rFonts w:ascii="Calibri" w:hAnsi="Calibri" w:cs="Calibri" w:eastAsia="Calibri"/>
            <w:color w:val="000000"/>
            <w:spacing w:val="0"/>
            <w:position w:val="0"/>
            <w:sz w:val="22"/>
            <w:u w:val="single"/>
            <w:shd w:fill="auto" w:val="clear"/>
          </w:rPr>
          <w:t xml:space="preserve">artigo 48, parágrafo único, da Lei nº 14.133, de 2021</w:t>
        </w:r>
      </w:hyperlink>
      <w:r>
        <w:rPr>
          <w:rFonts w:ascii="Calibri" w:hAnsi="Calibri" w:cs="Calibri" w:eastAsia="Calibri"/>
          <w:color w:val="000000"/>
          <w:spacing w:val="0"/>
          <w:position w:val="0"/>
          <w:sz w:val="22"/>
          <w:shd w:fill="auto" w:val="clear"/>
        </w:rPr>
        <w:t xml:space="preserve">;</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Quando a regularidade fiscal, social ou trabalhista não puder ser verificada diretamente pela Administração em sistemas oficiais, o contratado deverá apresentar, quando solicitado pela fiscalização, os documentos comprobatórios pertinentes, incluindo certidões federais, estaduais, municipais, trabalhistas e de regularidade do FGTS, conforme aplicável.</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Comunicar ao Fiscal do contrato, no prazo de 24 (vinte e quatro) horas, qualquer ocorrência anormal ou acidente que se verifique no local dos serviços.</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Prestar os esclarecimentos e informações solicitados pelo Contratante ou por seus prepostos, garantindo acesso, quando necessário e respeitados o sigilo profissional, a proteção de dados e a segurança assistencial, aos locais e documentos relacionados à execução dos serviços.</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Paralisar, por determinação do Contratante, qualquer atividade que não esteja sendo executada de acordo com a boa técnica ou que ponha em risco a segurança de pessoas ou bens de terceiros.</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Promover a guarda, manutenção e vigilância de materiais, ferramentas, e tudo o que for necessário à execução do objeto, durante a vigência do contrato.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Conduzir os trabalhos com estrita observância às normas da legislação pertinente, cumprindo as determinações dos Poderes Públicos, mantendo sempre limpo o local dos serviços e nas melhores condições de segurança, higiene e disciplina.</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Submeter previamente ao Contratante, para análise e anuência quando necessária, alterações relevantes na forma de execução que possam afetar as condições técnicas, assistenciais, sanitárias ou operacionais previstas neste Termo.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Executar, às suas expensas e sob sua exclusiva responsabilidade, eventuais reformas, adaptações ou adequações físicas necessárias à instalação, ao funcionamento ou à prestação dos serviços em espaço disponibilizado pelo Contratante, arcando integralmente com projetos, licenças, materiais, mão de obra e demais custos decorrentes, sem qualquer ônus para a Fundação;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Submeter previamente à anuência expressa e por escrito do Contratante qualquer reforma, adaptação, adequação ou intervenção física que pretenda realizar nas dependências da Fundação, ficando vedado o início de qualquer intervenção antes da respectiva autorização administrativa;</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Reconhecer que a anuência do Contratante para realização de intervenção física não implica assunção, compartilhamento ou transferência de despesas, encargos ou responsabilidades, que permanecerão integralmente a cargo do Contratado;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Reconhecer que, ao término do contrato, do credenciamento ou da autorização de uso do espaço, as reformas, adaptações, adequações, benfeitorias ou intervenções realizadas não gerarão direito a indenização, ressarcimento, compensação ou retenção, a qualquer título.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Manter durante toda a vigência do contrato, em compatibilidade com as obrigações assumidas, todas as condições exigidas para habilitação no credenciamento;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Cumprir, durante todo o período de execução do contrato, a reserva de cargos prevista em lei para pessoa com deficiência, para reabilitado da Previdência Social ou para aprendiz, bem como as reservas de cargos previstas na legislação (</w:t>
      </w:r>
      <w:hyperlink xmlns:r="http://schemas.openxmlformats.org/officeDocument/2006/relationships" r:id="docRId17">
        <w:r>
          <w:rPr>
            <w:rFonts w:ascii="Calibri" w:hAnsi="Calibri" w:cs="Calibri" w:eastAsia="Calibri"/>
            <w:color w:val="000000"/>
            <w:spacing w:val="0"/>
            <w:position w:val="0"/>
            <w:sz w:val="22"/>
            <w:u w:val="single"/>
            <w:shd w:fill="auto" w:val="clear"/>
          </w:rPr>
          <w:t xml:space="preserve">art. 116</w:t>
        </w:r>
      </w:hyperlink>
      <w:r>
        <w:rPr>
          <w:rFonts w:ascii="Calibri" w:hAnsi="Calibri" w:cs="Calibri" w:eastAsia="Calibri"/>
          <w:color w:val="000000"/>
          <w:spacing w:val="0"/>
          <w:position w:val="0"/>
          <w:sz w:val="22"/>
          <w:shd w:fill="auto" w:val="clear"/>
        </w:rPr>
        <w:t xml:space="preserve">);</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Comprovar a reserva de cargos a que se refere a cláusula acima, no prazo fixado pelo fiscal do contrato, com a indicação dos empregados que preencheram as referidas vagas (</w:t>
      </w:r>
      <w:hyperlink xmlns:r="http://schemas.openxmlformats.org/officeDocument/2006/relationships" r:id="docRId18">
        <w:r>
          <w:rPr>
            <w:rFonts w:ascii="Calibri" w:hAnsi="Calibri" w:cs="Calibri" w:eastAsia="Calibri"/>
            <w:color w:val="000000"/>
            <w:spacing w:val="0"/>
            <w:position w:val="0"/>
            <w:sz w:val="22"/>
            <w:u w:val="single"/>
            <w:shd w:fill="auto" w:val="clear"/>
          </w:rPr>
          <w:t xml:space="preserve">art. 116, parágrafo único</w:t>
        </w:r>
      </w:hyperlink>
      <w:r>
        <w:rPr>
          <w:rFonts w:ascii="Calibri" w:hAnsi="Calibri" w:cs="Calibri" w:eastAsia="Calibri"/>
          <w:color w:val="000000"/>
          <w:spacing w:val="0"/>
          <w:position w:val="0"/>
          <w:sz w:val="22"/>
          <w:shd w:fill="auto" w:val="clear"/>
        </w:rPr>
        <w:t xml:space="preserve">);</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Guardar sigilo sobre todas as informações obtidas em decorrência do cumprimento do contrato;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Arcar com todos os custos diretos e indiretos necessários à execução dos serviços que estejam compreendidos nos valores de remuneração definidos no credenciamento, ressalvadas apenas as hipóteses de recomposição do equilíbrio econômico-financeiro legalmente cabíveis e devidamente reconhecidas pela Administração;</w:t>
      </w:r>
    </w:p>
    <w:p>
      <w:pPr>
        <w:numPr>
          <w:ilvl w:val="0"/>
          <w:numId w:val="287"/>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Cumprir, além dos postulados legais vigentes de âmbito federal, estadual ou municipal, as normas de segurança do Contratante;</w:t>
      </w:r>
    </w:p>
    <w:p>
      <w:pPr>
        <w:keepNext w:val="true"/>
        <w:keepLines w:val="true"/>
        <w:spacing w:before="0" w:after="240" w:line="240"/>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Obrigações da contratante</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Exigir o cumprimento de todas as obrigações assumidas pelo Contratado, de acordo com o contrato e seus anexos;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Receber o objeto no prazo e condições estabelecidas no Termo de Referência;</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Notificar o Contratado, por escrito, sobre falhas, vícios ou incorreções verificadas nos serviços prestados, para que sejam corrigidos ou adotadas as providências cabíveis, às suas expensas, quando a responsabilidade lhe for imputável;</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Acompanhar e fiscalizar a execução do contrato e o cumprimento das obrigações pelo Contratado;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Efetuar o pagamento ao Contratado do valor correspondente à execução do objeto, no prazo, forma e condições estabelecidos no presente Contrato e no Termo de Referência;</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Aplicar ao Contratado as sanções previstas na lei e neste Contrato; </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Cientificar o órgão de assessoramento jurídico competente para adoção das medidas cabíveis quando o descumprimento de obrigações demandar providência de natureza jurídica;</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Administração terá o prazo de</w:t>
      </w:r>
      <w:r>
        <w:rPr>
          <w:rFonts w:ascii="Calibri" w:hAnsi="Calibri" w:cs="Calibri" w:eastAsia="Calibri"/>
          <w:i/>
          <w:color w:val="FF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até 30 (trinta) dias úteis, a contar da data do protocolo do requerimento para decidir, admitida a prorrogação motivada, por igual período. </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Responder eventuais pedidos de reestabelecimento do equilíbrio econômico-financeiro feitos pelo contratado no prazo máximo de 15 (quinze) dias úteis.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Assegurar ao beneficiário direto da prestação, ou ao seu representante legal, o direito de escolher o prestador dentre os credenciados habilitados e aptos ao procedimento indicado, nos termos do art. 79, inciso II, da Lei nº 14.133/2021;</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Disponibilizar relação atualizada dos credenciados, com informações suficientes para subsidiar escolha livre e informada pelo beneficiário, vedado direcionamento indevido para prestador específico;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keepNext w:val="true"/>
        <w:keepLines w:val="true"/>
        <w:numPr>
          <w:ilvl w:val="0"/>
          <w:numId w:val="289"/>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NONA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GARANTIA DE EXECU</w:t>
      </w:r>
      <w:r>
        <w:rPr>
          <w:rFonts w:ascii="Calibri" w:hAnsi="Calibri" w:cs="Calibri" w:eastAsia="Calibri"/>
          <w:b/>
          <w:color w:val="000000"/>
          <w:spacing w:val="0"/>
          <w:position w:val="0"/>
          <w:sz w:val="22"/>
          <w:shd w:fill="C6D9F1" w:val="clear"/>
        </w:rPr>
        <w:t xml:space="preserve">ÇÃO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Não haverá exigência de garantia contratual da execução, pelas razões enunciadas no Termo de Referência.</w:t>
      </w:r>
    </w:p>
    <w:p>
      <w:pPr>
        <w:keepNext w:val="true"/>
        <w:keepLines w:val="true"/>
        <w:numPr>
          <w:ilvl w:val="0"/>
          <w:numId w:val="289"/>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INFRA</w:t>
      </w:r>
      <w:r>
        <w:rPr>
          <w:rFonts w:ascii="Calibri" w:hAnsi="Calibri" w:cs="Calibri" w:eastAsia="Calibri"/>
          <w:b/>
          <w:color w:val="000000"/>
          <w:spacing w:val="0"/>
          <w:position w:val="0"/>
          <w:sz w:val="22"/>
          <w:shd w:fill="C6D9F1" w:val="clear"/>
        </w:rPr>
        <w:t xml:space="preserve">ÇÕES E SANÇÕES ADMINISTRATIVAS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Comete infração administrativa, nos termos da Lei nº 14.133, de 2021, o contratado que:</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Der causa à inexecução parcial do contrato;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Der causa à inexecução parcial do contrato que cause grave dano à Administração ou ao funcionamento dos serviços públicos ou ao interesse coletivo;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Der causa à inexecução total do contrato;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Ensejar o retardamento da execução ou da entrega do objeto da contratação sem motivo justificado;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Apresentar documentação falsa ou prestar declaração falsa durante a execução do contrato;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Praticar ato fraudulento na execução do contrato;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Comportar-se de modo inidôneo ou cometer fraude de qualquer natureza;</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Praticar ato lesivo previsto no art. 5º da Lei nº 12.846, de 1º de agosto de 2013.</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Serão aplicadas ao contratado que incorrer nas infrações acima descritas as seguintes sanções:</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Advertência</w:t>
      </w:r>
      <w:r>
        <w:rPr>
          <w:rFonts w:ascii="Calibri" w:hAnsi="Calibri" w:cs="Calibri" w:eastAsia="Calibri"/>
          <w:color w:val="auto"/>
          <w:spacing w:val="0"/>
          <w:position w:val="0"/>
          <w:sz w:val="22"/>
          <w:shd w:fill="auto" w:val="clear"/>
        </w:rPr>
        <w:t xml:space="preserve">, quando o contratado der causa à inexecução parcial do contrato, sempre que não se justificar a imposição de penalidade mais grave (art. 156, §2º, da Lei nº 14.133, de 2021);</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Impedimento de licitar e contratar</w:t>
      </w:r>
      <w:r>
        <w:rPr>
          <w:rFonts w:ascii="Calibri" w:hAnsi="Calibri" w:cs="Calibri" w:eastAsia="Calibri"/>
          <w:color w:val="auto"/>
          <w:spacing w:val="0"/>
          <w:position w:val="0"/>
          <w:sz w:val="22"/>
          <w:shd w:fill="auto" w:val="clear"/>
        </w:rPr>
        <w:t xml:space="preserve">, quando praticadas as condutas descritas nas alíneas “b”, “c” e “d” do subitem acima deste Contrato, sempre que não se justificar a imposição de penalidade mais grave;</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Declaração de inidoneidade para licitar e contratar</w:t>
      </w:r>
      <w:r>
        <w:rPr>
          <w:rFonts w:ascii="Calibri" w:hAnsi="Calibri" w:cs="Calibri" w:eastAsia="Calibri"/>
          <w:color w:val="auto"/>
          <w:spacing w:val="0"/>
          <w:position w:val="0"/>
          <w:sz w:val="22"/>
          <w:shd w:fill="auto" w:val="clear"/>
        </w:rPr>
        <w:t xml:space="preserve">, quando praticadas as condutas descritas nas alíneas “e”, “f”, “g” e “h” do subitem acima deste Contrato, bem como nas alíneas “b”, “c” e “d”, que justifiquem a imposição de penalidade mais grave;</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Multa:</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Moratória de 0,5% (cinco décimos por cento) por dia de atraso injustificado sobre o valor da parcela inadimplida, limitada a 15% (quinze por cento) da mesma base de cálculo;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multa moratória poderá ser convertida em compensatória quando o atraso resultar em inexecução da obrigação, observados os limites legais e vedada a dupla penalização pelo mesmo fato;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atraso injustificado que comprometa a continuidade ou a segurança da assistência poderá ensejar a extinção do contrato ou o descredenciamento, sem prejuízo das demais sanções cabíveis, mediante processo administrativo.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Compensatória, para as infrações de fraude, falsidade documental, comportamento inidôneo ou ato lesivo, de 15% (quinze por cento) a 30% (trinta por cento) do valor da obrigação afetada ou do contrato, conforme a gravidade do caso;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Compensatória, para inexecução total do contrato, de 10% (dez por cento) a 20% (vinte por cento) do valor contratual, observada a proporcionalidade e o limite legal;</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Para inexecução parcial que cause grave dano à Administração, ao funcionamento do serviço público ou ao interesse coletivo, a multa poderá variar de 5% (cinco por cento) a 20% (vinte por cento) da parcela afetada ou do valor contratual pertinente;</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Para retardamento injustificado da execução, sem prejuízo da multa moratória, poderão ser aplicadas as demais sanções cabíveis quando configurados os pressupostos legais;</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Para inexecução parcial sem grave dano, a multa compensatória poderá variar de 0,5% (cinco décimos por cento) a 10% (dez por cento) da parcela inadimplida, conforme a extensão e as consequências da infração.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aplicação das sanções previstas neste Contrato não exclui, em hipótese alguma, a obrigação de reparação integral do dano causado ao Contratante;</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Todas as sanções previstas neste Contrato poderão ser aplicadas cumulativamente com a multa;</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Antes da aplicação da multa será facultada a defesa do interessado no prazo de 15 (quinze) dias úteis, contado da data de sua intimação;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Se a multa aplicada e as indenizações cabíveis forem superiores ao valor de pagamento eventualmente devido pelo Contratante, a diferença poderá ser compensada com créditos do contratado ou cobrada administrativa ou judicialmente, na forma da legislação.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Previamente ao encaminhamento à cobrança judicial, a multa poderá ser recolhida administrativamente no prazo máximo de 30 (trinta)</w:t>
      </w:r>
      <w:r>
        <w:rPr>
          <w:rFonts w:ascii="Calibri" w:hAnsi="Calibri" w:cs="Calibri" w:eastAsia="Calibri"/>
          <w: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dias úteis, a contar da data do recebimento da comunicação enviada pela autoridade competente.</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aplicação das sanções realizar-se-á em processo administrativo que assegure o contraditório e a ampla defesa ao Contratado, observando-se o procedimento previsto no </w:t>
      </w:r>
      <w:r>
        <w:rPr>
          <w:rFonts w:ascii="Calibri" w:hAnsi="Calibri" w:cs="Calibri" w:eastAsia="Calibri"/>
          <w:b/>
          <w:color w:val="000000"/>
          <w:spacing w:val="0"/>
          <w:position w:val="0"/>
          <w:sz w:val="22"/>
          <w:shd w:fill="auto" w:val="clear"/>
        </w:rPr>
        <w:t xml:space="preserve">caput </w:t>
      </w:r>
      <w:r>
        <w:rPr>
          <w:rFonts w:ascii="Calibri" w:hAnsi="Calibri" w:cs="Calibri" w:eastAsia="Calibri"/>
          <w:color w:val="000000"/>
          <w:spacing w:val="0"/>
          <w:position w:val="0"/>
          <w:sz w:val="22"/>
          <w:shd w:fill="auto" w:val="clear"/>
        </w:rPr>
        <w:t xml:space="preserve">e parágrafos do art. 158 da Lei nº 14.133, de 2021, para as penalidades de impedimento de licitar e contratar e de declaração de inidoneidade para licitar ou contratar.</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Na aplicação das sanções serão considerados:</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natureza e a gravidade da infração cometida;</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peculiaridades do caso concreto;</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circunstâncias agravantes ou atenuantes;</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Os danos que dela provierem para o Contratante;</w:t>
      </w:r>
    </w:p>
    <w:p>
      <w:pPr>
        <w:numPr>
          <w:ilvl w:val="0"/>
          <w:numId w:val="289"/>
        </w:numPr>
        <w:spacing w:before="0" w:after="24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implantação ou o aperfeiçoamento de programa de integridade, conforme normas e orientações dos órgãos de controle.</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 O Contratante deverá, no prazo máximo de</w:t>
      </w:r>
      <w:r>
        <w:rPr>
          <w:rFonts w:ascii="Calibri" w:hAnsi="Calibri" w:cs="Calibri" w:eastAsia="Calibri"/>
          <w:color w:val="00B05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sanções de impedimento de licitar e contratar e declaração de inidoneidade para licitar ou contratar são passíveis de reabilitação na forma do art. 163 da Lei nº 14.133/21.</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keepNext w:val="true"/>
        <w:keepLines w:val="true"/>
        <w:numPr>
          <w:ilvl w:val="0"/>
          <w:numId w:val="289"/>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PRIMEIRA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DO DESCREDENCIAMENTO E DA EXTIN</w:t>
      </w:r>
      <w:r>
        <w:rPr>
          <w:rFonts w:ascii="Calibri" w:hAnsi="Calibri" w:cs="Calibri" w:eastAsia="Calibri"/>
          <w:b/>
          <w:color w:val="000000"/>
          <w:spacing w:val="0"/>
          <w:position w:val="0"/>
          <w:sz w:val="22"/>
          <w:shd w:fill="C6D9F1" w:val="clear"/>
        </w:rPr>
        <w:t xml:space="preserve">ÇÃO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descredenciamento poderá ocorrer por pedido formal da Credenciada, perda das condições de habilitação, descumprimento injustificado das obrigações assumidas, aplicação de sanção superveniente que impeça a contratação ou outra hipótese prevista neste Termo, no Edital ou na legislação aplicável.</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pedido de descredenciamento não desincumbe a Credenciada do cumprimento dos atendimentos e obrigações já assumidos nem das responsabilidades decorrentes da execução anterior.</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Nas hipóteses de perda das condições de habilitação ou descumprimento imputável à Credenciada, o descredenciamento será precedido de processo administrativo, assegurados o contraditório e a ampla defesa, sem prejuízo da aplicação das sanções cabíveis.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extinção do Termo de Credenciamento/Contrato observará as hipóteses, procedimentos e efeitos previstos nos arts. 137 a 139 da Lei nº 14.133/2021 e nas demais normas aplicáveis.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extinção ou o descredenciamento não prejudicará a apuração de responsabilidades nem o pagamento das parcelas regularmente executadas e aceitas, observadas as condições de liquidação e as eventuais glosas.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Quando tecnicamente possível e no interesse do usuário, a Fundação adotará as providências necessárias para assegurar a continuidade assistencial dos atendimentos em curso, inclusive mediante nova escolha do prestador pelo beneficiário, quando aplicável.</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 descredenciamento implicará a retirada do prestador da relação disponibilizada aos beneficiários para novas escolhas e novos encaminhamentos.</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Cessada a causa impeditiva, poderá ser apresentado novo requerimento de credenciamento, desde que atendidas integralmente as condições vigentes do Edital.</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 revogação ou anulação do Edital de credenciamento observará a legislação aplicável e não afastará, por si só, os efeitos dos instrumentos já celebrados, salvo quando a lei ou a decisão administrativa competente determinar o contrário.</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auto"/>
          <w:spacing w:val="0"/>
          <w:position w:val="0"/>
          <w:sz w:val="22"/>
          <w:shd w:fill="auto" w:val="clear"/>
        </w:rPr>
        <w:t xml:space="preserve">As disposições desta cláusula aplicam-se sem prejuízo das medidas específicas de proteção à segurança do paciente, à continuidade do cuidado e ao interesse público.</w:t>
      </w:r>
    </w:p>
    <w:p>
      <w:pPr>
        <w:keepNext w:val="true"/>
        <w:keepLines w:val="true"/>
        <w:numPr>
          <w:ilvl w:val="0"/>
          <w:numId w:val="289"/>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SEGUNDA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DOTA</w:t>
      </w:r>
      <w:r>
        <w:rPr>
          <w:rFonts w:ascii="Calibri" w:hAnsi="Calibri" w:cs="Calibri" w:eastAsia="Calibri"/>
          <w:b/>
          <w:color w:val="000000"/>
          <w:spacing w:val="0"/>
          <w:position w:val="0"/>
          <w:sz w:val="22"/>
          <w:shd w:fill="C6D9F1" w:val="clear"/>
        </w:rPr>
        <w:t xml:space="preserve">ÇÃO ORÇAMENTÁRIA</w:t>
      </w:r>
    </w:p>
    <w:p>
      <w:pPr>
        <w:numPr>
          <w:ilvl w:val="0"/>
          <w:numId w:val="289"/>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As despesas decorrentes do presente credenciamento correrão à conta de dotação orçamentária constante do orçamento vigente sob as seguintes rubricas:</w:t>
      </w:r>
    </w:p>
    <w:p>
      <w:pPr>
        <w:spacing w:before="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DOTAÇÃO ORÇAMENTÁRIA:</w:t>
      </w:r>
    </w:p>
    <w:tbl>
      <w:tblPr/>
      <w:tblGrid>
        <w:gridCol w:w="4501"/>
        <w:gridCol w:w="1956"/>
        <w:gridCol w:w="3171"/>
      </w:tblGrid>
      <w:tr>
        <w:trPr>
          <w:trHeight w:val="1" w:hRule="atLeast"/>
          <w:jc w:val="left"/>
        </w:trPr>
        <w:tc>
          <w:tcPr>
            <w:tcW w:w="4501" w:type="dxa"/>
            <w:tcBorders>
              <w:top w:val="single" w:color="dbe5f1" w:sz="4"/>
              <w:left w:val="single" w:color="dbe5f1" w:sz="4"/>
              <w:bottom w:val="single" w:color="dbe5f1" w:sz="4"/>
              <w:right w:val="single" w:color="dbe5f1" w:sz="4"/>
            </w:tcBorders>
            <w:shd w:color="000000" w:fill="ffffff" w:val="clear"/>
            <w:tcMar>
              <w:left w:w="108" w:type="dxa"/>
              <w:right w:w="108" w:type="dxa"/>
            </w:tcMar>
            <w:vAlign w:val="center"/>
          </w:tcPr>
          <w:p>
            <w:pPr>
              <w:spacing w:before="0" w:after="240" w:line="240"/>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Dotação</w:t>
            </w:r>
          </w:p>
        </w:tc>
        <w:tc>
          <w:tcPr>
            <w:tcW w:w="1956" w:type="dxa"/>
            <w:tcBorders>
              <w:top w:val="single" w:color="dbe5f1" w:sz="4"/>
              <w:left w:val="single" w:color="dbe5f1" w:sz="4"/>
              <w:bottom w:val="single" w:color="dbe5f1" w:sz="4"/>
              <w:right w:val="single" w:color="dbe5f1" w:sz="4"/>
            </w:tcBorders>
            <w:shd w:color="000000" w:fill="ffffff" w:val="clear"/>
            <w:tcMar>
              <w:left w:w="108" w:type="dxa"/>
              <w:right w:w="108" w:type="dxa"/>
            </w:tcMar>
            <w:vAlign w:val="center"/>
          </w:tcPr>
          <w:p>
            <w:pPr>
              <w:spacing w:before="0" w:after="240" w:line="240"/>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Fonte</w:t>
            </w:r>
          </w:p>
        </w:tc>
        <w:tc>
          <w:tcPr>
            <w:tcW w:w="3171" w:type="dxa"/>
            <w:tcBorders>
              <w:top w:val="single" w:color="dbe5f1" w:sz="4"/>
              <w:left w:val="single" w:color="dbe5f1" w:sz="4"/>
              <w:bottom w:val="single" w:color="dbe5f1" w:sz="4"/>
              <w:right w:val="single" w:color="dbe5f1" w:sz="4"/>
            </w:tcBorders>
            <w:shd w:color="000000" w:fill="ffffff" w:val="clear"/>
            <w:tcMar>
              <w:left w:w="108" w:type="dxa"/>
              <w:right w:w="108" w:type="dxa"/>
            </w:tcMar>
            <w:vAlign w:val="center"/>
          </w:tcPr>
          <w:p>
            <w:pPr>
              <w:spacing w:before="0" w:after="240" w:line="240"/>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Descrição</w:t>
            </w:r>
          </w:p>
        </w:tc>
      </w:tr>
      <w:tr>
        <w:trPr>
          <w:trHeight w:val="1" w:hRule="atLeast"/>
          <w:jc w:val="left"/>
        </w:trPr>
        <w:tc>
          <w:tcPr>
            <w:tcW w:w="4501"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240" w:line="240"/>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3.3.90.39.00.3.01.02.10.302.0020.2.0112</w:t>
            </w:r>
          </w:p>
        </w:tc>
        <w:tc>
          <w:tcPr>
            <w:tcW w:w="195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240" w:line="240"/>
              <w:ind w:right="0" w:left="0" w:firstLine="0"/>
              <w:jc w:val="center"/>
              <w:rPr>
                <w:rFonts w:ascii="Calibri" w:hAnsi="Calibri" w:cs="Calibri" w:eastAsia="Calibri"/>
                <w:spacing w:val="0"/>
                <w:position w:val="0"/>
                <w:sz w:val="22"/>
                <w:shd w:fill="auto" w:val="clear"/>
              </w:rPr>
            </w:pPr>
            <w:r>
              <w:rPr>
                <w:rFonts w:ascii="Calibri" w:hAnsi="Calibri" w:cs="Calibri" w:eastAsia="Calibri"/>
                <w:b/>
                <w:color w:val="000000"/>
                <w:spacing w:val="0"/>
                <w:position w:val="0"/>
                <w:sz w:val="22"/>
                <w:shd w:fill="auto" w:val="clear"/>
              </w:rPr>
              <w:t xml:space="preserve">1.500.000</w:t>
            </w:r>
          </w:p>
        </w:tc>
        <w:tc>
          <w:tcPr>
            <w:tcW w:w="3171"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center"/>
          </w:tcPr>
          <w:p>
            <w:pPr>
              <w:spacing w:before="0" w:after="24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MANUTENÇÃO DAS ATIVIDADES HOSPITALARES</w:t>
            </w:r>
          </w:p>
        </w:tc>
      </w:tr>
    </w:tbl>
    <w:p>
      <w:pPr>
        <w:keepNext w:val="true"/>
        <w:keepLines w:val="true"/>
        <w:numPr>
          <w:ilvl w:val="0"/>
          <w:numId w:val="305"/>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TERCEIRA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DOS CASOS OMISSOS</w:t>
      </w:r>
    </w:p>
    <w:p>
      <w:pPr>
        <w:numPr>
          <w:ilvl w:val="0"/>
          <w:numId w:val="305"/>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Os casos omissos serão decididos pelo Contratante à luz da Lei nº 14.133/2021, do Decreto Municipal nº 553/2024, das normas específicas do SUS e da legislação sanitária aplicável, bem como dos princípios gerais do direito administrativo e, subsidiariamente, das demais normas pertinentes.</w:t>
      </w:r>
    </w:p>
    <w:p>
      <w:pPr>
        <w:keepNext w:val="true"/>
        <w:keepLines w:val="true"/>
        <w:numPr>
          <w:ilvl w:val="0"/>
          <w:numId w:val="305"/>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QUARTA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DISPOSI</w:t>
      </w:r>
      <w:r>
        <w:rPr>
          <w:rFonts w:ascii="Calibri" w:hAnsi="Calibri" w:cs="Calibri" w:eastAsia="Calibri"/>
          <w:b/>
          <w:color w:val="000000"/>
          <w:spacing w:val="0"/>
          <w:position w:val="0"/>
          <w:sz w:val="22"/>
          <w:shd w:fill="C6D9F1" w:val="clear"/>
        </w:rPr>
        <w:t xml:space="preserve">ÇÕES GERAIS</w:t>
      </w:r>
    </w:p>
    <w:p>
      <w:pPr>
        <w:numPr>
          <w:ilvl w:val="0"/>
          <w:numId w:val="305"/>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pPr>
        <w:numPr>
          <w:ilvl w:val="0"/>
          <w:numId w:val="305"/>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Todas as condições e exigências que constam do Edital de Credenciamento, fazem parte integrante do presente termo, como se aqui estivessem transcritos.</w:t>
      </w:r>
    </w:p>
    <w:p>
      <w:pPr>
        <w:keepNext w:val="true"/>
        <w:keepLines w:val="true"/>
        <w:numPr>
          <w:ilvl w:val="0"/>
          <w:numId w:val="305"/>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QUINTA </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PUBLICA</w:t>
      </w:r>
      <w:r>
        <w:rPr>
          <w:rFonts w:ascii="Calibri" w:hAnsi="Calibri" w:cs="Calibri" w:eastAsia="Calibri"/>
          <w:b/>
          <w:color w:val="000000"/>
          <w:spacing w:val="0"/>
          <w:position w:val="0"/>
          <w:sz w:val="22"/>
          <w:shd w:fill="C6D9F1" w:val="clear"/>
        </w:rPr>
        <w:t xml:space="preserve">ÇÃO</w:t>
      </w:r>
    </w:p>
    <w:p>
      <w:pPr>
        <w:numPr>
          <w:ilvl w:val="0"/>
          <w:numId w:val="305"/>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Incumbirá ao Contratante divulgar o presente instrumento no Portal Nacional de Contratações Públicas (PNCP), no Diário Oficial do Município e no sítio eletrônico oficial, observados os arts. 91 e 94 da Lei nº 14.133/2021, o Decreto Municipal nº 553/2024 e as demais normas de publicidade e transparência aplicáveis.</w:t>
      </w:r>
    </w:p>
    <w:p>
      <w:pPr>
        <w:keepNext w:val="true"/>
        <w:keepLines w:val="true"/>
        <w:numPr>
          <w:ilvl w:val="0"/>
          <w:numId w:val="305"/>
        </w:numPr>
        <w:spacing w:before="0" w:after="240" w:line="240"/>
        <w:ind w:right="0" w:left="0" w:firstLine="0"/>
        <w:jc w:val="both"/>
        <w:rPr>
          <w:rFonts w:ascii="Calibri" w:hAnsi="Calibri" w:cs="Calibri" w:eastAsia="Calibri"/>
          <w:color w:val="000000"/>
          <w:spacing w:val="0"/>
          <w:position w:val="0"/>
          <w:sz w:val="22"/>
          <w:shd w:fill="C6D9F1" w:val="clear"/>
        </w:rPr>
      </w:pPr>
      <w:r>
        <w:rPr>
          <w:rFonts w:ascii="Calibri" w:hAnsi="Calibri" w:cs="Calibri" w:eastAsia="Calibri"/>
          <w:b/>
          <w:color w:val="000000"/>
          <w:spacing w:val="0"/>
          <w:position w:val="0"/>
          <w:sz w:val="22"/>
          <w:shd w:fill="C6D9F1" w:val="clear"/>
        </w:rPr>
        <w:t xml:space="preserve">CLÁUSULA DÉCIMA SEXTA</w:t>
      </w:r>
      <w:r>
        <w:rPr>
          <w:rFonts w:ascii="Calibri" w:hAnsi="Calibri" w:cs="Calibri" w:eastAsia="Calibri"/>
          <w:b/>
          <w:color w:val="000000"/>
          <w:spacing w:val="0"/>
          <w:position w:val="0"/>
          <w:sz w:val="22"/>
          <w:shd w:fill="C6D9F1" w:val="clear"/>
        </w:rPr>
        <w:t xml:space="preserve">–</w:t>
      </w:r>
      <w:r>
        <w:rPr>
          <w:rFonts w:ascii="Calibri" w:hAnsi="Calibri" w:cs="Calibri" w:eastAsia="Calibri"/>
          <w:b/>
          <w:color w:val="000000"/>
          <w:spacing w:val="0"/>
          <w:position w:val="0"/>
          <w:sz w:val="22"/>
          <w:shd w:fill="C6D9F1" w:val="clear"/>
        </w:rPr>
        <w:t xml:space="preserve"> FORO</w:t>
      </w:r>
    </w:p>
    <w:p>
      <w:pPr>
        <w:numPr>
          <w:ilvl w:val="0"/>
          <w:numId w:val="305"/>
        </w:numPr>
        <w:spacing w:before="0" w:after="240" w:line="240"/>
        <w:ind w:right="0" w:left="0" w:firstLine="0"/>
        <w:jc w:val="both"/>
        <w:rPr>
          <w:rFonts w:ascii="Ecofont_Spranq_eco_Sans" w:hAnsi="Ecofont_Spranq_eco_Sans" w:cs="Ecofont_Spranq_eco_Sans" w:eastAsia="Ecofont_Spranq_eco_Sans"/>
          <w:color w:val="auto"/>
          <w:spacing w:val="0"/>
          <w:position w:val="0"/>
          <w:sz w:val="24"/>
          <w:shd w:fill="auto" w:val="clear"/>
        </w:rPr>
      </w:pPr>
      <w:r>
        <w:rPr>
          <w:rFonts w:ascii="Calibri" w:hAnsi="Calibri" w:cs="Calibri" w:eastAsia="Calibri"/>
          <w:color w:val="000000"/>
          <w:spacing w:val="0"/>
          <w:position w:val="0"/>
          <w:sz w:val="22"/>
          <w:shd w:fill="auto" w:val="clear"/>
        </w:rPr>
        <w:t xml:space="preserve">Fica eleito o Foro da Comarca de Teixeiras, para dirimir os litígios que decorrerem da execução deste Termo de Contrato que não puderem ser compostos pela conciliação, conforme art. 92, §1º, da Lei nº 14.133/21.</w:t>
      </w:r>
    </w:p>
    <w:p>
      <w:pPr>
        <w:spacing w:before="0" w:after="240" w:line="24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Teixeiras, xx de xxxxxxxxxxxxxx de 2026</w:t>
      </w:r>
    </w:p>
    <w:p>
      <w:pPr>
        <w:spacing w:before="0" w:after="24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_________________________</w:t>
      </w:r>
    </w:p>
    <w:p>
      <w:pPr>
        <w:spacing w:before="0" w:after="24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Representante legal do CONTRATANTE</w:t>
      </w:r>
    </w:p>
    <w:p>
      <w:pPr>
        <w:spacing w:before="0" w:after="24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_________________________</w:t>
      </w:r>
    </w:p>
    <w:p>
      <w:pPr>
        <w:spacing w:before="0" w:after="24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Representante legal do CONTRATADO</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num w:numId="4">
    <w:abstractNumId w:val="228"/>
  </w:num>
  <w:num w:numId="96">
    <w:abstractNumId w:val="222"/>
  </w:num>
  <w:num w:numId="106">
    <w:abstractNumId w:val="216"/>
  </w:num>
  <w:num w:numId="108">
    <w:abstractNumId w:val="210"/>
  </w:num>
  <w:num w:numId="110">
    <w:abstractNumId w:val="204"/>
  </w:num>
  <w:num w:numId="120">
    <w:abstractNumId w:val="198"/>
  </w:num>
  <w:num w:numId="123">
    <w:abstractNumId w:val="192"/>
  </w:num>
  <w:num w:numId="125">
    <w:abstractNumId w:val="186"/>
  </w:num>
  <w:num w:numId="127">
    <w:abstractNumId w:val="180"/>
  </w:num>
  <w:num w:numId="129">
    <w:abstractNumId w:val="174"/>
  </w:num>
  <w:num w:numId="131">
    <w:abstractNumId w:val="168"/>
  </w:num>
  <w:num w:numId="135">
    <w:abstractNumId w:val="162"/>
  </w:num>
  <w:num w:numId="137">
    <w:abstractNumId w:val="156"/>
  </w:num>
  <w:num w:numId="143">
    <w:abstractNumId w:val="150"/>
  </w:num>
  <w:num w:numId="145">
    <w:abstractNumId w:val="144"/>
  </w:num>
  <w:num w:numId="147">
    <w:abstractNumId w:val="138"/>
  </w:num>
  <w:num w:numId="151">
    <w:abstractNumId w:val="132"/>
  </w:num>
  <w:num w:numId="153">
    <w:abstractNumId w:val="126"/>
  </w:num>
  <w:num w:numId="155">
    <w:abstractNumId w:val="120"/>
  </w:num>
  <w:num w:numId="157">
    <w:abstractNumId w:val="114"/>
  </w:num>
  <w:num w:numId="168">
    <w:abstractNumId w:val="108"/>
  </w:num>
  <w:num w:numId="170">
    <w:abstractNumId w:val="102"/>
  </w:num>
  <w:num w:numId="172">
    <w:abstractNumId w:val="96"/>
  </w:num>
  <w:num w:numId="174">
    <w:abstractNumId w:val="90"/>
  </w:num>
  <w:num w:numId="176">
    <w:abstractNumId w:val="84"/>
  </w:num>
  <w:num w:numId="178">
    <w:abstractNumId w:val="78"/>
  </w:num>
  <w:num w:numId="180">
    <w:abstractNumId w:val="72"/>
  </w:num>
  <w:num w:numId="182">
    <w:abstractNumId w:val="66"/>
  </w:num>
  <w:num w:numId="184">
    <w:abstractNumId w:val="60"/>
  </w:num>
  <w:num w:numId="186">
    <w:abstractNumId w:val="54"/>
  </w:num>
  <w:num w:numId="188">
    <w:abstractNumId w:val="48"/>
  </w:num>
  <w:num w:numId="190">
    <w:abstractNumId w:val="42"/>
  </w:num>
  <w:num w:numId="192">
    <w:abstractNumId w:val="36"/>
  </w:num>
  <w:num w:numId="253">
    <w:abstractNumId w:val="30"/>
  </w:num>
  <w:num w:numId="261">
    <w:abstractNumId w:val="24"/>
  </w:num>
  <w:num w:numId="272">
    <w:abstractNumId w:val="18"/>
  </w:num>
  <w:num w:numId="287">
    <w:abstractNumId w:val="12"/>
  </w:num>
  <w:num w:numId="289">
    <w:abstractNumId w:val="6"/>
  </w:num>
  <w:num w:numId="30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planalto.gov.br/ccivil_03/_ato2019-2022/2021/lei/L14133.htm" Id="docRId17" Type="http://schemas.openxmlformats.org/officeDocument/2006/relationships/hyperlink" /><Relationship TargetMode="External" Target="https://www.portaldecompraspublicas.com.br/" Id="docRId7" Type="http://schemas.openxmlformats.org/officeDocument/2006/relationships/hyperlink" /><Relationship TargetMode="External" Target="http://normas.receita.fazenda.gov.br/sijut2consulta/link.action?visao=anotado&amp;idAto=56753" Id="docRId14" Type="http://schemas.openxmlformats.org/officeDocument/2006/relationships/hyperlink" /><Relationship TargetMode="External" Target="https://www.planalto.gov.br/ccivil_03/leis/l8213cons.htm" Id="docRId6" Type="http://schemas.openxmlformats.org/officeDocument/2006/relationships/hyperlink" /><Relationship TargetMode="External" Target="http://sigtap.datasus.gov.br/tabela-unificada/app/sec/inicio.jsp" Id="docRId1" Type="http://schemas.openxmlformats.org/officeDocument/2006/relationships/hyperlink" /><Relationship TargetMode="External" Target="https://www.portaldecompraspublicas.com.br/" Id="docRId11" Type="http://schemas.openxmlformats.org/officeDocument/2006/relationships/hyperlink" /><Relationship TargetMode="External" Target="http://www.planalto.gov.br/ccivil_03/_ato2019-2022/2021/lei/L14133.htm" Id="docRId15" Type="http://schemas.openxmlformats.org/officeDocument/2006/relationships/hyperlink" /><Relationship Target="numbering.xml" Id="docRId19" Type="http://schemas.openxmlformats.org/officeDocument/2006/relationships/numbering" /><Relationship TargetMode="External" Target="https://www.planalto.gov.br/ccivil_03/constituicao/constituicao.htm" Id="docRId5" Type="http://schemas.openxmlformats.org/officeDocument/2006/relationships/hyperlink" /><Relationship TargetMode="External" Target="https://www.portaldecompraspublicas.com.br/" Id="docRId9" Type="http://schemas.openxmlformats.org/officeDocument/2006/relationships/hyperlink" /><Relationship TargetMode="External" Target="https://www.portaldecompraspublicas.com.br/" Id="docRId0" Type="http://schemas.openxmlformats.org/officeDocument/2006/relationships/hyperlink" /><Relationship TargetMode="External" Target="https://www.portaldecompraspublicas.com.br/" Id="docRId12" Type="http://schemas.openxmlformats.org/officeDocument/2006/relationships/hyperlink" /><Relationship TargetMode="External" Target="http://www.planalto.gov.br/ccivil_03/_ato2019-2022/2021/lei/L14133.htm" Id="docRId16" Type="http://schemas.openxmlformats.org/officeDocument/2006/relationships/hyperlink" /><Relationship TargetMode="External" Target="https://www.planalto.gov.br/ccivil_03/constituicao/constituicao.htm" Id="docRId4" Type="http://schemas.openxmlformats.org/officeDocument/2006/relationships/hyperlink" /><Relationship TargetMode="External" Target="https://www.portaldecompraspublicas.com.br/" Id="docRId8" Type="http://schemas.openxmlformats.org/officeDocument/2006/relationships/hyperlink" /><Relationship TargetMode="External" Target="https://www.teixeiras.mg.gov.br/index.php/licitacoes/editais-de-licitacao" Id="docRId13" Type="http://schemas.openxmlformats.org/officeDocument/2006/relationships/hyperlink" /><Relationship Target="styles.xml" Id="docRId20" Type="http://schemas.openxmlformats.org/officeDocument/2006/relationships/styles" /><Relationship TargetMode="External" Target="https://www.planalto.gov.br/ccivil_03/constituicao/constituicao.htm" Id="docRId3" Type="http://schemas.openxmlformats.org/officeDocument/2006/relationships/hyperlink" /><Relationship TargetMode="External" Target="https://www.planalto.gov.br/ccivil_03/LEIS/LCP/Lcp123.htm" Id="docRId10" Type="http://schemas.openxmlformats.org/officeDocument/2006/relationships/hyperlink" /><Relationship TargetMode="External" Target="http://www.planalto.gov.br/ccivil_03/_ato2019-2022/2021/lei/L14133.htm" Id="docRId18" Type="http://schemas.openxmlformats.org/officeDocument/2006/relationships/hyperlink" /><Relationship TargetMode="External" Target="https://www.planalto.gov.br/ccivil_03/leis/lcp/lcp123.htm" Id="docRId2" Type="http://schemas.openxmlformats.org/officeDocument/2006/relationships/hyperlink" /></Relationships>
</file>