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1EBA2" w14:textId="3F36EBA4" w:rsidR="005C2634" w:rsidRPr="005002EA" w:rsidRDefault="005C2634" w:rsidP="005C2634">
      <w:pPr>
        <w:spacing w:line="360" w:lineRule="auto"/>
        <w:jc w:val="center"/>
        <w:rPr>
          <w:rFonts w:ascii="Arial" w:hAnsi="Arial" w:cs="Arial"/>
          <w:b/>
        </w:rPr>
      </w:pPr>
      <w:r w:rsidRPr="005002EA">
        <w:rPr>
          <w:rFonts w:ascii="Arial" w:hAnsi="Arial" w:cs="Arial"/>
          <w:b/>
        </w:rPr>
        <w:t xml:space="preserve">DECISÃO </w:t>
      </w:r>
      <w:r w:rsidR="00C3405E">
        <w:rPr>
          <w:rFonts w:ascii="Arial" w:hAnsi="Arial" w:cs="Arial"/>
          <w:b/>
        </w:rPr>
        <w:t>ADMINITRATIVA</w:t>
      </w:r>
    </w:p>
    <w:p w14:paraId="45098815" w14:textId="2A6281FB" w:rsidR="005C2634" w:rsidRDefault="005C2634" w:rsidP="005C2634">
      <w:pPr>
        <w:spacing w:line="360" w:lineRule="auto"/>
        <w:jc w:val="center"/>
        <w:rPr>
          <w:rFonts w:ascii="Arial" w:hAnsi="Arial" w:cs="Arial"/>
          <w:b/>
        </w:rPr>
      </w:pPr>
      <w:r w:rsidRPr="005002EA">
        <w:rPr>
          <w:rFonts w:ascii="Arial" w:hAnsi="Arial" w:cs="Arial"/>
          <w:b/>
        </w:rPr>
        <w:t xml:space="preserve">RESPOSTA </w:t>
      </w:r>
      <w:r w:rsidR="00C3405E">
        <w:rPr>
          <w:rFonts w:ascii="Arial" w:hAnsi="Arial" w:cs="Arial"/>
          <w:b/>
        </w:rPr>
        <w:t>À</w:t>
      </w:r>
      <w:r w:rsidR="002C399D">
        <w:rPr>
          <w:rFonts w:ascii="Arial" w:hAnsi="Arial" w:cs="Arial"/>
          <w:b/>
        </w:rPr>
        <w:t>O</w:t>
      </w:r>
      <w:r w:rsidR="003C16F0">
        <w:rPr>
          <w:rFonts w:ascii="Arial" w:hAnsi="Arial" w:cs="Arial"/>
          <w:b/>
        </w:rPr>
        <w:t xml:space="preserve"> RECURSO</w:t>
      </w:r>
      <w:r w:rsidR="002C399D">
        <w:rPr>
          <w:rFonts w:ascii="Arial" w:hAnsi="Arial" w:cs="Arial"/>
          <w:b/>
        </w:rPr>
        <w:t xml:space="preserve"> ADMINISTRATIVO</w:t>
      </w:r>
    </w:p>
    <w:p w14:paraId="19B66C7E" w14:textId="77777777" w:rsidR="005C2634" w:rsidRPr="005002EA" w:rsidRDefault="005C2634" w:rsidP="005C2634">
      <w:pPr>
        <w:spacing w:line="360" w:lineRule="auto"/>
        <w:ind w:firstLine="708"/>
        <w:jc w:val="both"/>
        <w:rPr>
          <w:rFonts w:ascii="Arial" w:hAnsi="Arial" w:cs="Arial"/>
        </w:rPr>
      </w:pPr>
    </w:p>
    <w:p w14:paraId="514274E4" w14:textId="77777777" w:rsidR="009B2E62" w:rsidRPr="00202454" w:rsidRDefault="009B2E62" w:rsidP="00DE1C69">
      <w:pPr>
        <w:pStyle w:val="Corpodetexto"/>
        <w:spacing w:after="240" w:line="360" w:lineRule="auto"/>
        <w:ind w:left="2268" w:hanging="2268"/>
        <w:jc w:val="both"/>
        <w:rPr>
          <w:rFonts w:ascii="Arial" w:hAnsi="Arial" w:cs="Arial"/>
          <w:bCs/>
        </w:rPr>
      </w:pPr>
      <w:r w:rsidRPr="00202454">
        <w:rPr>
          <w:rFonts w:ascii="Arial" w:hAnsi="Arial" w:cs="Arial"/>
          <w:b/>
        </w:rPr>
        <w:t xml:space="preserve">ASSUNTO: </w:t>
      </w:r>
      <w:r w:rsidRPr="00202454">
        <w:rPr>
          <w:rFonts w:ascii="Arial" w:hAnsi="Arial" w:cs="Arial"/>
          <w:b/>
        </w:rPr>
        <w:tab/>
      </w:r>
      <w:r>
        <w:rPr>
          <w:rFonts w:ascii="Arial" w:hAnsi="Arial" w:cs="Arial"/>
          <w:bCs/>
        </w:rPr>
        <w:t>A</w:t>
      </w:r>
      <w:r w:rsidRPr="00202454">
        <w:rPr>
          <w:rFonts w:ascii="Arial" w:hAnsi="Arial" w:cs="Arial"/>
          <w:bCs/>
        </w:rPr>
        <w:t>nálise de recurso administrativo e contrarrazões</w:t>
      </w:r>
    </w:p>
    <w:p w14:paraId="5F8FAF30" w14:textId="3A11D13D" w:rsidR="009B2E62" w:rsidRPr="00202454" w:rsidRDefault="009B2E62" w:rsidP="00DE1C69">
      <w:pPr>
        <w:pStyle w:val="Corpodetexto"/>
        <w:spacing w:after="240" w:line="360" w:lineRule="auto"/>
        <w:ind w:left="2268" w:hanging="2268"/>
        <w:jc w:val="both"/>
        <w:rPr>
          <w:rFonts w:ascii="Arial" w:hAnsi="Arial" w:cs="Arial"/>
          <w:bCs/>
        </w:rPr>
      </w:pPr>
      <w:r w:rsidRPr="00202454">
        <w:rPr>
          <w:rFonts w:ascii="Arial" w:hAnsi="Arial" w:cs="Arial"/>
          <w:b/>
        </w:rPr>
        <w:t xml:space="preserve">REFERENCIA: </w:t>
      </w:r>
      <w:r w:rsidRPr="00202454">
        <w:rPr>
          <w:rFonts w:ascii="Arial" w:hAnsi="Arial" w:cs="Arial"/>
          <w:b/>
        </w:rPr>
        <w:tab/>
      </w:r>
      <w:r w:rsidRPr="00202454">
        <w:rPr>
          <w:rFonts w:ascii="Arial" w:hAnsi="Arial" w:cs="Arial"/>
          <w:bCs/>
        </w:rPr>
        <w:t xml:space="preserve">Processo Licitatório N° </w:t>
      </w:r>
      <w:r w:rsidR="00DE1C69">
        <w:rPr>
          <w:rFonts w:ascii="Arial" w:hAnsi="Arial" w:cs="Arial"/>
          <w:bCs/>
        </w:rPr>
        <w:t>096</w:t>
      </w:r>
      <w:r w:rsidR="00A11480">
        <w:rPr>
          <w:rFonts w:ascii="Arial" w:hAnsi="Arial" w:cs="Arial"/>
          <w:bCs/>
        </w:rPr>
        <w:t>/</w:t>
      </w:r>
      <w:r w:rsidRPr="00202454">
        <w:rPr>
          <w:rFonts w:ascii="Arial" w:hAnsi="Arial" w:cs="Arial"/>
          <w:bCs/>
        </w:rPr>
        <w:t>202</w:t>
      </w:r>
      <w:r w:rsidR="00C3405E">
        <w:rPr>
          <w:rFonts w:ascii="Arial" w:hAnsi="Arial" w:cs="Arial"/>
          <w:bCs/>
        </w:rPr>
        <w:t>5</w:t>
      </w:r>
    </w:p>
    <w:p w14:paraId="2640A52C" w14:textId="7DA9838B" w:rsidR="009B2E62" w:rsidRPr="00202454" w:rsidRDefault="009B2E62" w:rsidP="00DE1C69">
      <w:pPr>
        <w:pStyle w:val="Corpodetexto"/>
        <w:spacing w:after="240" w:line="360" w:lineRule="auto"/>
        <w:ind w:left="2268"/>
        <w:jc w:val="both"/>
        <w:rPr>
          <w:rFonts w:ascii="Arial" w:hAnsi="Arial" w:cs="Arial"/>
          <w:bCs/>
        </w:rPr>
      </w:pPr>
      <w:r w:rsidRPr="00202454">
        <w:rPr>
          <w:rFonts w:ascii="Arial" w:hAnsi="Arial" w:cs="Arial"/>
          <w:bCs/>
        </w:rPr>
        <w:t xml:space="preserve">Edital </w:t>
      </w:r>
      <w:r>
        <w:rPr>
          <w:rFonts w:ascii="Arial" w:hAnsi="Arial" w:cs="Arial"/>
          <w:bCs/>
        </w:rPr>
        <w:t>d</w:t>
      </w:r>
      <w:r w:rsidRPr="00202454">
        <w:rPr>
          <w:rFonts w:ascii="Arial" w:hAnsi="Arial" w:cs="Arial"/>
          <w:bCs/>
        </w:rPr>
        <w:t xml:space="preserve">e </w:t>
      </w:r>
      <w:r w:rsidR="000C1A87">
        <w:rPr>
          <w:rFonts w:ascii="Arial" w:hAnsi="Arial" w:cs="Arial"/>
          <w:bCs/>
        </w:rPr>
        <w:t xml:space="preserve">Pregão </w:t>
      </w:r>
      <w:r w:rsidR="00C3405E">
        <w:rPr>
          <w:rFonts w:ascii="Arial" w:hAnsi="Arial" w:cs="Arial"/>
          <w:bCs/>
        </w:rPr>
        <w:t>Presencial</w:t>
      </w:r>
      <w:r w:rsidR="00644BCC">
        <w:rPr>
          <w:rFonts w:ascii="Arial" w:hAnsi="Arial" w:cs="Arial"/>
          <w:bCs/>
        </w:rPr>
        <w:t xml:space="preserve"> </w:t>
      </w:r>
      <w:r w:rsidRPr="00202454">
        <w:rPr>
          <w:rFonts w:ascii="Arial" w:hAnsi="Arial" w:cs="Arial"/>
          <w:bCs/>
        </w:rPr>
        <w:t xml:space="preserve">N° </w:t>
      </w:r>
      <w:r w:rsidR="00DE1C69">
        <w:rPr>
          <w:rFonts w:ascii="Arial" w:hAnsi="Arial" w:cs="Arial"/>
          <w:bCs/>
        </w:rPr>
        <w:t>025/</w:t>
      </w:r>
      <w:r w:rsidRPr="00202454">
        <w:rPr>
          <w:rFonts w:ascii="Arial" w:hAnsi="Arial" w:cs="Arial"/>
          <w:bCs/>
        </w:rPr>
        <w:t>202</w:t>
      </w:r>
      <w:r w:rsidR="00C3405E">
        <w:rPr>
          <w:rFonts w:ascii="Arial" w:hAnsi="Arial" w:cs="Arial"/>
          <w:bCs/>
        </w:rPr>
        <w:t>5</w:t>
      </w:r>
    </w:p>
    <w:p w14:paraId="2EB24B90" w14:textId="7187C9BC" w:rsidR="009B2E62" w:rsidRPr="00202454" w:rsidRDefault="009B2E62" w:rsidP="00DE1C69">
      <w:pPr>
        <w:pStyle w:val="Corpodetexto"/>
        <w:spacing w:after="240" w:line="360" w:lineRule="auto"/>
        <w:ind w:left="2268" w:hanging="2268"/>
        <w:jc w:val="both"/>
        <w:rPr>
          <w:rFonts w:ascii="Arial" w:hAnsi="Arial" w:cs="Arial"/>
          <w:bCs/>
        </w:rPr>
      </w:pPr>
      <w:r w:rsidRPr="00202454">
        <w:rPr>
          <w:rFonts w:ascii="Arial" w:hAnsi="Arial" w:cs="Arial"/>
          <w:b/>
        </w:rPr>
        <w:t xml:space="preserve">OBJETO: </w:t>
      </w:r>
      <w:r w:rsidRPr="00202454">
        <w:rPr>
          <w:rFonts w:ascii="Arial" w:hAnsi="Arial" w:cs="Arial"/>
          <w:b/>
        </w:rPr>
        <w:tab/>
      </w:r>
      <w:r w:rsidR="002C399D" w:rsidRPr="002C399D">
        <w:rPr>
          <w:rFonts w:ascii="Arial" w:hAnsi="Arial" w:cs="Arial"/>
          <w:lang w:val="pt-BR"/>
        </w:rPr>
        <w:t>Contratação de empresa especializada para prestação de serviços odontológicos de confecção de próteses dentárias, para atender às demandas de pacientes encaminhados pelos serviços de saúde bucal do Município de Perdigão/MG.</w:t>
      </w:r>
    </w:p>
    <w:p w14:paraId="50F17D9C" w14:textId="43649D8B" w:rsidR="009B2E62" w:rsidRDefault="009B2E62" w:rsidP="00DE1C69">
      <w:pPr>
        <w:pStyle w:val="Corpodetexto"/>
        <w:spacing w:after="240" w:line="360" w:lineRule="auto"/>
        <w:ind w:left="2268" w:hanging="2268"/>
        <w:jc w:val="both"/>
        <w:rPr>
          <w:rFonts w:ascii="Arial" w:hAnsi="Arial" w:cs="Arial"/>
          <w:bCs/>
          <w:lang w:val="pt-BR"/>
        </w:rPr>
      </w:pPr>
      <w:r w:rsidRPr="00202454">
        <w:rPr>
          <w:rFonts w:ascii="Arial" w:hAnsi="Arial" w:cs="Arial"/>
          <w:b/>
        </w:rPr>
        <w:t xml:space="preserve">RECORRENTE: </w:t>
      </w:r>
      <w:r w:rsidRPr="00202454">
        <w:rPr>
          <w:rFonts w:ascii="Arial" w:hAnsi="Arial" w:cs="Arial"/>
          <w:b/>
        </w:rPr>
        <w:tab/>
      </w:r>
      <w:r w:rsidR="00F52596" w:rsidRPr="00F52596">
        <w:rPr>
          <w:rFonts w:ascii="Arial" w:hAnsi="Arial" w:cs="Arial"/>
          <w:lang w:val="pt-BR"/>
        </w:rPr>
        <w:t>JOSÉ LUCIANO DOS REIS-ME</w:t>
      </w:r>
      <w:r w:rsidR="00F52596">
        <w:rPr>
          <w:rFonts w:ascii="Arial" w:hAnsi="Arial" w:cs="Arial"/>
          <w:lang w:val="pt-BR"/>
        </w:rPr>
        <w:t xml:space="preserve"> – </w:t>
      </w:r>
      <w:r w:rsidR="00F52596" w:rsidRPr="00F52596">
        <w:rPr>
          <w:rFonts w:ascii="Arial" w:hAnsi="Arial" w:cs="Arial"/>
          <w:lang w:val="pt-BR"/>
        </w:rPr>
        <w:t>CNPJ</w:t>
      </w:r>
      <w:r w:rsidR="00F52596">
        <w:rPr>
          <w:rFonts w:ascii="Arial" w:hAnsi="Arial" w:cs="Arial"/>
          <w:lang w:val="pt-BR"/>
        </w:rPr>
        <w:t xml:space="preserve"> </w:t>
      </w:r>
      <w:r w:rsidR="00F52596" w:rsidRPr="00F52596">
        <w:rPr>
          <w:rFonts w:ascii="Arial" w:hAnsi="Arial" w:cs="Arial"/>
          <w:lang w:val="pt-BR"/>
        </w:rPr>
        <w:t>nº 14.379.162/0001-97</w:t>
      </w:r>
      <w:r w:rsidR="00F52596">
        <w:rPr>
          <w:rFonts w:ascii="Arial" w:hAnsi="Arial" w:cs="Arial"/>
          <w:lang w:val="pt-BR"/>
        </w:rPr>
        <w:t xml:space="preserve"> </w:t>
      </w:r>
    </w:p>
    <w:p w14:paraId="225CBF82" w14:textId="77777777" w:rsidR="002C399D" w:rsidRPr="002C399D" w:rsidRDefault="00C04AA6" w:rsidP="002C399D">
      <w:pPr>
        <w:pStyle w:val="Corpodetexto"/>
        <w:spacing w:after="240" w:line="360" w:lineRule="auto"/>
        <w:ind w:left="2268" w:hanging="2268"/>
        <w:jc w:val="both"/>
        <w:rPr>
          <w:rFonts w:ascii="Arial" w:hAnsi="Arial" w:cs="Arial"/>
          <w:bCs/>
        </w:rPr>
      </w:pPr>
      <w:r>
        <w:rPr>
          <w:rFonts w:ascii="Arial" w:hAnsi="Arial" w:cs="Arial"/>
          <w:b/>
        </w:rPr>
        <w:t>RECORRIDA:</w:t>
      </w:r>
      <w:r>
        <w:rPr>
          <w:rFonts w:ascii="Arial" w:hAnsi="Arial" w:cs="Arial"/>
          <w:bCs/>
          <w:lang w:val="pt-BR"/>
        </w:rPr>
        <w:tab/>
      </w:r>
      <w:r w:rsidR="002C399D" w:rsidRPr="002C399D">
        <w:rPr>
          <w:rFonts w:ascii="Arial" w:hAnsi="Arial" w:cs="Arial"/>
          <w:bCs/>
        </w:rPr>
        <w:t>MESSIAS NETO PRÓTESES LTDA – CNPJ nº 34.466.074/0001-30</w:t>
      </w:r>
    </w:p>
    <w:p w14:paraId="255F8933" w14:textId="77777777" w:rsidR="009B2E62" w:rsidRDefault="009B2E62" w:rsidP="005C2634">
      <w:pPr>
        <w:spacing w:line="360" w:lineRule="auto"/>
        <w:ind w:firstLine="708"/>
        <w:jc w:val="both"/>
        <w:rPr>
          <w:rFonts w:ascii="Arial" w:hAnsi="Arial" w:cs="Arial"/>
        </w:rPr>
      </w:pPr>
    </w:p>
    <w:p w14:paraId="5D8961D4" w14:textId="024ED575" w:rsidR="005C2634" w:rsidRPr="005002EA" w:rsidRDefault="005C2634" w:rsidP="005C2634">
      <w:pPr>
        <w:spacing w:line="360" w:lineRule="auto"/>
        <w:ind w:firstLine="708"/>
        <w:jc w:val="both"/>
        <w:rPr>
          <w:rFonts w:ascii="Arial" w:hAnsi="Arial" w:cs="Arial"/>
        </w:rPr>
      </w:pPr>
      <w:r w:rsidRPr="005002EA">
        <w:rPr>
          <w:rFonts w:ascii="Arial" w:hAnsi="Arial" w:cs="Arial"/>
        </w:rPr>
        <w:t>Vistos,</w:t>
      </w:r>
    </w:p>
    <w:p w14:paraId="7A7AED4F" w14:textId="77777777" w:rsidR="005C2634" w:rsidRPr="005002EA" w:rsidRDefault="005C2634" w:rsidP="005C2634">
      <w:pPr>
        <w:spacing w:line="360" w:lineRule="auto"/>
        <w:ind w:firstLine="708"/>
        <w:jc w:val="both"/>
        <w:rPr>
          <w:rFonts w:ascii="Arial" w:hAnsi="Arial" w:cs="Arial"/>
        </w:rPr>
      </w:pPr>
    </w:p>
    <w:p w14:paraId="58EEF419" w14:textId="2E60481C" w:rsidR="005C2634" w:rsidRPr="005C2634" w:rsidRDefault="005416FB" w:rsidP="00C04AA6">
      <w:pPr>
        <w:spacing w:line="360" w:lineRule="auto"/>
        <w:ind w:firstLine="708"/>
        <w:jc w:val="both"/>
        <w:rPr>
          <w:rFonts w:ascii="Arial" w:hAnsi="Arial" w:cs="Arial"/>
          <w:b/>
        </w:rPr>
      </w:pPr>
      <w:r w:rsidRPr="005416FB">
        <w:rPr>
          <w:rFonts w:ascii="Arial" w:hAnsi="Arial" w:cs="Arial"/>
        </w:rPr>
        <w:t xml:space="preserve">Trata-se </w:t>
      </w:r>
      <w:r w:rsidR="009B2E62">
        <w:rPr>
          <w:rFonts w:ascii="Arial" w:hAnsi="Arial" w:cs="Arial"/>
        </w:rPr>
        <w:t>da</w:t>
      </w:r>
      <w:r w:rsidRPr="005416FB">
        <w:rPr>
          <w:rFonts w:ascii="Arial" w:hAnsi="Arial" w:cs="Arial"/>
        </w:rPr>
        <w:t xml:space="preserve"> análise d</w:t>
      </w:r>
      <w:r w:rsidR="008C5827">
        <w:rPr>
          <w:rFonts w:ascii="Arial" w:hAnsi="Arial" w:cs="Arial"/>
        </w:rPr>
        <w:t xml:space="preserve">o </w:t>
      </w:r>
      <w:r w:rsidR="009B2E62">
        <w:rPr>
          <w:rFonts w:ascii="Arial" w:hAnsi="Arial" w:cs="Arial"/>
        </w:rPr>
        <w:t>r</w:t>
      </w:r>
      <w:r w:rsidRPr="005416FB">
        <w:rPr>
          <w:rFonts w:ascii="Arial" w:hAnsi="Arial" w:cs="Arial"/>
        </w:rPr>
        <w:t>ecurs</w:t>
      </w:r>
      <w:r w:rsidR="00DF502A">
        <w:rPr>
          <w:rFonts w:ascii="Arial" w:hAnsi="Arial" w:cs="Arial"/>
        </w:rPr>
        <w:t>o</w:t>
      </w:r>
      <w:r w:rsidR="009B2E62">
        <w:rPr>
          <w:rFonts w:ascii="Arial" w:hAnsi="Arial" w:cs="Arial"/>
        </w:rPr>
        <w:t xml:space="preserve"> administrativo</w:t>
      </w:r>
      <w:r w:rsidR="005C2634">
        <w:rPr>
          <w:rFonts w:ascii="Arial" w:hAnsi="Arial" w:cs="Arial"/>
        </w:rPr>
        <w:t xml:space="preserve"> interposto</w:t>
      </w:r>
      <w:r w:rsidR="005C2634" w:rsidRPr="005002EA">
        <w:rPr>
          <w:rFonts w:ascii="Arial" w:hAnsi="Arial" w:cs="Arial"/>
        </w:rPr>
        <w:t xml:space="preserve"> pela empresa </w:t>
      </w:r>
      <w:r w:rsidR="00F52596" w:rsidRPr="00F52596">
        <w:rPr>
          <w:rFonts w:ascii="Arial" w:hAnsi="Arial" w:cs="Arial"/>
          <w:b/>
          <w:bCs/>
        </w:rPr>
        <w:t>JOSÉ LUCIANO DOS REIS-ME – CNPJ nº 14.379.162/0001-97</w:t>
      </w:r>
      <w:r w:rsidR="00F52596">
        <w:rPr>
          <w:rFonts w:ascii="Arial" w:hAnsi="Arial" w:cs="Arial"/>
          <w:b/>
          <w:bCs/>
        </w:rPr>
        <w:t>,</w:t>
      </w:r>
      <w:r w:rsidR="00F52596" w:rsidRPr="00F52596">
        <w:rPr>
          <w:rFonts w:ascii="Arial" w:hAnsi="Arial" w:cs="Arial"/>
          <w:b/>
          <w:bCs/>
        </w:rPr>
        <w:t xml:space="preserve"> </w:t>
      </w:r>
      <w:r w:rsidR="00334B61" w:rsidRPr="00334B61">
        <w:rPr>
          <w:rFonts w:ascii="Arial" w:hAnsi="Arial" w:cs="Arial"/>
        </w:rPr>
        <w:t>em face da decisão da Pregoeira/Agente de Contratação que declarou a empresa</w:t>
      </w:r>
      <w:r w:rsidR="00334B61" w:rsidRPr="00334B61">
        <w:rPr>
          <w:rFonts w:ascii="Arial" w:hAnsi="Arial" w:cs="Arial"/>
          <w:b/>
          <w:bCs/>
        </w:rPr>
        <w:t xml:space="preserve"> MESSIAS NETO PRÓTESES LTDA </w:t>
      </w:r>
      <w:r w:rsidR="00C3405E">
        <w:rPr>
          <w:rFonts w:ascii="Arial" w:hAnsi="Arial" w:cs="Arial"/>
        </w:rPr>
        <w:t xml:space="preserve">habilitada e </w:t>
      </w:r>
      <w:r w:rsidR="00C04AA6">
        <w:rPr>
          <w:rFonts w:ascii="Arial" w:hAnsi="Arial" w:cs="Arial"/>
        </w:rPr>
        <w:t>vencedora do</w:t>
      </w:r>
      <w:r w:rsidR="00C3405E">
        <w:rPr>
          <w:rFonts w:ascii="Arial" w:hAnsi="Arial" w:cs="Arial"/>
        </w:rPr>
        <w:t xml:space="preserve"> certame.</w:t>
      </w:r>
    </w:p>
    <w:p w14:paraId="5EF855B7" w14:textId="77777777" w:rsidR="00E03322" w:rsidRDefault="00E03322" w:rsidP="00E03322">
      <w:pPr>
        <w:ind w:left="2268"/>
        <w:jc w:val="both"/>
        <w:rPr>
          <w:rFonts w:ascii="Arial" w:hAnsi="Arial" w:cs="Arial"/>
          <w:bCs/>
          <w:sz w:val="20"/>
          <w:szCs w:val="20"/>
        </w:rPr>
      </w:pPr>
    </w:p>
    <w:p w14:paraId="304F7DFE" w14:textId="1260FD10" w:rsidR="005C2634" w:rsidRDefault="005C2634" w:rsidP="005C2634">
      <w:pPr>
        <w:spacing w:after="160" w:line="360" w:lineRule="auto"/>
        <w:ind w:firstLine="708"/>
        <w:jc w:val="both"/>
        <w:rPr>
          <w:rFonts w:ascii="Arial" w:hAnsi="Arial" w:cs="Arial"/>
        </w:rPr>
      </w:pPr>
      <w:r>
        <w:rPr>
          <w:rFonts w:ascii="Arial" w:hAnsi="Arial" w:cs="Arial"/>
        </w:rPr>
        <w:t>Recebemos o recurso</w:t>
      </w:r>
      <w:r w:rsidR="00334B61">
        <w:rPr>
          <w:rFonts w:ascii="Arial" w:hAnsi="Arial" w:cs="Arial"/>
        </w:rPr>
        <w:t xml:space="preserve"> e contrarrazões</w:t>
      </w:r>
      <w:r>
        <w:rPr>
          <w:rFonts w:ascii="Arial" w:hAnsi="Arial" w:cs="Arial"/>
        </w:rPr>
        <w:t xml:space="preserve"> por sua tempestividade.</w:t>
      </w:r>
    </w:p>
    <w:p w14:paraId="6D053C98" w14:textId="77777777" w:rsidR="00C44DE0" w:rsidRDefault="00C44DE0" w:rsidP="005C2634">
      <w:pPr>
        <w:pStyle w:val="Padro"/>
        <w:spacing w:before="80" w:after="80" w:line="360" w:lineRule="auto"/>
        <w:jc w:val="both"/>
        <w:rPr>
          <w:rFonts w:ascii="Arial" w:hAnsi="Arial" w:cs="Arial"/>
          <w:b/>
        </w:rPr>
      </w:pPr>
    </w:p>
    <w:p w14:paraId="6CC78827" w14:textId="77CF7695" w:rsidR="005C2634" w:rsidRPr="00311BC8" w:rsidRDefault="005C2634" w:rsidP="005C2634">
      <w:pPr>
        <w:pStyle w:val="Padro"/>
        <w:spacing w:before="80" w:after="80" w:line="360" w:lineRule="auto"/>
        <w:jc w:val="both"/>
        <w:rPr>
          <w:rFonts w:ascii="Arial" w:hAnsi="Arial" w:cs="Arial"/>
          <w:b/>
        </w:rPr>
      </w:pPr>
      <w:r w:rsidRPr="00311BC8">
        <w:rPr>
          <w:rFonts w:ascii="Arial" w:hAnsi="Arial" w:cs="Arial"/>
          <w:b/>
        </w:rPr>
        <w:t>I - RELATÓRIO</w:t>
      </w:r>
    </w:p>
    <w:p w14:paraId="6DFA3ECA" w14:textId="77777777" w:rsidR="00334B61" w:rsidRDefault="00334B61" w:rsidP="00334B61">
      <w:pPr>
        <w:pStyle w:val="Padro"/>
        <w:spacing w:line="360" w:lineRule="auto"/>
        <w:ind w:firstLine="708"/>
        <w:jc w:val="both"/>
        <w:rPr>
          <w:rFonts w:ascii="Arial" w:hAnsi="Arial" w:cs="Arial"/>
          <w:lang w:val="pt-PT"/>
        </w:rPr>
      </w:pPr>
      <w:r w:rsidRPr="00334B61">
        <w:rPr>
          <w:rFonts w:ascii="Arial" w:hAnsi="Arial" w:cs="Arial"/>
          <w:lang w:val="pt-PT"/>
        </w:rPr>
        <w:t>A Recorrente alega, em síntese, que a empresa vencedora não teria atendido às exigências do edital, especialmente quanto aos seguintes pontos:</w:t>
      </w:r>
    </w:p>
    <w:p w14:paraId="3447CFA2" w14:textId="77777777" w:rsidR="00334B61" w:rsidRPr="00334B61" w:rsidRDefault="00334B61" w:rsidP="00334B61">
      <w:pPr>
        <w:pStyle w:val="Padro"/>
        <w:spacing w:line="360" w:lineRule="auto"/>
        <w:ind w:firstLine="708"/>
        <w:jc w:val="both"/>
        <w:rPr>
          <w:rFonts w:ascii="Arial" w:hAnsi="Arial" w:cs="Arial"/>
          <w:lang w:val="pt-PT"/>
        </w:rPr>
      </w:pPr>
    </w:p>
    <w:p w14:paraId="41F54441" w14:textId="77777777" w:rsidR="00334B61" w:rsidRPr="00334B61" w:rsidRDefault="00334B61" w:rsidP="00334B61">
      <w:pPr>
        <w:pStyle w:val="Padro"/>
        <w:numPr>
          <w:ilvl w:val="0"/>
          <w:numId w:val="6"/>
        </w:numPr>
        <w:spacing w:line="360" w:lineRule="auto"/>
        <w:jc w:val="both"/>
        <w:rPr>
          <w:rFonts w:ascii="Arial" w:hAnsi="Arial" w:cs="Arial"/>
          <w:lang w:val="pt-PT"/>
        </w:rPr>
      </w:pPr>
      <w:r w:rsidRPr="00334B61">
        <w:rPr>
          <w:rFonts w:ascii="Arial" w:hAnsi="Arial" w:cs="Arial"/>
          <w:lang w:val="pt-PT"/>
        </w:rPr>
        <w:lastRenderedPageBreak/>
        <w:t>Ausência de comprovação de aptidão profissional conforme o item 9.2.4.6 do edital, por não ter apresentado o atestado de capacidade técnica do responsável técnico;</w:t>
      </w:r>
    </w:p>
    <w:p w14:paraId="3F7F6B0F" w14:textId="77777777" w:rsidR="00334B61" w:rsidRPr="00334B61" w:rsidRDefault="00334B61" w:rsidP="00334B61">
      <w:pPr>
        <w:pStyle w:val="Padro"/>
        <w:numPr>
          <w:ilvl w:val="0"/>
          <w:numId w:val="6"/>
        </w:numPr>
        <w:spacing w:line="360" w:lineRule="auto"/>
        <w:jc w:val="both"/>
        <w:rPr>
          <w:rFonts w:ascii="Arial" w:hAnsi="Arial" w:cs="Arial"/>
          <w:lang w:val="pt-PT"/>
        </w:rPr>
      </w:pPr>
      <w:r w:rsidRPr="00334B61">
        <w:rPr>
          <w:rFonts w:ascii="Arial" w:hAnsi="Arial" w:cs="Arial"/>
          <w:lang w:val="pt-PT"/>
        </w:rPr>
        <w:t>Falta de apresentação de dentista protesista entre os profissionais indicados;</w:t>
      </w:r>
    </w:p>
    <w:p w14:paraId="7056B4EA" w14:textId="77777777" w:rsidR="00334B61" w:rsidRPr="00334B61" w:rsidRDefault="00334B61" w:rsidP="00334B61">
      <w:pPr>
        <w:pStyle w:val="Padro"/>
        <w:numPr>
          <w:ilvl w:val="0"/>
          <w:numId w:val="6"/>
        </w:numPr>
        <w:spacing w:line="360" w:lineRule="auto"/>
        <w:jc w:val="both"/>
        <w:rPr>
          <w:rFonts w:ascii="Arial" w:hAnsi="Arial" w:cs="Arial"/>
          <w:lang w:val="pt-PT"/>
        </w:rPr>
      </w:pPr>
      <w:r w:rsidRPr="00334B61">
        <w:rPr>
          <w:rFonts w:ascii="Arial" w:hAnsi="Arial" w:cs="Arial"/>
          <w:lang w:val="pt-PT"/>
        </w:rPr>
        <w:t>Impossibilidade de saneamento da irregularidade por meio de diligência, por se tratar de apresentação de “documento novo”.</w:t>
      </w:r>
    </w:p>
    <w:p w14:paraId="78D917B8" w14:textId="77777777" w:rsidR="00334B61" w:rsidRDefault="00334B61" w:rsidP="00334B61">
      <w:pPr>
        <w:pStyle w:val="Padro"/>
        <w:spacing w:line="360" w:lineRule="auto"/>
        <w:ind w:firstLine="708"/>
        <w:jc w:val="both"/>
        <w:rPr>
          <w:rFonts w:ascii="Arial" w:hAnsi="Arial" w:cs="Arial"/>
          <w:lang w:val="pt-PT"/>
        </w:rPr>
      </w:pPr>
    </w:p>
    <w:p w14:paraId="1D20175F" w14:textId="1AE907B3" w:rsidR="00334B61" w:rsidRDefault="00334B61" w:rsidP="00334B61">
      <w:pPr>
        <w:pStyle w:val="Padro"/>
        <w:spacing w:line="360" w:lineRule="auto"/>
        <w:ind w:firstLine="708"/>
        <w:jc w:val="both"/>
        <w:rPr>
          <w:rFonts w:ascii="Arial" w:hAnsi="Arial" w:cs="Arial"/>
          <w:lang w:val="pt-PT"/>
        </w:rPr>
      </w:pPr>
      <w:r w:rsidRPr="00334B61">
        <w:rPr>
          <w:rFonts w:ascii="Arial" w:hAnsi="Arial" w:cs="Arial"/>
          <w:lang w:val="pt-PT"/>
        </w:rPr>
        <w:t>Diante disso, requereu a inabilitação da empresa Messias Neto Próteses Ltda por descumprimento das exigências editalícias.</w:t>
      </w:r>
    </w:p>
    <w:p w14:paraId="2ED018FC" w14:textId="77777777" w:rsidR="00334B61" w:rsidRPr="00334B61" w:rsidRDefault="00334B61" w:rsidP="00334B61">
      <w:pPr>
        <w:pStyle w:val="Padro"/>
        <w:spacing w:line="360" w:lineRule="auto"/>
        <w:ind w:firstLine="708"/>
        <w:jc w:val="both"/>
        <w:rPr>
          <w:rFonts w:ascii="Arial" w:hAnsi="Arial" w:cs="Arial"/>
          <w:lang w:val="pt-PT"/>
        </w:rPr>
      </w:pPr>
      <w:r w:rsidRPr="00334B61">
        <w:rPr>
          <w:rFonts w:ascii="Arial" w:hAnsi="Arial" w:cs="Arial"/>
          <w:lang w:val="pt-PT"/>
        </w:rPr>
        <w:t xml:space="preserve">Em contrarrazões, a empresa </w:t>
      </w:r>
      <w:r w:rsidRPr="00334B61">
        <w:rPr>
          <w:rFonts w:ascii="Arial" w:hAnsi="Arial" w:cs="Arial"/>
          <w:b/>
          <w:bCs/>
          <w:lang w:val="pt-PT"/>
        </w:rPr>
        <w:t>MESSIAS NETO PRÓTESES LTDA</w:t>
      </w:r>
      <w:r w:rsidRPr="00334B61">
        <w:rPr>
          <w:rFonts w:ascii="Arial" w:hAnsi="Arial" w:cs="Arial"/>
          <w:lang w:val="pt-PT"/>
        </w:rPr>
        <w:t xml:space="preserve"> sustentou que atendeu rigorosamente às exigências do edital e que a diligência realizada pela pregoeira foi legítima e amparada pelo art. 64, inciso I, da Lei nº 14.133/2021, tendo servido apenas para complementação de informações sobre documentos já existentes à época da sessão.</w:t>
      </w:r>
    </w:p>
    <w:p w14:paraId="488BE3CB" w14:textId="532B3BD2" w:rsidR="00334B61" w:rsidRPr="00334B61" w:rsidRDefault="00334B61" w:rsidP="00334B61">
      <w:pPr>
        <w:pStyle w:val="Padro"/>
        <w:spacing w:line="360" w:lineRule="auto"/>
        <w:ind w:firstLine="708"/>
        <w:jc w:val="both"/>
        <w:rPr>
          <w:rFonts w:ascii="Arial" w:hAnsi="Arial" w:cs="Arial"/>
          <w:lang w:val="pt-PT"/>
        </w:rPr>
      </w:pPr>
      <w:r w:rsidRPr="00334B61">
        <w:rPr>
          <w:rFonts w:ascii="Arial" w:hAnsi="Arial" w:cs="Arial"/>
          <w:lang w:val="pt-PT"/>
        </w:rPr>
        <w:t>Aduziu ainda que não há exigência legal de especialização em prótese dentária para o exercício das atividades objeto da licitação, bastando o registro regular no CRO/MG, e que a decisão da Pregoeira observou o princípio da legalidade, o interesse público, a razoabilidade e a vinculação ao edital.</w:t>
      </w:r>
    </w:p>
    <w:p w14:paraId="299EB209" w14:textId="77777777" w:rsidR="00334B61" w:rsidRDefault="00334B61" w:rsidP="00514944">
      <w:pPr>
        <w:pStyle w:val="Padro"/>
        <w:spacing w:line="360" w:lineRule="auto"/>
        <w:ind w:firstLine="708"/>
        <w:jc w:val="both"/>
        <w:rPr>
          <w:rFonts w:ascii="Arial" w:hAnsi="Arial" w:cs="Arial"/>
          <w:szCs w:val="24"/>
        </w:rPr>
      </w:pPr>
    </w:p>
    <w:p w14:paraId="066C83BF" w14:textId="4A4DE6DE" w:rsidR="00514944" w:rsidRDefault="00514944" w:rsidP="00514944">
      <w:pPr>
        <w:pStyle w:val="Padro"/>
        <w:spacing w:line="360" w:lineRule="auto"/>
        <w:ind w:firstLine="708"/>
        <w:jc w:val="both"/>
        <w:rPr>
          <w:rFonts w:ascii="Arial" w:hAnsi="Arial" w:cs="Arial"/>
          <w:szCs w:val="24"/>
        </w:rPr>
      </w:pPr>
      <w:r>
        <w:rPr>
          <w:rFonts w:ascii="Arial" w:hAnsi="Arial" w:cs="Arial"/>
          <w:szCs w:val="24"/>
        </w:rPr>
        <w:t>É a síntese dos fatos.</w:t>
      </w:r>
    </w:p>
    <w:p w14:paraId="0BF6FD82" w14:textId="77777777" w:rsidR="00514944" w:rsidRDefault="00514944" w:rsidP="00B565F6">
      <w:pPr>
        <w:pStyle w:val="Padro"/>
        <w:spacing w:before="80" w:after="80" w:line="360" w:lineRule="auto"/>
        <w:jc w:val="both"/>
        <w:rPr>
          <w:rFonts w:ascii="Arial" w:hAnsi="Arial" w:cs="Arial"/>
          <w:b/>
        </w:rPr>
      </w:pPr>
    </w:p>
    <w:p w14:paraId="1412B488" w14:textId="6BFAB4CD" w:rsidR="00B565F6" w:rsidRDefault="00B565F6" w:rsidP="00B565F6">
      <w:pPr>
        <w:pStyle w:val="Padro"/>
        <w:spacing w:before="80" w:after="80" w:line="360" w:lineRule="auto"/>
        <w:jc w:val="both"/>
        <w:rPr>
          <w:rFonts w:ascii="Arial" w:hAnsi="Arial" w:cs="Arial"/>
          <w:b/>
        </w:rPr>
      </w:pPr>
      <w:r>
        <w:rPr>
          <w:rFonts w:ascii="Arial" w:hAnsi="Arial" w:cs="Arial"/>
          <w:b/>
        </w:rPr>
        <w:t>I</w:t>
      </w:r>
      <w:r w:rsidRPr="00311BC8">
        <w:rPr>
          <w:rFonts w:ascii="Arial" w:hAnsi="Arial" w:cs="Arial"/>
          <w:b/>
        </w:rPr>
        <w:t xml:space="preserve">I </w:t>
      </w:r>
      <w:r>
        <w:rPr>
          <w:rFonts w:ascii="Arial" w:hAnsi="Arial" w:cs="Arial"/>
          <w:b/>
        </w:rPr>
        <w:t>–</w:t>
      </w:r>
      <w:r w:rsidRPr="00311BC8">
        <w:rPr>
          <w:rFonts w:ascii="Arial" w:hAnsi="Arial" w:cs="Arial"/>
          <w:b/>
        </w:rPr>
        <w:t xml:space="preserve"> </w:t>
      </w:r>
      <w:r>
        <w:rPr>
          <w:rFonts w:ascii="Arial" w:hAnsi="Arial" w:cs="Arial"/>
          <w:b/>
        </w:rPr>
        <w:t>DA ANÁLISE</w:t>
      </w:r>
    </w:p>
    <w:p w14:paraId="2B5FDFEE" w14:textId="402A3EE4" w:rsidR="00334B61" w:rsidRDefault="00334B61" w:rsidP="00334B61">
      <w:pPr>
        <w:pStyle w:val="Padro"/>
        <w:spacing w:before="80" w:after="80" w:line="360" w:lineRule="auto"/>
        <w:ind w:firstLine="708"/>
        <w:jc w:val="both"/>
        <w:rPr>
          <w:rFonts w:ascii="Arial" w:hAnsi="Arial" w:cs="Arial"/>
          <w:bCs/>
        </w:rPr>
      </w:pPr>
      <w:r w:rsidRPr="00334B61">
        <w:rPr>
          <w:rFonts w:ascii="Arial" w:hAnsi="Arial" w:cs="Arial"/>
          <w:bCs/>
        </w:rPr>
        <w:t>Após análise minuciosa dos autos, passa-se à apreciação dos pontos suscitados no recurso.</w:t>
      </w:r>
    </w:p>
    <w:p w14:paraId="487E96E6" w14:textId="77777777" w:rsidR="00334B61" w:rsidRPr="00334B61" w:rsidRDefault="00334B61" w:rsidP="00334B61">
      <w:pPr>
        <w:pStyle w:val="Padro"/>
        <w:spacing w:before="80" w:after="80" w:line="360" w:lineRule="auto"/>
        <w:ind w:firstLine="708"/>
        <w:jc w:val="both"/>
        <w:rPr>
          <w:rFonts w:ascii="Arial" w:hAnsi="Arial" w:cs="Arial"/>
          <w:bCs/>
        </w:rPr>
      </w:pPr>
    </w:p>
    <w:p w14:paraId="10247AFF" w14:textId="243B066A" w:rsidR="005304C8" w:rsidRPr="00311BC8" w:rsidRDefault="005304C8" w:rsidP="00B565F6">
      <w:pPr>
        <w:pStyle w:val="Padro"/>
        <w:spacing w:before="80" w:after="80" w:line="360" w:lineRule="auto"/>
        <w:jc w:val="both"/>
        <w:rPr>
          <w:rFonts w:ascii="Arial" w:hAnsi="Arial" w:cs="Arial"/>
          <w:b/>
        </w:rPr>
      </w:pPr>
      <w:r>
        <w:rPr>
          <w:rFonts w:ascii="Arial" w:hAnsi="Arial" w:cs="Arial"/>
          <w:b/>
        </w:rPr>
        <w:t xml:space="preserve">2.1 – </w:t>
      </w:r>
      <w:r w:rsidR="00334B61" w:rsidRPr="00334B61">
        <w:rPr>
          <w:rFonts w:ascii="Arial" w:hAnsi="Arial" w:cs="Arial"/>
          <w:b/>
        </w:rPr>
        <w:t>Da diligência e da alegação de documento novo</w:t>
      </w:r>
    </w:p>
    <w:p w14:paraId="5A830FED" w14:textId="1AE83AD9" w:rsidR="00334B61" w:rsidRPr="00334B61" w:rsidRDefault="00F52596" w:rsidP="00334B61">
      <w:pPr>
        <w:pStyle w:val="Padro"/>
        <w:spacing w:line="360" w:lineRule="auto"/>
        <w:ind w:firstLine="708"/>
        <w:jc w:val="both"/>
        <w:rPr>
          <w:rFonts w:ascii="Arial" w:hAnsi="Arial" w:cs="Arial"/>
          <w:bCs/>
        </w:rPr>
      </w:pPr>
      <w:r>
        <w:rPr>
          <w:rFonts w:ascii="Arial" w:hAnsi="Arial" w:cs="Arial"/>
          <w:bCs/>
        </w:rPr>
        <w:t xml:space="preserve">Conforme registrado na resposta ao recurso interposto pela empresa </w:t>
      </w:r>
      <w:r w:rsidRPr="00F52596">
        <w:rPr>
          <w:rFonts w:ascii="Arial" w:hAnsi="Arial" w:cs="Arial"/>
          <w:bCs/>
        </w:rPr>
        <w:t>VS PRIME ODONTOLOGIA LTDA</w:t>
      </w:r>
      <w:r>
        <w:rPr>
          <w:rFonts w:ascii="Arial" w:hAnsi="Arial" w:cs="Arial"/>
          <w:bCs/>
        </w:rPr>
        <w:t>, c</w:t>
      </w:r>
      <w:r w:rsidR="00334B61" w:rsidRPr="00334B61">
        <w:rPr>
          <w:rFonts w:ascii="Arial" w:hAnsi="Arial" w:cs="Arial"/>
          <w:bCs/>
        </w:rPr>
        <w:t xml:space="preserve">onsta nos registros da sessão pública que a </w:t>
      </w:r>
      <w:r w:rsidR="00334B61" w:rsidRPr="00334B61">
        <w:rPr>
          <w:rFonts w:ascii="Arial" w:hAnsi="Arial" w:cs="Arial"/>
          <w:bCs/>
        </w:rPr>
        <w:lastRenderedPageBreak/>
        <w:t>Pregoeira, ao verificar a ausência do atestado de responsabilidade técnica em nome do profissional responsável, instaurou diligência com fundamento no art. 64, inciso I, da Lei nº 14.133/2021, a fim de permitir a complementação de informações acerca de documento já apresentado, e não a juntada de documento novo.</w:t>
      </w:r>
    </w:p>
    <w:p w14:paraId="7106E803" w14:textId="77777777"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A diligência, portanto, visou apenas confirmar fatos preexistentes à abertura do certame, uma vez que o responsável técnico (Dr. Alysson José Messias de Castro) já constava como proprietário, dentista e responsável técnico do laboratório licitante, inclusive com registro ativo no CRO/MG.</w:t>
      </w:r>
    </w:p>
    <w:p w14:paraId="30FFB107" w14:textId="43349A17" w:rsidR="00334B61" w:rsidRPr="00334B61" w:rsidRDefault="00334B61" w:rsidP="00334B61">
      <w:pPr>
        <w:pStyle w:val="Padro"/>
        <w:spacing w:line="360" w:lineRule="auto"/>
        <w:ind w:firstLine="708"/>
        <w:jc w:val="both"/>
        <w:rPr>
          <w:rFonts w:ascii="Arial" w:hAnsi="Arial" w:cs="Arial"/>
        </w:rPr>
      </w:pPr>
      <w:r w:rsidRPr="00334B61">
        <w:rPr>
          <w:rFonts w:ascii="Arial" w:hAnsi="Arial" w:cs="Arial"/>
          <w:bCs/>
        </w:rPr>
        <w:t xml:space="preserve">A documentação complementar foi apresentada </w:t>
      </w:r>
      <w:r>
        <w:rPr>
          <w:rFonts w:ascii="Arial" w:hAnsi="Arial" w:cs="Arial"/>
          <w:bCs/>
        </w:rPr>
        <w:t xml:space="preserve">em </w:t>
      </w:r>
      <w:r w:rsidRPr="00334B61">
        <w:rPr>
          <w:rFonts w:ascii="Arial" w:hAnsi="Arial" w:cs="Arial"/>
          <w:bCs/>
        </w:rPr>
        <w:t>menos de 30 minutos após a solicitação, ainda durante a fase de habilitação e antes</w:t>
      </w:r>
      <w:r w:rsidRPr="00334B61">
        <w:rPr>
          <w:rFonts w:ascii="Arial" w:hAnsi="Arial" w:cs="Arial"/>
          <w:b/>
          <w:bCs/>
        </w:rPr>
        <w:t xml:space="preserve"> </w:t>
      </w:r>
      <w:r w:rsidRPr="00334B61">
        <w:rPr>
          <w:rFonts w:ascii="Arial" w:hAnsi="Arial" w:cs="Arial"/>
        </w:rPr>
        <w:t>do encerramento da sessão pública, o que descaracteriza qualquer alegação de juntada extemporânea.</w:t>
      </w:r>
    </w:p>
    <w:p w14:paraId="595E2BD2" w14:textId="77777777" w:rsidR="00334B61" w:rsidRDefault="00334B61" w:rsidP="00334B61">
      <w:pPr>
        <w:pStyle w:val="Padro"/>
        <w:spacing w:line="360" w:lineRule="auto"/>
        <w:ind w:firstLine="708"/>
        <w:jc w:val="both"/>
        <w:rPr>
          <w:rFonts w:ascii="Arial" w:hAnsi="Arial" w:cs="Arial"/>
          <w:bCs/>
        </w:rPr>
      </w:pPr>
      <w:r w:rsidRPr="00334B61">
        <w:rPr>
          <w:rFonts w:ascii="Arial" w:hAnsi="Arial" w:cs="Arial"/>
          <w:bCs/>
        </w:rPr>
        <w:t>Cumpre destacar que o art. 64, inciso I, da Lei nº 14.133/2021, autoriza expressamente a complementação de informações quando necessária para apurar fatos já existentes, não configurando ofensa ao princípio da isonomia.</w:t>
      </w:r>
    </w:p>
    <w:p w14:paraId="5C372FC9" w14:textId="0CC3FAB9"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Nesse sentido, a decisão da Pregoeira encontra-se amparada no ordenamento jurídico e na jurisprudência consolidada do Tribunal de Contas da União (TCU), que admite a utilização da diligência para suprir omissões formais, desde que não implique alteração da substância da proposta.</w:t>
      </w:r>
    </w:p>
    <w:p w14:paraId="4C310E7B" w14:textId="77777777"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Assim, não se verifica qualquer irregularidade no procedimento adotado pela Pregoeira.</w:t>
      </w:r>
    </w:p>
    <w:p w14:paraId="11056412" w14:textId="5576401B" w:rsidR="00334B61" w:rsidRPr="00334B61" w:rsidRDefault="00334B61" w:rsidP="00334B61">
      <w:pPr>
        <w:pStyle w:val="Padro"/>
        <w:spacing w:line="360" w:lineRule="auto"/>
        <w:ind w:firstLine="708"/>
        <w:jc w:val="both"/>
        <w:rPr>
          <w:rFonts w:ascii="Arial" w:hAnsi="Arial" w:cs="Arial"/>
          <w:bCs/>
        </w:rPr>
      </w:pPr>
    </w:p>
    <w:p w14:paraId="16DCC2C9" w14:textId="2A571430" w:rsidR="00334B61" w:rsidRPr="00334B61" w:rsidRDefault="00334B61" w:rsidP="00334B61">
      <w:pPr>
        <w:pStyle w:val="Padro"/>
        <w:spacing w:line="360" w:lineRule="auto"/>
        <w:jc w:val="both"/>
        <w:rPr>
          <w:rFonts w:ascii="Arial" w:hAnsi="Arial" w:cs="Arial"/>
          <w:b/>
          <w:bCs/>
        </w:rPr>
      </w:pPr>
      <w:r w:rsidRPr="00334B61">
        <w:rPr>
          <w:rFonts w:ascii="Arial" w:hAnsi="Arial" w:cs="Arial"/>
          <w:b/>
          <w:bCs/>
        </w:rPr>
        <w:t xml:space="preserve">2.2 – Da alegação de </w:t>
      </w:r>
      <w:r w:rsidR="00F52596" w:rsidRPr="00F52596">
        <w:rPr>
          <w:rFonts w:ascii="Arial" w:hAnsi="Arial" w:cs="Arial"/>
          <w:b/>
          <w:bCs/>
        </w:rPr>
        <w:t>ausência de comprovação de qualificação técnica do licitante classificado em primeiro lugar na fase de lances</w:t>
      </w:r>
    </w:p>
    <w:p w14:paraId="2E294DFF" w14:textId="5804FC2A" w:rsidR="00334B61" w:rsidRDefault="00B1173A" w:rsidP="00334B61">
      <w:pPr>
        <w:pStyle w:val="Padro"/>
        <w:spacing w:line="360" w:lineRule="auto"/>
        <w:ind w:firstLine="708"/>
        <w:jc w:val="both"/>
        <w:rPr>
          <w:rFonts w:ascii="Arial" w:hAnsi="Arial" w:cs="Arial"/>
          <w:bCs/>
        </w:rPr>
      </w:pPr>
      <w:r>
        <w:rPr>
          <w:rFonts w:ascii="Arial" w:hAnsi="Arial" w:cs="Arial"/>
          <w:bCs/>
        </w:rPr>
        <w:t xml:space="preserve">Conforme posicionamento registrado na resposta ao recurso interposto pela empresa </w:t>
      </w:r>
      <w:r w:rsidRPr="00F52596">
        <w:rPr>
          <w:rFonts w:ascii="Arial" w:hAnsi="Arial" w:cs="Arial"/>
          <w:bCs/>
        </w:rPr>
        <w:t>VS PRIME ODONTOLOGIA LTDA</w:t>
      </w:r>
      <w:r>
        <w:rPr>
          <w:rFonts w:ascii="Arial" w:hAnsi="Arial" w:cs="Arial"/>
          <w:bCs/>
        </w:rPr>
        <w:t>, esclarecemos</w:t>
      </w:r>
      <w:r w:rsidR="00334B61">
        <w:rPr>
          <w:rFonts w:ascii="Arial" w:hAnsi="Arial" w:cs="Arial"/>
          <w:bCs/>
        </w:rPr>
        <w:t xml:space="preserve"> que o</w:t>
      </w:r>
      <w:r w:rsidR="00334B61" w:rsidRPr="00334B61">
        <w:rPr>
          <w:rFonts w:ascii="Arial" w:hAnsi="Arial" w:cs="Arial"/>
          <w:bCs/>
        </w:rPr>
        <w:t xml:space="preserve"> edital não impôs a obrigatoriedade de que o profissional responsável técnico possuísse especialização em prótese dentária, mas apenas que fosse cirurgião-dentista devidamente registrado no conselho profissional competente e com atestado de capacidade técnica compatível com o objeto licitado.</w:t>
      </w:r>
    </w:p>
    <w:p w14:paraId="172D5E90" w14:textId="6F7215F7"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 xml:space="preserve">A utilização do termo </w:t>
      </w:r>
      <w:r w:rsidRPr="00334B61">
        <w:rPr>
          <w:rFonts w:ascii="Arial" w:hAnsi="Arial" w:cs="Arial"/>
          <w:b/>
          <w:bCs/>
        </w:rPr>
        <w:t>“</w:t>
      </w:r>
      <w:proofErr w:type="spellStart"/>
      <w:r w:rsidRPr="00334B61">
        <w:rPr>
          <w:rFonts w:ascii="Arial" w:hAnsi="Arial" w:cs="Arial"/>
          <w:b/>
          <w:bCs/>
        </w:rPr>
        <w:t>protesista</w:t>
      </w:r>
      <w:proofErr w:type="spellEnd"/>
      <w:r w:rsidRPr="00334B61">
        <w:rPr>
          <w:rFonts w:ascii="Arial" w:hAnsi="Arial" w:cs="Arial"/>
          <w:b/>
          <w:bCs/>
        </w:rPr>
        <w:t>”</w:t>
      </w:r>
      <w:r w:rsidRPr="00334B61">
        <w:rPr>
          <w:rFonts w:ascii="Arial" w:hAnsi="Arial" w:cs="Arial"/>
          <w:bCs/>
        </w:rPr>
        <w:t xml:space="preserve"> na especificação do item teve </w:t>
      </w:r>
      <w:r w:rsidR="00DE1C69">
        <w:rPr>
          <w:rFonts w:ascii="Arial" w:hAnsi="Arial" w:cs="Arial"/>
          <w:bCs/>
        </w:rPr>
        <w:t>caráter</w:t>
      </w:r>
      <w:r w:rsidR="00DE1C69" w:rsidRPr="00DE1C69">
        <w:rPr>
          <w:rFonts w:ascii="Arial" w:hAnsi="Arial" w:cs="Arial"/>
          <w:bCs/>
        </w:rPr>
        <w:t xml:space="preserve"> exclusivamente </w:t>
      </w:r>
      <w:r w:rsidR="00DE1C69" w:rsidRPr="00DE1C69">
        <w:rPr>
          <w:rFonts w:ascii="Arial" w:hAnsi="Arial" w:cs="Arial"/>
        </w:rPr>
        <w:t>descritiv</w:t>
      </w:r>
      <w:r w:rsidR="00DE1C69">
        <w:rPr>
          <w:rFonts w:ascii="Arial" w:hAnsi="Arial" w:cs="Arial"/>
        </w:rPr>
        <w:t>o</w:t>
      </w:r>
      <w:r w:rsidR="00DE1C69" w:rsidRPr="00DE1C69">
        <w:rPr>
          <w:rFonts w:ascii="Arial" w:hAnsi="Arial" w:cs="Arial"/>
        </w:rPr>
        <w:t xml:space="preserve"> e elucidativ</w:t>
      </w:r>
      <w:r w:rsidR="00DE1C69">
        <w:rPr>
          <w:rFonts w:ascii="Arial" w:hAnsi="Arial" w:cs="Arial"/>
        </w:rPr>
        <w:t>o</w:t>
      </w:r>
      <w:r w:rsidR="00DE1C69" w:rsidRPr="00DE1C69">
        <w:rPr>
          <w:rFonts w:ascii="Arial" w:hAnsi="Arial" w:cs="Arial"/>
        </w:rPr>
        <w:t xml:space="preserve"> do objeto licitado</w:t>
      </w:r>
      <w:r w:rsidRPr="00334B61">
        <w:rPr>
          <w:rFonts w:ascii="Arial" w:hAnsi="Arial" w:cs="Arial"/>
          <w:bCs/>
        </w:rPr>
        <w:t xml:space="preserve">, visando apenas evidenciar </w:t>
      </w:r>
      <w:r w:rsidRPr="00334B61">
        <w:rPr>
          <w:rFonts w:ascii="Arial" w:hAnsi="Arial" w:cs="Arial"/>
          <w:bCs/>
        </w:rPr>
        <w:lastRenderedPageBreak/>
        <w:t>a natureza e a especialidade d</w:t>
      </w:r>
      <w:r w:rsidR="00DE1C69">
        <w:rPr>
          <w:rFonts w:ascii="Arial" w:hAnsi="Arial" w:cs="Arial"/>
          <w:bCs/>
        </w:rPr>
        <w:t>as atividades a serem executadas</w:t>
      </w:r>
      <w:r w:rsidRPr="00334B61">
        <w:rPr>
          <w:rFonts w:ascii="Arial" w:hAnsi="Arial" w:cs="Arial"/>
          <w:bCs/>
        </w:rPr>
        <w:t>, não se configurando como exigência de habilitação</w:t>
      </w:r>
      <w:r w:rsidR="00DE1C69">
        <w:rPr>
          <w:rFonts w:ascii="Arial" w:hAnsi="Arial" w:cs="Arial"/>
          <w:bCs/>
        </w:rPr>
        <w:t xml:space="preserve"> </w:t>
      </w:r>
      <w:r w:rsidR="00DE1C69" w:rsidRPr="00DE1C69">
        <w:rPr>
          <w:rFonts w:ascii="Arial" w:hAnsi="Arial" w:cs="Arial"/>
        </w:rPr>
        <w:t>técnica nem requisito obrigatório a ser atendido pelas licitantes</w:t>
      </w:r>
      <w:r w:rsidRPr="00334B61">
        <w:rPr>
          <w:rFonts w:ascii="Arial" w:hAnsi="Arial" w:cs="Arial"/>
          <w:bCs/>
        </w:rPr>
        <w:t xml:space="preserve"> ou condição restritiva à participação.</w:t>
      </w:r>
    </w:p>
    <w:p w14:paraId="01A1F33A" w14:textId="77777777"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A Lei nº 14.133/2021, em seu art. 67, delimita as exigências de habilitação, vedando à Administração impor restrições não previstas em lei ou desnecessárias à garantia da execução contratual.</w:t>
      </w:r>
    </w:p>
    <w:p w14:paraId="3CFCA567" w14:textId="75A00EA8" w:rsidR="00334B61" w:rsidRPr="00334B61" w:rsidRDefault="00DE1C69" w:rsidP="00334B61">
      <w:pPr>
        <w:pStyle w:val="Padro"/>
        <w:spacing w:line="360" w:lineRule="auto"/>
        <w:ind w:firstLine="708"/>
        <w:jc w:val="both"/>
        <w:rPr>
          <w:rFonts w:ascii="Arial" w:hAnsi="Arial" w:cs="Arial"/>
          <w:bCs/>
        </w:rPr>
      </w:pPr>
      <w:r>
        <w:rPr>
          <w:rFonts w:ascii="Arial" w:hAnsi="Arial" w:cs="Arial"/>
          <w:bCs/>
        </w:rPr>
        <w:t>Nesses termos, r</w:t>
      </w:r>
      <w:r w:rsidR="00334B61" w:rsidRPr="00334B61">
        <w:rPr>
          <w:rFonts w:ascii="Arial" w:hAnsi="Arial" w:cs="Arial"/>
          <w:bCs/>
        </w:rPr>
        <w:t>essalte-se que não há norma legal que obrigue o cirurgião-dentista possuir título de especialista em prótese dentária para confeccionar ou supervisionar a confecção de próteses, sendo suficiente o registro ativo no CRO/MG e a comprovação de experiência prévia com serviços similares.</w:t>
      </w:r>
    </w:p>
    <w:p w14:paraId="43623623" w14:textId="77777777"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A exigência defendida pela Recorrente configuraria formalismo excessivo e restrição indevida à competitividade, em afronta ao art. 9º, inciso I, alínea “a” da Lei 14.133/2021 e ao entendimento do Acórdão 1712/2025-TCU-Plenário, segundo o qual é irregular impor exigências técnicas sem demonstração de essencialidade ao objeto contratado.</w:t>
      </w:r>
    </w:p>
    <w:p w14:paraId="29C3BA3A" w14:textId="116E3192" w:rsidR="00334B61" w:rsidRPr="00334B61" w:rsidRDefault="00334B61" w:rsidP="00334B61">
      <w:pPr>
        <w:pStyle w:val="Padro"/>
        <w:spacing w:line="360" w:lineRule="auto"/>
        <w:ind w:firstLine="708"/>
        <w:jc w:val="both"/>
        <w:rPr>
          <w:rFonts w:ascii="Arial" w:hAnsi="Arial" w:cs="Arial"/>
          <w:bCs/>
        </w:rPr>
      </w:pPr>
    </w:p>
    <w:p w14:paraId="54CC10EB" w14:textId="37FE0509" w:rsidR="00334B61" w:rsidRPr="00334B61" w:rsidRDefault="00334B61" w:rsidP="00DE1C69">
      <w:pPr>
        <w:pStyle w:val="Padro"/>
        <w:spacing w:line="360" w:lineRule="auto"/>
        <w:jc w:val="both"/>
        <w:rPr>
          <w:rFonts w:ascii="Arial" w:hAnsi="Arial" w:cs="Arial"/>
          <w:b/>
          <w:bCs/>
        </w:rPr>
      </w:pPr>
      <w:r w:rsidRPr="00334B61">
        <w:rPr>
          <w:rFonts w:ascii="Arial" w:hAnsi="Arial" w:cs="Arial"/>
          <w:b/>
          <w:bCs/>
        </w:rPr>
        <w:t xml:space="preserve">2.3 – Da alegação de </w:t>
      </w:r>
      <w:r w:rsidR="00B1173A">
        <w:rPr>
          <w:rFonts w:ascii="Arial" w:hAnsi="Arial" w:cs="Arial"/>
          <w:b/>
          <w:bCs/>
        </w:rPr>
        <w:t>preço inexequível</w:t>
      </w:r>
    </w:p>
    <w:p w14:paraId="52AC5CBE" w14:textId="77777777"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 xml:space="preserve">Sustenta a Recorrente que o preço ofertado pela empresa </w:t>
      </w:r>
      <w:r w:rsidRPr="004D56DD">
        <w:rPr>
          <w:rFonts w:ascii="Arial" w:hAnsi="Arial" w:cs="Arial"/>
          <w:b/>
          <w:bCs/>
        </w:rPr>
        <w:t>MESSIAS NETO PRÓTESES LTDA</w:t>
      </w:r>
      <w:r w:rsidRPr="004D56DD">
        <w:rPr>
          <w:rFonts w:ascii="Arial" w:hAnsi="Arial" w:cs="Arial"/>
          <w:bCs/>
        </w:rPr>
        <w:t xml:space="preserve"> seria inexequível, por encontrar-se aproximadamente 54% abaixo do valor estimado para a contratação.</w:t>
      </w:r>
    </w:p>
    <w:p w14:paraId="396EC382" w14:textId="77777777"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Inicialmente, cumpre esclarecer que, antes de indicar qualquer proposta como presumivelmente inexequível, deve a Administração facultar à respectiva licitante a oportunidade de demonstrar a viabilidade dos preços apresentados, mediante a apresentação de documentos que comprovem a compatibilidade dos custos dos insumos com os valores praticados no mercado e a adequação dos coeficientes de produtividade à execução do objeto contratual.</w:t>
      </w:r>
    </w:p>
    <w:p w14:paraId="694F2DF0" w14:textId="77777777"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 xml:space="preserve">Nesse sentido, leciona </w:t>
      </w:r>
      <w:r w:rsidRPr="004D56DD">
        <w:rPr>
          <w:rFonts w:ascii="Arial" w:hAnsi="Arial" w:cs="Arial"/>
          <w:b/>
          <w:bCs/>
        </w:rPr>
        <w:t xml:space="preserve">Marçal </w:t>
      </w:r>
      <w:proofErr w:type="spellStart"/>
      <w:r w:rsidRPr="004D56DD">
        <w:rPr>
          <w:rFonts w:ascii="Arial" w:hAnsi="Arial" w:cs="Arial"/>
          <w:b/>
          <w:bCs/>
        </w:rPr>
        <w:t>Justen</w:t>
      </w:r>
      <w:proofErr w:type="spellEnd"/>
      <w:r w:rsidRPr="004D56DD">
        <w:rPr>
          <w:rFonts w:ascii="Arial" w:hAnsi="Arial" w:cs="Arial"/>
          <w:b/>
          <w:bCs/>
        </w:rPr>
        <w:t xml:space="preserve"> Filho</w:t>
      </w:r>
      <w:r w:rsidRPr="004D56DD">
        <w:rPr>
          <w:rFonts w:ascii="Arial" w:hAnsi="Arial" w:cs="Arial"/>
          <w:bCs/>
        </w:rPr>
        <w:t>:</w:t>
      </w:r>
    </w:p>
    <w:p w14:paraId="33C82BD8" w14:textId="77777777" w:rsidR="004D56DD" w:rsidRDefault="004D56DD" w:rsidP="004D56DD">
      <w:pPr>
        <w:pStyle w:val="Padro"/>
        <w:ind w:left="2268"/>
        <w:jc w:val="both"/>
        <w:rPr>
          <w:rFonts w:ascii="Arial" w:hAnsi="Arial" w:cs="Arial"/>
          <w:bCs/>
          <w:i/>
          <w:iCs/>
          <w:sz w:val="20"/>
        </w:rPr>
      </w:pPr>
    </w:p>
    <w:p w14:paraId="4AC713F2" w14:textId="2128C2DC" w:rsidR="004D56DD" w:rsidRDefault="004D56DD" w:rsidP="004D56DD">
      <w:pPr>
        <w:pStyle w:val="Padro"/>
        <w:ind w:left="2268"/>
        <w:jc w:val="both"/>
        <w:rPr>
          <w:rFonts w:ascii="Arial" w:hAnsi="Arial" w:cs="Arial"/>
          <w:bCs/>
          <w:i/>
          <w:iCs/>
          <w:sz w:val="20"/>
        </w:rPr>
      </w:pPr>
      <w:r w:rsidRPr="004D56DD">
        <w:rPr>
          <w:rFonts w:ascii="Arial" w:hAnsi="Arial" w:cs="Arial"/>
          <w:bCs/>
          <w:i/>
          <w:iCs/>
          <w:sz w:val="20"/>
        </w:rPr>
        <w:t xml:space="preserve">“Se o particular puder comprovar que sua proposta é exequível, não se lhe poderá interditar o exercício do direito de apresentá-la. É inviável proibir o Estado de realizar contratação vantajosa. A questão é de fato, não de direito. Incumbe o ônus da prova da exequibilidade ao particular. Essa comprovação </w:t>
      </w:r>
      <w:r w:rsidRPr="004D56DD">
        <w:rPr>
          <w:rFonts w:ascii="Arial" w:hAnsi="Arial" w:cs="Arial"/>
          <w:bCs/>
          <w:i/>
          <w:iCs/>
          <w:sz w:val="20"/>
        </w:rPr>
        <w:lastRenderedPageBreak/>
        <w:t>poderá fazer-se em face da própria Administração, pleiteando-se a realização de diligência para tanto.”</w:t>
      </w:r>
    </w:p>
    <w:p w14:paraId="1DA2369E" w14:textId="5254FADD" w:rsidR="004D56DD" w:rsidRDefault="004D56DD" w:rsidP="004D56DD">
      <w:pPr>
        <w:pStyle w:val="Padro"/>
        <w:ind w:left="2268"/>
        <w:jc w:val="both"/>
        <w:rPr>
          <w:rFonts w:ascii="Arial" w:hAnsi="Arial" w:cs="Arial"/>
          <w:bCs/>
          <w:i/>
          <w:iCs/>
          <w:sz w:val="20"/>
        </w:rPr>
      </w:pPr>
      <w:r w:rsidRPr="004D56DD">
        <w:rPr>
          <w:rFonts w:ascii="Arial" w:hAnsi="Arial" w:cs="Arial"/>
          <w:bCs/>
          <w:i/>
          <w:iCs/>
          <w:sz w:val="20"/>
        </w:rPr>
        <w:t>(Comentários à Lei de Licitações e Contratos Administrativos, 14ª ed., São Paulo: Dialética, 2010, p. 660).</w:t>
      </w:r>
    </w:p>
    <w:p w14:paraId="73F240B2" w14:textId="77777777" w:rsidR="004D56DD" w:rsidRPr="004D56DD" w:rsidRDefault="004D56DD" w:rsidP="004D56DD">
      <w:pPr>
        <w:pStyle w:val="Padro"/>
        <w:ind w:left="2268"/>
        <w:jc w:val="both"/>
        <w:rPr>
          <w:rFonts w:ascii="Arial" w:hAnsi="Arial" w:cs="Arial"/>
          <w:bCs/>
          <w:sz w:val="20"/>
        </w:rPr>
      </w:pPr>
    </w:p>
    <w:p w14:paraId="73160A7C" w14:textId="77777777"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 xml:space="preserve">O </w:t>
      </w:r>
      <w:r w:rsidRPr="004D56DD">
        <w:rPr>
          <w:rFonts w:ascii="Arial" w:hAnsi="Arial" w:cs="Arial"/>
          <w:b/>
          <w:bCs/>
        </w:rPr>
        <w:t>Tribunal de Contas da União</w:t>
      </w:r>
      <w:r w:rsidRPr="004D56DD">
        <w:rPr>
          <w:rFonts w:ascii="Arial" w:hAnsi="Arial" w:cs="Arial"/>
          <w:bCs/>
        </w:rPr>
        <w:t>, na mesma linha, já consolidou entendimento no sentido de que:</w:t>
      </w:r>
    </w:p>
    <w:p w14:paraId="2F9D3501" w14:textId="573D0420" w:rsidR="004D56DD" w:rsidRPr="004D56DD" w:rsidRDefault="004D56DD" w:rsidP="004D56DD">
      <w:pPr>
        <w:pStyle w:val="Padro"/>
        <w:ind w:left="2268"/>
        <w:jc w:val="both"/>
        <w:rPr>
          <w:rFonts w:ascii="Arial" w:hAnsi="Arial" w:cs="Arial"/>
          <w:bCs/>
          <w:sz w:val="20"/>
        </w:rPr>
      </w:pPr>
      <w:r w:rsidRPr="004D56DD">
        <w:rPr>
          <w:rFonts w:ascii="Arial" w:hAnsi="Arial" w:cs="Arial"/>
          <w:bCs/>
          <w:i/>
          <w:iCs/>
          <w:sz w:val="20"/>
        </w:rPr>
        <w:t>“É ilegal a desclassificação de licitantes pela apresentação de propostas que contenham preços considerados inexequíveis, sem que antes lhes seja facultada a oportunidade de apresentar justificativas para os valores ofertados.</w:t>
      </w:r>
      <w:r w:rsidRPr="004D56DD">
        <w:t xml:space="preserve"> </w:t>
      </w:r>
      <w:r w:rsidRPr="004D56DD">
        <w:rPr>
          <w:rFonts w:ascii="Arial" w:hAnsi="Arial" w:cs="Arial"/>
          <w:bCs/>
          <w:i/>
          <w:iCs/>
          <w:sz w:val="20"/>
        </w:rPr>
        <w:t>Acórdão 1720/2010-Segunda Câmara | Relator: ANDRÉ DE CARVALHO”</w:t>
      </w:r>
    </w:p>
    <w:p w14:paraId="02898058" w14:textId="77777777" w:rsidR="004D56DD" w:rsidRDefault="004D56DD" w:rsidP="004D56DD">
      <w:pPr>
        <w:pStyle w:val="Padro"/>
        <w:spacing w:line="360" w:lineRule="auto"/>
        <w:ind w:firstLine="708"/>
        <w:jc w:val="both"/>
        <w:rPr>
          <w:rFonts w:ascii="Arial" w:hAnsi="Arial" w:cs="Arial"/>
          <w:bCs/>
        </w:rPr>
      </w:pPr>
    </w:p>
    <w:p w14:paraId="3D0727E1" w14:textId="3EB3607D"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Assim, mesmo quando identificados indícios de preços potencialmente inexequíveis, não pode a Administração proceder à desclassificação de ofício, devendo antes assegurar ao licitante o direito de comprovar a viabilidade dos valores apresentados.</w:t>
      </w:r>
    </w:p>
    <w:p w14:paraId="27140F7D" w14:textId="77777777" w:rsidR="004D56DD" w:rsidRDefault="004D56DD" w:rsidP="004D56DD">
      <w:pPr>
        <w:pStyle w:val="Padro"/>
        <w:spacing w:line="360" w:lineRule="auto"/>
        <w:ind w:firstLine="708"/>
        <w:jc w:val="both"/>
        <w:rPr>
          <w:rFonts w:ascii="Arial" w:hAnsi="Arial" w:cs="Arial"/>
          <w:bCs/>
        </w:rPr>
      </w:pPr>
      <w:r w:rsidRPr="004D56DD">
        <w:rPr>
          <w:rFonts w:ascii="Arial" w:hAnsi="Arial" w:cs="Arial"/>
          <w:bCs/>
        </w:rPr>
        <w:t>Tal orientação visa simultaneamente:</w:t>
      </w:r>
    </w:p>
    <w:p w14:paraId="59E58119" w14:textId="5496782B" w:rsidR="004D56DD" w:rsidRDefault="004D56DD" w:rsidP="004D56DD">
      <w:pPr>
        <w:pStyle w:val="Padro"/>
        <w:numPr>
          <w:ilvl w:val="0"/>
          <w:numId w:val="7"/>
        </w:numPr>
        <w:spacing w:line="360" w:lineRule="auto"/>
        <w:jc w:val="both"/>
        <w:rPr>
          <w:rFonts w:ascii="Arial" w:hAnsi="Arial" w:cs="Arial"/>
          <w:bCs/>
        </w:rPr>
      </w:pPr>
      <w:r w:rsidRPr="004D56DD">
        <w:rPr>
          <w:rFonts w:ascii="Arial" w:hAnsi="Arial" w:cs="Arial"/>
          <w:bCs/>
        </w:rPr>
        <w:t>mitigar riscos de futura inexecução contratual, uma vez que preços demasiadamente baixos podem revelar obrigação que a empresa não conseguirá cumprir;</w:t>
      </w:r>
      <w:r>
        <w:rPr>
          <w:rFonts w:ascii="Arial" w:hAnsi="Arial" w:cs="Arial"/>
          <w:bCs/>
        </w:rPr>
        <w:t xml:space="preserve"> </w:t>
      </w:r>
      <w:r w:rsidRPr="004D56DD">
        <w:rPr>
          <w:rFonts w:ascii="Arial" w:hAnsi="Arial" w:cs="Arial"/>
          <w:bCs/>
        </w:rPr>
        <w:t>e</w:t>
      </w:r>
    </w:p>
    <w:p w14:paraId="5691A546" w14:textId="2B86B40A" w:rsidR="004D56DD" w:rsidRPr="004D56DD" w:rsidRDefault="004D56DD" w:rsidP="004D56DD">
      <w:pPr>
        <w:pStyle w:val="Padro"/>
        <w:numPr>
          <w:ilvl w:val="0"/>
          <w:numId w:val="7"/>
        </w:numPr>
        <w:spacing w:line="360" w:lineRule="auto"/>
        <w:jc w:val="both"/>
        <w:rPr>
          <w:rFonts w:ascii="Arial" w:hAnsi="Arial" w:cs="Arial"/>
          <w:bCs/>
        </w:rPr>
      </w:pPr>
      <w:r w:rsidRPr="004D56DD">
        <w:rPr>
          <w:rFonts w:ascii="Arial" w:hAnsi="Arial" w:cs="Arial"/>
          <w:bCs/>
        </w:rPr>
        <w:t>resguardar a higidez das atividades econômicas, que pressupõem remuneração adequada e circulação de riquezas.</w:t>
      </w:r>
    </w:p>
    <w:p w14:paraId="2C7E53A9" w14:textId="69277E2B"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 xml:space="preserve">Superadas tais premissas, passa-se à análise dos valores ofertados pela empresa vencedora. Conforme entendimento reiterado pelo TCU, os critérios para identificação de preços inexequíveis ou excessivamente elevados devem considerar os próprios valores obtidos na pesquisa de preços, observada a ordenação numérica e a exclusão de </w:t>
      </w:r>
      <w:r>
        <w:rPr>
          <w:rFonts w:ascii="Arial" w:hAnsi="Arial" w:cs="Arial"/>
          <w:bCs/>
        </w:rPr>
        <w:t>valores excessivos ou inexequíveis</w:t>
      </w:r>
      <w:r w:rsidRPr="004D56DD">
        <w:rPr>
          <w:rFonts w:ascii="Arial" w:hAnsi="Arial" w:cs="Arial"/>
          <w:bCs/>
        </w:rPr>
        <w:t>. Em síntese, deve-se verificar se o valor ofertado pode ser suportado pela empresa sem comprometer a execução integral do objeto.</w:t>
      </w:r>
    </w:p>
    <w:p w14:paraId="055C3D16" w14:textId="77777777"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Ressalte-se que não há forma padronizada ou única de demonstrar a exequibilidade da proposta; trata-se de avaliação casuística, inserida no âmbito da discricionariedade técnica da Administração, desde que devidamente motivada.</w:t>
      </w:r>
    </w:p>
    <w:p w14:paraId="3EA01B6E" w14:textId="77777777"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 xml:space="preserve">No caso concreto, consta nos autos que a empresa vencedora foi formalmente instada a comprovar a exequibilidade dos preços apresentados, o que foi atendido de </w:t>
      </w:r>
      <w:r w:rsidRPr="004D56DD">
        <w:rPr>
          <w:rFonts w:ascii="Arial" w:hAnsi="Arial" w:cs="Arial"/>
          <w:bCs/>
        </w:rPr>
        <w:lastRenderedPageBreak/>
        <w:t>maneira satisfatória. A documentação apresentada demonstrou a viabilidade dos valores ofertados, inexistindo elementos que indiquem risco concreto de inexecução contratual.</w:t>
      </w:r>
    </w:p>
    <w:p w14:paraId="1F492BC5" w14:textId="77777777" w:rsidR="004D56DD" w:rsidRPr="004D56DD" w:rsidRDefault="004D56DD" w:rsidP="004D56DD">
      <w:pPr>
        <w:pStyle w:val="Padro"/>
        <w:spacing w:line="360" w:lineRule="auto"/>
        <w:ind w:firstLine="708"/>
        <w:jc w:val="both"/>
        <w:rPr>
          <w:rFonts w:ascii="Arial" w:hAnsi="Arial" w:cs="Arial"/>
          <w:bCs/>
        </w:rPr>
      </w:pPr>
      <w:r w:rsidRPr="004D56DD">
        <w:rPr>
          <w:rFonts w:ascii="Arial" w:hAnsi="Arial" w:cs="Arial"/>
          <w:bCs/>
        </w:rPr>
        <w:t xml:space="preserve">Diante de todo o exposto, </w:t>
      </w:r>
      <w:r w:rsidRPr="004D56DD">
        <w:rPr>
          <w:rFonts w:ascii="Arial" w:hAnsi="Arial" w:cs="Arial"/>
          <w:b/>
          <w:bCs/>
        </w:rPr>
        <w:t>julga-se improcedente a alegação da Recorrente</w:t>
      </w:r>
      <w:r w:rsidRPr="004D56DD">
        <w:rPr>
          <w:rFonts w:ascii="Arial" w:hAnsi="Arial" w:cs="Arial"/>
          <w:bCs/>
        </w:rPr>
        <w:t>, tendo em vista que a empresa vencedora comprovou adequadamente a exequibilidade de sua proposta.</w:t>
      </w:r>
    </w:p>
    <w:p w14:paraId="4E44164F" w14:textId="4B706663" w:rsidR="00334B61" w:rsidRPr="00334B61" w:rsidRDefault="00334B61" w:rsidP="00334B61">
      <w:pPr>
        <w:pStyle w:val="Padro"/>
        <w:spacing w:line="360" w:lineRule="auto"/>
        <w:ind w:firstLine="708"/>
        <w:jc w:val="both"/>
        <w:rPr>
          <w:rFonts w:ascii="Arial" w:hAnsi="Arial" w:cs="Arial"/>
          <w:bCs/>
        </w:rPr>
      </w:pPr>
    </w:p>
    <w:p w14:paraId="2518B3B6" w14:textId="77777777" w:rsidR="00334B61" w:rsidRPr="00334B61" w:rsidRDefault="00334B61" w:rsidP="00DE1C69">
      <w:pPr>
        <w:pStyle w:val="Padro"/>
        <w:spacing w:line="360" w:lineRule="auto"/>
        <w:jc w:val="both"/>
        <w:rPr>
          <w:rFonts w:ascii="Arial" w:hAnsi="Arial" w:cs="Arial"/>
          <w:b/>
          <w:bCs/>
        </w:rPr>
      </w:pPr>
      <w:r w:rsidRPr="00334B61">
        <w:rPr>
          <w:rFonts w:ascii="Arial" w:hAnsi="Arial" w:cs="Arial"/>
          <w:b/>
          <w:bCs/>
        </w:rPr>
        <w:t>2.4 – Da observância aos princípios da razoabilidade e da supremacia do interesse público</w:t>
      </w:r>
    </w:p>
    <w:p w14:paraId="3FB30CE2" w14:textId="77777777"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O objetivo primordial da licitação é garantir a proposta mais vantajosa para a Administração, assegurando a seleção de empresa tecnicamente apta e economicamente vantajosa, em observância ao art. 11, incisos I e II, da Lei 14.133/2021.</w:t>
      </w:r>
    </w:p>
    <w:p w14:paraId="530203AE" w14:textId="77777777"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Nesse contexto, a decisão da Pregoeira se revela razoável, proporcional e juridicamente adequada, evitando a inabilitação de empresa que comprovou, de forma suficiente, a capacidade técnica e profissional para execução do objeto, sem comprometer a isonomia ou a lisura do certame.</w:t>
      </w:r>
    </w:p>
    <w:p w14:paraId="0F54124A" w14:textId="77777777" w:rsidR="00334B61" w:rsidRPr="00334B61" w:rsidRDefault="00334B61" w:rsidP="00334B61">
      <w:pPr>
        <w:pStyle w:val="Padro"/>
        <w:spacing w:line="360" w:lineRule="auto"/>
        <w:ind w:firstLine="708"/>
        <w:jc w:val="both"/>
        <w:rPr>
          <w:rFonts w:ascii="Arial" w:hAnsi="Arial" w:cs="Arial"/>
          <w:bCs/>
        </w:rPr>
      </w:pPr>
      <w:r w:rsidRPr="00334B61">
        <w:rPr>
          <w:rFonts w:ascii="Arial" w:hAnsi="Arial" w:cs="Arial"/>
          <w:bCs/>
        </w:rPr>
        <w:t>Adotar interpretação restritiva, como pleiteia a Recorrente, implicaria violação ao princípio da supremacia do interesse público, pois afastaria proposta vantajosa com base em formalidade superável, o que contraria a moderna hermenêutica da legislação de licitações e contratos.</w:t>
      </w:r>
    </w:p>
    <w:p w14:paraId="386F50BD" w14:textId="14B3FA81" w:rsidR="00515108" w:rsidRDefault="00515108" w:rsidP="003272A0">
      <w:pPr>
        <w:pStyle w:val="Padro"/>
        <w:spacing w:line="360" w:lineRule="auto"/>
        <w:jc w:val="both"/>
        <w:rPr>
          <w:rFonts w:ascii="Arial" w:hAnsi="Arial" w:cs="Arial"/>
        </w:rPr>
      </w:pPr>
    </w:p>
    <w:p w14:paraId="6401E661" w14:textId="7B2D46F0" w:rsidR="005C2634" w:rsidRPr="00855710" w:rsidRDefault="005C2634" w:rsidP="005C2634">
      <w:pPr>
        <w:pStyle w:val="Padro"/>
        <w:spacing w:before="80" w:after="80"/>
        <w:jc w:val="both"/>
        <w:rPr>
          <w:rFonts w:ascii="Arial" w:hAnsi="Arial" w:cs="Arial"/>
          <w:b/>
          <w:szCs w:val="24"/>
        </w:rPr>
      </w:pPr>
      <w:r>
        <w:rPr>
          <w:rFonts w:ascii="Arial" w:hAnsi="Arial" w:cs="Arial"/>
          <w:b/>
          <w:szCs w:val="24"/>
        </w:rPr>
        <w:t>I</w:t>
      </w:r>
      <w:r w:rsidRPr="00855710">
        <w:rPr>
          <w:rFonts w:ascii="Arial" w:hAnsi="Arial" w:cs="Arial"/>
          <w:b/>
          <w:szCs w:val="24"/>
        </w:rPr>
        <w:t>II – CONCLUSÃO</w:t>
      </w:r>
    </w:p>
    <w:p w14:paraId="37EFF965" w14:textId="77777777" w:rsidR="005C2634" w:rsidRDefault="005C2634" w:rsidP="005C2634">
      <w:pPr>
        <w:pStyle w:val="Padro"/>
        <w:spacing w:before="80" w:after="80"/>
        <w:ind w:firstLine="708"/>
        <w:jc w:val="both"/>
        <w:rPr>
          <w:rFonts w:ascii="Arial" w:hAnsi="Arial" w:cs="Arial"/>
          <w:szCs w:val="24"/>
        </w:rPr>
      </w:pPr>
    </w:p>
    <w:p w14:paraId="14360780" w14:textId="5C29B3E9" w:rsidR="00DE1C69" w:rsidRPr="00DE1C69" w:rsidRDefault="00DE1C69" w:rsidP="00DE1C69">
      <w:pPr>
        <w:spacing w:after="160" w:line="360" w:lineRule="auto"/>
        <w:ind w:firstLine="708"/>
        <w:jc w:val="both"/>
        <w:rPr>
          <w:rFonts w:ascii="Arial" w:hAnsi="Arial" w:cs="Arial"/>
        </w:rPr>
      </w:pPr>
      <w:r w:rsidRPr="00DE1C69">
        <w:rPr>
          <w:rFonts w:ascii="Arial" w:hAnsi="Arial" w:cs="Arial"/>
        </w:rPr>
        <w:t xml:space="preserve">Diante do exposto, e considerando os fundamentos de fato e de direito acima delineados, conheço o recurso interposto pela empresa </w:t>
      </w:r>
      <w:r w:rsidR="00972315" w:rsidRPr="00972315">
        <w:rPr>
          <w:rFonts w:ascii="Arial" w:hAnsi="Arial" w:cs="Arial"/>
          <w:b/>
          <w:bCs/>
        </w:rPr>
        <w:t>JOSÉ LUCIANO DOS REIS-ME</w:t>
      </w:r>
      <w:r w:rsidRPr="00DE1C69">
        <w:rPr>
          <w:rFonts w:ascii="Arial" w:hAnsi="Arial" w:cs="Arial"/>
        </w:rPr>
        <w:t>, bem como as contrarrazões apresentadas pela empresa</w:t>
      </w:r>
      <w:r w:rsidRPr="00DE1C69">
        <w:rPr>
          <w:rFonts w:ascii="Arial" w:hAnsi="Arial" w:cs="Arial"/>
          <w:b/>
          <w:bCs/>
        </w:rPr>
        <w:t xml:space="preserve"> MESSIAS NETO PRÓTESES LTDA</w:t>
      </w:r>
      <w:r w:rsidRPr="00DE1C69">
        <w:rPr>
          <w:rFonts w:ascii="Arial" w:hAnsi="Arial" w:cs="Arial"/>
        </w:rPr>
        <w:t>, por cumprirem os requisitos de admissibilidade e tempestividade.</w:t>
      </w:r>
    </w:p>
    <w:p w14:paraId="77CA7DFB" w14:textId="70C61225" w:rsidR="00DE1C69" w:rsidRPr="00DE1C69" w:rsidRDefault="00DE1C69" w:rsidP="00DE1C69">
      <w:pPr>
        <w:spacing w:after="160" w:line="360" w:lineRule="auto"/>
        <w:ind w:firstLine="708"/>
        <w:jc w:val="both"/>
        <w:rPr>
          <w:rFonts w:ascii="Arial" w:hAnsi="Arial" w:cs="Arial"/>
        </w:rPr>
      </w:pPr>
      <w:r w:rsidRPr="00DE1C69">
        <w:rPr>
          <w:rFonts w:ascii="Arial" w:hAnsi="Arial" w:cs="Arial"/>
        </w:rPr>
        <w:lastRenderedPageBreak/>
        <w:t xml:space="preserve">No mérito, </w:t>
      </w:r>
      <w:r w:rsidRPr="00DE1C69">
        <w:rPr>
          <w:rFonts w:ascii="Arial" w:hAnsi="Arial" w:cs="Arial"/>
          <w:b/>
          <w:bCs/>
          <w:u w:val="single"/>
        </w:rPr>
        <w:t>NEGO-LHE PROVIMENTO</w:t>
      </w:r>
      <w:r w:rsidRPr="00DE1C69">
        <w:rPr>
          <w:rFonts w:ascii="Arial" w:hAnsi="Arial" w:cs="Arial"/>
        </w:rPr>
        <w:t xml:space="preserve">, mantendo-se integralmente a decisão da Pregoeira que declarou a empresa </w:t>
      </w:r>
      <w:r w:rsidRPr="00DE1C69">
        <w:rPr>
          <w:rFonts w:ascii="Arial" w:hAnsi="Arial" w:cs="Arial"/>
          <w:b/>
          <w:bCs/>
        </w:rPr>
        <w:t>MESSIAS NETO PRÓTESES LTDA</w:t>
      </w:r>
      <w:r w:rsidRPr="00DE1C69">
        <w:rPr>
          <w:rFonts w:ascii="Arial" w:hAnsi="Arial" w:cs="Arial"/>
        </w:rPr>
        <w:t xml:space="preserve"> habilitada e vencedora do Pregão Eletrônico nº 025/2025.</w:t>
      </w:r>
    </w:p>
    <w:p w14:paraId="2E500723" w14:textId="77777777" w:rsidR="00DE1C69" w:rsidRPr="00DE1C69" w:rsidRDefault="00DE1C69" w:rsidP="00DE1C69">
      <w:pPr>
        <w:spacing w:after="160" w:line="360" w:lineRule="auto"/>
        <w:ind w:firstLine="708"/>
        <w:jc w:val="both"/>
        <w:rPr>
          <w:rFonts w:ascii="Arial" w:hAnsi="Arial" w:cs="Arial"/>
        </w:rPr>
      </w:pPr>
      <w:r w:rsidRPr="00DE1C69">
        <w:rPr>
          <w:rFonts w:ascii="Arial" w:hAnsi="Arial" w:cs="Arial"/>
        </w:rPr>
        <w:t>Não obstante, em observância ao disposto no art. 165, §2º, da Lei Federal nº 14.133/2021, determino o encaminhamento dos autos à autoridade superior, para ciência e deliberação final acerca do recurso administrativo em pauta.</w:t>
      </w:r>
    </w:p>
    <w:p w14:paraId="77591BB5" w14:textId="77777777" w:rsidR="002C399D" w:rsidRDefault="002C399D" w:rsidP="00DE1C69">
      <w:pPr>
        <w:spacing w:line="360" w:lineRule="auto"/>
        <w:ind w:firstLine="708"/>
        <w:rPr>
          <w:rFonts w:ascii="Arial" w:hAnsi="Arial" w:cs="Arial"/>
        </w:rPr>
      </w:pPr>
    </w:p>
    <w:p w14:paraId="1B449FBC" w14:textId="77777777" w:rsidR="00156FF1" w:rsidRDefault="00156FF1" w:rsidP="00156FF1">
      <w:pPr>
        <w:spacing w:line="360" w:lineRule="auto"/>
        <w:ind w:firstLine="708"/>
        <w:rPr>
          <w:rFonts w:ascii="Arial" w:hAnsi="Arial" w:cs="Arial"/>
        </w:rPr>
      </w:pPr>
      <w:r w:rsidRPr="005002EA">
        <w:rPr>
          <w:rFonts w:ascii="Arial" w:hAnsi="Arial" w:cs="Arial"/>
        </w:rPr>
        <w:t>Perdigão</w:t>
      </w:r>
      <w:r>
        <w:rPr>
          <w:rFonts w:ascii="Arial" w:hAnsi="Arial" w:cs="Arial"/>
        </w:rPr>
        <w:t>/MG</w:t>
      </w:r>
      <w:r w:rsidRPr="005002EA">
        <w:rPr>
          <w:rFonts w:ascii="Arial" w:hAnsi="Arial" w:cs="Arial"/>
        </w:rPr>
        <w:t xml:space="preserve">, </w:t>
      </w:r>
      <w:r>
        <w:rPr>
          <w:rFonts w:ascii="Arial" w:hAnsi="Arial" w:cs="Arial"/>
        </w:rPr>
        <w:t>11 de novembro de 2025</w:t>
      </w:r>
      <w:r w:rsidRPr="005002EA">
        <w:rPr>
          <w:rFonts w:ascii="Arial" w:hAnsi="Arial" w:cs="Arial"/>
        </w:rPr>
        <w:t>.</w:t>
      </w:r>
    </w:p>
    <w:p w14:paraId="32B09DAE" w14:textId="77777777" w:rsidR="00156FF1" w:rsidRDefault="00156FF1" w:rsidP="00156FF1">
      <w:pPr>
        <w:spacing w:line="360" w:lineRule="auto"/>
        <w:ind w:firstLine="708"/>
        <w:rPr>
          <w:rFonts w:ascii="Arial" w:hAnsi="Arial" w:cs="Arial"/>
        </w:rPr>
      </w:pPr>
    </w:p>
    <w:p w14:paraId="3C9DE065" w14:textId="77777777" w:rsidR="00156FF1" w:rsidRDefault="00156FF1" w:rsidP="00156FF1">
      <w:pPr>
        <w:spacing w:line="360" w:lineRule="auto"/>
        <w:ind w:firstLine="708"/>
        <w:rPr>
          <w:rFonts w:ascii="Arial" w:hAnsi="Arial" w:cs="Arial"/>
        </w:rPr>
      </w:pPr>
    </w:p>
    <w:p w14:paraId="0FB667C6" w14:textId="77777777" w:rsidR="00156FF1" w:rsidRDefault="00156FF1" w:rsidP="00156FF1">
      <w:pPr>
        <w:spacing w:line="360" w:lineRule="auto"/>
        <w:ind w:firstLine="708"/>
        <w:jc w:val="center"/>
        <w:rPr>
          <w:rFonts w:ascii="Arial" w:hAnsi="Arial" w:cs="Arial"/>
        </w:rPr>
      </w:pPr>
      <w:r>
        <w:rPr>
          <w:rFonts w:ascii="Arial" w:hAnsi="Arial" w:cs="Arial"/>
        </w:rPr>
        <w:t>Rosária Morato Lemos Rodrigues</w:t>
      </w:r>
    </w:p>
    <w:p w14:paraId="63B7CBAD" w14:textId="77777777" w:rsidR="00156FF1" w:rsidRPr="005002EA" w:rsidRDefault="00156FF1" w:rsidP="00156FF1">
      <w:pPr>
        <w:spacing w:line="360" w:lineRule="auto"/>
        <w:ind w:firstLine="708"/>
        <w:jc w:val="center"/>
        <w:rPr>
          <w:rFonts w:ascii="Arial" w:hAnsi="Arial" w:cs="Arial"/>
        </w:rPr>
      </w:pPr>
      <w:r>
        <w:rPr>
          <w:rFonts w:ascii="Arial" w:hAnsi="Arial" w:cs="Arial"/>
        </w:rPr>
        <w:t>Agente de Contratação</w:t>
      </w:r>
    </w:p>
    <w:p w14:paraId="7D10568C" w14:textId="5651CD7A" w:rsidR="002C399D" w:rsidRPr="005002EA" w:rsidRDefault="002C399D" w:rsidP="00156FF1">
      <w:pPr>
        <w:spacing w:line="360" w:lineRule="auto"/>
        <w:ind w:firstLine="708"/>
        <w:rPr>
          <w:rFonts w:ascii="Arial" w:hAnsi="Arial" w:cs="Arial"/>
        </w:rPr>
      </w:pPr>
    </w:p>
    <w:sectPr w:rsidR="002C399D" w:rsidRPr="005002EA" w:rsidSect="002C399D">
      <w:headerReference w:type="default" r:id="rId8"/>
      <w:footerReference w:type="default" r:id="rId9"/>
      <w:pgSz w:w="11907" w:h="16840" w:code="9"/>
      <w:pgMar w:top="1985" w:right="1134" w:bottom="1560" w:left="1701" w:header="851" w:footer="851"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AE758" w14:textId="77777777" w:rsidR="00A63B1B" w:rsidRDefault="00A63B1B">
      <w:r>
        <w:separator/>
      </w:r>
    </w:p>
  </w:endnote>
  <w:endnote w:type="continuationSeparator" w:id="0">
    <w:p w14:paraId="049EFC6D" w14:textId="77777777" w:rsidR="00A63B1B" w:rsidRDefault="00A63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859507177"/>
      <w:docPartObj>
        <w:docPartGallery w:val="Page Numbers (Bottom of Page)"/>
        <w:docPartUnique/>
      </w:docPartObj>
    </w:sdtPr>
    <w:sdtContent>
      <w:p w14:paraId="46C6A7BB" w14:textId="77777777" w:rsidR="00993E68" w:rsidRPr="004E0C0A" w:rsidRDefault="00B1259F">
        <w:pPr>
          <w:pStyle w:val="Rodap"/>
          <w:jc w:val="right"/>
          <w:rPr>
            <w:rFonts w:ascii="Arial" w:hAnsi="Arial" w:cs="Arial"/>
            <w:sz w:val="20"/>
            <w:szCs w:val="20"/>
          </w:rPr>
        </w:pPr>
        <w:r w:rsidRPr="004E0C0A">
          <w:rPr>
            <w:rFonts w:ascii="Arial" w:hAnsi="Arial" w:cs="Arial"/>
            <w:sz w:val="20"/>
            <w:szCs w:val="20"/>
          </w:rPr>
          <w:fldChar w:fldCharType="begin"/>
        </w:r>
        <w:r w:rsidRPr="004E0C0A">
          <w:rPr>
            <w:rFonts w:ascii="Arial" w:hAnsi="Arial" w:cs="Arial"/>
            <w:sz w:val="20"/>
            <w:szCs w:val="20"/>
          </w:rPr>
          <w:instrText>PAGE   \* MERGEFORMAT</w:instrText>
        </w:r>
        <w:r w:rsidRPr="004E0C0A">
          <w:rPr>
            <w:rFonts w:ascii="Arial" w:hAnsi="Arial" w:cs="Arial"/>
            <w:sz w:val="20"/>
            <w:szCs w:val="20"/>
          </w:rPr>
          <w:fldChar w:fldCharType="separate"/>
        </w:r>
        <w:r w:rsidR="0023201A">
          <w:rPr>
            <w:rFonts w:ascii="Arial" w:hAnsi="Arial" w:cs="Arial"/>
            <w:noProof/>
            <w:sz w:val="20"/>
            <w:szCs w:val="20"/>
          </w:rPr>
          <w:t>1</w:t>
        </w:r>
        <w:r w:rsidRPr="004E0C0A">
          <w:rPr>
            <w:rFonts w:ascii="Arial" w:hAnsi="Arial" w:cs="Arial"/>
            <w:sz w:val="20"/>
            <w:szCs w:val="20"/>
          </w:rPr>
          <w:fldChar w:fldCharType="end"/>
        </w:r>
      </w:p>
    </w:sdtContent>
  </w:sdt>
  <w:p w14:paraId="4E1D8C6C" w14:textId="77777777" w:rsidR="00993E68" w:rsidRDefault="00993E6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60B84" w14:textId="77777777" w:rsidR="00A63B1B" w:rsidRDefault="00A63B1B">
      <w:r>
        <w:separator/>
      </w:r>
    </w:p>
  </w:footnote>
  <w:footnote w:type="continuationSeparator" w:id="0">
    <w:p w14:paraId="2D9367C4" w14:textId="77777777" w:rsidR="00A63B1B" w:rsidRDefault="00A63B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6D7C9" w14:textId="77777777" w:rsidR="009970E1" w:rsidRPr="006B4F89" w:rsidRDefault="009970E1" w:rsidP="009970E1">
    <w:pPr>
      <w:widowControl w:val="0"/>
      <w:tabs>
        <w:tab w:val="center" w:pos="4252"/>
        <w:tab w:val="right" w:pos="8504"/>
      </w:tabs>
      <w:jc w:val="center"/>
      <w:rPr>
        <w:rFonts w:ascii="Calibri" w:eastAsia="Calibri" w:hAnsi="Calibri" w:cs="Calibri"/>
        <w:lang w:eastAsia="zh-CN"/>
      </w:rPr>
    </w:pPr>
    <w:r w:rsidRPr="006B4F89">
      <w:rPr>
        <w:rFonts w:ascii="Ecofont_Spranq_eco_Sans" w:hAnsi="Ecofont_Spranq_eco_Sans" w:cs="Tahoma"/>
        <w:noProof/>
      </w:rPr>
      <w:drawing>
        <wp:anchor distT="0" distB="0" distL="0" distR="0" simplePos="0" relativeHeight="251659264" behindDoc="0" locked="0" layoutInCell="1" allowOverlap="1" wp14:anchorId="4E531943" wp14:editId="64FD0AC9">
          <wp:simplePos x="0" y="0"/>
          <wp:positionH relativeFrom="page">
            <wp:posOffset>352425</wp:posOffset>
          </wp:positionH>
          <wp:positionV relativeFrom="page">
            <wp:posOffset>276225</wp:posOffset>
          </wp:positionV>
          <wp:extent cx="1762125" cy="774700"/>
          <wp:effectExtent l="0" t="0" r="9525" b="6350"/>
          <wp:wrapNone/>
          <wp:docPr id="65554261" name="Imagem 1" descr="Tela de jogo de vídeo game&#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m 1" descr="Tela de jogo de vídeo game&#10;&#10;O conteúdo gerado por IA pode estar incorreto."/>
                  <pic:cNvPicPr>
                    <a:picLocks noChangeArrowheads="1"/>
                  </pic:cNvPicPr>
                </pic:nvPicPr>
                <pic:blipFill>
                  <a:blip r:embed="rId1">
                    <a:extLst>
                      <a:ext uri="{28A0092B-C50C-407E-A947-70E740481C1C}">
                        <a14:useLocalDpi xmlns:a14="http://schemas.microsoft.com/office/drawing/2010/main" val="0"/>
                      </a:ext>
                    </a:extLst>
                  </a:blip>
                  <a:srcRect r="54362"/>
                  <a:stretch>
                    <a:fillRect/>
                  </a:stretch>
                </pic:blipFill>
                <pic:spPr bwMode="auto">
                  <a:xfrm>
                    <a:off x="0" y="0"/>
                    <a:ext cx="1762125" cy="774700"/>
                  </a:xfrm>
                  <a:prstGeom prst="rect">
                    <a:avLst/>
                  </a:prstGeom>
                  <a:noFill/>
                </pic:spPr>
              </pic:pic>
            </a:graphicData>
          </a:graphic>
          <wp14:sizeRelH relativeFrom="margin">
            <wp14:pctWidth>0</wp14:pctWidth>
          </wp14:sizeRelH>
          <wp14:sizeRelV relativeFrom="margin">
            <wp14:pctHeight>0</wp14:pctHeight>
          </wp14:sizeRelV>
        </wp:anchor>
      </w:drawing>
    </w:r>
    <w:r w:rsidRPr="006B4F89">
      <w:rPr>
        <w:rFonts w:ascii="Ecofont_Spranq_eco_Sans" w:hAnsi="Ecofont_Spranq_eco_Sans" w:cs="Tahoma"/>
        <w:noProof/>
      </w:rPr>
      <w:drawing>
        <wp:anchor distT="0" distB="0" distL="114300" distR="114300" simplePos="0" relativeHeight="251660288" behindDoc="1" locked="0" layoutInCell="1" allowOverlap="1" wp14:anchorId="5A93ACFD" wp14:editId="6E605C4B">
          <wp:simplePos x="0" y="0"/>
          <wp:positionH relativeFrom="page">
            <wp:posOffset>5970905</wp:posOffset>
          </wp:positionH>
          <wp:positionV relativeFrom="paragraph">
            <wp:posOffset>-266700</wp:posOffset>
          </wp:positionV>
          <wp:extent cx="1103630" cy="1199515"/>
          <wp:effectExtent l="0" t="0" r="1270" b="635"/>
          <wp:wrapNone/>
          <wp:docPr id="1705964356" name="Imagem 2108809149" descr="Form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08809149" descr="Forma, Círculo&#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3630" cy="1199515"/>
                  </a:xfrm>
                  <a:prstGeom prst="rect">
                    <a:avLst/>
                  </a:prstGeom>
                  <a:noFill/>
                </pic:spPr>
              </pic:pic>
            </a:graphicData>
          </a:graphic>
          <wp14:sizeRelH relativeFrom="page">
            <wp14:pctWidth>0</wp14:pctWidth>
          </wp14:sizeRelH>
          <wp14:sizeRelV relativeFrom="page">
            <wp14:pctHeight>0</wp14:pctHeight>
          </wp14:sizeRelV>
        </wp:anchor>
      </w:drawing>
    </w:r>
    <w:r w:rsidRPr="006B4F89">
      <w:rPr>
        <w:rFonts w:ascii="Arial" w:eastAsia="Calibri" w:hAnsi="Arial" w:cs="Arial"/>
        <w:b/>
        <w:color w:val="000000"/>
        <w:lang w:eastAsia="zh-CN"/>
      </w:rPr>
      <w:t xml:space="preserve">       MUNICÍPIO DE PERDIGÃO – 2025/2028</w:t>
    </w:r>
  </w:p>
  <w:p w14:paraId="5E610E2A" w14:textId="77777777" w:rsidR="009970E1" w:rsidRPr="006B4F89" w:rsidRDefault="009970E1" w:rsidP="009970E1">
    <w:pPr>
      <w:widowControl w:val="0"/>
      <w:jc w:val="center"/>
      <w:rPr>
        <w:rFonts w:ascii="Calibri" w:eastAsia="Calibri" w:hAnsi="Calibri" w:cs="Calibri"/>
        <w:color w:val="000000"/>
        <w:lang w:eastAsia="zh-CN"/>
      </w:rPr>
    </w:pPr>
    <w:r w:rsidRPr="006B4F89">
      <w:rPr>
        <w:rFonts w:ascii="Calibri" w:eastAsia="Calibri" w:hAnsi="Calibri" w:cs="Calibri"/>
        <w:color w:val="000000"/>
        <w:lang w:eastAsia="zh-CN"/>
      </w:rPr>
      <w:t xml:space="preserve">         Av. Santa Rita, 150 – Perdigão / MG – CEP: 35.515-000  </w:t>
    </w:r>
  </w:p>
  <w:p w14:paraId="4C693A6C" w14:textId="77777777" w:rsidR="009970E1" w:rsidRPr="006B4F89" w:rsidRDefault="009970E1" w:rsidP="009970E1">
    <w:pPr>
      <w:widowControl w:val="0"/>
      <w:jc w:val="center"/>
      <w:rPr>
        <w:rFonts w:ascii="Calibri" w:eastAsia="Calibri" w:hAnsi="Calibri" w:cs="Calibri"/>
        <w:color w:val="000000"/>
        <w:lang w:eastAsia="zh-CN"/>
      </w:rPr>
    </w:pPr>
    <w:r w:rsidRPr="006B4F89">
      <w:rPr>
        <w:rFonts w:ascii="Calibri" w:eastAsia="Calibri" w:hAnsi="Calibri" w:cs="Calibri"/>
        <w:color w:val="000000"/>
        <w:lang w:eastAsia="zh-CN"/>
      </w:rPr>
      <w:t xml:space="preserve">       CNPJ – 18.301.051.0001/19      Tel. (37) 3287-1030</w:t>
    </w:r>
  </w:p>
  <w:p w14:paraId="7BF320EA" w14:textId="77777777" w:rsidR="009970E1" w:rsidRPr="006B4F89" w:rsidRDefault="009970E1" w:rsidP="009970E1">
    <w:pPr>
      <w:tabs>
        <w:tab w:val="center" w:pos="4419"/>
        <w:tab w:val="right" w:pos="8838"/>
      </w:tabs>
      <w:jc w:val="center"/>
      <w:rPr>
        <w:rFonts w:ascii="Arial" w:eastAsia="MS Mincho" w:hAnsi="Arial" w:cs="Arial"/>
        <w:color w:val="000080"/>
        <w:u w:val="single"/>
      </w:rPr>
    </w:pPr>
    <w:r w:rsidRPr="006B4F89">
      <w:rPr>
        <w:rFonts w:ascii="Calibri" w:eastAsia="Calibri" w:hAnsi="Calibri" w:cs="Calibri"/>
        <w:color w:val="000000"/>
        <w:lang w:eastAsia="zh-CN"/>
      </w:rPr>
      <w:t xml:space="preserve">      e-mail: </w:t>
    </w:r>
    <w:hyperlink r:id="rId3" w:history="1">
      <w:r w:rsidRPr="006B4F89">
        <w:rPr>
          <w:rFonts w:ascii="Ecofont_Spranq_eco_Sans" w:hAnsi="Ecofont_Spranq_eco_Sans" w:cs="Tahoma"/>
          <w:color w:val="000080"/>
          <w:u w:val="single"/>
        </w:rPr>
        <w:t>licitacao@perdigao.mg.gov.br</w:t>
      </w:r>
    </w:hyperlink>
  </w:p>
  <w:p w14:paraId="3942AF7D" w14:textId="77777777" w:rsidR="009970E1" w:rsidRPr="006B4F89" w:rsidRDefault="009970E1" w:rsidP="009970E1">
    <w:pPr>
      <w:tabs>
        <w:tab w:val="center" w:pos="4252"/>
        <w:tab w:val="right" w:pos="8504"/>
      </w:tabs>
      <w:rPr>
        <w:rFonts w:ascii="Ecofont_Spranq_eco_Sans" w:hAnsi="Ecofont_Spranq_eco_Sans" w:cs="Tahoma"/>
      </w:rPr>
    </w:pPr>
  </w:p>
  <w:p w14:paraId="0B71E687" w14:textId="77777777" w:rsidR="009970E1" w:rsidRDefault="009970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341A0"/>
    <w:multiLevelType w:val="hybridMultilevel"/>
    <w:tmpl w:val="1CD8CAF2"/>
    <w:lvl w:ilvl="0" w:tplc="024C893A">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AE421D0"/>
    <w:multiLevelType w:val="hybridMultilevel"/>
    <w:tmpl w:val="DFC8C0A8"/>
    <w:lvl w:ilvl="0" w:tplc="0416001B">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3A6D2EDB"/>
    <w:multiLevelType w:val="hybridMultilevel"/>
    <w:tmpl w:val="16180AE8"/>
    <w:lvl w:ilvl="0" w:tplc="0DDC35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4D13934"/>
    <w:multiLevelType w:val="hybridMultilevel"/>
    <w:tmpl w:val="BD18DE0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5C7F4D14"/>
    <w:multiLevelType w:val="hybridMultilevel"/>
    <w:tmpl w:val="CB0AB724"/>
    <w:lvl w:ilvl="0" w:tplc="6F465EA2">
      <w:start w:val="1"/>
      <w:numFmt w:val="upperRoman"/>
      <w:lvlText w:val="%1)"/>
      <w:lvlJc w:val="left"/>
      <w:pPr>
        <w:ind w:left="2988" w:hanging="720"/>
      </w:pPr>
      <w:rPr>
        <w:rFonts w:hint="default"/>
        <w:b/>
        <w:bCs/>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5" w15:restartNumberingAfterBreak="0">
    <w:nsid w:val="5C893AF8"/>
    <w:multiLevelType w:val="hybridMultilevel"/>
    <w:tmpl w:val="E2E62FBC"/>
    <w:lvl w:ilvl="0" w:tplc="AFBC3F5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65925599"/>
    <w:multiLevelType w:val="hybridMultilevel"/>
    <w:tmpl w:val="1DE2E994"/>
    <w:lvl w:ilvl="0" w:tplc="641CF726">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1527476123">
    <w:abstractNumId w:val="2"/>
  </w:num>
  <w:num w:numId="2" w16cid:durableId="1416592460">
    <w:abstractNumId w:val="0"/>
  </w:num>
  <w:num w:numId="3" w16cid:durableId="1906455861">
    <w:abstractNumId w:val="4"/>
  </w:num>
  <w:num w:numId="4" w16cid:durableId="1359116124">
    <w:abstractNumId w:val="5"/>
  </w:num>
  <w:num w:numId="5" w16cid:durableId="1362895130">
    <w:abstractNumId w:val="1"/>
  </w:num>
  <w:num w:numId="6" w16cid:durableId="87118004">
    <w:abstractNumId w:val="3"/>
  </w:num>
  <w:num w:numId="7" w16cid:durableId="3450610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634"/>
    <w:rsid w:val="00014622"/>
    <w:rsid w:val="0003649A"/>
    <w:rsid w:val="00037DE4"/>
    <w:rsid w:val="00043776"/>
    <w:rsid w:val="00050F90"/>
    <w:rsid w:val="00055CC3"/>
    <w:rsid w:val="0006378A"/>
    <w:rsid w:val="00065495"/>
    <w:rsid w:val="00066065"/>
    <w:rsid w:val="00075A63"/>
    <w:rsid w:val="000A34AA"/>
    <w:rsid w:val="000C0D91"/>
    <w:rsid w:val="000C1A87"/>
    <w:rsid w:val="000C5FA1"/>
    <w:rsid w:val="000F0EAC"/>
    <w:rsid w:val="000F1456"/>
    <w:rsid w:val="0010225B"/>
    <w:rsid w:val="00107CB2"/>
    <w:rsid w:val="00111BDF"/>
    <w:rsid w:val="00114DDD"/>
    <w:rsid w:val="001453D7"/>
    <w:rsid w:val="001454D4"/>
    <w:rsid w:val="00146BDE"/>
    <w:rsid w:val="001534CB"/>
    <w:rsid w:val="0015630B"/>
    <w:rsid w:val="00156FF1"/>
    <w:rsid w:val="00161950"/>
    <w:rsid w:val="001817DA"/>
    <w:rsid w:val="00184F23"/>
    <w:rsid w:val="001967F9"/>
    <w:rsid w:val="001A6B6A"/>
    <w:rsid w:val="001B1525"/>
    <w:rsid w:val="001B70B5"/>
    <w:rsid w:val="001B7AEE"/>
    <w:rsid w:val="001D089E"/>
    <w:rsid w:val="001E796F"/>
    <w:rsid w:val="001F271B"/>
    <w:rsid w:val="001F7CB9"/>
    <w:rsid w:val="00204960"/>
    <w:rsid w:val="002100C7"/>
    <w:rsid w:val="00215AB7"/>
    <w:rsid w:val="00226E50"/>
    <w:rsid w:val="00227664"/>
    <w:rsid w:val="00230E4C"/>
    <w:rsid w:val="0023201A"/>
    <w:rsid w:val="00234439"/>
    <w:rsid w:val="00236EDD"/>
    <w:rsid w:val="002512C4"/>
    <w:rsid w:val="00256DFC"/>
    <w:rsid w:val="00283492"/>
    <w:rsid w:val="002A10F3"/>
    <w:rsid w:val="002A44C6"/>
    <w:rsid w:val="002A542B"/>
    <w:rsid w:val="002B2B5B"/>
    <w:rsid w:val="002C347B"/>
    <w:rsid w:val="002C399D"/>
    <w:rsid w:val="002C3A73"/>
    <w:rsid w:val="002D4D01"/>
    <w:rsid w:val="002D52BC"/>
    <w:rsid w:val="002F71E0"/>
    <w:rsid w:val="00302360"/>
    <w:rsid w:val="00303C15"/>
    <w:rsid w:val="003055F8"/>
    <w:rsid w:val="003059C1"/>
    <w:rsid w:val="00322466"/>
    <w:rsid w:val="00326CBC"/>
    <w:rsid w:val="003272A0"/>
    <w:rsid w:val="00334B61"/>
    <w:rsid w:val="00352F68"/>
    <w:rsid w:val="00353BA8"/>
    <w:rsid w:val="00355395"/>
    <w:rsid w:val="003561B4"/>
    <w:rsid w:val="00370EA8"/>
    <w:rsid w:val="0037338B"/>
    <w:rsid w:val="00374DCB"/>
    <w:rsid w:val="00375525"/>
    <w:rsid w:val="00395E7C"/>
    <w:rsid w:val="003A66E7"/>
    <w:rsid w:val="003A791D"/>
    <w:rsid w:val="003B330C"/>
    <w:rsid w:val="003C16F0"/>
    <w:rsid w:val="003D2E62"/>
    <w:rsid w:val="003F24D9"/>
    <w:rsid w:val="00401008"/>
    <w:rsid w:val="00412F4D"/>
    <w:rsid w:val="00413762"/>
    <w:rsid w:val="00420BBD"/>
    <w:rsid w:val="004212EE"/>
    <w:rsid w:val="004227C7"/>
    <w:rsid w:val="00431F36"/>
    <w:rsid w:val="004455FE"/>
    <w:rsid w:val="004563F8"/>
    <w:rsid w:val="00460D44"/>
    <w:rsid w:val="00466197"/>
    <w:rsid w:val="004731D4"/>
    <w:rsid w:val="0048152C"/>
    <w:rsid w:val="0049065F"/>
    <w:rsid w:val="00495666"/>
    <w:rsid w:val="00496704"/>
    <w:rsid w:val="004A2413"/>
    <w:rsid w:val="004A3A10"/>
    <w:rsid w:val="004A7632"/>
    <w:rsid w:val="004B5BEC"/>
    <w:rsid w:val="004C0BBB"/>
    <w:rsid w:val="004D378A"/>
    <w:rsid w:val="004D56DD"/>
    <w:rsid w:val="004D7185"/>
    <w:rsid w:val="004D7A68"/>
    <w:rsid w:val="004F407F"/>
    <w:rsid w:val="005011EC"/>
    <w:rsid w:val="005042F1"/>
    <w:rsid w:val="00514944"/>
    <w:rsid w:val="00515108"/>
    <w:rsid w:val="00516793"/>
    <w:rsid w:val="00516A89"/>
    <w:rsid w:val="00524915"/>
    <w:rsid w:val="00527BAE"/>
    <w:rsid w:val="005304C8"/>
    <w:rsid w:val="00530E66"/>
    <w:rsid w:val="005416FB"/>
    <w:rsid w:val="00546201"/>
    <w:rsid w:val="00565668"/>
    <w:rsid w:val="0056744B"/>
    <w:rsid w:val="00570791"/>
    <w:rsid w:val="00572634"/>
    <w:rsid w:val="005738FD"/>
    <w:rsid w:val="00584B78"/>
    <w:rsid w:val="00585F37"/>
    <w:rsid w:val="00587A7C"/>
    <w:rsid w:val="005A42E1"/>
    <w:rsid w:val="005A48CD"/>
    <w:rsid w:val="005C195C"/>
    <w:rsid w:val="005C2634"/>
    <w:rsid w:val="00622201"/>
    <w:rsid w:val="00636932"/>
    <w:rsid w:val="00644BCC"/>
    <w:rsid w:val="00645FED"/>
    <w:rsid w:val="006502D0"/>
    <w:rsid w:val="00650FB4"/>
    <w:rsid w:val="00652BBF"/>
    <w:rsid w:val="00662021"/>
    <w:rsid w:val="00680BC0"/>
    <w:rsid w:val="0068229E"/>
    <w:rsid w:val="0068535F"/>
    <w:rsid w:val="006A2263"/>
    <w:rsid w:val="006A408C"/>
    <w:rsid w:val="006C67E7"/>
    <w:rsid w:val="006D3F56"/>
    <w:rsid w:val="006E108D"/>
    <w:rsid w:val="006F174B"/>
    <w:rsid w:val="006F1B5B"/>
    <w:rsid w:val="006F2D28"/>
    <w:rsid w:val="007003A0"/>
    <w:rsid w:val="007047C9"/>
    <w:rsid w:val="00706076"/>
    <w:rsid w:val="007076D3"/>
    <w:rsid w:val="00715297"/>
    <w:rsid w:val="00715520"/>
    <w:rsid w:val="0072079A"/>
    <w:rsid w:val="00721A32"/>
    <w:rsid w:val="00723707"/>
    <w:rsid w:val="007244DE"/>
    <w:rsid w:val="0072470B"/>
    <w:rsid w:val="007477F1"/>
    <w:rsid w:val="00756BA4"/>
    <w:rsid w:val="00764C72"/>
    <w:rsid w:val="007711C9"/>
    <w:rsid w:val="00775C5B"/>
    <w:rsid w:val="00784E74"/>
    <w:rsid w:val="007858B9"/>
    <w:rsid w:val="00795759"/>
    <w:rsid w:val="007A3148"/>
    <w:rsid w:val="007B0A19"/>
    <w:rsid w:val="007C6C28"/>
    <w:rsid w:val="007D23AE"/>
    <w:rsid w:val="007E59AD"/>
    <w:rsid w:val="007F0E10"/>
    <w:rsid w:val="007F45AC"/>
    <w:rsid w:val="008004C5"/>
    <w:rsid w:val="008018D8"/>
    <w:rsid w:val="00803D8E"/>
    <w:rsid w:val="00814D5F"/>
    <w:rsid w:val="00825483"/>
    <w:rsid w:val="00843957"/>
    <w:rsid w:val="00843C74"/>
    <w:rsid w:val="008504D0"/>
    <w:rsid w:val="00852BBE"/>
    <w:rsid w:val="00866049"/>
    <w:rsid w:val="0087550C"/>
    <w:rsid w:val="0088733E"/>
    <w:rsid w:val="00893D12"/>
    <w:rsid w:val="00895FFD"/>
    <w:rsid w:val="00897FCB"/>
    <w:rsid w:val="008A1ACE"/>
    <w:rsid w:val="008A4309"/>
    <w:rsid w:val="008B3412"/>
    <w:rsid w:val="008C00EB"/>
    <w:rsid w:val="008C256E"/>
    <w:rsid w:val="008C5827"/>
    <w:rsid w:val="008D464C"/>
    <w:rsid w:val="008E0713"/>
    <w:rsid w:val="008E7B08"/>
    <w:rsid w:val="008F085B"/>
    <w:rsid w:val="00932EA6"/>
    <w:rsid w:val="0093767B"/>
    <w:rsid w:val="009456E8"/>
    <w:rsid w:val="00953D03"/>
    <w:rsid w:val="00962286"/>
    <w:rsid w:val="00972315"/>
    <w:rsid w:val="00977FA5"/>
    <w:rsid w:val="0098199A"/>
    <w:rsid w:val="00986A89"/>
    <w:rsid w:val="00993E68"/>
    <w:rsid w:val="00995C7A"/>
    <w:rsid w:val="009970E1"/>
    <w:rsid w:val="009974C8"/>
    <w:rsid w:val="009B2E62"/>
    <w:rsid w:val="009B523A"/>
    <w:rsid w:val="009B7E52"/>
    <w:rsid w:val="009C1186"/>
    <w:rsid w:val="009C1E3B"/>
    <w:rsid w:val="009C31A0"/>
    <w:rsid w:val="009C64CE"/>
    <w:rsid w:val="009C7C81"/>
    <w:rsid w:val="009E03B0"/>
    <w:rsid w:val="009F0D06"/>
    <w:rsid w:val="00A01254"/>
    <w:rsid w:val="00A020E3"/>
    <w:rsid w:val="00A04732"/>
    <w:rsid w:val="00A11480"/>
    <w:rsid w:val="00A256CC"/>
    <w:rsid w:val="00A26C68"/>
    <w:rsid w:val="00A5090D"/>
    <w:rsid w:val="00A51A02"/>
    <w:rsid w:val="00A63B1B"/>
    <w:rsid w:val="00A644E9"/>
    <w:rsid w:val="00A64BF4"/>
    <w:rsid w:val="00A83A0B"/>
    <w:rsid w:val="00A83C89"/>
    <w:rsid w:val="00A94DB9"/>
    <w:rsid w:val="00AC3F72"/>
    <w:rsid w:val="00AC46A0"/>
    <w:rsid w:val="00AD576A"/>
    <w:rsid w:val="00AD6753"/>
    <w:rsid w:val="00AD6CB1"/>
    <w:rsid w:val="00AD7D63"/>
    <w:rsid w:val="00AE06A4"/>
    <w:rsid w:val="00AF34F3"/>
    <w:rsid w:val="00B06AC9"/>
    <w:rsid w:val="00B1173A"/>
    <w:rsid w:val="00B1259F"/>
    <w:rsid w:val="00B35C4E"/>
    <w:rsid w:val="00B46480"/>
    <w:rsid w:val="00B535E1"/>
    <w:rsid w:val="00B565F6"/>
    <w:rsid w:val="00B660A0"/>
    <w:rsid w:val="00B72954"/>
    <w:rsid w:val="00B807BA"/>
    <w:rsid w:val="00B8357B"/>
    <w:rsid w:val="00B873C5"/>
    <w:rsid w:val="00B902E7"/>
    <w:rsid w:val="00BA1133"/>
    <w:rsid w:val="00BA537B"/>
    <w:rsid w:val="00BB5429"/>
    <w:rsid w:val="00BC0B3A"/>
    <w:rsid w:val="00BC4E88"/>
    <w:rsid w:val="00BD3400"/>
    <w:rsid w:val="00BD622C"/>
    <w:rsid w:val="00BE3644"/>
    <w:rsid w:val="00BE4D05"/>
    <w:rsid w:val="00C04AA6"/>
    <w:rsid w:val="00C05DE7"/>
    <w:rsid w:val="00C20E94"/>
    <w:rsid w:val="00C33F4C"/>
    <w:rsid w:val="00C3405E"/>
    <w:rsid w:val="00C44DE0"/>
    <w:rsid w:val="00C51CAF"/>
    <w:rsid w:val="00C5359A"/>
    <w:rsid w:val="00C53A88"/>
    <w:rsid w:val="00C76259"/>
    <w:rsid w:val="00CA5EBD"/>
    <w:rsid w:val="00CB0853"/>
    <w:rsid w:val="00CB50B2"/>
    <w:rsid w:val="00CB7A62"/>
    <w:rsid w:val="00CC03F1"/>
    <w:rsid w:val="00CC4AE0"/>
    <w:rsid w:val="00CC748E"/>
    <w:rsid w:val="00CC774D"/>
    <w:rsid w:val="00CD024A"/>
    <w:rsid w:val="00CD476B"/>
    <w:rsid w:val="00D03630"/>
    <w:rsid w:val="00D03D0C"/>
    <w:rsid w:val="00D07BA0"/>
    <w:rsid w:val="00D129D1"/>
    <w:rsid w:val="00D208E6"/>
    <w:rsid w:val="00D50077"/>
    <w:rsid w:val="00D61F8F"/>
    <w:rsid w:val="00D62E5D"/>
    <w:rsid w:val="00D6772F"/>
    <w:rsid w:val="00D70CF6"/>
    <w:rsid w:val="00D74B01"/>
    <w:rsid w:val="00D960A1"/>
    <w:rsid w:val="00DA178B"/>
    <w:rsid w:val="00DA79CC"/>
    <w:rsid w:val="00DD5ADF"/>
    <w:rsid w:val="00DD7B8F"/>
    <w:rsid w:val="00DE1C69"/>
    <w:rsid w:val="00DE2552"/>
    <w:rsid w:val="00DE2CE4"/>
    <w:rsid w:val="00DF502A"/>
    <w:rsid w:val="00E03322"/>
    <w:rsid w:val="00E06B03"/>
    <w:rsid w:val="00E17DEC"/>
    <w:rsid w:val="00E252E1"/>
    <w:rsid w:val="00E25F52"/>
    <w:rsid w:val="00E36317"/>
    <w:rsid w:val="00E41FB5"/>
    <w:rsid w:val="00E670D4"/>
    <w:rsid w:val="00E7765D"/>
    <w:rsid w:val="00E84685"/>
    <w:rsid w:val="00E84886"/>
    <w:rsid w:val="00E85566"/>
    <w:rsid w:val="00E9212B"/>
    <w:rsid w:val="00EB2D85"/>
    <w:rsid w:val="00EB519B"/>
    <w:rsid w:val="00EB5C47"/>
    <w:rsid w:val="00EB78C7"/>
    <w:rsid w:val="00EB7EAC"/>
    <w:rsid w:val="00EB7F87"/>
    <w:rsid w:val="00EC2954"/>
    <w:rsid w:val="00EC47EF"/>
    <w:rsid w:val="00ED6E86"/>
    <w:rsid w:val="00EE4DF2"/>
    <w:rsid w:val="00EF0E3B"/>
    <w:rsid w:val="00EF3693"/>
    <w:rsid w:val="00EF5D2D"/>
    <w:rsid w:val="00EF63EB"/>
    <w:rsid w:val="00F034F9"/>
    <w:rsid w:val="00F04BA1"/>
    <w:rsid w:val="00F141C2"/>
    <w:rsid w:val="00F221A0"/>
    <w:rsid w:val="00F2521E"/>
    <w:rsid w:val="00F30CE1"/>
    <w:rsid w:val="00F33967"/>
    <w:rsid w:val="00F40252"/>
    <w:rsid w:val="00F45C12"/>
    <w:rsid w:val="00F52596"/>
    <w:rsid w:val="00F5549F"/>
    <w:rsid w:val="00F558A5"/>
    <w:rsid w:val="00F57609"/>
    <w:rsid w:val="00F614F6"/>
    <w:rsid w:val="00F72B29"/>
    <w:rsid w:val="00F7405D"/>
    <w:rsid w:val="00F81227"/>
    <w:rsid w:val="00FA0C46"/>
    <w:rsid w:val="00FB5D70"/>
    <w:rsid w:val="00FC0596"/>
    <w:rsid w:val="00FC1955"/>
    <w:rsid w:val="00FD28E1"/>
    <w:rsid w:val="00FE6227"/>
    <w:rsid w:val="00FF2248"/>
    <w:rsid w:val="00FF4223"/>
    <w:rsid w:val="00FF62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639E4"/>
  <w15:docId w15:val="{32ED468A-F926-4E24-8B56-9CA03DEC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634"/>
    <w:pPr>
      <w:spacing w:after="0" w:line="240" w:lineRule="auto"/>
    </w:pPr>
    <w:rPr>
      <w:rFonts w:ascii="Times New Roman" w:eastAsia="Times New Roman" w:hAnsi="Times New Roman" w:cs="Times New Roman"/>
      <w:sz w:val="24"/>
      <w:szCs w:val="24"/>
      <w:lang w:eastAsia="pt-BR"/>
    </w:rPr>
  </w:style>
  <w:style w:type="paragraph" w:styleId="Ttulo5">
    <w:name w:val="heading 5"/>
    <w:basedOn w:val="Normal"/>
    <w:next w:val="Normal"/>
    <w:link w:val="Ttulo5Char"/>
    <w:uiPriority w:val="9"/>
    <w:semiHidden/>
    <w:unhideWhenUsed/>
    <w:qFormat/>
    <w:rsid w:val="00226E50"/>
    <w:pPr>
      <w:keepNext/>
      <w:keepLines/>
      <w:spacing w:before="80" w:after="40" w:line="259" w:lineRule="auto"/>
      <w:outlineLvl w:val="4"/>
    </w:pPr>
    <w:rPr>
      <w:rFonts w:asciiTheme="minorHAnsi" w:eastAsiaTheme="majorEastAsia" w:hAnsiTheme="minorHAnsi" w:cstheme="majorBidi"/>
      <w:color w:val="365F91" w:themeColor="accent1" w:themeShade="BF"/>
      <w:kern w:val="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5C2634"/>
    <w:pPr>
      <w:tabs>
        <w:tab w:val="center" w:pos="4252"/>
        <w:tab w:val="right" w:pos="8504"/>
      </w:tabs>
    </w:pPr>
  </w:style>
  <w:style w:type="character" w:customStyle="1" w:styleId="CabealhoChar">
    <w:name w:val="Cabeçalho Char"/>
    <w:basedOn w:val="Fontepargpadro"/>
    <w:link w:val="Cabealho"/>
    <w:rsid w:val="005C2634"/>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5C2634"/>
    <w:pPr>
      <w:tabs>
        <w:tab w:val="center" w:pos="4252"/>
        <w:tab w:val="right" w:pos="8504"/>
      </w:tabs>
    </w:pPr>
  </w:style>
  <w:style w:type="character" w:customStyle="1" w:styleId="RodapChar">
    <w:name w:val="Rodapé Char"/>
    <w:basedOn w:val="Fontepargpadro"/>
    <w:link w:val="Rodap"/>
    <w:uiPriority w:val="99"/>
    <w:rsid w:val="005C2634"/>
    <w:rPr>
      <w:rFonts w:ascii="Times New Roman" w:eastAsia="Times New Roman" w:hAnsi="Times New Roman" w:cs="Times New Roman"/>
      <w:sz w:val="24"/>
      <w:szCs w:val="24"/>
      <w:lang w:eastAsia="pt-BR"/>
    </w:rPr>
  </w:style>
  <w:style w:type="paragraph" w:customStyle="1" w:styleId="Padro">
    <w:name w:val="Padrão"/>
    <w:rsid w:val="005C2634"/>
    <w:pPr>
      <w:snapToGrid w:val="0"/>
      <w:spacing w:after="0" w:line="240" w:lineRule="auto"/>
    </w:pPr>
    <w:rPr>
      <w:rFonts w:ascii="Times New Roman" w:eastAsia="Times New Roman" w:hAnsi="Times New Roman" w:cs="Times New Roman"/>
      <w:sz w:val="24"/>
      <w:szCs w:val="20"/>
      <w:lang w:eastAsia="pt-BR"/>
    </w:rPr>
  </w:style>
  <w:style w:type="paragraph" w:styleId="Corpodetexto">
    <w:name w:val="Body Text"/>
    <w:basedOn w:val="Normal"/>
    <w:link w:val="CorpodetextoChar"/>
    <w:uiPriority w:val="1"/>
    <w:qFormat/>
    <w:rsid w:val="009B2E62"/>
    <w:pPr>
      <w:widowControl w:val="0"/>
      <w:autoSpaceDE w:val="0"/>
      <w:autoSpaceDN w:val="0"/>
    </w:pPr>
    <w:rPr>
      <w:lang w:val="pt-PT" w:eastAsia="en-US"/>
    </w:rPr>
  </w:style>
  <w:style w:type="character" w:customStyle="1" w:styleId="CorpodetextoChar">
    <w:name w:val="Corpo de texto Char"/>
    <w:basedOn w:val="Fontepargpadro"/>
    <w:link w:val="Corpodetexto"/>
    <w:uiPriority w:val="1"/>
    <w:rsid w:val="009B2E62"/>
    <w:rPr>
      <w:rFonts w:ascii="Times New Roman" w:eastAsia="Times New Roman" w:hAnsi="Times New Roman" w:cs="Times New Roman"/>
      <w:sz w:val="24"/>
      <w:szCs w:val="24"/>
      <w:lang w:val="pt-PT"/>
    </w:rPr>
  </w:style>
  <w:style w:type="character" w:styleId="Hyperlink">
    <w:name w:val="Hyperlink"/>
    <w:basedOn w:val="Fontepargpadro"/>
    <w:uiPriority w:val="99"/>
    <w:unhideWhenUsed/>
    <w:rsid w:val="00BD3400"/>
    <w:rPr>
      <w:color w:val="0000FF" w:themeColor="hyperlink"/>
      <w:u w:val="single"/>
    </w:rPr>
  </w:style>
  <w:style w:type="character" w:styleId="MenoPendente">
    <w:name w:val="Unresolved Mention"/>
    <w:basedOn w:val="Fontepargpadro"/>
    <w:uiPriority w:val="99"/>
    <w:semiHidden/>
    <w:unhideWhenUsed/>
    <w:rsid w:val="00BD3400"/>
    <w:rPr>
      <w:color w:val="605E5C"/>
      <w:shd w:val="clear" w:color="auto" w:fill="E1DFDD"/>
    </w:rPr>
  </w:style>
  <w:style w:type="paragraph" w:styleId="Textodenotaderodap">
    <w:name w:val="footnote text"/>
    <w:basedOn w:val="Normal"/>
    <w:link w:val="TextodenotaderodapChar"/>
    <w:uiPriority w:val="99"/>
    <w:semiHidden/>
    <w:unhideWhenUsed/>
    <w:rsid w:val="00C51CAF"/>
    <w:rPr>
      <w:sz w:val="20"/>
      <w:szCs w:val="20"/>
    </w:rPr>
  </w:style>
  <w:style w:type="character" w:customStyle="1" w:styleId="TextodenotaderodapChar">
    <w:name w:val="Texto de nota de rodapé Char"/>
    <w:basedOn w:val="Fontepargpadro"/>
    <w:link w:val="Textodenotaderodap"/>
    <w:uiPriority w:val="99"/>
    <w:semiHidden/>
    <w:rsid w:val="00C51CAF"/>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C51CAF"/>
    <w:rPr>
      <w:vertAlign w:val="superscript"/>
    </w:rPr>
  </w:style>
  <w:style w:type="paragraph" w:styleId="NormalWeb">
    <w:name w:val="Normal (Web)"/>
    <w:basedOn w:val="Normal"/>
    <w:uiPriority w:val="99"/>
    <w:semiHidden/>
    <w:unhideWhenUsed/>
    <w:rsid w:val="002C399D"/>
  </w:style>
  <w:style w:type="character" w:customStyle="1" w:styleId="Ttulo5Char">
    <w:name w:val="Título 5 Char"/>
    <w:basedOn w:val="Fontepargpadro"/>
    <w:link w:val="Ttulo5"/>
    <w:uiPriority w:val="9"/>
    <w:semiHidden/>
    <w:rsid w:val="00226E50"/>
    <w:rPr>
      <w:rFonts w:eastAsiaTheme="majorEastAsia" w:cstheme="majorBidi"/>
      <w:color w:val="365F91" w:themeColor="accent1" w:themeShade="BF"/>
      <w:kern w:val="2"/>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5423">
      <w:bodyDiv w:val="1"/>
      <w:marLeft w:val="0"/>
      <w:marRight w:val="0"/>
      <w:marTop w:val="0"/>
      <w:marBottom w:val="0"/>
      <w:divBdr>
        <w:top w:val="none" w:sz="0" w:space="0" w:color="auto"/>
        <w:left w:val="none" w:sz="0" w:space="0" w:color="auto"/>
        <w:bottom w:val="none" w:sz="0" w:space="0" w:color="auto"/>
        <w:right w:val="none" w:sz="0" w:space="0" w:color="auto"/>
      </w:divBdr>
    </w:div>
    <w:div w:id="475993352">
      <w:bodyDiv w:val="1"/>
      <w:marLeft w:val="0"/>
      <w:marRight w:val="0"/>
      <w:marTop w:val="0"/>
      <w:marBottom w:val="0"/>
      <w:divBdr>
        <w:top w:val="none" w:sz="0" w:space="0" w:color="auto"/>
        <w:left w:val="none" w:sz="0" w:space="0" w:color="auto"/>
        <w:bottom w:val="none" w:sz="0" w:space="0" w:color="auto"/>
        <w:right w:val="none" w:sz="0" w:space="0" w:color="auto"/>
      </w:divBdr>
    </w:div>
    <w:div w:id="787624496">
      <w:bodyDiv w:val="1"/>
      <w:marLeft w:val="0"/>
      <w:marRight w:val="0"/>
      <w:marTop w:val="0"/>
      <w:marBottom w:val="0"/>
      <w:divBdr>
        <w:top w:val="none" w:sz="0" w:space="0" w:color="auto"/>
        <w:left w:val="none" w:sz="0" w:space="0" w:color="auto"/>
        <w:bottom w:val="none" w:sz="0" w:space="0" w:color="auto"/>
        <w:right w:val="none" w:sz="0" w:space="0" w:color="auto"/>
      </w:divBdr>
    </w:div>
    <w:div w:id="815296511">
      <w:bodyDiv w:val="1"/>
      <w:marLeft w:val="0"/>
      <w:marRight w:val="0"/>
      <w:marTop w:val="0"/>
      <w:marBottom w:val="0"/>
      <w:divBdr>
        <w:top w:val="none" w:sz="0" w:space="0" w:color="auto"/>
        <w:left w:val="none" w:sz="0" w:space="0" w:color="auto"/>
        <w:bottom w:val="none" w:sz="0" w:space="0" w:color="auto"/>
        <w:right w:val="none" w:sz="0" w:space="0" w:color="auto"/>
      </w:divBdr>
    </w:div>
    <w:div w:id="940340752">
      <w:bodyDiv w:val="1"/>
      <w:marLeft w:val="0"/>
      <w:marRight w:val="0"/>
      <w:marTop w:val="0"/>
      <w:marBottom w:val="0"/>
      <w:divBdr>
        <w:top w:val="none" w:sz="0" w:space="0" w:color="auto"/>
        <w:left w:val="none" w:sz="0" w:space="0" w:color="auto"/>
        <w:bottom w:val="none" w:sz="0" w:space="0" w:color="auto"/>
        <w:right w:val="none" w:sz="0" w:space="0" w:color="auto"/>
      </w:divBdr>
    </w:div>
    <w:div w:id="1000085412">
      <w:bodyDiv w:val="1"/>
      <w:marLeft w:val="0"/>
      <w:marRight w:val="0"/>
      <w:marTop w:val="0"/>
      <w:marBottom w:val="0"/>
      <w:divBdr>
        <w:top w:val="none" w:sz="0" w:space="0" w:color="auto"/>
        <w:left w:val="none" w:sz="0" w:space="0" w:color="auto"/>
        <w:bottom w:val="none" w:sz="0" w:space="0" w:color="auto"/>
        <w:right w:val="none" w:sz="0" w:space="0" w:color="auto"/>
      </w:divBdr>
      <w:divsChild>
        <w:div w:id="1175337783">
          <w:marLeft w:val="0"/>
          <w:marRight w:val="0"/>
          <w:marTop w:val="0"/>
          <w:marBottom w:val="0"/>
          <w:divBdr>
            <w:top w:val="none" w:sz="0" w:space="0" w:color="auto"/>
            <w:left w:val="none" w:sz="0" w:space="0" w:color="auto"/>
            <w:bottom w:val="none" w:sz="0" w:space="0" w:color="auto"/>
            <w:right w:val="none" w:sz="0" w:space="0" w:color="auto"/>
          </w:divBdr>
        </w:div>
        <w:div w:id="1257322011">
          <w:marLeft w:val="0"/>
          <w:marRight w:val="0"/>
          <w:marTop w:val="0"/>
          <w:marBottom w:val="0"/>
          <w:divBdr>
            <w:top w:val="none" w:sz="0" w:space="0" w:color="auto"/>
            <w:left w:val="none" w:sz="0" w:space="0" w:color="auto"/>
            <w:bottom w:val="none" w:sz="0" w:space="0" w:color="auto"/>
            <w:right w:val="none" w:sz="0" w:space="0" w:color="auto"/>
          </w:divBdr>
        </w:div>
      </w:divsChild>
    </w:div>
    <w:div w:id="1167480155">
      <w:bodyDiv w:val="1"/>
      <w:marLeft w:val="0"/>
      <w:marRight w:val="0"/>
      <w:marTop w:val="0"/>
      <w:marBottom w:val="0"/>
      <w:divBdr>
        <w:top w:val="none" w:sz="0" w:space="0" w:color="auto"/>
        <w:left w:val="none" w:sz="0" w:space="0" w:color="auto"/>
        <w:bottom w:val="none" w:sz="0" w:space="0" w:color="auto"/>
        <w:right w:val="none" w:sz="0" w:space="0" w:color="auto"/>
      </w:divBdr>
    </w:div>
    <w:div w:id="1304580402">
      <w:bodyDiv w:val="1"/>
      <w:marLeft w:val="0"/>
      <w:marRight w:val="0"/>
      <w:marTop w:val="0"/>
      <w:marBottom w:val="0"/>
      <w:divBdr>
        <w:top w:val="none" w:sz="0" w:space="0" w:color="auto"/>
        <w:left w:val="none" w:sz="0" w:space="0" w:color="auto"/>
        <w:bottom w:val="none" w:sz="0" w:space="0" w:color="auto"/>
        <w:right w:val="none" w:sz="0" w:space="0" w:color="auto"/>
      </w:divBdr>
      <w:divsChild>
        <w:div w:id="1841651053">
          <w:marLeft w:val="0"/>
          <w:marRight w:val="0"/>
          <w:marTop w:val="0"/>
          <w:marBottom w:val="0"/>
          <w:divBdr>
            <w:top w:val="none" w:sz="0" w:space="0" w:color="auto"/>
            <w:left w:val="none" w:sz="0" w:space="0" w:color="auto"/>
            <w:bottom w:val="none" w:sz="0" w:space="0" w:color="auto"/>
            <w:right w:val="none" w:sz="0" w:space="0" w:color="auto"/>
          </w:divBdr>
        </w:div>
        <w:div w:id="944385880">
          <w:marLeft w:val="0"/>
          <w:marRight w:val="0"/>
          <w:marTop w:val="0"/>
          <w:marBottom w:val="0"/>
          <w:divBdr>
            <w:top w:val="none" w:sz="0" w:space="0" w:color="auto"/>
            <w:left w:val="none" w:sz="0" w:space="0" w:color="auto"/>
            <w:bottom w:val="none" w:sz="0" w:space="0" w:color="auto"/>
            <w:right w:val="none" w:sz="0" w:space="0" w:color="auto"/>
          </w:divBdr>
        </w:div>
      </w:divsChild>
    </w:div>
    <w:div w:id="1471361732">
      <w:bodyDiv w:val="1"/>
      <w:marLeft w:val="0"/>
      <w:marRight w:val="0"/>
      <w:marTop w:val="0"/>
      <w:marBottom w:val="0"/>
      <w:divBdr>
        <w:top w:val="none" w:sz="0" w:space="0" w:color="auto"/>
        <w:left w:val="none" w:sz="0" w:space="0" w:color="auto"/>
        <w:bottom w:val="none" w:sz="0" w:space="0" w:color="auto"/>
        <w:right w:val="none" w:sz="0" w:space="0" w:color="auto"/>
      </w:divBdr>
    </w:div>
    <w:div w:id="1586379892">
      <w:bodyDiv w:val="1"/>
      <w:marLeft w:val="0"/>
      <w:marRight w:val="0"/>
      <w:marTop w:val="0"/>
      <w:marBottom w:val="0"/>
      <w:divBdr>
        <w:top w:val="none" w:sz="0" w:space="0" w:color="auto"/>
        <w:left w:val="none" w:sz="0" w:space="0" w:color="auto"/>
        <w:bottom w:val="none" w:sz="0" w:space="0" w:color="auto"/>
        <w:right w:val="none" w:sz="0" w:space="0" w:color="auto"/>
      </w:divBdr>
    </w:div>
    <w:div w:id="202455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perdigao.mg.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3A4AA-CAFD-4BAB-9B34-B7D9467E5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1685</Words>
  <Characters>9105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JULIO</cp:lastModifiedBy>
  <cp:revision>4</cp:revision>
  <cp:lastPrinted>2025-12-09T16:46:00Z</cp:lastPrinted>
  <dcterms:created xsi:type="dcterms:W3CDTF">2025-12-09T16:08:00Z</dcterms:created>
  <dcterms:modified xsi:type="dcterms:W3CDTF">2025-12-09T16:46:00Z</dcterms:modified>
</cp:coreProperties>
</file>