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FD75" w14:textId="599DD422" w:rsidR="00926F16" w:rsidRPr="00926F16" w:rsidRDefault="00926F16" w:rsidP="00926F16">
      <w:pPr>
        <w:jc w:val="center"/>
        <w:rPr>
          <w:b/>
          <w:bCs/>
          <w:u w:val="single"/>
        </w:rPr>
      </w:pPr>
      <w:r w:rsidRPr="00926F16">
        <w:rPr>
          <w:b/>
          <w:bCs/>
          <w:u w:val="single"/>
        </w:rPr>
        <w:t>DECISÃO ADMINISTRATIVA</w:t>
      </w:r>
    </w:p>
    <w:p w14:paraId="0510B1F3" w14:textId="1DF3E481" w:rsidR="00926F16" w:rsidRPr="00926F16" w:rsidRDefault="00926F16" w:rsidP="00926F16">
      <w:pPr>
        <w:jc w:val="center"/>
      </w:pPr>
      <w:r w:rsidRPr="00926F16">
        <w:rPr>
          <w:b/>
          <w:bCs/>
        </w:rPr>
        <w:t>RESPOSTA AO RECURSO ADMINISTRATIVO</w:t>
      </w:r>
    </w:p>
    <w:p w14:paraId="36A904FB" w14:textId="77777777" w:rsidR="00926F16" w:rsidRDefault="00926F16" w:rsidP="00926F16">
      <w:pPr>
        <w:jc w:val="both"/>
        <w:rPr>
          <w:b/>
          <w:bCs/>
        </w:rPr>
      </w:pPr>
    </w:p>
    <w:p w14:paraId="77CC1054" w14:textId="2AF52CF8" w:rsidR="00926F16" w:rsidRPr="00202454" w:rsidRDefault="00926F16" w:rsidP="00926F16">
      <w:pPr>
        <w:pStyle w:val="Corpodetexto"/>
        <w:spacing w:line="360" w:lineRule="auto"/>
        <w:ind w:left="2268" w:hanging="2268"/>
        <w:jc w:val="both"/>
        <w:rPr>
          <w:rFonts w:ascii="Arial" w:hAnsi="Arial" w:cs="Arial"/>
          <w:bCs/>
        </w:rPr>
      </w:pPr>
      <w:r w:rsidRPr="00202454">
        <w:rPr>
          <w:rFonts w:ascii="Arial" w:hAnsi="Arial" w:cs="Arial"/>
          <w:b/>
        </w:rPr>
        <w:t xml:space="preserve">ASSUNTO: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>A</w:t>
      </w:r>
      <w:r w:rsidRPr="00202454">
        <w:rPr>
          <w:rFonts w:ascii="Arial" w:hAnsi="Arial" w:cs="Arial"/>
          <w:bCs/>
        </w:rPr>
        <w:t>nálise de recurso administrativo e contrarrazões</w:t>
      </w:r>
    </w:p>
    <w:p w14:paraId="79917802" w14:textId="1B5A4916" w:rsidR="00926F16" w:rsidRPr="00926F16" w:rsidRDefault="00926F16" w:rsidP="00926F16">
      <w:pPr>
        <w:ind w:left="2268" w:hanging="2268"/>
        <w:jc w:val="both"/>
      </w:pPr>
      <w:r>
        <w:rPr>
          <w:b/>
          <w:bCs/>
        </w:rPr>
        <w:t xml:space="preserve">REFERÊNCIA: </w:t>
      </w:r>
      <w:r>
        <w:rPr>
          <w:b/>
          <w:bCs/>
        </w:rPr>
        <w:tab/>
      </w:r>
      <w:r w:rsidRPr="00926F16">
        <w:t>Processo Licitatório nº</w:t>
      </w:r>
      <w:r>
        <w:rPr>
          <w:b/>
          <w:bCs/>
        </w:rPr>
        <w:t xml:space="preserve"> </w:t>
      </w:r>
      <w:r w:rsidRPr="00926F16">
        <w:t>045/2025</w:t>
      </w:r>
      <w:r>
        <w:t xml:space="preserve"> - </w:t>
      </w:r>
      <w:r w:rsidRPr="00926F16">
        <w:t>Pregão Eletrônico nº 011/2025</w:t>
      </w:r>
    </w:p>
    <w:p w14:paraId="6C8768E1" w14:textId="6A2BCEC5" w:rsidR="00926F16" w:rsidRDefault="00FA1FEA" w:rsidP="00926F16">
      <w:pPr>
        <w:ind w:left="2268" w:hanging="2268"/>
        <w:jc w:val="both"/>
      </w:pPr>
      <w:r w:rsidRPr="00926F16">
        <w:rPr>
          <w:b/>
          <w:bCs/>
        </w:rPr>
        <w:t>OBJETO</w:t>
      </w:r>
      <w:r w:rsidR="00926F16" w:rsidRPr="00926F16">
        <w:rPr>
          <w:b/>
          <w:bCs/>
        </w:rPr>
        <w:t xml:space="preserve">: </w:t>
      </w:r>
      <w:r w:rsidR="00926F16">
        <w:rPr>
          <w:b/>
          <w:bCs/>
        </w:rPr>
        <w:tab/>
      </w:r>
      <w:r w:rsidR="00926F16" w:rsidRPr="00926F16">
        <w:t>REGISTRO DE PREÇOS PARA AQUISIÇÃO DE MATERIAL MÉDICO HOSPITALAR PARA ATENDER A DEMANDA DO PRONTO ATENDIMENTO MUNICIPAL, FARMÁCIA E UNIDADES BÁSICAS DE SAÚDE DO MUNICÍPIO DE PERDIGÃO/MG.</w:t>
      </w:r>
    </w:p>
    <w:p w14:paraId="25F46B9F" w14:textId="4521729B" w:rsidR="00926F16" w:rsidRPr="00926F16" w:rsidRDefault="00FA1FEA" w:rsidP="00926F16">
      <w:pPr>
        <w:ind w:left="2268" w:hanging="2268"/>
        <w:jc w:val="both"/>
      </w:pPr>
      <w:r w:rsidRPr="00926F16">
        <w:rPr>
          <w:b/>
          <w:bCs/>
        </w:rPr>
        <w:t>RECORRENTE</w:t>
      </w:r>
      <w:r w:rsidR="00926F16" w:rsidRPr="00926F16">
        <w:rPr>
          <w:b/>
          <w:bCs/>
        </w:rPr>
        <w:t xml:space="preserve">: </w:t>
      </w:r>
      <w:r w:rsidR="00926F16">
        <w:rPr>
          <w:b/>
          <w:bCs/>
        </w:rPr>
        <w:tab/>
      </w:r>
      <w:proofErr w:type="spellStart"/>
      <w:r w:rsidR="00477E99" w:rsidRPr="00477E99">
        <w:t>Equimed</w:t>
      </w:r>
      <w:proofErr w:type="spellEnd"/>
      <w:r w:rsidR="00477E99" w:rsidRPr="00477E99">
        <w:t xml:space="preserve"> Equipamentos Médicos Hospitalares LTDA</w:t>
      </w:r>
      <w:r w:rsidR="00926F16" w:rsidRPr="00926F16">
        <w:t>.</w:t>
      </w:r>
    </w:p>
    <w:p w14:paraId="3D8B597A" w14:textId="77777777" w:rsidR="00926F16" w:rsidRPr="00926F16" w:rsidRDefault="00926F16" w:rsidP="00926F16">
      <w:pPr>
        <w:jc w:val="both"/>
      </w:pPr>
    </w:p>
    <w:p w14:paraId="21CF7A04" w14:textId="030CC0DD" w:rsidR="00926F16" w:rsidRDefault="00926F16" w:rsidP="00926F16">
      <w:pPr>
        <w:jc w:val="both"/>
      </w:pPr>
    </w:p>
    <w:p w14:paraId="2E327D98" w14:textId="77777777" w:rsidR="00926F16" w:rsidRPr="005002EA" w:rsidRDefault="00926F16" w:rsidP="00926F16">
      <w:pPr>
        <w:spacing w:line="360" w:lineRule="auto"/>
        <w:ind w:firstLine="708"/>
        <w:jc w:val="both"/>
        <w:rPr>
          <w:rFonts w:cs="Arial"/>
        </w:rPr>
      </w:pPr>
      <w:r w:rsidRPr="005002EA">
        <w:rPr>
          <w:rFonts w:cs="Arial"/>
        </w:rPr>
        <w:t>Vistos,</w:t>
      </w:r>
    </w:p>
    <w:p w14:paraId="0B89A487" w14:textId="20E3A71C" w:rsidR="00926F16" w:rsidRPr="005C2634" w:rsidRDefault="00926F16" w:rsidP="00C560BC">
      <w:pPr>
        <w:spacing w:line="360" w:lineRule="auto"/>
        <w:ind w:firstLine="708"/>
        <w:jc w:val="both"/>
        <w:rPr>
          <w:rFonts w:cs="Arial"/>
          <w:b/>
        </w:rPr>
      </w:pPr>
      <w:r w:rsidRPr="005416FB">
        <w:rPr>
          <w:rFonts w:cs="Arial"/>
        </w:rPr>
        <w:t xml:space="preserve">Trata-se </w:t>
      </w:r>
      <w:r>
        <w:rPr>
          <w:rFonts w:cs="Arial"/>
        </w:rPr>
        <w:t>da</w:t>
      </w:r>
      <w:r w:rsidRPr="005416FB">
        <w:rPr>
          <w:rFonts w:cs="Arial"/>
        </w:rPr>
        <w:t xml:space="preserve"> análise d</w:t>
      </w:r>
      <w:r>
        <w:rPr>
          <w:rFonts w:cs="Arial"/>
        </w:rPr>
        <w:t>o r</w:t>
      </w:r>
      <w:r w:rsidRPr="005416FB">
        <w:rPr>
          <w:rFonts w:cs="Arial"/>
        </w:rPr>
        <w:t>ecurs</w:t>
      </w:r>
      <w:r>
        <w:rPr>
          <w:rFonts w:cs="Arial"/>
        </w:rPr>
        <w:t>o administrativo interposto</w:t>
      </w:r>
      <w:r w:rsidRPr="005002EA">
        <w:rPr>
          <w:rFonts w:cs="Arial"/>
        </w:rPr>
        <w:t xml:space="preserve"> pela empresa </w:t>
      </w:r>
      <w:proofErr w:type="spellStart"/>
      <w:r w:rsidR="00477E99" w:rsidRPr="00477E99">
        <w:rPr>
          <w:rFonts w:cs="Arial"/>
          <w:b/>
          <w:bCs/>
        </w:rPr>
        <w:t>Equimed</w:t>
      </w:r>
      <w:proofErr w:type="spellEnd"/>
      <w:r w:rsidR="00477E99" w:rsidRPr="00477E99">
        <w:rPr>
          <w:rFonts w:cs="Arial"/>
          <w:b/>
          <w:bCs/>
        </w:rPr>
        <w:t xml:space="preserve"> Equipamentos Médicos Hospitalares LTDA</w:t>
      </w:r>
      <w:r w:rsidR="00477E99">
        <w:rPr>
          <w:rFonts w:cs="Arial"/>
          <w:b/>
          <w:bCs/>
        </w:rPr>
        <w:t>,</w:t>
      </w:r>
      <w:r>
        <w:rPr>
          <w:rFonts w:cs="Arial"/>
          <w:b/>
          <w:bCs/>
        </w:rPr>
        <w:t xml:space="preserve"> </w:t>
      </w:r>
      <w:r w:rsidR="00477E99">
        <w:rPr>
          <w:rFonts w:cs="Arial"/>
        </w:rPr>
        <w:t>em face</w:t>
      </w:r>
      <w:r>
        <w:rPr>
          <w:rFonts w:cs="Arial"/>
        </w:rPr>
        <w:t xml:space="preserve"> </w:t>
      </w:r>
      <w:r w:rsidR="00477E99">
        <w:rPr>
          <w:rFonts w:cs="Arial"/>
        </w:rPr>
        <w:t>d</w:t>
      </w:r>
      <w:r>
        <w:rPr>
          <w:rFonts w:cs="Arial"/>
        </w:rPr>
        <w:t xml:space="preserve">a decisão proferida pela Pregoeira/Agente de Contratação, </w:t>
      </w:r>
      <w:r w:rsidR="00477E99">
        <w:rPr>
          <w:rFonts w:cs="Arial"/>
        </w:rPr>
        <w:t>que classificou as propostas</w:t>
      </w:r>
      <w:r w:rsidR="00477E99" w:rsidRPr="00477E99">
        <w:rPr>
          <w:rFonts w:cs="Arial"/>
        </w:rPr>
        <w:t xml:space="preserve"> das licitantes vencedoras dos itens 177, 178, 235, 239, 283 e 323</w:t>
      </w:r>
      <w:r>
        <w:rPr>
          <w:rFonts w:cs="Arial"/>
        </w:rPr>
        <w:t>.</w:t>
      </w:r>
    </w:p>
    <w:p w14:paraId="543932CD" w14:textId="77777777" w:rsidR="00926F16" w:rsidRDefault="00926F16" w:rsidP="00926F16">
      <w:pPr>
        <w:jc w:val="both"/>
      </w:pPr>
    </w:p>
    <w:p w14:paraId="1BE0C9ED" w14:textId="1CF5D6E9" w:rsidR="00926F16" w:rsidRPr="00BC5D26" w:rsidRDefault="00926F16" w:rsidP="00926F16">
      <w:pPr>
        <w:jc w:val="both"/>
        <w:rPr>
          <w:b/>
          <w:bCs/>
        </w:rPr>
      </w:pPr>
      <w:r w:rsidRPr="00BC5D26">
        <w:rPr>
          <w:b/>
          <w:bCs/>
        </w:rPr>
        <w:t xml:space="preserve">I. </w:t>
      </w:r>
      <w:r w:rsidR="00BC5D26" w:rsidRPr="00BC5D26">
        <w:rPr>
          <w:b/>
          <w:bCs/>
        </w:rPr>
        <w:t>SINTESE DAS ALEGAÇÕES</w:t>
      </w:r>
    </w:p>
    <w:p w14:paraId="7CB9F984" w14:textId="77777777" w:rsidR="00D350AC" w:rsidRPr="00D350AC" w:rsidRDefault="00D350AC" w:rsidP="00C560BC">
      <w:pPr>
        <w:ind w:firstLine="708"/>
        <w:jc w:val="both"/>
      </w:pPr>
      <w:r w:rsidRPr="00D350AC">
        <w:t>Em suas razões recursais, a empresa recorrente alega, em suma, que:</w:t>
      </w:r>
    </w:p>
    <w:p w14:paraId="18F15036" w14:textId="77777777" w:rsidR="00477E99" w:rsidRDefault="00477E99" w:rsidP="00477E99">
      <w:pPr>
        <w:numPr>
          <w:ilvl w:val="0"/>
          <w:numId w:val="3"/>
        </w:numPr>
        <w:tabs>
          <w:tab w:val="clear" w:pos="720"/>
        </w:tabs>
        <w:ind w:hanging="11"/>
        <w:jc w:val="both"/>
      </w:pPr>
      <w:r>
        <w:t>Para os itens 177 e 178 (kits de laringoscópio adulto e infantil), alega que os valores ofertados pela empresa vencedora seriam inexequíveis diante do número de peças e das características exigidas em edital.</w:t>
      </w:r>
    </w:p>
    <w:p w14:paraId="7C9EEF52" w14:textId="77777777" w:rsidR="00477E99" w:rsidRDefault="00477E99" w:rsidP="00477E99">
      <w:pPr>
        <w:numPr>
          <w:ilvl w:val="0"/>
          <w:numId w:val="3"/>
        </w:numPr>
        <w:tabs>
          <w:tab w:val="clear" w:pos="720"/>
        </w:tabs>
        <w:ind w:hanging="11"/>
        <w:jc w:val="both"/>
      </w:pPr>
      <w:r>
        <w:t xml:space="preserve">Para os itens 235, 239, 283 e 323, sustenta que as propostas vencedoras não atendem às especificações mínimas do edital, especialmente no que tange às funcionalidades técnicas exigidas (monitor </w:t>
      </w:r>
      <w:proofErr w:type="spellStart"/>
      <w:r>
        <w:t>multiparamétrico</w:t>
      </w:r>
      <w:proofErr w:type="spellEnd"/>
      <w:r>
        <w:t>, otoscópio, ventilador pulmonar de transporte e sonar portátil/detector fetal).</w:t>
      </w:r>
    </w:p>
    <w:p w14:paraId="78501678" w14:textId="77777777" w:rsidR="00477E99" w:rsidRDefault="00477E99" w:rsidP="00477E99">
      <w:pPr>
        <w:numPr>
          <w:ilvl w:val="0"/>
          <w:numId w:val="3"/>
        </w:numPr>
        <w:tabs>
          <w:tab w:val="clear" w:pos="720"/>
        </w:tabs>
        <w:ind w:hanging="11"/>
        <w:jc w:val="both"/>
      </w:pPr>
      <w:r>
        <w:t>Ao final, pleiteia a desclassificação das vencedoras e a reforma da decisão da Pregoeira.</w:t>
      </w:r>
    </w:p>
    <w:p w14:paraId="2E23A946" w14:textId="45F0D52C" w:rsidR="008F79B5" w:rsidRDefault="008F79B5" w:rsidP="00C560BC">
      <w:pPr>
        <w:ind w:firstLine="708"/>
        <w:jc w:val="both"/>
      </w:pPr>
      <w:r>
        <w:lastRenderedPageBreak/>
        <w:t>Registra-se, que não houve apresentação de contrarrazões das empresas vencedoras dos itens.</w:t>
      </w:r>
    </w:p>
    <w:p w14:paraId="752F1BFC" w14:textId="7615672A" w:rsidR="00BC5D26" w:rsidRDefault="00D350AC" w:rsidP="00C560BC">
      <w:pPr>
        <w:ind w:firstLine="708"/>
        <w:jc w:val="both"/>
      </w:pPr>
      <w:r>
        <w:t>É a síntese dos fatos.</w:t>
      </w:r>
    </w:p>
    <w:p w14:paraId="76744955" w14:textId="77777777" w:rsidR="00D350AC" w:rsidRPr="00926F16" w:rsidRDefault="00D350AC" w:rsidP="00926F16">
      <w:pPr>
        <w:jc w:val="both"/>
      </w:pPr>
    </w:p>
    <w:p w14:paraId="2F88A094" w14:textId="414C13B8" w:rsidR="00926F16" w:rsidRPr="00926F16" w:rsidRDefault="002F6E5F" w:rsidP="00926F16">
      <w:pPr>
        <w:jc w:val="both"/>
        <w:rPr>
          <w:b/>
          <w:bCs/>
        </w:rPr>
      </w:pPr>
      <w:r>
        <w:rPr>
          <w:b/>
          <w:bCs/>
        </w:rPr>
        <w:t>I</w:t>
      </w:r>
      <w:r w:rsidR="00926F16" w:rsidRPr="00926F16">
        <w:rPr>
          <w:b/>
          <w:bCs/>
        </w:rPr>
        <w:t>I – DO CONHECIMENTO DO RECURSO</w:t>
      </w:r>
    </w:p>
    <w:p w14:paraId="27851F4A" w14:textId="414641AD" w:rsidR="00926F16" w:rsidRDefault="00926F16" w:rsidP="00C560BC">
      <w:pPr>
        <w:ind w:firstLine="708"/>
        <w:jc w:val="both"/>
      </w:pPr>
      <w:r w:rsidRPr="00926F16">
        <w:t xml:space="preserve">O recurso administrativo interposto pela empresa </w:t>
      </w:r>
      <w:proofErr w:type="spellStart"/>
      <w:r w:rsidR="008F79B5" w:rsidRPr="008F79B5">
        <w:t>Equimed</w:t>
      </w:r>
      <w:proofErr w:type="spellEnd"/>
      <w:r w:rsidR="008F79B5" w:rsidRPr="008F79B5">
        <w:t xml:space="preserve"> Equipamentos Médicos Hospitalares LTDA</w:t>
      </w:r>
      <w:r w:rsidRPr="00926F16">
        <w:t xml:space="preserve"> foi apresentado tempestivamente, razão pela qual dele se toma conhecimento, nos termos do art. 165, § 1º, da Lei Federal nº 14.133/2021.</w:t>
      </w:r>
    </w:p>
    <w:p w14:paraId="390E2556" w14:textId="662E3318" w:rsidR="00926F16" w:rsidRPr="00926F16" w:rsidRDefault="00926F16" w:rsidP="00926F16">
      <w:pPr>
        <w:jc w:val="both"/>
      </w:pPr>
    </w:p>
    <w:p w14:paraId="6EBB2AB5" w14:textId="1E9D5795" w:rsidR="00926F16" w:rsidRPr="00926F16" w:rsidRDefault="002F6E5F" w:rsidP="00926F16">
      <w:pPr>
        <w:jc w:val="both"/>
        <w:rPr>
          <w:b/>
          <w:bCs/>
        </w:rPr>
      </w:pPr>
      <w:r>
        <w:rPr>
          <w:b/>
          <w:bCs/>
        </w:rPr>
        <w:t>I</w:t>
      </w:r>
      <w:r w:rsidR="00926F16" w:rsidRPr="00926F16">
        <w:rPr>
          <w:b/>
          <w:bCs/>
        </w:rPr>
        <w:t>II – DO MÉRITO</w:t>
      </w:r>
    </w:p>
    <w:p w14:paraId="658E73B9" w14:textId="32333185" w:rsidR="008F79B5" w:rsidRPr="008F79B5" w:rsidRDefault="008F79B5" w:rsidP="008F79B5">
      <w:pPr>
        <w:jc w:val="both"/>
        <w:rPr>
          <w:b/>
          <w:bCs/>
        </w:rPr>
      </w:pPr>
      <w:r w:rsidRPr="008F79B5">
        <w:rPr>
          <w:b/>
          <w:bCs/>
        </w:rPr>
        <w:t>3.1. Exequibilidade dos Preços</w:t>
      </w:r>
    </w:p>
    <w:p w14:paraId="03ED1E33" w14:textId="182B7B92" w:rsidR="008F79B5" w:rsidRDefault="008F79B5" w:rsidP="008F79B5">
      <w:pPr>
        <w:ind w:firstLine="708"/>
        <w:jc w:val="both"/>
      </w:pPr>
      <w:r>
        <w:t>Preambularmente, a fim de delimitar o tema da presente manifestação, imprescindível que se realize, ao menos, uma sucinta digressão em relação ao que se entende por preços inexequíveis.</w:t>
      </w:r>
    </w:p>
    <w:p w14:paraId="3AAC2F65" w14:textId="77777777" w:rsidR="008F79B5" w:rsidRDefault="008F79B5" w:rsidP="008F79B5">
      <w:pPr>
        <w:ind w:firstLine="708"/>
        <w:jc w:val="both"/>
      </w:pPr>
      <w:r>
        <w:t>A Nova Lei de Licitações (Lei 14.133/2021) não definiu exequibilidade, mas trouxe como um dos objetivos do processo licitatório o de se evitar contratações com preços manifestamente inexequíveis, como previsto no artigo 11, inciso III.</w:t>
      </w:r>
    </w:p>
    <w:p w14:paraId="7AA2F740" w14:textId="77777777" w:rsidR="008F79B5" w:rsidRDefault="008F79B5" w:rsidP="008F79B5">
      <w:pPr>
        <w:ind w:firstLine="708"/>
        <w:jc w:val="both"/>
      </w:pPr>
      <w:r>
        <w:t xml:space="preserve">Combinado a isso, o art. 59, incisos III e IV, prevê a desclassificação de propostas quando não tiverem sua exequibilidade demonstrada e/ou contendo preços inexequíveis, assim considerados aqueles que “não se revelam capazes de possibilitar a alguém uma retribuição financeira”. </w:t>
      </w:r>
    </w:p>
    <w:p w14:paraId="58F44FFA" w14:textId="77777777" w:rsidR="008F79B5" w:rsidRDefault="008F79B5" w:rsidP="008F79B5">
      <w:pPr>
        <w:ind w:firstLine="708"/>
        <w:jc w:val="both"/>
      </w:pPr>
      <w:r>
        <w:t>O critério definido na presente norma conduz a uma presunção relativa de inexequibilidade de preços, devendo a Administração dar à licitante a oportunidade de demonstrar a exequibilidade da sua proposta. (art. 59, §2º)</w:t>
      </w:r>
    </w:p>
    <w:p w14:paraId="2FAD223B" w14:textId="77777777" w:rsidR="008F79B5" w:rsidRDefault="008F79B5" w:rsidP="008F79B5">
      <w:pPr>
        <w:ind w:firstLine="708"/>
        <w:jc w:val="both"/>
      </w:pPr>
      <w:r>
        <w:t xml:space="preserve">Nesse sentido, leciona o jurista Marçal </w:t>
      </w:r>
      <w:proofErr w:type="spellStart"/>
      <w:r>
        <w:t>Justen</w:t>
      </w:r>
      <w:proofErr w:type="spellEnd"/>
      <w:r>
        <w:t xml:space="preserve"> Filho:</w:t>
      </w:r>
    </w:p>
    <w:p w14:paraId="2007074E" w14:textId="77777777" w:rsidR="008F79B5" w:rsidRPr="0036276A" w:rsidRDefault="008F79B5" w:rsidP="0036276A">
      <w:pPr>
        <w:spacing w:line="240" w:lineRule="auto"/>
        <w:ind w:left="2268"/>
        <w:jc w:val="both"/>
        <w:rPr>
          <w:i/>
          <w:iCs/>
          <w:sz w:val="20"/>
          <w:szCs w:val="20"/>
        </w:rPr>
      </w:pPr>
      <w:r w:rsidRPr="0036276A">
        <w:rPr>
          <w:i/>
          <w:iCs/>
          <w:sz w:val="20"/>
          <w:szCs w:val="20"/>
        </w:rPr>
        <w:t>“Se o particular puder comprovar que sua proposta é exequível, não se lhe poderá interditar o exercício do direito de apresentá-la. É inviável proibir o Estado de realizar contratação vantajosa. A questão é de fato, não de direito. Incumbe o ônus da prova da exequibilidade ao particular. Essa comprovação poderá fazer-se em face da própria Administração, pleiteando-se a realização de diligência para tanto.” (in Comentários à Lei de Licitações e Contratos Administrativos, 14º Ed, São Paulo: Dialética, 2010, p. 660)</w:t>
      </w:r>
    </w:p>
    <w:p w14:paraId="58EF2803" w14:textId="48AFF4F5" w:rsidR="008F79B5" w:rsidRDefault="008F79B5" w:rsidP="008F79B5">
      <w:pPr>
        <w:ind w:firstLine="708"/>
        <w:jc w:val="both"/>
      </w:pPr>
      <w:r>
        <w:t xml:space="preserve">Posto isto, tem-se que a definição do valor estimado da contratação deve considerar, sempre que possível, os preços praticados no mercado e em </w:t>
      </w:r>
      <w:r>
        <w:lastRenderedPageBreak/>
        <w:t>contratações similares, com o objetivo de garantir a economicidade e a seleção da proposta mais vantajosa para a Administração.</w:t>
      </w:r>
    </w:p>
    <w:p w14:paraId="0829F776" w14:textId="67E33A8B" w:rsidR="0036276A" w:rsidRDefault="0036276A" w:rsidP="0036276A">
      <w:pPr>
        <w:ind w:firstLine="708"/>
        <w:jc w:val="both"/>
      </w:pPr>
      <w:r>
        <w:t>No caso em análise, informa-se que a composição dos valores de referência dos itens 177 e 178 foi realizada com base em pesquisa de preços realizada há menos de 30 (trinta) dias, englobando:</w:t>
      </w:r>
    </w:p>
    <w:p w14:paraId="4D0724FC" w14:textId="6258F598" w:rsidR="0036276A" w:rsidRDefault="0036276A" w:rsidP="0036276A">
      <w:pPr>
        <w:pStyle w:val="PargrafodaLista"/>
        <w:numPr>
          <w:ilvl w:val="0"/>
          <w:numId w:val="4"/>
        </w:numPr>
        <w:ind w:left="1134"/>
        <w:jc w:val="both"/>
      </w:pPr>
      <w:r>
        <w:t xml:space="preserve">Consultas a banco de preços da plataforma </w:t>
      </w:r>
      <w:proofErr w:type="spellStart"/>
      <w:r>
        <w:t>LicitarDigital</w:t>
      </w:r>
      <w:proofErr w:type="spellEnd"/>
      <w:r>
        <w:t>, que traz resultados de contratações recentes da própria Administração Pública Municipal, referentes a objetos similares; e</w:t>
      </w:r>
    </w:p>
    <w:p w14:paraId="2622BD74" w14:textId="70E20825" w:rsidR="0036276A" w:rsidRDefault="0036276A" w:rsidP="0036276A">
      <w:pPr>
        <w:pStyle w:val="PargrafodaLista"/>
        <w:numPr>
          <w:ilvl w:val="0"/>
          <w:numId w:val="4"/>
        </w:numPr>
        <w:ind w:left="1134"/>
        <w:jc w:val="both"/>
      </w:pPr>
      <w:r>
        <w:t>Cotações obtidas diretamente junto a fornecedores, que apresentaram valores compatíveis com os estipulados no edital.</w:t>
      </w:r>
    </w:p>
    <w:p w14:paraId="1DCABFD1" w14:textId="5C81E04B" w:rsidR="0036276A" w:rsidRDefault="0036276A" w:rsidP="0036276A">
      <w:pPr>
        <w:ind w:firstLine="708"/>
        <w:jc w:val="both"/>
      </w:pPr>
      <w:r>
        <w:t>Ademais, não se constatou, nas pesquisas realizadas, divergência significativa entre os preços praticados no mercado e os valores estimados no edital, o que afasta indiretamente a alegação de inexequibilidade.</w:t>
      </w:r>
    </w:p>
    <w:p w14:paraId="64FD9D00" w14:textId="46BD08AB" w:rsidR="0036276A" w:rsidRDefault="0036276A" w:rsidP="0036276A">
      <w:pPr>
        <w:ind w:firstLine="708"/>
        <w:jc w:val="both"/>
      </w:pPr>
      <w:r>
        <w:t>Lado outro, n</w:t>
      </w:r>
      <w:r w:rsidRPr="004C5CBC">
        <w:t xml:space="preserve">ão foram constatados indícios de inexequibilidade, já que os descontos apresentados </w:t>
      </w:r>
      <w:r>
        <w:t xml:space="preserve">pela licitante </w:t>
      </w:r>
      <w:r w:rsidRPr="004C5CBC">
        <w:t xml:space="preserve">não superam 50% do valor orçado pela Administração, limite este </w:t>
      </w:r>
      <w:r>
        <w:t>regulamentado pelo município e comumente</w:t>
      </w:r>
      <w:r w:rsidRPr="004C5CBC">
        <w:t xml:space="preserve"> reconhecido como parâmetro indicativo de preços inexequíveis</w:t>
      </w:r>
      <w:r>
        <w:t>.</w:t>
      </w:r>
    </w:p>
    <w:p w14:paraId="062D8301" w14:textId="0541BF50" w:rsidR="0036276A" w:rsidRDefault="0036276A" w:rsidP="0036276A">
      <w:pPr>
        <w:ind w:firstLine="708"/>
        <w:jc w:val="both"/>
      </w:pPr>
      <w:r>
        <w:t xml:space="preserve">É certo que a Administração deve pautar-se pela obtenção da proposta mais vantajosa, sem que isso implique em comprometer a viabilidade econômica das contratações. Entretanto, não é possível presumir inexequibilidade sem elementos objetivos que demonstrem, de forma concreta e fundamentada, a inviabilidade de execução nos moldes propostos. </w:t>
      </w:r>
    </w:p>
    <w:p w14:paraId="16F19DA2" w14:textId="3F86FEF0" w:rsidR="0036276A" w:rsidRDefault="0036276A" w:rsidP="0036276A">
      <w:pPr>
        <w:ind w:firstLine="708"/>
        <w:jc w:val="both"/>
      </w:pPr>
      <w:r w:rsidRPr="004C5CBC">
        <w:t>Assim, mantém-se a decisão da Pregoeira pela exequibilidade dos preços e a regularidade da proposta vencedora para os itens 177 e 178</w:t>
      </w:r>
      <w:r>
        <w:t>, vez que os valores apresentados não apresentam indícios de serem inexequíveis.</w:t>
      </w:r>
    </w:p>
    <w:p w14:paraId="47C6340B" w14:textId="6BBF0B99" w:rsidR="0036276A" w:rsidRDefault="00197E1B" w:rsidP="0036276A">
      <w:pPr>
        <w:ind w:firstLine="708"/>
        <w:jc w:val="both"/>
      </w:pPr>
      <w:r>
        <w:t xml:space="preserve">Todavia, registra-se que a Administração realizará a fiscalização desses itens e não concederá reequilíbrio econômico-financeiro a licitante sem que seja demonstrado circunstâncias supervenientes, </w:t>
      </w:r>
      <w:r w:rsidRPr="00197E1B">
        <w:t>decorr</w:t>
      </w:r>
      <w:r>
        <w:t xml:space="preserve">entes </w:t>
      </w:r>
      <w:r w:rsidRPr="00197E1B">
        <w:t>de fatos imprevisíveis ou previsíveis de consequências incalculáveis, que inviabilizem a execução do contrato tal como pactuado</w:t>
      </w:r>
      <w:r>
        <w:t>.</w:t>
      </w:r>
    </w:p>
    <w:p w14:paraId="23D8601D" w14:textId="115503D1" w:rsidR="00197E1B" w:rsidRPr="0036276A" w:rsidRDefault="00197E1B" w:rsidP="0036276A">
      <w:pPr>
        <w:ind w:firstLine="708"/>
        <w:jc w:val="both"/>
      </w:pPr>
      <w:r>
        <w:t>Nesses termos, em caso de inexecução do contrato, a administração adotará as providencias cabíveis previstas no instrumento contratual, com aplicação das penalidades legais.</w:t>
      </w:r>
    </w:p>
    <w:p w14:paraId="288C72BE" w14:textId="77777777" w:rsidR="008F79B5" w:rsidRDefault="008F79B5" w:rsidP="00C560BC">
      <w:pPr>
        <w:ind w:firstLine="708"/>
        <w:jc w:val="both"/>
      </w:pPr>
    </w:p>
    <w:p w14:paraId="2CA6E002" w14:textId="5769CBCC" w:rsidR="00197E1B" w:rsidRPr="008F79B5" w:rsidRDefault="00197E1B" w:rsidP="00197E1B">
      <w:pPr>
        <w:jc w:val="both"/>
        <w:rPr>
          <w:b/>
          <w:bCs/>
        </w:rPr>
      </w:pPr>
      <w:r w:rsidRPr="008F79B5">
        <w:rPr>
          <w:b/>
          <w:bCs/>
        </w:rPr>
        <w:t>3.</w:t>
      </w:r>
      <w:r>
        <w:rPr>
          <w:b/>
          <w:bCs/>
        </w:rPr>
        <w:t>2</w:t>
      </w:r>
      <w:r w:rsidRPr="008F79B5">
        <w:rPr>
          <w:b/>
          <w:bCs/>
        </w:rPr>
        <w:t xml:space="preserve">. </w:t>
      </w:r>
      <w:r w:rsidR="00DC7339">
        <w:rPr>
          <w:b/>
          <w:bCs/>
        </w:rPr>
        <w:t>Do Atendimento das Especificações Editalícias</w:t>
      </w:r>
    </w:p>
    <w:p w14:paraId="51BE3458" w14:textId="6329CAAC" w:rsidR="00DC7339" w:rsidRDefault="00DC7339" w:rsidP="00DC7339">
      <w:pPr>
        <w:ind w:firstLine="708"/>
        <w:jc w:val="both"/>
      </w:pPr>
      <w:r>
        <w:t xml:space="preserve">Diante dos apontamentos de natureza técnica presentes nas razões recursais, o presente recurso foi encaminhado ao setor técnico requisitante para </w:t>
      </w:r>
      <w:r>
        <w:lastRenderedPageBreak/>
        <w:t xml:space="preserve">manifestar-se sobre o atendimento ou não das marcas vencedoras, considerando as especificações mínimas exigidas. </w:t>
      </w:r>
    </w:p>
    <w:p w14:paraId="0A1C7A41" w14:textId="755A43F6" w:rsidR="00DC7339" w:rsidRPr="004C5CBC" w:rsidRDefault="00DC7339" w:rsidP="00DC7339">
      <w:pPr>
        <w:ind w:firstLine="708"/>
        <w:jc w:val="both"/>
      </w:pPr>
      <w:r w:rsidRPr="004C5CBC">
        <w:t xml:space="preserve">Após </w:t>
      </w:r>
      <w:r>
        <w:t xml:space="preserve">análise e </w:t>
      </w:r>
      <w:r w:rsidRPr="004C5CBC">
        <w:t>reexame</w:t>
      </w:r>
      <w:r>
        <w:t xml:space="preserve"> do setor técnico,</w:t>
      </w:r>
      <w:r w:rsidRPr="004C5CBC">
        <w:t xml:space="preserve"> das alegações e documentos apresentados</w:t>
      </w:r>
      <w:r>
        <w:t xml:space="preserve"> pela recorrente</w:t>
      </w:r>
      <w:r w:rsidRPr="004C5CBC">
        <w:t>, const</w:t>
      </w:r>
      <w:r>
        <w:t>atou</w:t>
      </w:r>
      <w:r w:rsidRPr="004C5CBC">
        <w:t xml:space="preserve">-se que </w:t>
      </w:r>
      <w:r w:rsidR="00BE5116">
        <w:t>as marcas/modelos d</w:t>
      </w:r>
      <w:r w:rsidRPr="004C5CBC">
        <w:t>os produtos ofertados pelas empresas vencedoras não atendem às especificações técnicas mínimas exigidas no edital, tais como:</w:t>
      </w:r>
    </w:p>
    <w:p w14:paraId="018ABF92" w14:textId="77777777" w:rsidR="00DC7339" w:rsidRPr="004C5CBC" w:rsidRDefault="00DC7339" w:rsidP="00DC7339">
      <w:pPr>
        <w:numPr>
          <w:ilvl w:val="0"/>
          <w:numId w:val="5"/>
        </w:numPr>
        <w:jc w:val="both"/>
      </w:pPr>
      <w:r w:rsidRPr="004C5CBC">
        <w:rPr>
          <w:b/>
          <w:bCs/>
        </w:rPr>
        <w:t xml:space="preserve">Item 235 – Monitor </w:t>
      </w:r>
      <w:proofErr w:type="spellStart"/>
      <w:r w:rsidRPr="004C5CBC">
        <w:rPr>
          <w:b/>
          <w:bCs/>
        </w:rPr>
        <w:t>multiparamétrico</w:t>
      </w:r>
      <w:proofErr w:type="spellEnd"/>
      <w:r w:rsidRPr="004C5CBC">
        <w:rPr>
          <w:b/>
          <w:bCs/>
        </w:rPr>
        <w:t>:</w:t>
      </w:r>
      <w:r w:rsidRPr="004C5CBC">
        <w:t xml:space="preserve"> ausência de parâmetros exigidos (capnografia, débito cardíaco e BIS), autonomia inferior à prevista, inexistência de tela sensível ao toque, entre outros pontos técnicos em desconformidade.</w:t>
      </w:r>
    </w:p>
    <w:p w14:paraId="42E4011B" w14:textId="77777777" w:rsidR="00DC7339" w:rsidRPr="004C5CBC" w:rsidRDefault="00DC7339" w:rsidP="00DC7339">
      <w:pPr>
        <w:numPr>
          <w:ilvl w:val="0"/>
          <w:numId w:val="5"/>
        </w:numPr>
        <w:jc w:val="both"/>
      </w:pPr>
      <w:r w:rsidRPr="004C5CBC">
        <w:rPr>
          <w:b/>
          <w:bCs/>
        </w:rPr>
        <w:t>Item 239 – Otoscópio:</w:t>
      </w:r>
      <w:r w:rsidRPr="004C5CBC">
        <w:t xml:space="preserve"> produto ofertado não possui iluminação por fibra ótica, requisito obrigatório do edital.</w:t>
      </w:r>
    </w:p>
    <w:p w14:paraId="400B4413" w14:textId="77777777" w:rsidR="00DC7339" w:rsidRPr="004C5CBC" w:rsidRDefault="00DC7339" w:rsidP="00DC7339">
      <w:pPr>
        <w:numPr>
          <w:ilvl w:val="0"/>
          <w:numId w:val="5"/>
        </w:numPr>
        <w:jc w:val="both"/>
      </w:pPr>
      <w:r w:rsidRPr="004C5CBC">
        <w:rPr>
          <w:b/>
          <w:bCs/>
        </w:rPr>
        <w:t>Item 283 – Ventilador pulmonar de transporte:</w:t>
      </w:r>
      <w:r w:rsidRPr="004C5CBC">
        <w:t xml:space="preserve"> equipamento ofertado não se caracteriza como de transporte, apresenta peso superior e características diversas do modelo de referência.</w:t>
      </w:r>
    </w:p>
    <w:p w14:paraId="0B3F54FD" w14:textId="77777777" w:rsidR="00DC7339" w:rsidRPr="004C5CBC" w:rsidRDefault="00DC7339" w:rsidP="00DC7339">
      <w:pPr>
        <w:numPr>
          <w:ilvl w:val="0"/>
          <w:numId w:val="5"/>
        </w:numPr>
        <w:jc w:val="both"/>
      </w:pPr>
      <w:r w:rsidRPr="004C5CBC">
        <w:rPr>
          <w:b/>
          <w:bCs/>
        </w:rPr>
        <w:t>Item 323 – Sonar portátil/detector fetal:</w:t>
      </w:r>
      <w:r w:rsidRPr="004C5CBC">
        <w:t xml:space="preserve"> ausência de indicação clara do modelo ofertado e inconformidade com as exigências de bateria recarregável e funcionalidades previstas.</w:t>
      </w:r>
    </w:p>
    <w:p w14:paraId="259D6B39" w14:textId="5D4FFA31" w:rsidR="00BE5116" w:rsidRDefault="00BE5116" w:rsidP="00BE5116">
      <w:pPr>
        <w:ind w:firstLine="708"/>
        <w:jc w:val="both"/>
      </w:pPr>
      <w:r>
        <w:t>Faz-se importante destacar que as empresas vencedoras não apresentaram qualquer contraposição aos argumentos da empresa recorrente, tendo nesse momento oportunidade de comprovar que suas marcas/modelos ofertados atendiam o exigido no edital</w:t>
      </w:r>
      <w:r w:rsidR="0016153E">
        <w:t xml:space="preserve">, </w:t>
      </w:r>
      <w:r w:rsidR="0016153E" w:rsidRPr="0016153E">
        <w:rPr>
          <w:b/>
          <w:bCs/>
          <w:u w:val="single"/>
        </w:rPr>
        <w:t>e não o fez</w:t>
      </w:r>
      <w:r w:rsidR="0016153E">
        <w:t>.</w:t>
      </w:r>
    </w:p>
    <w:p w14:paraId="2BAD4B6C" w14:textId="22EE28BC" w:rsidR="008F79B5" w:rsidRPr="0016153E" w:rsidRDefault="00DC7339" w:rsidP="00BE5116">
      <w:pPr>
        <w:ind w:firstLine="708"/>
        <w:jc w:val="both"/>
      </w:pPr>
      <w:r w:rsidRPr="004C5CBC">
        <w:t>Diante disso, acatam-se os fundamentos da Recorrente, impondo-se a desclassificação das propostas vencedoras dos itens 235, 239, 283 e 323, em estrita observância ao princípio da vinculação ao instrumento convocatório (art. 5º, Lei 14.133/2021).</w:t>
      </w:r>
    </w:p>
    <w:p w14:paraId="226FA8B8" w14:textId="08F71969" w:rsidR="00926F16" w:rsidRPr="00926F16" w:rsidRDefault="00926F16" w:rsidP="00926F16">
      <w:pPr>
        <w:jc w:val="both"/>
      </w:pPr>
    </w:p>
    <w:p w14:paraId="6A9B0CA1" w14:textId="3D825ED0" w:rsidR="00926F16" w:rsidRPr="00926F16" w:rsidRDefault="0016153E" w:rsidP="00926F16">
      <w:pPr>
        <w:jc w:val="both"/>
        <w:rPr>
          <w:b/>
          <w:bCs/>
        </w:rPr>
      </w:pPr>
      <w:r>
        <w:rPr>
          <w:b/>
          <w:bCs/>
        </w:rPr>
        <w:t>I</w:t>
      </w:r>
      <w:r w:rsidR="00926F16" w:rsidRPr="00926F16">
        <w:rPr>
          <w:b/>
          <w:bCs/>
        </w:rPr>
        <w:t xml:space="preserve">V – DA </w:t>
      </w:r>
      <w:r>
        <w:rPr>
          <w:b/>
          <w:bCs/>
        </w:rPr>
        <w:t>DECISÃO</w:t>
      </w:r>
    </w:p>
    <w:p w14:paraId="594059EC" w14:textId="1B62A507" w:rsidR="00926F16" w:rsidRPr="00926F16" w:rsidRDefault="00926F16" w:rsidP="00C560BC">
      <w:pPr>
        <w:ind w:firstLine="708"/>
        <w:jc w:val="both"/>
      </w:pPr>
      <w:r w:rsidRPr="00926F16">
        <w:t xml:space="preserve">Diante do exposto, </w:t>
      </w:r>
      <w:r w:rsidR="0016153E">
        <w:t>decide</w:t>
      </w:r>
      <w:r w:rsidRPr="00926F16">
        <w:t>-se:</w:t>
      </w:r>
    </w:p>
    <w:p w14:paraId="0F649DA4" w14:textId="77777777" w:rsidR="0016153E" w:rsidRDefault="0016153E" w:rsidP="0016153E">
      <w:pPr>
        <w:numPr>
          <w:ilvl w:val="0"/>
          <w:numId w:val="2"/>
        </w:numPr>
        <w:tabs>
          <w:tab w:val="clear" w:pos="720"/>
        </w:tabs>
        <w:ind w:left="709" w:firstLine="0"/>
        <w:jc w:val="both"/>
      </w:pPr>
      <w:r w:rsidRPr="0016153E">
        <w:rPr>
          <w:b/>
          <w:bCs/>
          <w:u w:val="single"/>
        </w:rPr>
        <w:t>Negar provimento</w:t>
      </w:r>
      <w:r>
        <w:t xml:space="preserve"> ao recurso quanto aos itens 177 e 178, mantendo a decisão da Pregoeira e a classificação das propostas vencedoras, por restar comprovada a exequibilidade dos preços.</w:t>
      </w:r>
    </w:p>
    <w:p w14:paraId="6A970A0D" w14:textId="4802C27C" w:rsidR="0016153E" w:rsidRDefault="0016153E" w:rsidP="0016153E">
      <w:pPr>
        <w:numPr>
          <w:ilvl w:val="0"/>
          <w:numId w:val="2"/>
        </w:numPr>
        <w:ind w:left="709" w:firstLine="0"/>
        <w:jc w:val="both"/>
      </w:pPr>
      <w:r w:rsidRPr="0016153E">
        <w:rPr>
          <w:b/>
          <w:bCs/>
          <w:u w:val="single"/>
        </w:rPr>
        <w:t>Dar provimento</w:t>
      </w:r>
      <w:r>
        <w:t xml:space="preserve"> ao recurso quanto aos itens 235, 239, 283 e 323, procedendo-se à desclassificação das propostas vencedoras, por não atenderem às especificações técnicas mínimas exigidas no edital.</w:t>
      </w:r>
    </w:p>
    <w:p w14:paraId="733EF6FC" w14:textId="620978FD" w:rsidR="00926F16" w:rsidRPr="00926F16" w:rsidRDefault="00926F16" w:rsidP="00926F16">
      <w:pPr>
        <w:jc w:val="both"/>
      </w:pPr>
    </w:p>
    <w:p w14:paraId="51961C47" w14:textId="48F429EA" w:rsidR="00926F16" w:rsidRPr="00926F16" w:rsidRDefault="00926F16" w:rsidP="00926F16">
      <w:pPr>
        <w:jc w:val="both"/>
        <w:rPr>
          <w:b/>
          <w:bCs/>
        </w:rPr>
      </w:pPr>
      <w:r w:rsidRPr="00926F16">
        <w:rPr>
          <w:b/>
          <w:bCs/>
        </w:rPr>
        <w:t xml:space="preserve">V – DA </w:t>
      </w:r>
      <w:r w:rsidR="00D061FA">
        <w:rPr>
          <w:b/>
          <w:bCs/>
        </w:rPr>
        <w:t>CONCLUSÃO</w:t>
      </w:r>
    </w:p>
    <w:p w14:paraId="06C7BE04" w14:textId="3F934916" w:rsidR="00926F16" w:rsidRPr="00926F16" w:rsidRDefault="00D061FA" w:rsidP="00C560BC">
      <w:pPr>
        <w:ind w:firstLine="708"/>
        <w:jc w:val="both"/>
      </w:pPr>
      <w:r w:rsidRPr="00D061FA">
        <w:lastRenderedPageBreak/>
        <w:t>Desta fora</w:t>
      </w:r>
      <w:r>
        <w:rPr>
          <w:b/>
          <w:bCs/>
        </w:rPr>
        <w:t xml:space="preserve">, </w:t>
      </w:r>
      <w:r w:rsidRPr="00926F16">
        <w:rPr>
          <w:b/>
          <w:bCs/>
        </w:rPr>
        <w:t>CONHEÇO</w:t>
      </w:r>
      <w:r w:rsidR="00926F16" w:rsidRPr="00926F16">
        <w:t xml:space="preserve"> do recurso interposto pela empresa </w:t>
      </w:r>
      <w:proofErr w:type="spellStart"/>
      <w:r w:rsidRPr="00D061FA">
        <w:rPr>
          <w:b/>
          <w:bCs/>
        </w:rPr>
        <w:t>Equimed</w:t>
      </w:r>
      <w:proofErr w:type="spellEnd"/>
      <w:r w:rsidRPr="00D061FA">
        <w:rPr>
          <w:b/>
          <w:bCs/>
        </w:rPr>
        <w:t xml:space="preserve"> Equipamentos Médicos Hospitalares LTDA</w:t>
      </w:r>
      <w:r w:rsidR="00926F16" w:rsidRPr="00926F16">
        <w:t xml:space="preserve">, para, </w:t>
      </w:r>
      <w:r w:rsidR="00926F16" w:rsidRPr="00D061FA">
        <w:t>no mérito, julgar-lhe</w:t>
      </w:r>
      <w:r w:rsidR="00926F16" w:rsidRPr="00926F16">
        <w:rPr>
          <w:b/>
          <w:bCs/>
        </w:rPr>
        <w:t xml:space="preserve"> </w:t>
      </w:r>
      <w:r>
        <w:rPr>
          <w:b/>
          <w:bCs/>
        </w:rPr>
        <w:t>PARCIALMENTE PRO</w:t>
      </w:r>
      <w:r w:rsidRPr="00926F16">
        <w:rPr>
          <w:b/>
          <w:bCs/>
        </w:rPr>
        <w:t>CEDENTE</w:t>
      </w:r>
      <w:r w:rsidR="00926F16" w:rsidRPr="00926F16">
        <w:t>, mantendo-se a decisão d</w:t>
      </w:r>
      <w:r>
        <w:t>a Pregoeira para os itens 177 e 178 e desclassificando as propostas apresentadas para os itens 235, 239, 283 e 323</w:t>
      </w:r>
      <w:r w:rsidR="00926F16" w:rsidRPr="00926F16">
        <w:t>.</w:t>
      </w:r>
    </w:p>
    <w:p w14:paraId="68520B29" w14:textId="76FBE5AF" w:rsidR="00F32BFA" w:rsidRDefault="00C560BC" w:rsidP="00C560BC">
      <w:pPr>
        <w:ind w:firstLine="708"/>
        <w:jc w:val="both"/>
      </w:pPr>
      <w:r>
        <w:rPr>
          <w:rFonts w:cs="Arial"/>
        </w:rPr>
        <w:t>Não obstante, em atenção ao art. 165, §2º da Lei Federal nº 14.133/21, encaminha-se os autos à autoridade superior, para análise e ciência dos termos dessa decisão, para posterior deliberação do recurso administrativo em pauta</w:t>
      </w:r>
    </w:p>
    <w:p w14:paraId="758872BC" w14:textId="6D473CD7" w:rsidR="005434BE" w:rsidRDefault="00926F16" w:rsidP="006952CE">
      <w:pPr>
        <w:ind w:firstLine="708"/>
        <w:jc w:val="both"/>
      </w:pPr>
      <w:r w:rsidRPr="00926F16">
        <w:t>É como decido.</w:t>
      </w:r>
    </w:p>
    <w:p w14:paraId="75CC2B22" w14:textId="77777777" w:rsidR="00D061FA" w:rsidRDefault="00D061FA" w:rsidP="006952CE">
      <w:pPr>
        <w:ind w:firstLine="708"/>
        <w:jc w:val="both"/>
      </w:pPr>
    </w:p>
    <w:p w14:paraId="50B763DA" w14:textId="327C2D37" w:rsidR="00D061FA" w:rsidRDefault="00E15FDF" w:rsidP="006952CE">
      <w:pPr>
        <w:ind w:firstLine="708"/>
        <w:jc w:val="both"/>
      </w:pPr>
      <w:r>
        <w:t>Perdigão, 29 de agosto de 2025.</w:t>
      </w:r>
    </w:p>
    <w:p w14:paraId="7307075A" w14:textId="77777777" w:rsidR="00E15FDF" w:rsidRDefault="00E15FDF" w:rsidP="006952CE">
      <w:pPr>
        <w:ind w:firstLine="708"/>
        <w:jc w:val="both"/>
      </w:pPr>
    </w:p>
    <w:p w14:paraId="1A2288AF" w14:textId="77777777" w:rsidR="00E15FDF" w:rsidRDefault="00E15FDF" w:rsidP="006952CE">
      <w:pPr>
        <w:ind w:firstLine="708"/>
        <w:jc w:val="both"/>
      </w:pPr>
    </w:p>
    <w:p w14:paraId="7B98E731" w14:textId="77777777" w:rsidR="00E15FDF" w:rsidRDefault="00E15FDF" w:rsidP="00E15FDF">
      <w:pPr>
        <w:spacing w:after="0" w:line="240" w:lineRule="auto"/>
        <w:ind w:firstLine="709"/>
        <w:jc w:val="both"/>
      </w:pPr>
    </w:p>
    <w:p w14:paraId="3C3079A9" w14:textId="5618E742" w:rsidR="00E15FDF" w:rsidRDefault="00E15FDF" w:rsidP="00E15FDF">
      <w:pPr>
        <w:spacing w:after="0" w:line="240" w:lineRule="auto"/>
        <w:ind w:firstLine="709"/>
        <w:jc w:val="center"/>
      </w:pPr>
      <w:r>
        <w:t>Rosária Morato Lemos Rodrigues</w:t>
      </w:r>
    </w:p>
    <w:p w14:paraId="2A020FAA" w14:textId="448AB60B" w:rsidR="00E15FDF" w:rsidRDefault="00E15FDF" w:rsidP="00E15FDF">
      <w:pPr>
        <w:spacing w:after="0" w:line="240" w:lineRule="auto"/>
        <w:ind w:firstLine="709"/>
        <w:jc w:val="center"/>
      </w:pPr>
      <w:r>
        <w:t>Agente de Contratação</w:t>
      </w:r>
    </w:p>
    <w:sectPr w:rsidR="00E15FDF" w:rsidSect="002873F7">
      <w:headerReference w:type="default" r:id="rId7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004E8" w14:textId="77777777" w:rsidR="00AA1E37" w:rsidRDefault="00AA1E37" w:rsidP="00E15FDF">
      <w:pPr>
        <w:spacing w:after="0" w:line="240" w:lineRule="auto"/>
      </w:pPr>
      <w:r>
        <w:separator/>
      </w:r>
    </w:p>
  </w:endnote>
  <w:endnote w:type="continuationSeparator" w:id="0">
    <w:p w14:paraId="07A13F20" w14:textId="77777777" w:rsidR="00AA1E37" w:rsidRDefault="00AA1E37" w:rsidP="00E15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86F33" w14:textId="77777777" w:rsidR="00AA1E37" w:rsidRDefault="00AA1E37" w:rsidP="00E15FDF">
      <w:pPr>
        <w:spacing w:after="0" w:line="240" w:lineRule="auto"/>
      </w:pPr>
      <w:r>
        <w:separator/>
      </w:r>
    </w:p>
  </w:footnote>
  <w:footnote w:type="continuationSeparator" w:id="0">
    <w:p w14:paraId="606B7ED5" w14:textId="77777777" w:rsidR="00AA1E37" w:rsidRDefault="00AA1E37" w:rsidP="00E15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38F06" w14:textId="77777777" w:rsidR="00E15FDF" w:rsidRPr="00610CE2" w:rsidRDefault="00E15FDF" w:rsidP="00E15FDF">
    <w:pPr>
      <w:widowControl w:val="0"/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Calibri"/>
        <w:lang w:eastAsia="zh-CN"/>
      </w:rPr>
    </w:pPr>
    <w:r w:rsidRPr="00610CE2">
      <w:rPr>
        <w:rFonts w:ascii="Calibri" w:eastAsia="Calibri" w:hAnsi="Calibri" w:cs="Calibri"/>
        <w:noProof/>
        <w:lang w:eastAsia="zh-CN"/>
      </w:rPr>
      <w:drawing>
        <wp:anchor distT="0" distB="0" distL="0" distR="0" simplePos="0" relativeHeight="251659264" behindDoc="0" locked="0" layoutInCell="1" allowOverlap="1" wp14:anchorId="66C76286" wp14:editId="0A1B9124">
          <wp:simplePos x="0" y="0"/>
          <wp:positionH relativeFrom="page">
            <wp:posOffset>349856</wp:posOffset>
          </wp:positionH>
          <wp:positionV relativeFrom="page">
            <wp:posOffset>373712</wp:posOffset>
          </wp:positionV>
          <wp:extent cx="1637969" cy="679152"/>
          <wp:effectExtent l="0" t="0" r="635" b="6985"/>
          <wp:wrapNone/>
          <wp:docPr id="3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362"/>
                  <a:stretch>
                    <a:fillRect/>
                  </a:stretch>
                </pic:blipFill>
                <pic:spPr bwMode="auto">
                  <a:xfrm>
                    <a:off x="0" y="0"/>
                    <a:ext cx="1643275" cy="68135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Calibri" w:cs="Arial"/>
        <w:b/>
        <w:color w:val="000000"/>
        <w:lang w:eastAsia="zh-CN"/>
      </w:rPr>
      <w:t xml:space="preserve">       </w:t>
    </w:r>
    <w:r w:rsidRPr="00610CE2">
      <w:rPr>
        <w:rFonts w:eastAsia="Calibri" w:cs="Arial"/>
        <w:b/>
        <w:color w:val="000000"/>
        <w:lang w:eastAsia="zh-CN"/>
      </w:rPr>
      <w:t>MUNICÍPIO DE PERDIGÃO – 2025/2028</w:t>
    </w:r>
  </w:p>
  <w:p w14:paraId="1002C6F4" w14:textId="77777777" w:rsidR="00E15FDF" w:rsidRPr="00610CE2" w:rsidRDefault="00E15FDF" w:rsidP="00E15FDF">
    <w:pPr>
      <w:widowControl w:val="0"/>
      <w:spacing w:after="0" w:line="240" w:lineRule="auto"/>
      <w:jc w:val="center"/>
      <w:rPr>
        <w:rFonts w:ascii="Calibri" w:eastAsia="Calibri" w:hAnsi="Calibri" w:cs="Calibri"/>
        <w:color w:val="000000"/>
        <w:lang w:eastAsia="zh-CN"/>
      </w:rPr>
    </w:pPr>
    <w:r>
      <w:rPr>
        <w:rFonts w:ascii="Calibri" w:eastAsia="Calibri" w:hAnsi="Calibri" w:cs="Calibri"/>
        <w:color w:val="000000"/>
        <w:lang w:eastAsia="zh-CN"/>
      </w:rPr>
      <w:t xml:space="preserve">         </w:t>
    </w:r>
    <w:r w:rsidRPr="00610CE2">
      <w:rPr>
        <w:rFonts w:ascii="Calibri" w:eastAsia="Calibri" w:hAnsi="Calibri" w:cs="Calibri"/>
        <w:color w:val="000000"/>
        <w:lang w:eastAsia="zh-CN"/>
      </w:rPr>
      <w:t xml:space="preserve">Av. Santa Rita, 150 – Perdigão / MG – CEP: 35.515-000  </w:t>
    </w:r>
  </w:p>
  <w:p w14:paraId="55973629" w14:textId="77777777" w:rsidR="00E15FDF" w:rsidRPr="00610CE2" w:rsidRDefault="00E15FDF" w:rsidP="00E15FDF">
    <w:pPr>
      <w:widowControl w:val="0"/>
      <w:spacing w:after="0" w:line="240" w:lineRule="auto"/>
      <w:jc w:val="center"/>
      <w:rPr>
        <w:rFonts w:ascii="Calibri" w:eastAsia="Calibri" w:hAnsi="Calibri" w:cs="Calibri"/>
        <w:color w:val="000000"/>
        <w:lang w:eastAsia="zh-CN"/>
      </w:rPr>
    </w:pPr>
    <w:r>
      <w:rPr>
        <w:rFonts w:ascii="Calibri" w:eastAsia="Calibri" w:hAnsi="Calibri" w:cs="Calibri"/>
        <w:color w:val="000000"/>
        <w:lang w:eastAsia="zh-CN"/>
      </w:rPr>
      <w:t xml:space="preserve">       </w:t>
    </w:r>
    <w:r w:rsidRPr="00610CE2">
      <w:rPr>
        <w:rFonts w:ascii="Calibri" w:eastAsia="Calibri" w:hAnsi="Calibri" w:cs="Calibri"/>
        <w:color w:val="000000"/>
        <w:lang w:eastAsia="zh-CN"/>
      </w:rPr>
      <w:t>CNPJ – 18.301.051.0001/19      Tel. (37) 3287-1030</w:t>
    </w:r>
  </w:p>
  <w:p w14:paraId="2505B397" w14:textId="77777777" w:rsidR="00E15FDF" w:rsidRPr="00053697" w:rsidRDefault="00E15FDF" w:rsidP="00E15FDF">
    <w:pPr>
      <w:tabs>
        <w:tab w:val="center" w:pos="4419"/>
        <w:tab w:val="right" w:pos="8838"/>
      </w:tabs>
      <w:spacing w:after="0" w:line="240" w:lineRule="auto"/>
      <w:jc w:val="center"/>
      <w:rPr>
        <w:rStyle w:val="Hyperlink"/>
        <w:rFonts w:eastAsia="MS Mincho" w:cs="Arial"/>
      </w:rPr>
    </w:pPr>
    <w:r>
      <w:rPr>
        <w:rFonts w:ascii="Calibri" w:eastAsia="Calibri" w:hAnsi="Calibri" w:cs="Calibri"/>
        <w:color w:val="000000"/>
        <w:lang w:eastAsia="zh-CN"/>
      </w:rPr>
      <w:t xml:space="preserve">      </w:t>
    </w:r>
    <w:r w:rsidRPr="00610CE2">
      <w:rPr>
        <w:rFonts w:ascii="Calibri" w:eastAsia="Calibri" w:hAnsi="Calibri" w:cs="Calibri"/>
        <w:color w:val="000000"/>
        <w:lang w:eastAsia="zh-CN"/>
      </w:rPr>
      <w:t>e-mail:</w:t>
    </w:r>
    <w:r>
      <w:rPr>
        <w:rFonts w:ascii="Calibri" w:eastAsia="Calibri" w:hAnsi="Calibri" w:cs="Calibri"/>
        <w:color w:val="000000"/>
        <w:lang w:eastAsia="zh-CN"/>
      </w:rPr>
      <w:t xml:space="preserve"> </w:t>
    </w:r>
    <w:hyperlink r:id="rId2" w:history="1">
      <w:r w:rsidRPr="003819E0">
        <w:rPr>
          <w:rStyle w:val="Hyperlink"/>
        </w:rPr>
        <w:t>licitacao@perdigao.mg.gov.br</w:t>
      </w:r>
    </w:hyperlink>
  </w:p>
  <w:p w14:paraId="27FA887B" w14:textId="77777777" w:rsidR="00E15FDF" w:rsidRDefault="00E15F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66673"/>
    <w:multiLevelType w:val="hybridMultilevel"/>
    <w:tmpl w:val="E34EC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FF6D39"/>
    <w:multiLevelType w:val="multilevel"/>
    <w:tmpl w:val="E7A8A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FC2A41"/>
    <w:multiLevelType w:val="multilevel"/>
    <w:tmpl w:val="80E07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0031B9"/>
    <w:multiLevelType w:val="multilevel"/>
    <w:tmpl w:val="8DA0D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6C39C4"/>
    <w:multiLevelType w:val="multilevel"/>
    <w:tmpl w:val="AA5C1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3774381">
    <w:abstractNumId w:val="4"/>
  </w:num>
  <w:num w:numId="2" w16cid:durableId="1243879057">
    <w:abstractNumId w:val="2"/>
  </w:num>
  <w:num w:numId="3" w16cid:durableId="493450116">
    <w:abstractNumId w:val="1"/>
  </w:num>
  <w:num w:numId="4" w16cid:durableId="751705047">
    <w:abstractNumId w:val="0"/>
  </w:num>
  <w:num w:numId="5" w16cid:durableId="5588571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F16"/>
    <w:rsid w:val="000B389C"/>
    <w:rsid w:val="0016153E"/>
    <w:rsid w:val="00180EF7"/>
    <w:rsid w:val="00197E1B"/>
    <w:rsid w:val="002873F7"/>
    <w:rsid w:val="002E1E10"/>
    <w:rsid w:val="002F6E5F"/>
    <w:rsid w:val="0036276A"/>
    <w:rsid w:val="004730F9"/>
    <w:rsid w:val="00477E99"/>
    <w:rsid w:val="005239E3"/>
    <w:rsid w:val="005434BE"/>
    <w:rsid w:val="006952CE"/>
    <w:rsid w:val="008F79B5"/>
    <w:rsid w:val="00926F16"/>
    <w:rsid w:val="009B5508"/>
    <w:rsid w:val="00AA1E37"/>
    <w:rsid w:val="00BC46F8"/>
    <w:rsid w:val="00BC5D26"/>
    <w:rsid w:val="00BE5116"/>
    <w:rsid w:val="00C560BC"/>
    <w:rsid w:val="00D061FA"/>
    <w:rsid w:val="00D350AC"/>
    <w:rsid w:val="00DA42FA"/>
    <w:rsid w:val="00DC7339"/>
    <w:rsid w:val="00E15FDF"/>
    <w:rsid w:val="00F32BFA"/>
    <w:rsid w:val="00F56873"/>
    <w:rsid w:val="00FA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DE3C8"/>
  <w15:chartTrackingRefBased/>
  <w15:docId w15:val="{EF3DE9EA-5A60-46FB-B837-001486EB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26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6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F1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F1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F1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F1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F1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F1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F1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26F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26F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F1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F1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F1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F1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F1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F1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F16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26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26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6F1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26F1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6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26F1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26F1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26F1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6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26F1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6F16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926F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926F16"/>
    <w:rPr>
      <w:rFonts w:ascii="Times New Roman" w:eastAsia="Times New Roman" w:hAnsi="Times New Roman" w:cs="Times New Roman"/>
      <w:kern w:val="0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15F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5FDF"/>
  </w:style>
  <w:style w:type="paragraph" w:styleId="Rodap">
    <w:name w:val="footer"/>
    <w:basedOn w:val="Normal"/>
    <w:link w:val="RodapChar"/>
    <w:uiPriority w:val="99"/>
    <w:unhideWhenUsed/>
    <w:rsid w:val="00E15F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5FDF"/>
  </w:style>
  <w:style w:type="character" w:styleId="Hyperlink">
    <w:name w:val="Hyperlink"/>
    <w:uiPriority w:val="99"/>
    <w:rsid w:val="00E15FD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perdigao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1329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Creonty Gusmão</dc:creator>
  <cp:keywords/>
  <dc:description/>
  <cp:lastModifiedBy>JULIO</cp:lastModifiedBy>
  <cp:revision>2</cp:revision>
  <cp:lastPrinted>2025-09-02T16:42:00Z</cp:lastPrinted>
  <dcterms:created xsi:type="dcterms:W3CDTF">2025-09-02T16:44:00Z</dcterms:created>
  <dcterms:modified xsi:type="dcterms:W3CDTF">2025-09-02T16:44:00Z</dcterms:modified>
</cp:coreProperties>
</file>