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1029" w14:textId="77777777" w:rsidR="00D7721B" w:rsidRDefault="00D7721B">
      <w:pPr>
        <w:spacing w:line="276" w:lineRule="auto"/>
        <w:rPr>
          <w:rFonts w:ascii="Bookman Old Style" w:hAnsi="Bookman Old Style" w:cs="Arial"/>
          <w:b/>
          <w:bCs/>
          <w:color w:val="000000" w:themeColor="text1"/>
          <w:sz w:val="18"/>
          <w:szCs w:val="18"/>
        </w:rPr>
      </w:pPr>
    </w:p>
    <w:p w14:paraId="372DCA9D" w14:textId="08AF988D" w:rsidR="00D7721B" w:rsidRDefault="0039180D">
      <w:pPr>
        <w:shd w:val="clear" w:color="auto" w:fill="D9D9D9" w:themeFill="background1" w:themeFillShade="D9"/>
        <w:spacing w:line="276" w:lineRule="auto"/>
        <w:jc w:val="center"/>
        <w:rPr>
          <w:rFonts w:ascii="Bookman Old Style" w:hAnsi="Bookman Old Style" w:cs="Arial"/>
          <w:b/>
          <w:bCs/>
          <w:color w:val="000000" w:themeColor="text1"/>
          <w:sz w:val="18"/>
          <w:szCs w:val="18"/>
        </w:rPr>
      </w:pPr>
      <w:r>
        <w:rPr>
          <w:rFonts w:ascii="Bookman Old Style" w:hAnsi="Bookman Old Style" w:cs="Arial"/>
          <w:b/>
          <w:bCs/>
          <w:color w:val="000000" w:themeColor="text1"/>
          <w:sz w:val="18"/>
          <w:szCs w:val="18"/>
        </w:rPr>
        <w:t xml:space="preserve">AVISO DE DISPENSA ELETRÔNICA Nº </w:t>
      </w:r>
      <w:r w:rsidR="00C0615D">
        <w:rPr>
          <w:rFonts w:ascii="Bookman Old Style" w:hAnsi="Bookman Old Style" w:cs="Arial"/>
          <w:b/>
          <w:bCs/>
          <w:color w:val="000000" w:themeColor="text1"/>
          <w:sz w:val="18"/>
          <w:szCs w:val="18"/>
        </w:rPr>
        <w:t>1</w:t>
      </w:r>
      <w:r w:rsidR="00BB12F6">
        <w:rPr>
          <w:rFonts w:ascii="Bookman Old Style" w:hAnsi="Bookman Old Style" w:cs="Arial"/>
          <w:b/>
          <w:bCs/>
          <w:color w:val="000000" w:themeColor="text1"/>
          <w:sz w:val="18"/>
          <w:szCs w:val="18"/>
        </w:rPr>
        <w:t>7</w:t>
      </w:r>
      <w:r>
        <w:rPr>
          <w:rFonts w:ascii="Bookman Old Style" w:hAnsi="Bookman Old Style" w:cs="Arial"/>
          <w:b/>
          <w:bCs/>
          <w:color w:val="000000" w:themeColor="text1"/>
          <w:sz w:val="18"/>
          <w:szCs w:val="18"/>
        </w:rPr>
        <w:t>/2025</w:t>
      </w:r>
    </w:p>
    <w:p w14:paraId="72C2BB14" w14:textId="58E0621F" w:rsidR="00D7721B" w:rsidRDefault="0039180D">
      <w:pPr>
        <w:shd w:val="clear" w:color="auto" w:fill="D9D9D9" w:themeFill="background1" w:themeFillShade="D9"/>
        <w:spacing w:after="120" w:line="276" w:lineRule="auto"/>
        <w:ind w:right="-15"/>
        <w:jc w:val="center"/>
        <w:rPr>
          <w:rFonts w:ascii="Bookman Old Style" w:hAnsi="Bookman Old Style" w:cs="Arial"/>
          <w:b/>
          <w:bCs/>
          <w:color w:val="000000"/>
          <w:sz w:val="18"/>
          <w:szCs w:val="18"/>
        </w:rPr>
      </w:pPr>
      <w:r>
        <w:rPr>
          <w:rFonts w:ascii="Bookman Old Style" w:hAnsi="Bookman Old Style" w:cs="Arial"/>
          <w:b/>
          <w:bCs/>
          <w:color w:val="000000" w:themeColor="text1"/>
          <w:sz w:val="18"/>
          <w:szCs w:val="18"/>
        </w:rPr>
        <w:t xml:space="preserve">PROCESSO ADMINISTRATIVO N° </w:t>
      </w:r>
      <w:r w:rsidR="00C0615D">
        <w:rPr>
          <w:rFonts w:ascii="Bookman Old Style" w:hAnsi="Bookman Old Style" w:cs="Arial"/>
          <w:b/>
          <w:bCs/>
          <w:color w:val="000000" w:themeColor="text1"/>
          <w:sz w:val="18"/>
          <w:szCs w:val="18"/>
        </w:rPr>
        <w:t>4</w:t>
      </w:r>
      <w:r w:rsidR="00BB12F6">
        <w:rPr>
          <w:rFonts w:ascii="Bookman Old Style" w:hAnsi="Bookman Old Style" w:cs="Arial"/>
          <w:b/>
          <w:bCs/>
          <w:color w:val="000000" w:themeColor="text1"/>
          <w:sz w:val="18"/>
          <w:szCs w:val="18"/>
        </w:rPr>
        <w:t>9</w:t>
      </w:r>
      <w:r>
        <w:rPr>
          <w:rFonts w:ascii="Bookman Old Style" w:hAnsi="Bookman Old Style" w:cs="Arial"/>
          <w:b/>
          <w:bCs/>
          <w:color w:val="000000" w:themeColor="text1"/>
          <w:sz w:val="18"/>
          <w:szCs w:val="18"/>
        </w:rPr>
        <w:t>/2025</w:t>
      </w:r>
    </w:p>
    <w:p w14:paraId="338FEA7F" w14:textId="77777777" w:rsidR="00D7721B" w:rsidRDefault="00D7721B">
      <w:pPr>
        <w:rPr>
          <w:rFonts w:ascii="Bookman Old Style" w:hAnsi="Bookman Old Style" w:cs="Arial"/>
          <w:sz w:val="18"/>
          <w:szCs w:val="18"/>
        </w:rPr>
      </w:pPr>
    </w:p>
    <w:p w14:paraId="3323EA45" w14:textId="77777777" w:rsidR="00D7721B" w:rsidRDefault="0039180D">
      <w:pPr>
        <w:snapToGrid w:val="0"/>
        <w:spacing w:after="120" w:line="276" w:lineRule="auto"/>
        <w:ind w:right="-30" w:firstLine="540"/>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 xml:space="preserve">O </w:t>
      </w:r>
      <w:r>
        <w:rPr>
          <w:rFonts w:ascii="Bookman Old Style" w:hAnsi="Bookman Old Style" w:cs="Arial"/>
          <w:b/>
          <w:color w:val="000000" w:themeColor="text1"/>
          <w:sz w:val="18"/>
          <w:szCs w:val="18"/>
        </w:rPr>
        <w:t>MUNICÍPIO DE MARAVILHAS</w:t>
      </w:r>
      <w:r>
        <w:rPr>
          <w:rFonts w:ascii="Bookman Old Style" w:hAnsi="Bookman Old Style" w:cs="Arial"/>
          <w:color w:val="000000" w:themeColor="text1"/>
          <w:sz w:val="18"/>
          <w:szCs w:val="18"/>
        </w:rPr>
        <w:t>, com endereço na Avenida Brasil, nº 33, Centro, CEP 35.660-001, estado de Minas Gerais, inscrito no CNPJ sob o n° 18.313.841/0001-14, torna públic</w:t>
      </w:r>
      <w:r w:rsidR="00B455D4">
        <w:rPr>
          <w:rFonts w:ascii="Bookman Old Style" w:hAnsi="Bookman Old Style" w:cs="Arial"/>
          <w:color w:val="000000" w:themeColor="text1"/>
          <w:sz w:val="18"/>
          <w:szCs w:val="18"/>
        </w:rPr>
        <w:t>o</w:t>
      </w:r>
      <w:r>
        <w:rPr>
          <w:rFonts w:ascii="Bookman Old Style" w:hAnsi="Bookman Old Style" w:cs="Arial"/>
          <w:color w:val="000000" w:themeColor="text1"/>
          <w:sz w:val="18"/>
          <w:szCs w:val="18"/>
        </w:rPr>
        <w:t xml:space="preserve"> que realizará Dispensa Eletrônica, </w:t>
      </w:r>
      <w:r>
        <w:rPr>
          <w:rFonts w:ascii="Bookman Old Style" w:hAnsi="Bookman Old Style" w:cs="Arial"/>
          <w:bCs/>
          <w:color w:val="000000" w:themeColor="text1"/>
          <w:sz w:val="18"/>
          <w:szCs w:val="18"/>
        </w:rPr>
        <w:t>com critério de julgamento</w:t>
      </w:r>
      <w:r>
        <w:rPr>
          <w:rFonts w:ascii="Bookman Old Style" w:hAnsi="Bookman Old Style" w:cs="Arial"/>
          <w:b/>
          <w:bCs/>
          <w:color w:val="000000" w:themeColor="text1"/>
          <w:sz w:val="18"/>
          <w:szCs w:val="18"/>
        </w:rPr>
        <w:t xml:space="preserve"> </w:t>
      </w:r>
      <w:r>
        <w:rPr>
          <w:rFonts w:ascii="Bookman Old Style" w:hAnsi="Bookman Old Style" w:cs="Arial"/>
          <w:b/>
          <w:bCs/>
          <w:iCs/>
          <w:sz w:val="18"/>
          <w:szCs w:val="18"/>
        </w:rPr>
        <w:t>menor preço,</w:t>
      </w:r>
      <w:r>
        <w:rPr>
          <w:rFonts w:ascii="Bookman Old Style" w:hAnsi="Bookman Old Style" w:cs="Arial"/>
          <w:b/>
          <w:bCs/>
          <w:i/>
          <w:sz w:val="18"/>
          <w:szCs w:val="18"/>
        </w:rPr>
        <w:t xml:space="preserve"> </w:t>
      </w:r>
      <w:r>
        <w:rPr>
          <w:rFonts w:ascii="Bookman Old Style" w:hAnsi="Bookman Old Style" w:cs="Arial"/>
          <w:color w:val="000000" w:themeColor="text1"/>
          <w:sz w:val="18"/>
          <w:szCs w:val="18"/>
        </w:rPr>
        <w:t>na hipótese do art. 75</w:t>
      </w:r>
      <w:r>
        <w:rPr>
          <w:rFonts w:ascii="Bookman Old Style" w:hAnsi="Bookman Old Style" w:cs="Arial"/>
          <w:i/>
          <w:iCs/>
          <w:color w:val="000000" w:themeColor="text1"/>
          <w:sz w:val="18"/>
          <w:szCs w:val="18"/>
        </w:rPr>
        <w:t>,</w:t>
      </w:r>
      <w:r>
        <w:rPr>
          <w:rFonts w:ascii="Bookman Old Style" w:hAnsi="Bookman Old Style" w:cs="Arial"/>
          <w:b/>
          <w:i/>
          <w:iCs/>
          <w:color w:val="FF0000"/>
          <w:sz w:val="18"/>
          <w:szCs w:val="18"/>
        </w:rPr>
        <w:t xml:space="preserve"> </w:t>
      </w:r>
      <w:r>
        <w:rPr>
          <w:rFonts w:ascii="Bookman Old Style" w:hAnsi="Bookman Old Style" w:cs="Arial"/>
          <w:bCs/>
          <w:sz w:val="18"/>
          <w:szCs w:val="18"/>
        </w:rPr>
        <w:t>II,</w:t>
      </w:r>
      <w:r>
        <w:rPr>
          <w:rFonts w:ascii="Bookman Old Style" w:hAnsi="Bookman Old Style" w:cs="Arial"/>
          <w:sz w:val="18"/>
          <w:szCs w:val="18"/>
        </w:rPr>
        <w:t xml:space="preserve"> </w:t>
      </w:r>
      <w:r>
        <w:rPr>
          <w:rFonts w:ascii="Bookman Old Style" w:hAnsi="Bookman Old Style" w:cs="Arial"/>
          <w:bCs/>
          <w:sz w:val="18"/>
          <w:szCs w:val="18"/>
        </w:rPr>
        <w:t>nos termos da Lei nº 14.133, de 1º de abril de 2021, e demais legislação aplicável</w:t>
      </w:r>
      <w:r>
        <w:rPr>
          <w:rFonts w:ascii="Bookman Old Style" w:hAnsi="Bookman Old Style" w:cs="Arial"/>
          <w:color w:val="000000"/>
          <w:sz w:val="18"/>
          <w:szCs w:val="18"/>
        </w:rPr>
        <w:t>.</w:t>
      </w:r>
    </w:p>
    <w:p w14:paraId="03DF34A2" w14:textId="77777777" w:rsidR="00D7721B" w:rsidRDefault="00D7721B">
      <w:pPr>
        <w:spacing w:line="276" w:lineRule="auto"/>
        <w:jc w:val="both"/>
        <w:rPr>
          <w:rFonts w:ascii="Bookman Old Style" w:hAnsi="Bookman Old Style" w:cs="Arial"/>
          <w:color w:val="000000" w:themeColor="text1"/>
          <w:sz w:val="18"/>
          <w:szCs w:val="18"/>
        </w:rPr>
      </w:pPr>
    </w:p>
    <w:p w14:paraId="24F2DCFB" w14:textId="18C6E0DE" w:rsidR="00D7721B" w:rsidRDefault="0039180D">
      <w:pPr>
        <w:spacing w:line="276" w:lineRule="auto"/>
        <w:jc w:val="both"/>
        <w:rPr>
          <w:rFonts w:ascii="Bookman Old Style" w:hAnsi="Bookman Old Style" w:cs="Arial"/>
          <w:b/>
          <w:bCs/>
          <w:sz w:val="18"/>
          <w:szCs w:val="18"/>
        </w:rPr>
      </w:pPr>
      <w:r>
        <w:rPr>
          <w:rFonts w:ascii="Bookman Old Style" w:hAnsi="Bookman Old Style" w:cs="Arial"/>
          <w:b/>
          <w:bCs/>
          <w:color w:val="000000" w:themeColor="text1"/>
          <w:sz w:val="18"/>
          <w:szCs w:val="18"/>
        </w:rPr>
        <w:t xml:space="preserve">DATA DA SESSÃO: </w:t>
      </w:r>
      <w:r w:rsidR="00C0615D">
        <w:rPr>
          <w:rFonts w:ascii="Bookman Old Style" w:hAnsi="Bookman Old Style" w:cs="Arial"/>
          <w:b/>
          <w:bCs/>
          <w:color w:val="000000" w:themeColor="text1"/>
          <w:sz w:val="18"/>
          <w:szCs w:val="18"/>
          <w:highlight w:val="yellow"/>
        </w:rPr>
        <w:t>2</w:t>
      </w:r>
      <w:r w:rsidR="00BB12F6">
        <w:rPr>
          <w:rFonts w:ascii="Bookman Old Style" w:hAnsi="Bookman Old Style" w:cs="Arial"/>
          <w:b/>
          <w:bCs/>
          <w:color w:val="000000" w:themeColor="text1"/>
          <w:sz w:val="18"/>
          <w:szCs w:val="18"/>
          <w:highlight w:val="yellow"/>
        </w:rPr>
        <w:t>1</w:t>
      </w:r>
      <w:r>
        <w:rPr>
          <w:rFonts w:ascii="Bookman Old Style" w:hAnsi="Bookman Old Style" w:cs="Arial"/>
          <w:b/>
          <w:bCs/>
          <w:color w:val="000000" w:themeColor="text1"/>
          <w:sz w:val="18"/>
          <w:szCs w:val="18"/>
          <w:highlight w:val="yellow"/>
        </w:rPr>
        <w:t>/0</w:t>
      </w:r>
      <w:r w:rsidR="00C0615D">
        <w:rPr>
          <w:rFonts w:ascii="Bookman Old Style" w:hAnsi="Bookman Old Style" w:cs="Arial"/>
          <w:b/>
          <w:bCs/>
          <w:color w:val="000000" w:themeColor="text1"/>
          <w:sz w:val="18"/>
          <w:szCs w:val="18"/>
          <w:highlight w:val="yellow"/>
        </w:rPr>
        <w:t>3</w:t>
      </w:r>
      <w:r>
        <w:rPr>
          <w:rFonts w:ascii="Bookman Old Style" w:hAnsi="Bookman Old Style" w:cs="Arial"/>
          <w:b/>
          <w:bCs/>
          <w:color w:val="000000" w:themeColor="text1"/>
          <w:sz w:val="18"/>
          <w:szCs w:val="18"/>
          <w:highlight w:val="yellow"/>
        </w:rPr>
        <w:t>/20</w:t>
      </w:r>
      <w:r w:rsidRPr="00BB12F6">
        <w:rPr>
          <w:rFonts w:ascii="Bookman Old Style" w:hAnsi="Bookman Old Style" w:cs="Arial"/>
          <w:b/>
          <w:bCs/>
          <w:color w:val="000000" w:themeColor="text1"/>
          <w:sz w:val="18"/>
          <w:szCs w:val="18"/>
          <w:highlight w:val="yellow"/>
        </w:rPr>
        <w:t>2</w:t>
      </w:r>
      <w:r w:rsidR="00C0615D" w:rsidRPr="00BB12F6">
        <w:rPr>
          <w:rFonts w:ascii="Bookman Old Style" w:hAnsi="Bookman Old Style" w:cs="Arial"/>
          <w:b/>
          <w:bCs/>
          <w:color w:val="000000" w:themeColor="text1"/>
          <w:sz w:val="18"/>
          <w:szCs w:val="18"/>
          <w:highlight w:val="yellow"/>
        </w:rPr>
        <w:t>5</w:t>
      </w:r>
    </w:p>
    <w:p w14:paraId="14145085" w14:textId="77777777" w:rsidR="00D7721B" w:rsidRDefault="0039180D">
      <w:pPr>
        <w:rPr>
          <w:rFonts w:ascii="Bookman Old Style" w:hAnsi="Bookman Old Style" w:cs="Arial"/>
          <w:color w:val="000000" w:themeColor="text1"/>
          <w:sz w:val="18"/>
          <w:szCs w:val="18"/>
        </w:rPr>
      </w:pPr>
      <w:r>
        <w:rPr>
          <w:rFonts w:ascii="Bookman Old Style" w:hAnsi="Bookman Old Style" w:cs="Arial"/>
          <w:b/>
          <w:bCs/>
          <w:color w:val="000000" w:themeColor="text1"/>
          <w:sz w:val="18"/>
          <w:szCs w:val="18"/>
        </w:rPr>
        <w:t>LINK:</w:t>
      </w:r>
      <w:r>
        <w:rPr>
          <w:rFonts w:ascii="Bookman Old Style" w:hAnsi="Bookman Old Style" w:cs="Arial"/>
          <w:color w:val="000000" w:themeColor="text1"/>
          <w:sz w:val="18"/>
          <w:szCs w:val="18"/>
        </w:rPr>
        <w:t xml:space="preserve"> www.licitardigital.com.br</w:t>
      </w:r>
    </w:p>
    <w:p w14:paraId="6A61AECB" w14:textId="77777777" w:rsidR="00D7721B" w:rsidRDefault="0039180D">
      <w:pPr>
        <w:rPr>
          <w:rFonts w:ascii="Bookman Old Style" w:hAnsi="Bookman Old Style" w:cs="Arial"/>
          <w:i/>
          <w:color w:val="FF0000"/>
          <w:sz w:val="18"/>
          <w:szCs w:val="18"/>
        </w:rPr>
      </w:pPr>
      <w:r>
        <w:rPr>
          <w:rFonts w:ascii="Bookman Old Style" w:hAnsi="Bookman Old Style" w:cs="Arial"/>
          <w:b/>
          <w:bCs/>
          <w:color w:val="000000" w:themeColor="text1"/>
          <w:sz w:val="18"/>
          <w:szCs w:val="18"/>
        </w:rPr>
        <w:t>HORÁRIO DA FASE DE LANCES:</w:t>
      </w:r>
      <w:r>
        <w:rPr>
          <w:rFonts w:ascii="Bookman Old Style" w:hAnsi="Bookman Old Style" w:cs="Arial"/>
          <w:color w:val="000000" w:themeColor="text1"/>
          <w:sz w:val="18"/>
          <w:szCs w:val="18"/>
        </w:rPr>
        <w:t xml:space="preserve"> </w:t>
      </w:r>
      <w:r w:rsidRPr="00B455D4">
        <w:rPr>
          <w:rFonts w:ascii="Bookman Old Style" w:hAnsi="Bookman Old Style" w:cs="Arial"/>
          <w:color w:val="000000" w:themeColor="text1"/>
          <w:sz w:val="18"/>
          <w:szCs w:val="18"/>
          <w:highlight w:val="yellow"/>
        </w:rPr>
        <w:t>8:00 às 14:00</w:t>
      </w:r>
    </w:p>
    <w:p w14:paraId="407B8F97" w14:textId="77777777" w:rsidR="00D7721B" w:rsidRDefault="0039180D">
      <w:pPr>
        <w:rPr>
          <w:rFonts w:ascii="Bookman Old Style" w:hAnsi="Bookman Old Style" w:cs="Arial"/>
          <w:color w:val="000000" w:themeColor="text1"/>
          <w:sz w:val="18"/>
          <w:szCs w:val="18"/>
        </w:rPr>
      </w:pPr>
      <w:r>
        <w:rPr>
          <w:rFonts w:ascii="Bookman Old Style" w:hAnsi="Bookman Old Style" w:cs="Arial"/>
          <w:b/>
          <w:bCs/>
          <w:color w:val="000000" w:themeColor="text1"/>
          <w:sz w:val="18"/>
          <w:szCs w:val="18"/>
        </w:rPr>
        <w:t xml:space="preserve">SUPORTE AO FORNECEDOR: </w:t>
      </w:r>
      <w:r>
        <w:rPr>
          <w:rFonts w:ascii="Bookman Old Style" w:hAnsi="Bookman Old Style" w:cs="Arial"/>
          <w:color w:val="000000" w:themeColor="text1"/>
          <w:sz w:val="18"/>
          <w:szCs w:val="18"/>
        </w:rPr>
        <w:t>(31) 3191-0707 - contato@licitardigital.com.br</w:t>
      </w:r>
    </w:p>
    <w:p w14:paraId="5F4078A2" w14:textId="77777777" w:rsidR="00D7721B" w:rsidRDefault="00D7721B">
      <w:pPr>
        <w:pStyle w:val="PADRO"/>
        <w:keepNext w:val="0"/>
        <w:widowControl/>
        <w:shd w:val="clear" w:color="auto" w:fill="auto"/>
        <w:spacing w:before="120" w:after="120"/>
        <w:ind w:left="360" w:firstLine="0"/>
        <w:rPr>
          <w:rFonts w:ascii="Bookman Old Style" w:hAnsi="Bookman Old Style" w:cs="Arial"/>
          <w:b/>
          <w:sz w:val="18"/>
          <w:szCs w:val="18"/>
        </w:rPr>
      </w:pPr>
    </w:p>
    <w:p w14:paraId="4760C474" w14:textId="77777777" w:rsidR="00D7721B" w:rsidRDefault="0039180D">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OBJETO DA CONTRATAÇÃO DIRETA</w:t>
      </w:r>
    </w:p>
    <w:p w14:paraId="665D7BAB" w14:textId="4B87F379" w:rsidR="00D7721B" w:rsidRDefault="0039180D">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 xml:space="preserve">1.1. </w:t>
      </w:r>
      <w:r>
        <w:rPr>
          <w:rFonts w:ascii="Bookman Old Style" w:hAnsi="Bookman Old Style" w:cs="Arial"/>
          <w:color w:val="000000" w:themeColor="text1"/>
          <w:sz w:val="18"/>
          <w:szCs w:val="18"/>
        </w:rPr>
        <w:t xml:space="preserve">O objeto da presente dispensa é a escolha da proposta mais vantajosa para a </w:t>
      </w:r>
      <w:r w:rsidR="00C0615D" w:rsidRPr="00C0615D">
        <w:rPr>
          <w:rFonts w:ascii="Bookman Old Style" w:hAnsi="Bookman Old Style" w:cs="Arial"/>
          <w:b/>
          <w:sz w:val="18"/>
          <w:szCs w:val="18"/>
        </w:rPr>
        <w:t xml:space="preserve">CONTRATAÇÃO DE EMPRESA PARA </w:t>
      </w:r>
      <w:r w:rsidR="007C6883">
        <w:rPr>
          <w:rFonts w:ascii="Bookman Old Style" w:hAnsi="Bookman Old Style" w:cs="Arial"/>
          <w:b/>
          <w:sz w:val="18"/>
          <w:szCs w:val="18"/>
        </w:rPr>
        <w:t>PRESTAÇÃO DE SERVIÇOS DE MANUTENÇÃO PREVENTIVA E CORRETIVA DE APARELHOS DE AR CONDICIONADO, BEBEDOUROS E GELADEIRAS PARA A SECRETARIA DE SAUDE DESTE MUNICIPIO</w:t>
      </w:r>
      <w:r>
        <w:rPr>
          <w:rFonts w:ascii="Bookman Old Style" w:hAnsi="Bookman Old Style" w:cs="Arial"/>
          <w:sz w:val="18"/>
          <w:szCs w:val="18"/>
        </w:rPr>
        <w:t>, em conformidade com as exigências legais e administrativas</w:t>
      </w:r>
      <w:r>
        <w:rPr>
          <w:rFonts w:ascii="Bookman Old Style" w:hAnsi="Bookman Old Style" w:cs="Arial"/>
          <w:b/>
          <w:sz w:val="18"/>
          <w:szCs w:val="18"/>
        </w:rPr>
        <w:t>.</w:t>
      </w:r>
    </w:p>
    <w:p w14:paraId="2B5E2DAF" w14:textId="77777777" w:rsidR="00D7721B" w:rsidRDefault="0039180D">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1.1.2.</w:t>
      </w:r>
      <w:r>
        <w:rPr>
          <w:rFonts w:ascii="Bookman Old Style" w:hAnsi="Bookman Old Style" w:cs="Arial"/>
          <w:sz w:val="18"/>
          <w:szCs w:val="18"/>
        </w:rPr>
        <w:t xml:space="preserve"> A contratação será conforme tabela constante abaixo.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5415"/>
        <w:gridCol w:w="1701"/>
        <w:gridCol w:w="1134"/>
      </w:tblGrid>
      <w:tr w:rsidR="00C0615D" w14:paraId="5793CDBF" w14:textId="77777777" w:rsidTr="00C0615D">
        <w:tc>
          <w:tcPr>
            <w:tcW w:w="822" w:type="dxa"/>
          </w:tcPr>
          <w:p w14:paraId="570B4EE4" w14:textId="77777777" w:rsidR="00C0615D" w:rsidRDefault="00C0615D">
            <w:pPr>
              <w:widowControl w:val="0"/>
              <w:suppressAutoHyphens/>
              <w:jc w:val="center"/>
              <w:rPr>
                <w:rFonts w:ascii="Bookman Old Style" w:hAnsi="Bookman Old Style" w:cs="Arial"/>
                <w:b/>
                <w:bCs/>
                <w:color w:val="000000"/>
                <w:sz w:val="18"/>
                <w:szCs w:val="18"/>
              </w:rPr>
            </w:pPr>
            <w:r>
              <w:rPr>
                <w:rFonts w:ascii="Bookman Old Style" w:hAnsi="Bookman Old Style" w:cs="Arial"/>
                <w:b/>
                <w:bCs/>
                <w:color w:val="000000"/>
                <w:sz w:val="18"/>
                <w:szCs w:val="18"/>
              </w:rPr>
              <w:t>ITEM</w:t>
            </w:r>
          </w:p>
          <w:p w14:paraId="67DE6322" w14:textId="77777777" w:rsidR="00C0615D" w:rsidRDefault="00C0615D">
            <w:pPr>
              <w:widowControl w:val="0"/>
              <w:suppressAutoHyphens/>
              <w:jc w:val="center"/>
              <w:rPr>
                <w:rFonts w:ascii="Bookman Old Style" w:hAnsi="Bookman Old Style" w:cs="Arial"/>
                <w:b/>
                <w:color w:val="000000"/>
                <w:sz w:val="18"/>
                <w:szCs w:val="18"/>
              </w:rPr>
            </w:pPr>
          </w:p>
        </w:tc>
        <w:tc>
          <w:tcPr>
            <w:tcW w:w="5415" w:type="dxa"/>
          </w:tcPr>
          <w:p w14:paraId="598DF52E" w14:textId="77777777" w:rsidR="00C0615D" w:rsidRDefault="00C0615D">
            <w:pPr>
              <w:jc w:val="center"/>
              <w:rPr>
                <w:rFonts w:ascii="Bookman Old Style" w:hAnsi="Bookman Old Style" w:cs="Arial"/>
                <w:b/>
                <w:bCs/>
                <w:color w:val="000000"/>
                <w:sz w:val="18"/>
                <w:szCs w:val="18"/>
              </w:rPr>
            </w:pPr>
            <w:r>
              <w:rPr>
                <w:rFonts w:ascii="Bookman Old Style" w:hAnsi="Bookman Old Style" w:cs="Arial"/>
                <w:b/>
                <w:bCs/>
                <w:color w:val="000000"/>
                <w:sz w:val="18"/>
                <w:szCs w:val="18"/>
              </w:rPr>
              <w:t>DESCRIÇÃO/</w:t>
            </w:r>
          </w:p>
          <w:p w14:paraId="3603B9C8" w14:textId="0E030DF2" w:rsidR="00C0615D" w:rsidRDefault="00C0615D">
            <w:pPr>
              <w:widowControl w:val="0"/>
              <w:suppressAutoHyphens/>
              <w:jc w:val="center"/>
              <w:rPr>
                <w:rFonts w:ascii="Bookman Old Style" w:hAnsi="Bookman Old Style" w:cs="Arial"/>
                <w:color w:val="000000"/>
                <w:sz w:val="18"/>
                <w:szCs w:val="18"/>
              </w:rPr>
            </w:pPr>
            <w:r>
              <w:rPr>
                <w:rFonts w:ascii="Bookman Old Style" w:hAnsi="Bookman Old Style" w:cs="Arial"/>
                <w:b/>
                <w:bCs/>
                <w:color w:val="000000"/>
                <w:sz w:val="18"/>
                <w:szCs w:val="18"/>
              </w:rPr>
              <w:t>ESPECIICAÇÃO</w:t>
            </w:r>
          </w:p>
        </w:tc>
        <w:tc>
          <w:tcPr>
            <w:tcW w:w="1701" w:type="dxa"/>
          </w:tcPr>
          <w:p w14:paraId="47FAFFDA" w14:textId="77777777" w:rsidR="00C0615D" w:rsidRDefault="00C0615D">
            <w:pPr>
              <w:widowControl w:val="0"/>
              <w:suppressAutoHyphens/>
              <w:jc w:val="center"/>
              <w:rPr>
                <w:rFonts w:ascii="Bookman Old Style" w:hAnsi="Bookman Old Style" w:cs="Arial"/>
                <w:color w:val="000000"/>
                <w:sz w:val="18"/>
                <w:szCs w:val="18"/>
              </w:rPr>
            </w:pPr>
            <w:r>
              <w:rPr>
                <w:rFonts w:ascii="Bookman Old Style" w:hAnsi="Bookman Old Style" w:cs="Arial"/>
                <w:b/>
                <w:bCs/>
                <w:color w:val="000000"/>
                <w:sz w:val="18"/>
                <w:szCs w:val="18"/>
              </w:rPr>
              <w:t>UNIDADE DE MEDIDA</w:t>
            </w:r>
          </w:p>
        </w:tc>
        <w:tc>
          <w:tcPr>
            <w:tcW w:w="1134" w:type="dxa"/>
          </w:tcPr>
          <w:p w14:paraId="03363201" w14:textId="77777777" w:rsidR="00C0615D" w:rsidRDefault="00C0615D">
            <w:pPr>
              <w:widowControl w:val="0"/>
              <w:suppressAutoHyphens/>
              <w:jc w:val="center"/>
              <w:rPr>
                <w:rFonts w:ascii="Bookman Old Style" w:hAnsi="Bookman Old Style" w:cs="Arial"/>
                <w:color w:val="000000"/>
                <w:sz w:val="18"/>
                <w:szCs w:val="18"/>
              </w:rPr>
            </w:pPr>
            <w:r>
              <w:rPr>
                <w:rFonts w:ascii="Bookman Old Style" w:hAnsi="Bookman Old Style" w:cs="Arial"/>
                <w:b/>
                <w:bCs/>
                <w:color w:val="000000"/>
                <w:sz w:val="18"/>
                <w:szCs w:val="18"/>
              </w:rPr>
              <w:t>QUANT.</w:t>
            </w:r>
          </w:p>
        </w:tc>
      </w:tr>
      <w:tr w:rsidR="00C0615D" w14:paraId="022DA228" w14:textId="77777777" w:rsidTr="00C0615D">
        <w:tc>
          <w:tcPr>
            <w:tcW w:w="822" w:type="dxa"/>
          </w:tcPr>
          <w:p w14:paraId="5C48F96B" w14:textId="77777777" w:rsidR="00C0615D" w:rsidRPr="00B455D4" w:rsidRDefault="00C0615D">
            <w:pPr>
              <w:widowControl w:val="0"/>
              <w:suppressAutoHyphens/>
              <w:jc w:val="center"/>
              <w:rPr>
                <w:rFonts w:ascii="Bookman Old Style" w:hAnsi="Bookman Old Style" w:cs="Arial"/>
                <w:bCs/>
                <w:color w:val="000000"/>
                <w:sz w:val="18"/>
                <w:szCs w:val="18"/>
              </w:rPr>
            </w:pPr>
            <w:r w:rsidRPr="00B455D4">
              <w:rPr>
                <w:rFonts w:ascii="Bookman Old Style" w:hAnsi="Bookman Old Style" w:cs="Arial"/>
                <w:bCs/>
                <w:color w:val="000000"/>
                <w:sz w:val="18"/>
                <w:szCs w:val="18"/>
              </w:rPr>
              <w:t>01</w:t>
            </w:r>
          </w:p>
        </w:tc>
        <w:tc>
          <w:tcPr>
            <w:tcW w:w="5415" w:type="dxa"/>
          </w:tcPr>
          <w:p w14:paraId="15FA928D" w14:textId="1BD439F8" w:rsidR="00C0615D" w:rsidRPr="00BB12F6" w:rsidRDefault="00BB12F6">
            <w:pPr>
              <w:jc w:val="both"/>
              <w:rPr>
                <w:rFonts w:ascii="Bookman Old Style" w:hAnsi="Bookman Old Style" w:cs="Arial"/>
                <w:bCs/>
                <w:color w:val="000000"/>
                <w:sz w:val="18"/>
                <w:szCs w:val="18"/>
              </w:rPr>
            </w:pPr>
            <w:r w:rsidRPr="00BB12F6">
              <w:rPr>
                <w:rFonts w:ascii="Bookman Old Style" w:hAnsi="Bookman Old Style" w:cs="Arial"/>
                <w:bCs/>
                <w:sz w:val="18"/>
                <w:szCs w:val="18"/>
              </w:rPr>
              <w:t>Serviços de manutenção preventiva e corretiva de aparelhos de ar condicionado, bebedouros e geladeiras para a Secretaria de Saúde deste Município</w:t>
            </w:r>
            <w:r w:rsidRPr="00BB12F6">
              <w:rPr>
                <w:rFonts w:ascii="Bookman Old Style" w:hAnsi="Bookman Old Style" w:cs="Arial"/>
                <w:bCs/>
                <w:color w:val="000000"/>
                <w:sz w:val="18"/>
                <w:szCs w:val="18"/>
              </w:rPr>
              <w:t>, conforme termo de referência.</w:t>
            </w:r>
          </w:p>
          <w:p w14:paraId="5B9D43EA" w14:textId="28FFB416" w:rsidR="00BB12F6" w:rsidRPr="00651D6B" w:rsidRDefault="00BB12F6">
            <w:pPr>
              <w:jc w:val="both"/>
              <w:rPr>
                <w:rFonts w:ascii="Bookman Old Style" w:hAnsi="Bookman Old Style" w:cs="Arial"/>
                <w:bCs/>
                <w:color w:val="000000"/>
                <w:sz w:val="18"/>
                <w:szCs w:val="18"/>
                <w:highlight w:val="yellow"/>
              </w:rPr>
            </w:pPr>
          </w:p>
        </w:tc>
        <w:tc>
          <w:tcPr>
            <w:tcW w:w="1701" w:type="dxa"/>
          </w:tcPr>
          <w:p w14:paraId="3B435A46" w14:textId="6D287645" w:rsidR="00C0615D" w:rsidRPr="00B455D4" w:rsidRDefault="00BB12F6">
            <w:pPr>
              <w:widowControl w:val="0"/>
              <w:suppressAutoHyphens/>
              <w:jc w:val="center"/>
              <w:rPr>
                <w:rFonts w:ascii="Bookman Old Style" w:hAnsi="Bookman Old Style" w:cs="Arial"/>
                <w:bCs/>
                <w:color w:val="000000"/>
                <w:sz w:val="18"/>
                <w:szCs w:val="18"/>
              </w:rPr>
            </w:pPr>
            <w:r>
              <w:rPr>
                <w:rFonts w:ascii="Bookman Old Style" w:hAnsi="Bookman Old Style" w:cs="Arial"/>
                <w:bCs/>
                <w:color w:val="000000"/>
                <w:sz w:val="18"/>
                <w:szCs w:val="18"/>
              </w:rPr>
              <w:t>Mês</w:t>
            </w:r>
          </w:p>
        </w:tc>
        <w:tc>
          <w:tcPr>
            <w:tcW w:w="1134" w:type="dxa"/>
          </w:tcPr>
          <w:p w14:paraId="21EB0959" w14:textId="0407AB69" w:rsidR="00C0615D" w:rsidRPr="00B455D4" w:rsidRDefault="00BB12F6">
            <w:pPr>
              <w:widowControl w:val="0"/>
              <w:suppressAutoHyphens/>
              <w:jc w:val="center"/>
              <w:rPr>
                <w:rFonts w:ascii="Bookman Old Style" w:hAnsi="Bookman Old Style" w:cs="Arial"/>
                <w:bCs/>
                <w:color w:val="000000"/>
                <w:sz w:val="18"/>
                <w:szCs w:val="18"/>
              </w:rPr>
            </w:pPr>
            <w:r>
              <w:rPr>
                <w:rFonts w:ascii="Bookman Old Style" w:hAnsi="Bookman Old Style" w:cs="Arial"/>
                <w:bCs/>
                <w:color w:val="000000"/>
                <w:sz w:val="18"/>
                <w:szCs w:val="18"/>
              </w:rPr>
              <w:t>12</w:t>
            </w:r>
          </w:p>
        </w:tc>
      </w:tr>
    </w:tbl>
    <w:p w14:paraId="2BB27A67" w14:textId="77777777" w:rsidR="00D7721B" w:rsidRDefault="0039180D">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1.1.3.</w:t>
      </w:r>
      <w:r>
        <w:rPr>
          <w:rFonts w:ascii="Bookman Old Style" w:hAnsi="Bookman Old Style" w:cs="Arial"/>
          <w:sz w:val="18"/>
          <w:szCs w:val="18"/>
        </w:rPr>
        <w:t xml:space="preserve"> Havendo mais de item ou lote faculta-se ao fornecedor a participação em quantos forem de seu interesse. Entretanto, optando-se por participar de um lote, deve o fornecedor enviar proposta para todos os itens que o compõem.</w:t>
      </w:r>
    </w:p>
    <w:p w14:paraId="790E78CA" w14:textId="77777777" w:rsidR="00D7721B" w:rsidRPr="00B455D4" w:rsidRDefault="0039180D">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1.1.4.</w:t>
      </w:r>
      <w:r>
        <w:rPr>
          <w:rFonts w:ascii="Bookman Old Style" w:hAnsi="Bookman Old Style" w:cs="Arial"/>
          <w:sz w:val="18"/>
          <w:szCs w:val="18"/>
        </w:rPr>
        <w:t xml:space="preserve"> O critério de julgamento adotado será o</w:t>
      </w:r>
      <w:r>
        <w:rPr>
          <w:rFonts w:ascii="Bookman Old Style" w:hAnsi="Bookman Old Style" w:cs="Arial"/>
          <w:i/>
          <w:iCs/>
          <w:sz w:val="18"/>
          <w:szCs w:val="18"/>
        </w:rPr>
        <w:t xml:space="preserve"> </w:t>
      </w:r>
      <w:r>
        <w:rPr>
          <w:rFonts w:ascii="Bookman Old Style" w:hAnsi="Bookman Old Style" w:cs="Arial"/>
          <w:b/>
          <w:bCs/>
          <w:sz w:val="18"/>
          <w:szCs w:val="18"/>
        </w:rPr>
        <w:t>menor preço</w:t>
      </w:r>
      <w:r>
        <w:rPr>
          <w:rFonts w:ascii="Bookman Old Style" w:hAnsi="Bookman Old Style" w:cs="Arial"/>
          <w:sz w:val="18"/>
          <w:szCs w:val="18"/>
        </w:rPr>
        <w:t>,</w:t>
      </w:r>
      <w:r>
        <w:rPr>
          <w:rFonts w:ascii="Bookman Old Style" w:hAnsi="Bookman Old Style" w:cs="Arial"/>
          <w:color w:val="FF0000"/>
          <w:sz w:val="18"/>
          <w:szCs w:val="18"/>
        </w:rPr>
        <w:t xml:space="preserve"> </w:t>
      </w:r>
      <w:r>
        <w:rPr>
          <w:rFonts w:ascii="Bookman Old Style" w:hAnsi="Bookman Old Style" w:cs="Arial"/>
          <w:sz w:val="18"/>
          <w:szCs w:val="18"/>
        </w:rPr>
        <w:t>observadas as exigências contidas neste Aviso de Contratação Direta e seus Anexos quanto às especificações do objeto.</w:t>
      </w:r>
    </w:p>
    <w:p w14:paraId="3B3CD724" w14:textId="77777777" w:rsidR="00D7721B" w:rsidRDefault="0039180D">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PARTICIPAÇÃO NA DISPENSA ELETRÔNICA.</w:t>
      </w:r>
    </w:p>
    <w:p w14:paraId="2816605D" w14:textId="77777777" w:rsidR="00D7721B" w:rsidRDefault="0039180D">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2.1. A participação na presente dispensa eletrônica se dará mediante a plataforma </w:t>
      </w:r>
      <w:hyperlink r:id="rId8" w:history="1">
        <w:r>
          <w:rPr>
            <w:rStyle w:val="Hyperlink"/>
            <w:rFonts w:ascii="Bookman Old Style" w:hAnsi="Bookman Old Style" w:cs="Arial"/>
            <w:sz w:val="18"/>
            <w:szCs w:val="18"/>
          </w:rPr>
          <w:t>www.licitardigital.com.br</w:t>
        </w:r>
      </w:hyperlink>
      <w:r>
        <w:rPr>
          <w:rFonts w:ascii="Bookman Old Style" w:hAnsi="Bookman Old Style" w:cs="Arial"/>
          <w:sz w:val="18"/>
          <w:szCs w:val="18"/>
        </w:rPr>
        <w:t>.</w:t>
      </w:r>
    </w:p>
    <w:p w14:paraId="7D7B92EB" w14:textId="77777777" w:rsidR="00D7721B" w:rsidRDefault="0039180D">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2.1.1. Os fornecedores deverão atender aos procedimentos estabelecidos pelo LICITAR DIGITAL para acesso ao sistema e operacionalização.</w:t>
      </w:r>
    </w:p>
    <w:p w14:paraId="08C037FC" w14:textId="77777777" w:rsidR="00D7721B" w:rsidRDefault="0039180D">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2.1.2. O fornecedor é o responsável por qualquer transação efetuada diretamente ou por seu representante no Sistema de Dispensa Eletrônica, não cabendo ao provedor do Sistema ou ao Município a responsabilidade por eventuais danos decorrentes de uso indevido da senha, ainda que por terceiros não autorizados.</w:t>
      </w:r>
    </w:p>
    <w:p w14:paraId="513086B4"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 Não poderão participar desta dispensa os fornecedores:</w:t>
      </w:r>
    </w:p>
    <w:p w14:paraId="4DAC7E28"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2.2.1. que não atendam às condições deste Aviso de Contratação Direta e seu(s) anexo(s);</w:t>
      </w:r>
    </w:p>
    <w:p w14:paraId="6D70AB68"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2.2.2 estrangeiros que não tenham representação legal no Brasil com poderes expressos para receber citação e responder administrativa ou judicialmente;</w:t>
      </w:r>
    </w:p>
    <w:p w14:paraId="166C9DAF"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2.2.3. que se enquadrem nas seguintes vedações:</w:t>
      </w:r>
    </w:p>
    <w:p w14:paraId="5FEA0170"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lastRenderedPageBreak/>
        <w:t>autor do anteprojeto, do projeto básico ou do projeto executivo, pessoa física ou jurídica, quando a contratação versar sobre obra, serviços ou fornecimento de bens a ele relacionados;</w:t>
      </w:r>
    </w:p>
    <w:p w14:paraId="2F460EBD"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DB03577"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pessoa física ou jurídica que se encontre, ao tempo da contratação, impossibilitada de contratar em decorrência de sanção que lhe foi imposta;</w:t>
      </w:r>
    </w:p>
    <w:p w14:paraId="5BFFD0AC"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F54A65"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empresas controladoras, controladas ou coligadas, nos termos da </w:t>
      </w:r>
      <w:hyperlink r:id="rId9" w:history="1">
        <w:r>
          <w:rPr>
            <w:rStyle w:val="Hyperlink"/>
            <w:rFonts w:ascii="Bookman Old Style" w:eastAsia="Calibri" w:hAnsi="Bookman Old Style" w:cs="Arial"/>
            <w:color w:val="auto"/>
            <w:sz w:val="18"/>
            <w:szCs w:val="18"/>
            <w:u w:val="none"/>
          </w:rPr>
          <w:t>Lei nº 6.404, de 15 de dezembro de 1976</w:t>
        </w:r>
      </w:hyperlink>
      <w:r>
        <w:rPr>
          <w:rFonts w:ascii="Bookman Old Style" w:hAnsi="Bookman Old Style" w:cs="Arial"/>
          <w:color w:val="000000"/>
          <w:sz w:val="18"/>
          <w:szCs w:val="18"/>
        </w:rPr>
        <w:t>, concorrendo entre si;</w:t>
      </w:r>
    </w:p>
    <w:p w14:paraId="003404D3" w14:textId="77777777" w:rsidR="00D7721B" w:rsidRDefault="0039180D">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6A9B724" w14:textId="77777777" w:rsidR="00D7721B" w:rsidRDefault="0039180D">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color w:val="000000"/>
          <w:sz w:val="18"/>
          <w:szCs w:val="18"/>
        </w:rPr>
        <w:t>2.2.3.1. Equiparam-se aos autores do projeto as empresas integrantes do mesmo grupo econômico;</w:t>
      </w:r>
    </w:p>
    <w:p w14:paraId="17E3CB88" w14:textId="77777777" w:rsidR="00D7721B" w:rsidRDefault="0039180D">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color w:val="000000"/>
          <w:sz w:val="18"/>
          <w:szCs w:val="18"/>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903CE0A" w14:textId="77024264"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 xml:space="preserve">2.3. </w:t>
      </w:r>
      <w:r>
        <w:rPr>
          <w:rFonts w:ascii="Bookman Old Style" w:hAnsi="Bookman Old Style" w:cs="Arial"/>
          <w:iCs/>
          <w:sz w:val="18"/>
          <w:szCs w:val="18"/>
        </w:rPr>
        <w:t>Será permitida a participação de cooperativas, desde que apresentem demonstrativo de atuação em regime cooperado, com repartição de receitas e despesas entre os cooperados e atendam ao art. 16 da Lei nº 14.133/21.</w:t>
      </w:r>
      <w:r w:rsidR="00AB4937">
        <w:rPr>
          <w:rFonts w:ascii="Bookman Old Style" w:hAnsi="Bookman Old Style" w:cs="Arial"/>
          <w:iCs/>
          <w:sz w:val="18"/>
          <w:szCs w:val="18"/>
        </w:rPr>
        <w:t xml:space="preserve"> </w:t>
      </w:r>
      <w:r>
        <w:rPr>
          <w:rFonts w:ascii="Bookman Old Style" w:hAnsi="Bookman Old Style" w:cs="Arial"/>
          <w:sz w:val="18"/>
          <w:szCs w:val="18"/>
        </w:rPr>
        <w:t>Serão estendidas a elas os benefícios previstos para as microempresas e empresas de pequeno porte quando atenderem ao disposto no art. 34 da Lei nº 11.488, de 15 de junho de 2007.</w:t>
      </w:r>
    </w:p>
    <w:p w14:paraId="420420DC" w14:textId="77777777" w:rsidR="00D7721B" w:rsidRDefault="0039180D">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2.4. </w:t>
      </w:r>
      <w:r>
        <w:rPr>
          <w:rFonts w:ascii="Bookman Old Style" w:hAnsi="Bookman Old Style" w:cs="Arial"/>
          <w:color w:val="000000" w:themeColor="text1"/>
          <w:sz w:val="18"/>
          <w:szCs w:val="18"/>
        </w:rPr>
        <w:t>O ingresso do fornecedor na disputa da dispensa eletrônica se dará com o cadastramento de sua proposta inicial, na forma deste item.</w:t>
      </w:r>
    </w:p>
    <w:p w14:paraId="336D7FD9" w14:textId="77777777" w:rsidR="00D7721B" w:rsidRDefault="0039180D">
      <w:pPr>
        <w:autoSpaceDE w:val="0"/>
        <w:snapToGrid w:val="0"/>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2.5.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ACE7F34"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2.5.1.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F2996D"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2.6. Todas as especificações do </w:t>
      </w:r>
      <w:r>
        <w:rPr>
          <w:rFonts w:ascii="Bookman Old Style" w:hAnsi="Bookman Old Style" w:cs="Arial"/>
          <w:color w:val="000000" w:themeColor="text1"/>
          <w:sz w:val="18"/>
          <w:szCs w:val="18"/>
        </w:rPr>
        <w:t>objeto</w:t>
      </w:r>
      <w:r>
        <w:rPr>
          <w:rFonts w:ascii="Bookman Old Style" w:hAnsi="Bookman Old Style" w:cs="Arial"/>
          <w:sz w:val="18"/>
          <w:szCs w:val="18"/>
        </w:rPr>
        <w:t xml:space="preserve"> contidas na proposta, em especial o preço, vinculam a Contratada.</w:t>
      </w:r>
    </w:p>
    <w:p w14:paraId="2BF4B288"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2.7. Nos valores propostos estarão inclusos todos os custos operacionais, encargos previdenciários, trabalhistas, tributários, comerciais e quaisquer outros que incidam direta ou indiretamente na prestação dos serviços;</w:t>
      </w:r>
    </w:p>
    <w:p w14:paraId="6571CD44"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2.8. Os preços ofertados, tanto na proposta inicial, quanto na etapa de lances, serão de exclusiva responsabilidade do fornecedor, não lhe assistindo o direito de pleitear qualquer alteração, sob alegação de erro, omissão ou qualquer outro pretexto.</w:t>
      </w:r>
    </w:p>
    <w:p w14:paraId="59DC9CF1"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lastRenderedPageBreak/>
        <w:t xml:space="preserve">2.9. Se o regime tributário da empresa implicar o recolhimento de tributos em percentuais variáveis, a cotação adequada será a que corresponde à média dos efetivos recolhimentos da empresa nos últimos doze meses. </w:t>
      </w:r>
    </w:p>
    <w:p w14:paraId="7F7DB153"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2.10. Independentemente do percentual de tributo inserido na planilha, no pagamento serão retidos na fonte os percentuais estabelecidos na legislação vigente.</w:t>
      </w:r>
    </w:p>
    <w:p w14:paraId="1408ACF3"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2.11. A apresentação das propostas implica obrigatoriedade do cumprimento das disposições nelas contidas, em conformidade com o que dispõe o </w:t>
      </w:r>
      <w:r>
        <w:rPr>
          <w:rFonts w:ascii="Bookman Old Style" w:hAnsi="Bookman Old Style" w:cs="Arial"/>
          <w:iCs/>
          <w:sz w:val="18"/>
          <w:szCs w:val="18"/>
        </w:rPr>
        <w:t>Termo de Referência,</w:t>
      </w:r>
      <w:r>
        <w:rPr>
          <w:rFonts w:ascii="Bookman Old Style" w:hAnsi="Bookman Old Style" w:cs="Arial"/>
          <w:i/>
          <w:sz w:val="18"/>
          <w:szCs w:val="18"/>
        </w:rPr>
        <w:t xml:space="preserve"> </w:t>
      </w:r>
      <w:r>
        <w:rPr>
          <w:rFonts w:ascii="Bookman Old Style" w:hAnsi="Bookman Old Style" w:cs="Arial"/>
          <w:sz w:val="18"/>
          <w:szCs w:val="18"/>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DF9A0E" w14:textId="77777777" w:rsidR="00A8350A"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2.12. </w:t>
      </w:r>
      <w:r w:rsidR="00A8350A" w:rsidRPr="00A8350A">
        <w:rPr>
          <w:rFonts w:ascii="Bookman Old Style" w:hAnsi="Bookman Old Style" w:cs="Arial"/>
          <w:sz w:val="18"/>
          <w:szCs w:val="18"/>
        </w:rPr>
        <w:t>Uma vez enviada proposta, os licitantes podem retirar, substituir ou modificar a proposta enviada até o dia e horário definido para início da disputa de lances</w:t>
      </w:r>
      <w:r w:rsidR="00A8350A">
        <w:rPr>
          <w:rFonts w:ascii="Bookman Old Style" w:hAnsi="Bookman Old Style" w:cs="Arial"/>
          <w:sz w:val="18"/>
          <w:szCs w:val="18"/>
        </w:rPr>
        <w:t>.</w:t>
      </w:r>
      <w:r w:rsidR="00A8350A" w:rsidRPr="00A8350A">
        <w:rPr>
          <w:rFonts w:ascii="Bookman Old Style" w:hAnsi="Bookman Old Style" w:cs="Arial"/>
          <w:sz w:val="18"/>
          <w:szCs w:val="18"/>
        </w:rPr>
        <w:t xml:space="preserve"> </w:t>
      </w:r>
    </w:p>
    <w:p w14:paraId="3C25D245"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sz w:val="18"/>
          <w:szCs w:val="18"/>
        </w:rPr>
        <w:t xml:space="preserve">2.13. No cadastramento da proposta inicial, o fornecedor deverá, também, assinalar “sim” ou “não” em campo </w:t>
      </w:r>
      <w:r>
        <w:rPr>
          <w:rFonts w:ascii="Bookman Old Style" w:hAnsi="Bookman Old Style" w:cs="Arial"/>
          <w:sz w:val="18"/>
          <w:szCs w:val="18"/>
        </w:rPr>
        <w:t>próprio</w:t>
      </w:r>
      <w:r>
        <w:rPr>
          <w:rFonts w:ascii="Bookman Old Style" w:hAnsi="Bookman Old Style" w:cs="Arial"/>
          <w:color w:val="000000"/>
          <w:sz w:val="18"/>
          <w:szCs w:val="18"/>
        </w:rPr>
        <w:t xml:space="preserve"> do sistema eletrônico, às seguintes declarações:</w:t>
      </w:r>
      <w:r>
        <w:rPr>
          <w:rFonts w:ascii="Bookman Old Style" w:eastAsia="Zurich BT" w:hAnsi="Bookman Old Style" w:cs="Arial"/>
          <w:color w:val="000000"/>
          <w:sz w:val="18"/>
          <w:szCs w:val="18"/>
        </w:rPr>
        <w:t xml:space="preserve"> </w:t>
      </w:r>
    </w:p>
    <w:p w14:paraId="120069FA" w14:textId="77777777" w:rsidR="00D7721B" w:rsidRDefault="00D7721B">
      <w:pPr>
        <w:pStyle w:val="PargrafodaLista"/>
        <w:numPr>
          <w:ilvl w:val="0"/>
          <w:numId w:val="3"/>
        </w:numPr>
        <w:tabs>
          <w:tab w:val="left" w:pos="1440"/>
        </w:tabs>
        <w:autoSpaceDE w:val="0"/>
        <w:snapToGrid w:val="0"/>
        <w:spacing w:before="120" w:after="120" w:line="276" w:lineRule="auto"/>
        <w:jc w:val="both"/>
        <w:rPr>
          <w:rFonts w:ascii="Bookman Old Style" w:hAnsi="Bookman Old Style" w:cs="Arial"/>
          <w:bCs/>
          <w:vanish/>
          <w:color w:val="000000"/>
          <w:sz w:val="18"/>
          <w:szCs w:val="18"/>
        </w:rPr>
      </w:pPr>
    </w:p>
    <w:p w14:paraId="34EE452F" w14:textId="77777777" w:rsidR="00D7721B" w:rsidRDefault="00D7721B">
      <w:pPr>
        <w:pStyle w:val="PargrafodaLista"/>
        <w:numPr>
          <w:ilvl w:val="1"/>
          <w:numId w:val="3"/>
        </w:numPr>
        <w:tabs>
          <w:tab w:val="left" w:pos="1440"/>
        </w:tabs>
        <w:autoSpaceDE w:val="0"/>
        <w:snapToGrid w:val="0"/>
        <w:spacing w:before="120" w:after="120" w:line="276" w:lineRule="auto"/>
        <w:jc w:val="both"/>
        <w:rPr>
          <w:rFonts w:ascii="Bookman Old Style" w:hAnsi="Bookman Old Style" w:cs="Arial"/>
          <w:bCs/>
          <w:vanish/>
          <w:color w:val="000000"/>
          <w:sz w:val="18"/>
          <w:szCs w:val="18"/>
        </w:rPr>
      </w:pPr>
    </w:p>
    <w:p w14:paraId="33E0D9BE" w14:textId="77777777" w:rsidR="00D7721B" w:rsidRDefault="00D7721B">
      <w:pPr>
        <w:pStyle w:val="PargrafodaLista"/>
        <w:numPr>
          <w:ilvl w:val="1"/>
          <w:numId w:val="3"/>
        </w:numPr>
        <w:tabs>
          <w:tab w:val="left" w:pos="1440"/>
        </w:tabs>
        <w:autoSpaceDE w:val="0"/>
        <w:snapToGrid w:val="0"/>
        <w:spacing w:before="120" w:after="120" w:line="276" w:lineRule="auto"/>
        <w:jc w:val="both"/>
        <w:rPr>
          <w:rFonts w:ascii="Bookman Old Style" w:hAnsi="Bookman Old Style" w:cs="Arial"/>
          <w:bCs/>
          <w:vanish/>
          <w:color w:val="000000"/>
          <w:sz w:val="18"/>
          <w:szCs w:val="18"/>
        </w:rPr>
      </w:pPr>
    </w:p>
    <w:p w14:paraId="540E144E" w14:textId="77777777" w:rsidR="00D7721B" w:rsidRDefault="00D7721B">
      <w:pPr>
        <w:pStyle w:val="PargrafodaLista"/>
        <w:numPr>
          <w:ilvl w:val="1"/>
          <w:numId w:val="3"/>
        </w:numPr>
        <w:tabs>
          <w:tab w:val="left" w:pos="1440"/>
        </w:tabs>
        <w:autoSpaceDE w:val="0"/>
        <w:snapToGrid w:val="0"/>
        <w:spacing w:before="120" w:after="120" w:line="276" w:lineRule="auto"/>
        <w:jc w:val="both"/>
        <w:rPr>
          <w:rFonts w:ascii="Bookman Old Style" w:hAnsi="Bookman Old Style" w:cs="Arial"/>
          <w:bCs/>
          <w:vanish/>
          <w:color w:val="000000"/>
          <w:sz w:val="18"/>
          <w:szCs w:val="18"/>
        </w:rPr>
      </w:pPr>
    </w:p>
    <w:p w14:paraId="3B2DDCB6" w14:textId="77777777" w:rsidR="00D7721B" w:rsidRPr="004702D1" w:rsidRDefault="0039180D">
      <w:pPr>
        <w:spacing w:before="120" w:after="120" w:line="276" w:lineRule="auto"/>
        <w:ind w:left="284"/>
        <w:jc w:val="both"/>
        <w:rPr>
          <w:rFonts w:ascii="Bookman Old Style" w:hAnsi="Bookman Old Style" w:cs="Arial"/>
          <w:b/>
          <w:color w:val="000000" w:themeColor="text1"/>
          <w:sz w:val="18"/>
          <w:szCs w:val="18"/>
        </w:rPr>
      </w:pPr>
      <w:r w:rsidRPr="004702D1">
        <w:rPr>
          <w:rFonts w:ascii="Bookman Old Style" w:hAnsi="Bookman Old Style" w:cs="Arial"/>
          <w:b/>
          <w:color w:val="000000" w:themeColor="text1"/>
          <w:sz w:val="18"/>
          <w:szCs w:val="18"/>
        </w:rPr>
        <w:t xml:space="preserve">2.13.1. </w:t>
      </w:r>
      <w:r w:rsidR="004702D1" w:rsidRPr="004702D1">
        <w:rPr>
          <w:rFonts w:ascii="Bookman Old Style" w:hAnsi="Bookman Old Style" w:cs="Arial"/>
          <w:b/>
          <w:color w:val="000000" w:themeColor="text1"/>
          <w:sz w:val="18"/>
          <w:szCs w:val="18"/>
        </w:rPr>
        <w:t>Que</w:t>
      </w:r>
      <w:r w:rsidRPr="004702D1">
        <w:rPr>
          <w:rFonts w:ascii="Bookman Old Style" w:hAnsi="Bookman Old Style" w:cs="Arial"/>
          <w:b/>
          <w:color w:val="000000" w:themeColor="text1"/>
          <w:sz w:val="18"/>
          <w:szCs w:val="18"/>
        </w:rPr>
        <w:t xml:space="preserve"> inexistem fatos impeditivos para sua habilitação no certame, ciente da obrigatoriedade de declarar ocorrências posteriores;</w:t>
      </w:r>
    </w:p>
    <w:p w14:paraId="69790CEE" w14:textId="77777777" w:rsidR="00D7721B" w:rsidRPr="004702D1" w:rsidRDefault="0039180D">
      <w:pPr>
        <w:spacing w:before="120" w:after="120" w:line="276" w:lineRule="auto"/>
        <w:ind w:left="284"/>
        <w:jc w:val="both"/>
        <w:rPr>
          <w:rFonts w:ascii="Bookman Old Style" w:hAnsi="Bookman Old Style" w:cs="Arial"/>
          <w:b/>
          <w:color w:val="000000" w:themeColor="text1"/>
          <w:sz w:val="18"/>
          <w:szCs w:val="18"/>
        </w:rPr>
      </w:pPr>
      <w:r w:rsidRPr="004702D1">
        <w:rPr>
          <w:rFonts w:ascii="Bookman Old Style" w:hAnsi="Bookman Old Style" w:cs="Arial"/>
          <w:b/>
          <w:color w:val="000000" w:themeColor="text1"/>
          <w:sz w:val="18"/>
          <w:szCs w:val="18"/>
        </w:rPr>
        <w:t xml:space="preserve">2.13.2. </w:t>
      </w:r>
      <w:r w:rsidR="004702D1" w:rsidRPr="004702D1">
        <w:rPr>
          <w:rFonts w:ascii="Bookman Old Style" w:hAnsi="Bookman Old Style" w:cs="Arial"/>
          <w:b/>
          <w:color w:val="000000" w:themeColor="text1"/>
          <w:sz w:val="18"/>
          <w:szCs w:val="18"/>
        </w:rPr>
        <w:t>Que</w:t>
      </w:r>
      <w:r w:rsidRPr="004702D1">
        <w:rPr>
          <w:rFonts w:ascii="Bookman Old Style" w:hAnsi="Bookman Old Style" w:cs="Arial"/>
          <w:b/>
          <w:color w:val="000000" w:themeColor="text1"/>
          <w:sz w:val="18"/>
          <w:szCs w:val="18"/>
        </w:rPr>
        <w:t xml:space="preserve"> </w:t>
      </w:r>
      <w:r w:rsidRPr="004702D1">
        <w:rPr>
          <w:rFonts w:ascii="Bookman Old Style" w:hAnsi="Bookman Old Style" w:cs="Arial"/>
          <w:b/>
          <w:color w:val="000000"/>
          <w:sz w:val="18"/>
          <w:szCs w:val="18"/>
        </w:rPr>
        <w:t>cumpre</w:t>
      </w:r>
      <w:r w:rsidRPr="004702D1">
        <w:rPr>
          <w:rFonts w:ascii="Bookman Old Style" w:hAnsi="Bookman Old Style" w:cs="Arial"/>
          <w:b/>
          <w:color w:val="000000" w:themeColor="text1"/>
          <w:sz w:val="18"/>
          <w:szCs w:val="18"/>
        </w:rPr>
        <w:t xml:space="preserve"> os requisitos estabelecidos no artigo 3° da Lei Complementar nº 123, de 2006, estando apto a usufruir do tratamento favorecido estabelecido em seus </w:t>
      </w:r>
      <w:proofErr w:type="spellStart"/>
      <w:r w:rsidRPr="004702D1">
        <w:rPr>
          <w:rFonts w:ascii="Bookman Old Style" w:hAnsi="Bookman Old Style" w:cs="Arial"/>
          <w:b/>
          <w:color w:val="000000" w:themeColor="text1"/>
          <w:sz w:val="18"/>
          <w:szCs w:val="18"/>
        </w:rPr>
        <w:t>arts</w:t>
      </w:r>
      <w:proofErr w:type="spellEnd"/>
      <w:r w:rsidRPr="004702D1">
        <w:rPr>
          <w:rFonts w:ascii="Bookman Old Style" w:hAnsi="Bookman Old Style" w:cs="Arial"/>
          <w:b/>
          <w:color w:val="000000" w:themeColor="text1"/>
          <w:sz w:val="18"/>
          <w:szCs w:val="18"/>
        </w:rPr>
        <w:t>. 42 a 49.</w:t>
      </w:r>
    </w:p>
    <w:p w14:paraId="63F1E5FE" w14:textId="77777777" w:rsidR="00D7721B" w:rsidRPr="004702D1" w:rsidRDefault="0039180D">
      <w:pPr>
        <w:spacing w:before="120" w:after="120" w:line="276" w:lineRule="auto"/>
        <w:ind w:left="284"/>
        <w:jc w:val="both"/>
        <w:rPr>
          <w:rFonts w:ascii="Bookman Old Style" w:hAnsi="Bookman Old Style" w:cs="Arial"/>
          <w:b/>
          <w:color w:val="000000" w:themeColor="text1"/>
          <w:sz w:val="18"/>
          <w:szCs w:val="18"/>
        </w:rPr>
      </w:pPr>
      <w:r w:rsidRPr="004702D1">
        <w:rPr>
          <w:rFonts w:ascii="Bookman Old Style" w:hAnsi="Bookman Old Style" w:cs="Arial"/>
          <w:b/>
          <w:color w:val="000000" w:themeColor="text1"/>
          <w:sz w:val="18"/>
          <w:szCs w:val="18"/>
        </w:rPr>
        <w:t xml:space="preserve">2.13.3. </w:t>
      </w:r>
      <w:r w:rsidR="004702D1" w:rsidRPr="004702D1">
        <w:rPr>
          <w:rFonts w:ascii="Bookman Old Style" w:hAnsi="Bookman Old Style" w:cs="Arial"/>
          <w:b/>
          <w:color w:val="000000" w:themeColor="text1"/>
          <w:sz w:val="18"/>
          <w:szCs w:val="18"/>
        </w:rPr>
        <w:t>Que</w:t>
      </w:r>
      <w:r w:rsidRPr="004702D1">
        <w:rPr>
          <w:rFonts w:ascii="Bookman Old Style" w:hAnsi="Bookman Old Style" w:cs="Arial"/>
          <w:b/>
          <w:color w:val="000000" w:themeColor="text1"/>
          <w:sz w:val="18"/>
          <w:szCs w:val="18"/>
        </w:rPr>
        <w:t xml:space="preserve"> está ciente e concorda com as condições contidas no Aviso de Contratação Direta e seus anexos;</w:t>
      </w:r>
    </w:p>
    <w:p w14:paraId="521131D1" w14:textId="77777777" w:rsidR="00D7721B" w:rsidRPr="004702D1" w:rsidRDefault="0039180D">
      <w:pPr>
        <w:spacing w:before="120" w:after="120" w:line="276" w:lineRule="auto"/>
        <w:ind w:left="284"/>
        <w:jc w:val="both"/>
        <w:rPr>
          <w:rFonts w:ascii="Bookman Old Style" w:hAnsi="Bookman Old Style" w:cs="Arial"/>
          <w:b/>
          <w:color w:val="000000" w:themeColor="text1"/>
          <w:sz w:val="18"/>
          <w:szCs w:val="18"/>
        </w:rPr>
      </w:pPr>
      <w:r w:rsidRPr="004702D1">
        <w:rPr>
          <w:rFonts w:ascii="Bookman Old Style" w:hAnsi="Bookman Old Style" w:cs="Arial"/>
          <w:b/>
          <w:color w:val="000000" w:themeColor="text1"/>
          <w:sz w:val="18"/>
          <w:szCs w:val="18"/>
        </w:rPr>
        <w:t xml:space="preserve">2.13.5. </w:t>
      </w:r>
      <w:r w:rsidR="004702D1" w:rsidRPr="004702D1">
        <w:rPr>
          <w:rFonts w:ascii="Bookman Old Style" w:hAnsi="Bookman Old Style" w:cs="Arial"/>
          <w:b/>
          <w:color w:val="000000" w:themeColor="text1"/>
          <w:sz w:val="18"/>
          <w:szCs w:val="18"/>
        </w:rPr>
        <w:t>Que</w:t>
      </w:r>
      <w:r w:rsidRPr="004702D1">
        <w:rPr>
          <w:rFonts w:ascii="Bookman Old Style" w:hAnsi="Bookman Old Style" w:cs="Arial"/>
          <w:b/>
          <w:color w:val="000000" w:themeColor="text1"/>
          <w:sz w:val="18"/>
          <w:szCs w:val="18"/>
        </w:rPr>
        <w:t xml:space="preserve"> não emprega menor de 18 anos em trabalho noturno, perigoso ou insalubre e não emprega menor de 16 anos, salvo menor, a partir de 14 anos, na condição de aprendiz, nos termos do artigo 7°, XXXIII, da Constituição;</w:t>
      </w:r>
    </w:p>
    <w:p w14:paraId="78B0F205" w14:textId="77777777" w:rsidR="00D7721B" w:rsidRPr="004702D1" w:rsidRDefault="0039180D">
      <w:pPr>
        <w:spacing w:before="120" w:after="120" w:line="276" w:lineRule="auto"/>
        <w:ind w:left="284"/>
        <w:jc w:val="both"/>
        <w:rPr>
          <w:rFonts w:ascii="Bookman Old Style" w:hAnsi="Bookman Old Style" w:cs="Arial"/>
          <w:b/>
          <w:color w:val="000000" w:themeColor="text1"/>
          <w:sz w:val="18"/>
          <w:szCs w:val="18"/>
        </w:rPr>
      </w:pPr>
      <w:r w:rsidRPr="004702D1">
        <w:rPr>
          <w:rFonts w:ascii="Bookman Old Style" w:hAnsi="Bookman Old Style" w:cs="Arial"/>
          <w:b/>
          <w:color w:val="000000" w:themeColor="text1"/>
          <w:sz w:val="18"/>
          <w:szCs w:val="18"/>
        </w:rPr>
        <w:t xml:space="preserve">2.13.6. Declaração de que cumpre as exigências de reserva de cargos para pessoa com deficiência e para reabilitado da Previdência Social, previstas em lei e em outras normas específicas.  </w:t>
      </w:r>
    </w:p>
    <w:p w14:paraId="37419484" w14:textId="77777777" w:rsidR="00D7721B" w:rsidRDefault="0039180D">
      <w:pPr>
        <w:spacing w:before="120" w:after="120" w:line="276" w:lineRule="auto"/>
        <w:jc w:val="both"/>
        <w:rPr>
          <w:rFonts w:ascii="Bookman Old Style" w:hAnsi="Bookman Old Style" w:cs="Arial"/>
          <w:iCs/>
          <w:sz w:val="18"/>
          <w:szCs w:val="18"/>
        </w:rPr>
      </w:pPr>
      <w:r>
        <w:rPr>
          <w:rFonts w:ascii="Bookman Old Style" w:hAnsi="Bookman Old Style" w:cs="Arial"/>
          <w:iCs/>
          <w:sz w:val="18"/>
          <w:szCs w:val="18"/>
        </w:rPr>
        <w:t>2.14. O valor final mínimo poderá ser alterado pelo fornecedor durante a fase de disputa, desde que não assuma valor superior a lance já registrado por ele no sistema.</w:t>
      </w:r>
    </w:p>
    <w:p w14:paraId="69EB589A" w14:textId="77777777" w:rsidR="00D7721B" w:rsidRDefault="0039180D">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FASE DE LANCES</w:t>
      </w:r>
    </w:p>
    <w:p w14:paraId="04B3052F"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3.1. A partir do horário e da data estabelecida neste Aviso de Contratação Direta, a sessão pública será automaticamente aberta pelo sistema para o envio de lances públicos e sucessivos, </w:t>
      </w:r>
      <w:r>
        <w:rPr>
          <w:rFonts w:ascii="Bookman Old Style" w:hAnsi="Bookman Old Style" w:cs="Arial"/>
          <w:bCs/>
          <w:sz w:val="18"/>
          <w:szCs w:val="18"/>
          <w:lang w:eastAsia="en-US"/>
        </w:rPr>
        <w:t>exclusivamente por meio do sistema eletrônico</w:t>
      </w:r>
      <w:r>
        <w:rPr>
          <w:rFonts w:ascii="Bookman Old Style" w:hAnsi="Bookman Old Style" w:cs="Arial"/>
          <w:sz w:val="18"/>
          <w:szCs w:val="18"/>
          <w:lang w:eastAsia="en-US"/>
        </w:rPr>
        <w:t xml:space="preserve">, </w:t>
      </w:r>
      <w:r>
        <w:rPr>
          <w:rFonts w:ascii="Bookman Old Style" w:hAnsi="Bookman Old Style" w:cs="Arial"/>
          <w:color w:val="000000" w:themeColor="text1"/>
          <w:sz w:val="18"/>
          <w:szCs w:val="18"/>
          <w:lang w:eastAsia="en-US"/>
        </w:rPr>
        <w:t>sendo encerrado no horário de finalização de lances também já previsto neste aviso.</w:t>
      </w:r>
    </w:p>
    <w:p w14:paraId="62DA8B81"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rPr>
        <w:t xml:space="preserve">3.2. Iniciada a etapa competitiva, os fornecedores deverão encaminhar lances exclusivamente por meio de sistema eletrônico, sendo imediatamente informados do seu recebimento e do valor consignado no registro. </w:t>
      </w:r>
    </w:p>
    <w:p w14:paraId="7526ACE0" w14:textId="77777777" w:rsidR="00D7721B" w:rsidRDefault="0039180D">
      <w:pPr>
        <w:spacing w:before="120" w:after="120" w:line="276" w:lineRule="auto"/>
        <w:ind w:left="284"/>
        <w:jc w:val="both"/>
        <w:rPr>
          <w:rFonts w:ascii="Bookman Old Style" w:hAnsi="Bookman Old Style" w:cs="Arial"/>
          <w:sz w:val="18"/>
          <w:szCs w:val="18"/>
          <w:lang w:eastAsia="en-US"/>
        </w:rPr>
      </w:pPr>
      <w:r>
        <w:rPr>
          <w:rFonts w:ascii="Bookman Old Style" w:hAnsi="Bookman Old Style" w:cs="Arial"/>
          <w:sz w:val="18"/>
          <w:szCs w:val="18"/>
        </w:rPr>
        <w:t>3.2.1. O lance deverá ser ofertado pelo valor unitário do item.</w:t>
      </w:r>
    </w:p>
    <w:p w14:paraId="67C3057C"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3.3. O fornecedor somente poderá oferecer valor inferior ou maior percentual de desconto em relação ao último lance por ele ofertado e registrado pelo sistema.</w:t>
      </w:r>
    </w:p>
    <w:p w14:paraId="3FB6467B"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EBAADC1" w14:textId="336C13B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sz w:val="18"/>
          <w:szCs w:val="18"/>
        </w:rPr>
        <w:t>3.5. O intervalo mínimo de diferença de valores ou percentuais entre os lances, que incidirá tanto em relação aos lances intermediários quanto em relação ao que cobrir a melhor oferta é de</w:t>
      </w:r>
      <w:r>
        <w:rPr>
          <w:rFonts w:ascii="Bookman Old Style" w:hAnsi="Bookman Old Style" w:cs="Arial"/>
          <w:i/>
          <w:iCs/>
          <w:sz w:val="18"/>
          <w:szCs w:val="18"/>
        </w:rPr>
        <w:t xml:space="preserve"> </w:t>
      </w:r>
      <w:r>
        <w:rPr>
          <w:rFonts w:ascii="Bookman Old Style" w:hAnsi="Bookman Old Style" w:cs="Arial"/>
          <w:b/>
          <w:bCs/>
          <w:sz w:val="18"/>
          <w:szCs w:val="18"/>
        </w:rPr>
        <w:t xml:space="preserve">R$ </w:t>
      </w:r>
      <w:r w:rsidR="00D92A68">
        <w:rPr>
          <w:rFonts w:ascii="Bookman Old Style" w:hAnsi="Bookman Old Style" w:cs="Arial"/>
          <w:b/>
          <w:bCs/>
          <w:sz w:val="18"/>
          <w:szCs w:val="18"/>
        </w:rPr>
        <w:t>1</w:t>
      </w:r>
      <w:r>
        <w:rPr>
          <w:rFonts w:ascii="Bookman Old Style" w:hAnsi="Bookman Old Style" w:cs="Arial"/>
          <w:b/>
          <w:bCs/>
          <w:sz w:val="18"/>
          <w:szCs w:val="18"/>
        </w:rPr>
        <w:t>,</w:t>
      </w:r>
      <w:r w:rsidR="00D92A68">
        <w:rPr>
          <w:rFonts w:ascii="Bookman Old Style" w:hAnsi="Bookman Old Style" w:cs="Arial"/>
          <w:b/>
          <w:bCs/>
          <w:sz w:val="18"/>
          <w:szCs w:val="18"/>
        </w:rPr>
        <w:t>0</w:t>
      </w:r>
      <w:r>
        <w:rPr>
          <w:rFonts w:ascii="Bookman Old Style" w:hAnsi="Bookman Old Style" w:cs="Arial"/>
          <w:b/>
          <w:bCs/>
          <w:sz w:val="18"/>
          <w:szCs w:val="18"/>
        </w:rPr>
        <w:t>0 (</w:t>
      </w:r>
      <w:r w:rsidR="00D92A68">
        <w:rPr>
          <w:rFonts w:ascii="Bookman Old Style" w:hAnsi="Bookman Old Style" w:cs="Arial"/>
          <w:b/>
          <w:bCs/>
          <w:sz w:val="18"/>
          <w:szCs w:val="18"/>
        </w:rPr>
        <w:t>um real</w:t>
      </w:r>
      <w:r w:rsidR="00AB4937">
        <w:rPr>
          <w:rFonts w:ascii="Bookman Old Style" w:hAnsi="Bookman Old Style" w:cs="Arial"/>
          <w:b/>
          <w:bCs/>
          <w:sz w:val="18"/>
          <w:szCs w:val="18"/>
        </w:rPr>
        <w:t>).</w:t>
      </w:r>
    </w:p>
    <w:p w14:paraId="6AA8B37B"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lastRenderedPageBreak/>
        <w:t>3.6. Havendo lances iguais ao menor já ofertado, prevalecerá aquele que for recebido e registrado primeiro no sistema.</w:t>
      </w:r>
    </w:p>
    <w:p w14:paraId="64FA64E0"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3.7. Caso o fornecedor não apresente lances, concorrerá com o valor de sua proposta.</w:t>
      </w:r>
    </w:p>
    <w:p w14:paraId="74FCD47E"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3.8. Durante o procedimento, os fornecedores serão informados, em tempo real, do valor do menor lance registrado, vedada a identificação do fornecedor.</w:t>
      </w:r>
    </w:p>
    <w:p w14:paraId="2270CDED"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3.9. Imediatamente após o término do prazo estabelecido para a fase de lances, haverá o seu encerramento, com o ordenamento e divulgação dos lances, pelo sistema, em ordem crescente de classificação.</w:t>
      </w:r>
    </w:p>
    <w:p w14:paraId="5C98C327" w14:textId="77777777" w:rsidR="00D7721B" w:rsidRPr="00864D20"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3.10. O encerramento da fase de lances ocorrerá de forma automática pontualmente no horário indicado, sem qualquer possibilidade de prorrogação e não havendo tempo aleatório ou mecanismo similar.</w:t>
      </w:r>
    </w:p>
    <w:p w14:paraId="6B83A900" w14:textId="77777777" w:rsidR="00D7721B" w:rsidRDefault="0039180D">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JULGAMENTO DAS PROPOSTAS DE PREÇO</w:t>
      </w:r>
    </w:p>
    <w:p w14:paraId="34F74C2D"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4.1. Encerrada a fase de lances, será verificada a conformidade da proposta classificada em primeiro lugar quanto à adequação do objeto e à compatibilidade do preço em relação ao estipulado para a contratação.</w:t>
      </w:r>
    </w:p>
    <w:p w14:paraId="0E3238D6"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4.2. No caso de o preço da proposta vencedora estar acima do estimado pela Administração, poderá haver a negociação de condições mais vantajosas.</w:t>
      </w:r>
    </w:p>
    <w:p w14:paraId="37BB1F18"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4.2.1. Neste caso, será encaminhada contraproposta ao fornecedor que tenha apresentado o melhor preço, para que seja obtida melhor proposta com preço compatível ao estimado pela Administração.</w:t>
      </w:r>
    </w:p>
    <w:p w14:paraId="20A49BC9"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4.2.2.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F92D1B"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4.2.3. Em qualquer caso, concluída a negociação, o resultado será registrado na ata do procedimento da dispensa eletrônica.</w:t>
      </w:r>
    </w:p>
    <w:p w14:paraId="234462C4"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4.3. Estando o preço compatível, será solicitado o envio da proposta e, se necessário, de documentos complementares, adequada ao último lance.</w:t>
      </w:r>
    </w:p>
    <w:p w14:paraId="118DB9A5"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 xml:space="preserve"> 4.4. O prazo de validade </w:t>
      </w:r>
      <w:r>
        <w:rPr>
          <w:rFonts w:ascii="Bookman Old Style" w:hAnsi="Bookman Old Style" w:cs="Arial"/>
          <w:sz w:val="18"/>
          <w:szCs w:val="18"/>
        </w:rPr>
        <w:t>da</w:t>
      </w:r>
      <w:r>
        <w:rPr>
          <w:rFonts w:ascii="Bookman Old Style" w:hAnsi="Bookman Old Style" w:cs="Arial"/>
          <w:color w:val="000000" w:themeColor="text1"/>
          <w:sz w:val="18"/>
          <w:szCs w:val="18"/>
        </w:rPr>
        <w:t xml:space="preserve"> proposta não será inferior a </w:t>
      </w:r>
      <w:r>
        <w:rPr>
          <w:rFonts w:ascii="Bookman Old Style" w:hAnsi="Bookman Old Style" w:cs="Arial"/>
          <w:sz w:val="18"/>
          <w:szCs w:val="18"/>
        </w:rPr>
        <w:t xml:space="preserve">60 (sessenta) </w:t>
      </w:r>
      <w:r>
        <w:rPr>
          <w:rFonts w:ascii="Bookman Old Style" w:hAnsi="Bookman Old Style" w:cs="Arial"/>
          <w:color w:val="000000" w:themeColor="text1"/>
          <w:sz w:val="18"/>
          <w:szCs w:val="18"/>
        </w:rPr>
        <w:t>dias</w:t>
      </w:r>
      <w:r>
        <w:rPr>
          <w:rFonts w:ascii="Bookman Old Style" w:hAnsi="Bookman Old Style" w:cs="Arial"/>
          <w:b/>
          <w:bCs/>
          <w:color w:val="000000" w:themeColor="text1"/>
          <w:sz w:val="18"/>
          <w:szCs w:val="18"/>
        </w:rPr>
        <w:t>,</w:t>
      </w:r>
      <w:r>
        <w:rPr>
          <w:rFonts w:ascii="Bookman Old Style" w:hAnsi="Bookman Old Style" w:cs="Arial"/>
          <w:color w:val="000000" w:themeColor="text1"/>
          <w:sz w:val="18"/>
          <w:szCs w:val="18"/>
        </w:rPr>
        <w:t xml:space="preserve"> a contar da data de sua apresentação.</w:t>
      </w:r>
    </w:p>
    <w:p w14:paraId="0517AA83" w14:textId="77777777" w:rsidR="00D7721B" w:rsidRDefault="0039180D">
      <w:p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themeColor="text1"/>
          <w:sz w:val="18"/>
          <w:szCs w:val="18"/>
          <w:lang w:eastAsia="en-US"/>
        </w:rPr>
        <w:t xml:space="preserve">4.5. Será desclassificada a proposta vencedora que: </w:t>
      </w:r>
    </w:p>
    <w:p w14:paraId="77F52693" w14:textId="77777777" w:rsidR="00D7721B" w:rsidRDefault="0039180D">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contiver vícios insanáveis</w:t>
      </w:r>
      <w:r>
        <w:rPr>
          <w:rFonts w:ascii="Bookman Old Style" w:hAnsi="Bookman Old Style" w:cs="Arial"/>
          <w:iCs/>
          <w:color w:val="000000" w:themeColor="text1"/>
          <w:sz w:val="18"/>
          <w:szCs w:val="18"/>
        </w:rPr>
        <w:t>;</w:t>
      </w:r>
    </w:p>
    <w:p w14:paraId="12D5BE15" w14:textId="77777777" w:rsidR="00D7721B" w:rsidRDefault="0039180D">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não obedecer às especificações técnicas pormenorizadas neste aviso ou em seus anexos</w:t>
      </w:r>
      <w:r>
        <w:rPr>
          <w:rFonts w:ascii="Bookman Old Style" w:hAnsi="Bookman Old Style" w:cs="Arial"/>
          <w:iCs/>
          <w:color w:val="000000" w:themeColor="text1"/>
          <w:sz w:val="18"/>
          <w:szCs w:val="18"/>
        </w:rPr>
        <w:t>;</w:t>
      </w:r>
    </w:p>
    <w:p w14:paraId="2CE9D5AA" w14:textId="77777777" w:rsidR="00D7721B" w:rsidRDefault="0039180D">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apresentar preços inexequíveis ou permanecerem acima do preço máximo definido para a contratação;</w:t>
      </w:r>
    </w:p>
    <w:p w14:paraId="21B6B0C7" w14:textId="77777777" w:rsidR="00D7721B" w:rsidRDefault="0039180D">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não tiverem sua exequibilidade demonstrada, quando exigido pela Administração</w:t>
      </w:r>
      <w:r>
        <w:rPr>
          <w:rFonts w:ascii="Bookman Old Style" w:hAnsi="Bookman Old Style" w:cs="Arial"/>
          <w:iCs/>
          <w:color w:val="000000" w:themeColor="text1"/>
          <w:sz w:val="18"/>
          <w:szCs w:val="18"/>
        </w:rPr>
        <w:t>;</w:t>
      </w:r>
    </w:p>
    <w:p w14:paraId="78A889D9" w14:textId="77777777" w:rsidR="00D7721B" w:rsidRDefault="0039180D">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apresentar desconformidade com quaisquer outras exigências deste aviso ou seus anexos, desde que insanável.</w:t>
      </w:r>
    </w:p>
    <w:p w14:paraId="74BD3593" w14:textId="77777777" w:rsidR="00D7721B" w:rsidRDefault="00D7721B">
      <w:pPr>
        <w:pStyle w:val="PargrafodaLista"/>
        <w:spacing w:before="120" w:after="120" w:line="276" w:lineRule="auto"/>
        <w:ind w:left="567"/>
        <w:jc w:val="both"/>
        <w:rPr>
          <w:rFonts w:ascii="Bookman Old Style" w:hAnsi="Bookman Old Style" w:cs="Arial"/>
          <w:i/>
          <w:color w:val="000000" w:themeColor="text1"/>
          <w:sz w:val="18"/>
          <w:szCs w:val="18"/>
        </w:rPr>
      </w:pPr>
    </w:p>
    <w:p w14:paraId="19BD5066" w14:textId="77777777" w:rsidR="00D7721B" w:rsidRDefault="0039180D">
      <w:pPr>
        <w:spacing w:before="120" w:after="120" w:line="276" w:lineRule="auto"/>
        <w:jc w:val="both"/>
        <w:rPr>
          <w:rFonts w:ascii="Bookman Old Style" w:hAnsi="Bookman Old Style" w:cs="Arial"/>
          <w:i/>
          <w:color w:val="000000" w:themeColor="text1"/>
          <w:sz w:val="18"/>
          <w:szCs w:val="18"/>
        </w:rPr>
      </w:pPr>
      <w:r>
        <w:rPr>
          <w:rFonts w:ascii="Bookman Old Style" w:hAnsi="Bookman Old Style" w:cs="Arial"/>
          <w:color w:val="000000" w:themeColor="text1"/>
          <w:sz w:val="18"/>
          <w:szCs w:val="18"/>
          <w:lang w:eastAsia="en-US"/>
        </w:rPr>
        <w:t>4.5. Quando</w:t>
      </w:r>
      <w:r>
        <w:rPr>
          <w:rFonts w:ascii="Bookman Old Style" w:hAnsi="Bookman Old Style" w:cs="Arial"/>
          <w:sz w:val="18"/>
          <w:szCs w:val="18"/>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0EC2269C" w14:textId="77777777" w:rsidR="00D7721B" w:rsidRDefault="0039180D">
      <w:pPr>
        <w:spacing w:before="120" w:after="120" w:line="276" w:lineRule="auto"/>
        <w:ind w:left="567"/>
        <w:jc w:val="both"/>
        <w:rPr>
          <w:rFonts w:ascii="Bookman Old Style" w:hAnsi="Bookman Old Style" w:cs="Arial"/>
          <w:i/>
          <w:color w:val="000000" w:themeColor="text1"/>
          <w:sz w:val="18"/>
          <w:szCs w:val="18"/>
        </w:rPr>
      </w:pPr>
      <w:r>
        <w:rPr>
          <w:rFonts w:ascii="Bookman Old Style" w:hAnsi="Bookman Old Style" w:cs="Arial"/>
          <w:sz w:val="18"/>
          <w:szCs w:val="18"/>
          <w:bdr w:val="none" w:sz="0" w:space="0" w:color="auto" w:frame="1"/>
        </w:rPr>
        <w:t>4.5.1.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94FE213" w14:textId="77777777" w:rsidR="00D7721B" w:rsidRDefault="0039180D">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sz w:val="18"/>
          <w:szCs w:val="18"/>
          <w:bdr w:val="none" w:sz="0" w:space="0" w:color="auto" w:frame="1"/>
        </w:rPr>
        <w:lastRenderedPageBreak/>
        <w:t>4.5.2. apresentar um ou mais valores da planilha de custo que sejam inferiores àqueles fixados em instrumentos de caráter normativo obrigatório, tais como leis, medidas provisórias e convenções coletivas de trabalho vigentes.</w:t>
      </w:r>
    </w:p>
    <w:p w14:paraId="18A0BD9C" w14:textId="77777777" w:rsidR="00D7721B" w:rsidRDefault="0039180D">
      <w:pPr>
        <w:spacing w:before="120" w:after="120" w:line="276" w:lineRule="auto"/>
        <w:ind w:right="-15"/>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4.6. Se houver indícios de inexequibilidade da proposta de preço, ou em caso da necessidade de esclarecimentos </w:t>
      </w:r>
      <w:r>
        <w:rPr>
          <w:rFonts w:ascii="Bookman Old Style" w:hAnsi="Bookman Old Style" w:cs="Arial"/>
          <w:sz w:val="18"/>
          <w:szCs w:val="18"/>
          <w:bdr w:val="none" w:sz="0" w:space="0" w:color="auto" w:frame="1"/>
        </w:rPr>
        <w:t>complementares</w:t>
      </w:r>
      <w:r>
        <w:rPr>
          <w:rFonts w:ascii="Bookman Old Style" w:hAnsi="Bookman Old Style" w:cs="Arial"/>
          <w:color w:val="000000" w:themeColor="text1"/>
          <w:sz w:val="18"/>
          <w:szCs w:val="18"/>
          <w:lang w:eastAsia="en-US"/>
        </w:rPr>
        <w:t xml:space="preserve">, poderão ser efetuadas diligências, para que a empresa comprove a exequibilidade da proposta.  </w:t>
      </w:r>
    </w:p>
    <w:p w14:paraId="6996C0D1"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4.7. Erros no preenchimento da planilha não constituem motivo para a desclassificação da proposta. A planilha </w:t>
      </w:r>
      <w:r>
        <w:rPr>
          <w:rFonts w:ascii="Bookman Old Style" w:hAnsi="Bookman Old Style" w:cs="Arial"/>
          <w:sz w:val="18"/>
          <w:szCs w:val="18"/>
          <w:bdr w:val="none" w:sz="0" w:space="0" w:color="auto" w:frame="1"/>
        </w:rPr>
        <w:t>poderá</w:t>
      </w:r>
      <w:r>
        <w:rPr>
          <w:rFonts w:ascii="Bookman Old Style" w:hAnsi="Bookman Old Style" w:cs="Arial"/>
          <w:color w:val="000000" w:themeColor="text1"/>
          <w:sz w:val="18"/>
          <w:szCs w:val="18"/>
          <w:lang w:eastAsia="en-US"/>
        </w:rPr>
        <w:t xml:space="preserve"> ser ajustada pelo fornecedor, no prazo indicado pelo sistema, desde que não haja majoração do preço.</w:t>
      </w:r>
    </w:p>
    <w:p w14:paraId="57700623" w14:textId="77777777" w:rsidR="00D7721B" w:rsidRDefault="0039180D">
      <w:pPr>
        <w:spacing w:before="120" w:after="120" w:line="276" w:lineRule="auto"/>
        <w:ind w:left="567"/>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4.7.1. O ajuste de que trata este dispositivo se limita a sanar erros ou falhas que não alterem a substância das propostas;</w:t>
      </w:r>
    </w:p>
    <w:p w14:paraId="7FA86259" w14:textId="77777777" w:rsidR="00D7721B" w:rsidRDefault="0039180D">
      <w:pPr>
        <w:spacing w:before="120" w:after="120" w:line="276" w:lineRule="auto"/>
        <w:ind w:left="567"/>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4.7.2. Considera-se erro no preenchimento da planilha passível de correção a indicação de recolhimento de impostos e contribuições na forma do Simples Nacional, quando n</w:t>
      </w:r>
      <w:r>
        <w:rPr>
          <w:rFonts w:ascii="Bookman Old Style" w:hAnsi="Bookman Old Style" w:cs="Bookman Old Style"/>
          <w:color w:val="000000" w:themeColor="text1"/>
          <w:sz w:val="18"/>
          <w:szCs w:val="18"/>
          <w:lang w:eastAsia="en-US"/>
        </w:rPr>
        <w:t>ã</w:t>
      </w:r>
      <w:r>
        <w:rPr>
          <w:rFonts w:ascii="Bookman Old Style" w:hAnsi="Bookman Old Style" w:cs="Arial"/>
          <w:color w:val="000000" w:themeColor="text1"/>
          <w:sz w:val="18"/>
          <w:szCs w:val="18"/>
          <w:lang w:eastAsia="en-US"/>
        </w:rPr>
        <w:t>o cab</w:t>
      </w:r>
      <w:r>
        <w:rPr>
          <w:rFonts w:ascii="Bookman Old Style" w:hAnsi="Bookman Old Style" w:cs="Bookman Old Style"/>
          <w:color w:val="000000" w:themeColor="text1"/>
          <w:sz w:val="18"/>
          <w:szCs w:val="18"/>
          <w:lang w:eastAsia="en-US"/>
        </w:rPr>
        <w:t>í</w:t>
      </w:r>
      <w:r>
        <w:rPr>
          <w:rFonts w:ascii="Bookman Old Style" w:hAnsi="Bookman Old Style" w:cs="Arial"/>
          <w:color w:val="000000" w:themeColor="text1"/>
          <w:sz w:val="18"/>
          <w:szCs w:val="18"/>
          <w:lang w:eastAsia="en-US"/>
        </w:rPr>
        <w:t>vel esse regime.</w:t>
      </w:r>
    </w:p>
    <w:p w14:paraId="79D1F746"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4.8. Para fins de análise da proposta quanto ao cumprimento das especificações do objeto, poderá ser colhida a manifestação escrita do setor requisitante do serviço ou da área especializada no objeto.</w:t>
      </w:r>
    </w:p>
    <w:p w14:paraId="07083DE1"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4.9. Se a proposta ou lance vencedor for desclassificado, será examinada a proposta ou lance subsequente, e, assim sucessivamente, na ordem de classificação.</w:t>
      </w:r>
    </w:p>
    <w:p w14:paraId="623AA78B"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4.10. Havendo necessidade, a sessão será suspensa, informando-se no “chat” a nova data e horário para a sua continuidade.</w:t>
      </w:r>
    </w:p>
    <w:p w14:paraId="7F3A7248" w14:textId="77777777" w:rsidR="00D7721B" w:rsidRDefault="0039180D">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4.11. Encerrada a análise quanto à aceitação da proposta, se iniciará a fase de habilitação, observado o disposto neste Aviso de Contratação Direta. </w:t>
      </w:r>
    </w:p>
    <w:p w14:paraId="003F3EDA" w14:textId="77777777" w:rsidR="00D7721B" w:rsidRDefault="0039180D">
      <w:pPr>
        <w:spacing w:before="120" w:after="120" w:line="276" w:lineRule="auto"/>
        <w:jc w:val="both"/>
        <w:rPr>
          <w:rFonts w:ascii="Bookman Old Style" w:hAnsi="Bookman Old Style" w:cs="Arial"/>
          <w:b/>
          <w:sz w:val="18"/>
          <w:szCs w:val="18"/>
        </w:rPr>
      </w:pPr>
      <w:r>
        <w:rPr>
          <w:rFonts w:ascii="Bookman Old Style" w:hAnsi="Bookman Old Style" w:cs="Arial"/>
          <w:b/>
          <w:bCs/>
          <w:color w:val="000000" w:themeColor="text1"/>
          <w:sz w:val="18"/>
          <w:szCs w:val="18"/>
          <w:lang w:eastAsia="en-US"/>
        </w:rPr>
        <w:t>5.</w:t>
      </w:r>
      <w:r>
        <w:rPr>
          <w:rFonts w:ascii="Bookman Old Style" w:hAnsi="Bookman Old Style" w:cs="Arial"/>
          <w:color w:val="000000" w:themeColor="text1"/>
          <w:sz w:val="18"/>
          <w:szCs w:val="18"/>
          <w:lang w:eastAsia="en-US"/>
        </w:rPr>
        <w:t xml:space="preserve"> </w:t>
      </w:r>
      <w:r>
        <w:rPr>
          <w:rFonts w:ascii="Bookman Old Style" w:hAnsi="Bookman Old Style" w:cs="Arial"/>
          <w:b/>
          <w:sz w:val="18"/>
          <w:szCs w:val="18"/>
        </w:rPr>
        <w:t>HABILITAÇÃO</w:t>
      </w:r>
    </w:p>
    <w:p w14:paraId="155AED11" w14:textId="77777777" w:rsidR="00D7721B" w:rsidRDefault="0039180D">
      <w:pPr>
        <w:spacing w:before="120" w:after="120" w:line="276" w:lineRule="auto"/>
        <w:jc w:val="both"/>
        <w:rPr>
          <w:rFonts w:ascii="Bookman Old Style" w:hAnsi="Bookman Old Style" w:cs="Arial"/>
          <w:b/>
          <w:sz w:val="18"/>
          <w:szCs w:val="18"/>
          <w:lang w:eastAsia="ar-SA"/>
        </w:rPr>
      </w:pPr>
      <w:r>
        <w:rPr>
          <w:rFonts w:ascii="Bookman Old Style" w:hAnsi="Bookman Old Style" w:cs="Arial"/>
          <w:sz w:val="18"/>
          <w:szCs w:val="18"/>
          <w:lang w:eastAsia="ar-SA"/>
        </w:rPr>
        <w:t xml:space="preserve">5.1. Os </w:t>
      </w:r>
      <w:r>
        <w:rPr>
          <w:rFonts w:ascii="Bookman Old Style" w:hAnsi="Bookman Old Style" w:cs="Arial"/>
          <w:color w:val="000000"/>
          <w:sz w:val="18"/>
          <w:szCs w:val="18"/>
        </w:rPr>
        <w:t>documentos</w:t>
      </w:r>
      <w:r>
        <w:rPr>
          <w:rFonts w:ascii="Bookman Old Style" w:hAnsi="Bookman Old Style" w:cs="Arial"/>
          <w:sz w:val="18"/>
          <w:szCs w:val="18"/>
          <w:lang w:eastAsia="ar-SA"/>
        </w:rPr>
        <w:t xml:space="preserve"> a serem exigidos para fins de habilitação constam do </w:t>
      </w:r>
      <w:r>
        <w:rPr>
          <w:rFonts w:ascii="Bookman Old Style" w:hAnsi="Bookman Old Style" w:cs="Arial"/>
          <w:b/>
          <w:sz w:val="18"/>
          <w:szCs w:val="18"/>
          <w:lang w:eastAsia="ar-SA"/>
        </w:rPr>
        <w:t xml:space="preserve">ANEXO I – DOCUMENTAÇÃO EXIGIDA PARA HABILITAÇÃO </w:t>
      </w:r>
      <w:r>
        <w:rPr>
          <w:rFonts w:ascii="Bookman Old Style" w:hAnsi="Bookman Old Style" w:cs="Arial"/>
          <w:sz w:val="18"/>
          <w:szCs w:val="18"/>
          <w:lang w:eastAsia="ar-SA"/>
        </w:rPr>
        <w:t>deste aviso e serão solicitados do fornecedor mais bem classificado da fase de lances.</w:t>
      </w:r>
    </w:p>
    <w:p w14:paraId="5C455DAC"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5.2.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C27760A"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 xml:space="preserve">5.3. Somente haverá a necessidade de comprovação do preenchimento de requisitos mediante apresentação dos documentos originais </w:t>
      </w:r>
      <w:proofErr w:type="spellStart"/>
      <w:r>
        <w:rPr>
          <w:rFonts w:ascii="Bookman Old Style" w:hAnsi="Bookman Old Style" w:cs="Arial"/>
          <w:color w:val="000000" w:themeColor="text1"/>
          <w:sz w:val="18"/>
          <w:szCs w:val="18"/>
        </w:rPr>
        <w:t>não-digitais</w:t>
      </w:r>
      <w:proofErr w:type="spellEnd"/>
      <w:r>
        <w:rPr>
          <w:rFonts w:ascii="Bookman Old Style" w:hAnsi="Bookman Old Style" w:cs="Arial"/>
          <w:color w:val="000000" w:themeColor="text1"/>
          <w:sz w:val="18"/>
          <w:szCs w:val="18"/>
        </w:rPr>
        <w:t xml:space="preserve"> quando houver dúvida em relação à integridade do documento digital.</w:t>
      </w:r>
    </w:p>
    <w:p w14:paraId="40E858E4"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 xml:space="preserve">5.4. Havendo </w:t>
      </w:r>
      <w:r>
        <w:rPr>
          <w:rFonts w:ascii="Bookman Old Style" w:hAnsi="Bookman Old Style" w:cs="Arial"/>
          <w:iCs/>
          <w:sz w:val="18"/>
          <w:szCs w:val="18"/>
          <w:lang w:eastAsia="en-US"/>
        </w:rPr>
        <w:t>necessidade</w:t>
      </w:r>
      <w:r>
        <w:rPr>
          <w:rFonts w:ascii="Bookman Old Style" w:hAnsi="Bookman Old Style" w:cs="Arial"/>
          <w:bCs/>
          <w:sz w:val="18"/>
          <w:szCs w:val="18"/>
        </w:rPr>
        <w:t xml:space="preserve"> de analisar minuciosamente os documentos exigidos, a sessão será suspensa, sendo informada a nova data e horário para a sua continuidade.</w:t>
      </w:r>
    </w:p>
    <w:p w14:paraId="2CA6F507"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5.5. Será inabilitado o fornecedor que não comprovar sua habilitação, seja por não apresentar </w:t>
      </w:r>
      <w:r>
        <w:rPr>
          <w:rFonts w:ascii="Bookman Old Style" w:hAnsi="Bookman Old Style" w:cs="Arial"/>
          <w:iCs/>
          <w:sz w:val="18"/>
          <w:szCs w:val="18"/>
          <w:lang w:eastAsia="en-US"/>
        </w:rPr>
        <w:t>quaisquer</w:t>
      </w:r>
      <w:r>
        <w:rPr>
          <w:rFonts w:ascii="Bookman Old Style" w:hAnsi="Bookman Old Style" w:cs="Arial"/>
          <w:color w:val="000000"/>
          <w:sz w:val="18"/>
          <w:szCs w:val="18"/>
        </w:rPr>
        <w:t xml:space="preserve"> dos </w:t>
      </w:r>
      <w:r>
        <w:rPr>
          <w:rFonts w:ascii="Bookman Old Style" w:hAnsi="Bookman Old Style" w:cs="Arial"/>
          <w:bCs/>
          <w:sz w:val="18"/>
          <w:szCs w:val="18"/>
        </w:rPr>
        <w:t>documentos</w:t>
      </w:r>
      <w:r>
        <w:rPr>
          <w:rFonts w:ascii="Bookman Old Style" w:hAnsi="Bookman Old Style" w:cs="Arial"/>
          <w:color w:val="000000"/>
          <w:sz w:val="18"/>
          <w:szCs w:val="18"/>
        </w:rPr>
        <w:t xml:space="preserve"> exigidos, ou apresentá-los em desacordo com o estabelecido neste Aviso de Contratação Direta.</w:t>
      </w:r>
    </w:p>
    <w:p w14:paraId="1C12CAFD"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5.6.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01FD4A" w14:textId="77777777" w:rsidR="00D7721B" w:rsidRDefault="0039180D">
      <w:pPr>
        <w:spacing w:before="120" w:after="120" w:line="276" w:lineRule="auto"/>
        <w:jc w:val="both"/>
        <w:rPr>
          <w:rFonts w:ascii="Bookman Old Style" w:hAnsi="Bookman Old Style" w:cs="Arial"/>
          <w:iCs/>
          <w:sz w:val="18"/>
          <w:szCs w:val="18"/>
          <w:lang w:eastAsia="en-US"/>
        </w:rPr>
      </w:pPr>
      <w:r>
        <w:rPr>
          <w:rFonts w:ascii="Bookman Old Style" w:hAnsi="Bookman Old Style" w:cs="Arial"/>
          <w:iCs/>
          <w:sz w:val="18"/>
          <w:szCs w:val="18"/>
          <w:lang w:eastAsia="en-US"/>
        </w:rPr>
        <w:t>5.7. Constatado o atendimento às exigências de habilitação, o fornecedor será habilitado</w:t>
      </w:r>
    </w:p>
    <w:p w14:paraId="1F5ECE43" w14:textId="77777777" w:rsidR="00D7721B" w:rsidRDefault="0039180D">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6. CONTRATAÇÃO</w:t>
      </w:r>
    </w:p>
    <w:p w14:paraId="131B93AB" w14:textId="77777777" w:rsidR="00D7721B" w:rsidRDefault="0039180D">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6.1. Após a homologação e adjudicação, caso se conclua pela contratação, será emitida Nota de Empenho. </w:t>
      </w:r>
    </w:p>
    <w:p w14:paraId="23FCCADC" w14:textId="77777777" w:rsidR="00D7721B" w:rsidRDefault="0039180D">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lastRenderedPageBreak/>
        <w:t xml:space="preserve">6.2. O adjudicatário </w:t>
      </w:r>
      <w:r>
        <w:rPr>
          <w:rFonts w:ascii="Bookman Old Style" w:eastAsia="Arial" w:hAnsi="Bookman Old Style" w:cs="Arial"/>
          <w:sz w:val="18"/>
          <w:szCs w:val="18"/>
        </w:rPr>
        <w:t>terá o prazo de três dias úteis, contados a partir da data de sua convocação, para aceitar instrumento equivalente, conforme o caso (Nota de Empenho/Carta Contrato/Autorização), sob pena de decair do direito à contratação, sem prejuízo das sanções previstas neste Aviso de Contratação Direta.</w:t>
      </w:r>
    </w:p>
    <w:p w14:paraId="33FF1531" w14:textId="77777777" w:rsidR="00D7721B" w:rsidRDefault="0039180D">
      <w:pPr>
        <w:spacing w:before="120" w:after="120" w:line="276" w:lineRule="auto"/>
        <w:ind w:left="284"/>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6.2.1. O prazo previsto para assinatura do contrato ou aceitação da nota de empenho ou instrumento equivalente poderá ser prorrogado </w:t>
      </w:r>
      <w:r>
        <w:rPr>
          <w:rFonts w:ascii="Bookman Old Style" w:hAnsi="Bookman Old Style" w:cs="Times New Roman"/>
          <w:bCs/>
          <w:sz w:val="18"/>
          <w:szCs w:val="18"/>
        </w:rPr>
        <w:t>1 (uma) vez</w:t>
      </w:r>
      <w:r>
        <w:rPr>
          <w:rFonts w:ascii="Bookman Old Style" w:eastAsia="Arial" w:hAnsi="Bookman Old Style" w:cs="Arial"/>
          <w:sz w:val="18"/>
          <w:szCs w:val="18"/>
        </w:rPr>
        <w:t xml:space="preserve">, </w:t>
      </w:r>
      <w:r>
        <w:rPr>
          <w:rFonts w:ascii="Bookman Old Style" w:eastAsia="Arial" w:hAnsi="Bookman Old Style" w:cs="Arial"/>
          <w:color w:val="000000"/>
          <w:sz w:val="18"/>
          <w:szCs w:val="18"/>
        </w:rPr>
        <w:t>por igual período, por solicitação justificada do adjudicatário e aceita pela Administração.</w:t>
      </w:r>
    </w:p>
    <w:p w14:paraId="5BDCC646" w14:textId="77777777" w:rsidR="00D7721B" w:rsidRDefault="0039180D">
      <w:pPr>
        <w:spacing w:before="120" w:after="120" w:line="276" w:lineRule="auto"/>
        <w:jc w:val="both"/>
        <w:rPr>
          <w:rFonts w:ascii="Bookman Old Style" w:eastAsia="Arial" w:hAnsi="Bookman Old Style" w:cs="Arial"/>
          <w:iCs/>
          <w:sz w:val="18"/>
          <w:szCs w:val="18"/>
        </w:rPr>
      </w:pPr>
      <w:r>
        <w:rPr>
          <w:rFonts w:ascii="Bookman Old Style" w:eastAsia="Arial" w:hAnsi="Bookman Old Style" w:cs="Arial"/>
          <w:iCs/>
          <w:sz w:val="18"/>
          <w:szCs w:val="18"/>
        </w:rPr>
        <w:t>6.3. O Aceite da Nota de Empenho ou do instrumento equivalente, emitida à empresa adjudicada, implica no reconhecimento de que:</w:t>
      </w:r>
    </w:p>
    <w:p w14:paraId="3FAF6497" w14:textId="77777777" w:rsidR="00D7721B" w:rsidRDefault="0039180D">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6.3.1. referida Nota está substituindo o contrato, aplicando-se à relação de negócios ali estabelecida as disposições da Lei nº 14.133, de 2021;</w:t>
      </w:r>
    </w:p>
    <w:p w14:paraId="46B2C3AE" w14:textId="77777777" w:rsidR="00D7721B" w:rsidRDefault="0039180D">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6.3.2. a contratada se vincula à sua proposta e às previsões contidas no Aviso de Contratação Direta e seus anexos;</w:t>
      </w:r>
    </w:p>
    <w:p w14:paraId="5309C759" w14:textId="77777777" w:rsidR="00D7721B" w:rsidRDefault="0039180D">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6.3.3. a contratada reconhece que as hipóteses de rescisão são aquelas previstas nos artigos 137 e 138 da Lei nº 14.133/21 e reconhece os direitos da Administração previstos nos artigos 137 a 139 da mesma Lei.</w:t>
      </w:r>
    </w:p>
    <w:p w14:paraId="393172B4" w14:textId="77777777" w:rsidR="00D7721B" w:rsidRDefault="0039180D">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6.4. O prazo de vigência da contratação é </w:t>
      </w:r>
      <w:r>
        <w:rPr>
          <w:rFonts w:ascii="Bookman Old Style" w:eastAsia="Arial" w:hAnsi="Bookman Old Style" w:cs="Arial"/>
          <w:sz w:val="18"/>
          <w:szCs w:val="18"/>
        </w:rPr>
        <w:t xml:space="preserve">de 12 (doze) meses prorrogável conforme previsão nos anexos a este Aviso de Contratação Direta. </w:t>
      </w:r>
    </w:p>
    <w:p w14:paraId="5A5D00C6" w14:textId="3470C08D" w:rsidR="00D7721B" w:rsidRPr="0042086F" w:rsidRDefault="0039180D" w:rsidP="0042086F">
      <w:pPr>
        <w:spacing w:before="120" w:after="120" w:line="276" w:lineRule="auto"/>
        <w:jc w:val="both"/>
        <w:rPr>
          <w:rFonts w:ascii="Bookman Old Style" w:eastAsia="Arial" w:hAnsi="Bookman Old Style" w:cs="Arial"/>
          <w:color w:val="000000"/>
          <w:sz w:val="18"/>
          <w:szCs w:val="18"/>
        </w:rPr>
      </w:pPr>
      <w:r>
        <w:rPr>
          <w:rFonts w:ascii="Bookman Old Style" w:hAnsi="Bookman Old Style" w:cs="Arial"/>
          <w:color w:val="000000"/>
          <w:sz w:val="18"/>
          <w:szCs w:val="18"/>
        </w:rPr>
        <w:t>6.5. Na assinatura do contrato ou do instrumento equivalente será exigida a comprovação das condições de habilitação e contratação consignadas neste aviso, que deverão ser mantidas pelo fornecedor durante a vigência do contrato.</w:t>
      </w:r>
    </w:p>
    <w:p w14:paraId="3CF39C8C" w14:textId="77777777" w:rsidR="00D7721B" w:rsidRDefault="0039180D">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7. SANÇÕES</w:t>
      </w:r>
    </w:p>
    <w:p w14:paraId="68C980EC" w14:textId="77777777" w:rsidR="00D7721B" w:rsidRDefault="0039180D">
      <w:pPr>
        <w:spacing w:before="120" w:after="120" w:line="276" w:lineRule="auto"/>
        <w:jc w:val="both"/>
        <w:rPr>
          <w:rFonts w:ascii="Bookman Old Style" w:hAnsi="Bookman Old Style" w:cs="Arial"/>
          <w:b/>
          <w:sz w:val="18"/>
          <w:szCs w:val="18"/>
        </w:rPr>
      </w:pPr>
      <w:r>
        <w:rPr>
          <w:rFonts w:ascii="Bookman Old Style" w:hAnsi="Bookman Old Style" w:cs="Arial"/>
          <w:sz w:val="18"/>
          <w:szCs w:val="18"/>
        </w:rPr>
        <w:t xml:space="preserve">7.1. Comete infração administrativa o fornecedor que cometer quaisquer das infrações previstas no art. 155 da Lei nº 14.133, de 2021, quais sejam: </w:t>
      </w:r>
    </w:p>
    <w:p w14:paraId="1563C450"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 dar causa à inexecução parcial do contrato</w:t>
      </w:r>
      <w:r>
        <w:rPr>
          <w:rFonts w:ascii="Bookman Old Style" w:hAnsi="Bookman Old Style" w:cs="Arial"/>
          <w:sz w:val="18"/>
          <w:szCs w:val="18"/>
        </w:rPr>
        <w:t>;</w:t>
      </w:r>
    </w:p>
    <w:p w14:paraId="2F6EFE17"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7.1.2. dar causa à inexecução parcial do contrato que cause grave dano à Administração, ao funcionamento dos serviços públicos ou ao interesse coletivo;</w:t>
      </w:r>
    </w:p>
    <w:p w14:paraId="501687B4"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7.1.3. dar causa à inexecução total do contrato;</w:t>
      </w:r>
    </w:p>
    <w:p w14:paraId="0B60EBF2" w14:textId="77777777" w:rsidR="00D7721B" w:rsidRDefault="0039180D">
      <w:pPr>
        <w:spacing w:before="120" w:after="120" w:line="276" w:lineRule="auto"/>
        <w:ind w:left="284"/>
        <w:jc w:val="both"/>
        <w:rPr>
          <w:rFonts w:ascii="Bookman Old Style" w:hAnsi="Bookman Old Style" w:cs="Arial"/>
          <w:color w:val="000000"/>
          <w:sz w:val="18"/>
          <w:szCs w:val="18"/>
        </w:rPr>
      </w:pPr>
      <w:r>
        <w:rPr>
          <w:rFonts w:ascii="Bookman Old Style" w:hAnsi="Bookman Old Style" w:cs="Arial"/>
          <w:color w:val="000000"/>
          <w:sz w:val="18"/>
          <w:szCs w:val="18"/>
        </w:rPr>
        <w:t>7.1.4. deixar de entregar a documentação exigida para o certame;</w:t>
      </w:r>
    </w:p>
    <w:p w14:paraId="20485771"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7.1.5. não manter a proposta, salvo em decorrência de fato superveniente devidamente justificado;</w:t>
      </w:r>
    </w:p>
    <w:p w14:paraId="124F4A31"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7.1.6. não celebrar o contrato ou não entregar a documentação exigida para a contratação, quando convocado dentro do prazo de validade de sua proposta;</w:t>
      </w:r>
    </w:p>
    <w:p w14:paraId="06DDFFDD"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7.1.7. ensejar o retardamento da execução ou da entrega do objeto da licitação sem motivo justificado;</w:t>
      </w:r>
    </w:p>
    <w:p w14:paraId="0DAD6E65"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7.1.8. apresentar declaração ou documentação falsa exigida para o certame ou prestar declaração falsa durante a dispensa eletrônica ou a execução do contrato;</w:t>
      </w:r>
    </w:p>
    <w:p w14:paraId="5170D981"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7.1.9. fraudar a dispensa eletrônica ou praticar ato fraudulento na execução do contrato;</w:t>
      </w:r>
    </w:p>
    <w:p w14:paraId="71550845"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7.1.10. comportar-se de modo inidôneo ou cometer fraude de qualquer natureza;</w:t>
      </w:r>
    </w:p>
    <w:p w14:paraId="662B3A2C"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7.1.11.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363949C" w14:textId="77777777" w:rsidR="00D7721B" w:rsidRDefault="0039180D">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7.1.12. praticar atos ilícitos com vistas a frustrar os objetivos deste certame.</w:t>
      </w:r>
    </w:p>
    <w:p w14:paraId="3E48EA5B" w14:textId="77777777" w:rsidR="00D7721B" w:rsidRDefault="0039180D">
      <w:pPr>
        <w:spacing w:before="120" w:after="120" w:line="276" w:lineRule="auto"/>
        <w:ind w:left="284"/>
        <w:jc w:val="both"/>
        <w:rPr>
          <w:rFonts w:ascii="Bookman Old Style" w:hAnsi="Bookman Old Style" w:cs="Arial"/>
          <w:color w:val="000000"/>
          <w:sz w:val="18"/>
          <w:szCs w:val="18"/>
        </w:rPr>
      </w:pPr>
      <w:r>
        <w:rPr>
          <w:rFonts w:ascii="Bookman Old Style" w:hAnsi="Bookman Old Style" w:cs="Arial"/>
          <w:color w:val="000000"/>
          <w:sz w:val="18"/>
          <w:szCs w:val="18"/>
        </w:rPr>
        <w:t>7.1.13. praticar ato lesivo previsto no </w:t>
      </w:r>
      <w:hyperlink r:id="rId10" w:anchor="art5" w:history="1">
        <w:r>
          <w:rPr>
            <w:rFonts w:ascii="Bookman Old Style" w:hAnsi="Bookman Old Style"/>
            <w:color w:val="000000"/>
            <w:sz w:val="18"/>
            <w:szCs w:val="18"/>
          </w:rPr>
          <w:t>art. 5º da Lei nº 12.846, de 1º de agosto de 2013.</w:t>
        </w:r>
      </w:hyperlink>
    </w:p>
    <w:p w14:paraId="0E537C0E" w14:textId="77777777" w:rsidR="00D7721B" w:rsidRDefault="0039180D">
      <w:pPr>
        <w:spacing w:before="120" w:after="120" w:line="276" w:lineRule="auto"/>
        <w:jc w:val="both"/>
        <w:rPr>
          <w:rFonts w:ascii="Bookman Old Style" w:hAnsi="Bookman Old Style" w:cs="Arial"/>
          <w:b/>
          <w:sz w:val="18"/>
          <w:szCs w:val="18"/>
        </w:rPr>
      </w:pPr>
      <w:r>
        <w:rPr>
          <w:rFonts w:ascii="Bookman Old Style" w:hAnsi="Bookman Old Style" w:cs="Arial"/>
          <w:sz w:val="18"/>
          <w:szCs w:val="18"/>
        </w:rPr>
        <w:lastRenderedPageBreak/>
        <w:t>7.2. O fornecedor que cometer qualquer das infrações discriminadas nos subitens anteriores ficará sujeito, sem prejuízo da responsabilidade civil e criminal, às seguintes sanções:</w:t>
      </w:r>
    </w:p>
    <w:p w14:paraId="33CAD424" w14:textId="77777777" w:rsidR="00D7721B" w:rsidRDefault="0039180D">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sz w:val="18"/>
          <w:szCs w:val="18"/>
        </w:rPr>
        <w:t>Advertência pela falta do subitem 7.1.1 deste Aviso de Contratação Direta,</w:t>
      </w:r>
      <w:r>
        <w:rPr>
          <w:rFonts w:ascii="Bookman Old Style" w:hAnsi="Bookman Old Style"/>
          <w:sz w:val="18"/>
          <w:szCs w:val="18"/>
        </w:rPr>
        <w:t xml:space="preserve"> </w:t>
      </w:r>
      <w:r>
        <w:rPr>
          <w:rFonts w:ascii="Bookman Old Style" w:hAnsi="Bookman Old Style" w:cs="Arial"/>
          <w:sz w:val="18"/>
          <w:szCs w:val="18"/>
        </w:rPr>
        <w:t>quando não se justificar a imposição de penalidade mais grave;</w:t>
      </w:r>
    </w:p>
    <w:p w14:paraId="0739459E" w14:textId="77777777" w:rsidR="00D7721B" w:rsidRDefault="0039180D">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sz w:val="18"/>
          <w:szCs w:val="18"/>
        </w:rPr>
        <w:t>Multa de 20% (vinte por cento) sobre o valor estimado do(s) item(s) prejudicado(s) pela conduta do fornecedor, por qualquer das infrações dos subitens 7.1.1 a 7.1.12;</w:t>
      </w:r>
    </w:p>
    <w:p w14:paraId="3B307E63" w14:textId="77777777" w:rsidR="00D7721B" w:rsidRDefault="0039180D">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Impedimento de licitar e contratar</w:t>
      </w:r>
      <w:r>
        <w:rPr>
          <w:rFonts w:ascii="Bookman Old Style" w:hAnsi="Bookman Old Style" w:cs="Arial"/>
          <w:sz w:val="18"/>
          <w:szCs w:val="18"/>
        </w:rPr>
        <w:t xml:space="preserve"> </w:t>
      </w:r>
      <w:r>
        <w:rPr>
          <w:rFonts w:ascii="Bookman Old Style" w:hAnsi="Bookman Old Style" w:cs="Arial"/>
          <w:color w:val="000000"/>
          <w:sz w:val="18"/>
          <w:szCs w:val="18"/>
        </w:rPr>
        <w:t>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r>
        <w:rPr>
          <w:rFonts w:ascii="Bookman Old Style" w:hAnsi="Bookman Old Style" w:cs="Arial"/>
          <w:sz w:val="18"/>
          <w:szCs w:val="18"/>
        </w:rPr>
        <w:t>;</w:t>
      </w:r>
    </w:p>
    <w:p w14:paraId="4E6D7A73" w14:textId="77777777" w:rsidR="00D7721B" w:rsidRDefault="0039180D">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r>
        <w:rPr>
          <w:rFonts w:ascii="Bookman Old Style" w:hAnsi="Bookman Old Style" w:cs="Arial"/>
          <w:sz w:val="18"/>
          <w:szCs w:val="18"/>
        </w:rPr>
        <w:t>;</w:t>
      </w:r>
    </w:p>
    <w:p w14:paraId="58FF697D"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 Na aplicação das sanções serão considerados:</w:t>
      </w:r>
    </w:p>
    <w:p w14:paraId="597EC6D6"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7.3.1. a natureza e a gravidade da infração cometida;</w:t>
      </w:r>
    </w:p>
    <w:p w14:paraId="6F9EE531"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7.3.2. as peculiaridades do caso concreto;</w:t>
      </w:r>
    </w:p>
    <w:p w14:paraId="3DCB86C1"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7.3.3. as circunstâncias agravantes ou atenuantes;</w:t>
      </w:r>
    </w:p>
    <w:p w14:paraId="43FD80FD"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7.3.4. os danos que dela provierem para a Administração Pública;</w:t>
      </w:r>
    </w:p>
    <w:p w14:paraId="6F4A52CF" w14:textId="77777777" w:rsidR="00D7721B" w:rsidRDefault="0039180D">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7.3.5. a implantação ou o aperfeiçoamento de programa de integridade, conforme normas e orientações dos órgãos de controle.</w:t>
      </w:r>
    </w:p>
    <w:p w14:paraId="1157B46E" w14:textId="77777777" w:rsidR="00D7721B" w:rsidRDefault="0039180D">
      <w:pPr>
        <w:spacing w:before="120" w:after="120" w:line="276" w:lineRule="auto"/>
        <w:jc w:val="both"/>
        <w:rPr>
          <w:rFonts w:ascii="Bookman Old Style" w:hAnsi="Bookman Old Style" w:cs="Arial"/>
          <w:sz w:val="18"/>
          <w:szCs w:val="18"/>
        </w:rPr>
      </w:pPr>
      <w:bookmarkStart w:id="0" w:name="art156§6"/>
      <w:bookmarkStart w:id="1" w:name="art156§7"/>
      <w:bookmarkStart w:id="2" w:name="art156§8"/>
      <w:bookmarkEnd w:id="0"/>
      <w:bookmarkEnd w:id="1"/>
      <w:bookmarkEnd w:id="2"/>
      <w:r>
        <w:rPr>
          <w:rFonts w:ascii="Bookman Old Style" w:hAnsi="Bookman Old Style" w:cs="Arial"/>
          <w:sz w:val="18"/>
          <w:szCs w:val="18"/>
        </w:rPr>
        <w:t>7.4. Se a multa aplicada e as indenizações cabíveis forem superiores ao valor de pagamento eventualmente devido pela Administração ao contratado, além da perda desse valor, a diferença será descontada da garantia prestada ou será cobrada judicialmente.</w:t>
      </w:r>
    </w:p>
    <w:p w14:paraId="6CB1A2B8" w14:textId="77777777" w:rsidR="00D7721B" w:rsidRDefault="0039180D">
      <w:pPr>
        <w:spacing w:before="120" w:after="120" w:line="276" w:lineRule="auto"/>
        <w:jc w:val="both"/>
        <w:rPr>
          <w:rFonts w:ascii="Bookman Old Style" w:hAnsi="Bookman Old Style" w:cs="Arial"/>
          <w:sz w:val="18"/>
          <w:szCs w:val="18"/>
        </w:rPr>
      </w:pPr>
      <w:bookmarkStart w:id="3" w:name="art156§9"/>
      <w:bookmarkEnd w:id="3"/>
      <w:r>
        <w:rPr>
          <w:rFonts w:ascii="Bookman Old Style" w:hAnsi="Bookman Old Style" w:cs="Arial"/>
          <w:sz w:val="18"/>
          <w:szCs w:val="18"/>
        </w:rPr>
        <w:t>7.5. A aplicação das sanções previstas neste Aviso de Contratação Direta, em hipótese alguma, a obrigação de reparação integral do dano causado à Administração Pública.</w:t>
      </w:r>
    </w:p>
    <w:p w14:paraId="75BC66F9"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7.6. A penalidade de multa pode ser aplicada cumulativamente com as demais sanções.</w:t>
      </w:r>
    </w:p>
    <w:p w14:paraId="57C761A8"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6FA45F9"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A5B1011"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7.9.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2840EE7"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F3C8CA3" w14:textId="77777777" w:rsidR="00D7721B" w:rsidRDefault="0039180D">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7.11. As sanções por atos praticados no decorrer da contratação estão previstas nos anexos a este Aviso.</w:t>
      </w:r>
    </w:p>
    <w:p w14:paraId="20EBFF17" w14:textId="77777777" w:rsidR="00D7721B" w:rsidRDefault="0039180D">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8. DAS DISPOSIÇÕES GERAIS</w:t>
      </w:r>
    </w:p>
    <w:p w14:paraId="18A5DFD6" w14:textId="77777777" w:rsidR="00D7721B" w:rsidRDefault="0039180D">
      <w:pPr>
        <w:rPr>
          <w:rFonts w:ascii="Bookman Old Style" w:hAnsi="Bookman Old Style" w:cs="Arial"/>
          <w:color w:val="000000" w:themeColor="text1"/>
          <w:sz w:val="18"/>
          <w:szCs w:val="18"/>
        </w:rPr>
      </w:pPr>
      <w:r>
        <w:rPr>
          <w:rFonts w:ascii="Bookman Old Style" w:hAnsi="Bookman Old Style"/>
          <w:sz w:val="18"/>
          <w:szCs w:val="18"/>
        </w:rPr>
        <w:lastRenderedPageBreak/>
        <w:t xml:space="preserve">8.1. O procedimento será divulgado no </w:t>
      </w:r>
      <w:hyperlink r:id="rId11" w:history="1">
        <w:r>
          <w:rPr>
            <w:rStyle w:val="Hyperlink"/>
            <w:rFonts w:ascii="Bookman Old Style" w:hAnsi="Bookman Old Style" w:cs="Arial"/>
            <w:sz w:val="18"/>
            <w:szCs w:val="18"/>
          </w:rPr>
          <w:t>www.licitardigital.com.br</w:t>
        </w:r>
      </w:hyperlink>
      <w:r>
        <w:rPr>
          <w:rFonts w:ascii="Bookman Old Style" w:hAnsi="Bookman Old Style" w:cs="Arial"/>
          <w:color w:val="000000" w:themeColor="text1"/>
          <w:sz w:val="18"/>
          <w:szCs w:val="18"/>
        </w:rPr>
        <w:t xml:space="preserve"> e no Portal Nacional de Contratações Públicas (PNCP). </w:t>
      </w:r>
    </w:p>
    <w:p w14:paraId="2E88DD59"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8.2. No caso de todos os fornecedores restarem desclassificados ou inabilitados (procedimento fracassado), ou, ainda, o procedimento restar deserto, a Administração poderá:</w:t>
      </w:r>
    </w:p>
    <w:p w14:paraId="53A0798B"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I - </w:t>
      </w:r>
      <w:proofErr w:type="gramStart"/>
      <w:r>
        <w:rPr>
          <w:rFonts w:ascii="Bookman Old Style" w:hAnsi="Bookman Old Style" w:cs="Arial"/>
          <w:color w:val="000000"/>
          <w:sz w:val="18"/>
          <w:szCs w:val="18"/>
        </w:rPr>
        <w:t>republicar</w:t>
      </w:r>
      <w:proofErr w:type="gramEnd"/>
      <w:r>
        <w:rPr>
          <w:rFonts w:ascii="Bookman Old Style" w:hAnsi="Bookman Old Style" w:cs="Arial"/>
          <w:color w:val="000000"/>
          <w:sz w:val="18"/>
          <w:szCs w:val="18"/>
        </w:rPr>
        <w:t xml:space="preserve"> o procedimento;</w:t>
      </w:r>
    </w:p>
    <w:p w14:paraId="4E63BE02"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II - </w:t>
      </w:r>
      <w:proofErr w:type="gramStart"/>
      <w:r>
        <w:rPr>
          <w:rFonts w:ascii="Bookman Old Style" w:hAnsi="Bookman Old Style" w:cs="Arial"/>
          <w:color w:val="000000"/>
          <w:sz w:val="18"/>
          <w:szCs w:val="18"/>
        </w:rPr>
        <w:t>fixar</w:t>
      </w:r>
      <w:proofErr w:type="gramEnd"/>
      <w:r>
        <w:rPr>
          <w:rFonts w:ascii="Bookman Old Style" w:hAnsi="Bookman Old Style" w:cs="Arial"/>
          <w:color w:val="000000"/>
          <w:sz w:val="18"/>
          <w:szCs w:val="18"/>
        </w:rPr>
        <w:t xml:space="preserve"> prazo para que os fornecedores interessados possam adequar as suas propostas ou sua situação no que se refere à habilitação; ou</w:t>
      </w:r>
    </w:p>
    <w:p w14:paraId="637D3DDF"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III - valer-se, para a contratação, de proposta obtida na pesquisa de preços que serviu de base ao procedimento, se houver, privilegiando-se os menores preços, sempre que possível, e desde que atendidas às condições de habilitação exigidas.</w:t>
      </w:r>
    </w:p>
    <w:p w14:paraId="56BB8A79"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73BC2476"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8.4. Caberá ao fornecedor acompanhar as operações, ficando responsável pelo ônus decorrente da perda do negócio diante da inobservância de quaisquer mensagens emitidas pela Administração ou de sua desconexão.</w:t>
      </w:r>
    </w:p>
    <w:p w14:paraId="13CFC146"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4365E64"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8.6. Os horários estabelecidos na divulgação deste procedimento e durante o envio de lances observarão o horário de Brasília-DF, inclusive para contagem de tempo e registro no Sistema e na documentação relativa ao procedimento.</w:t>
      </w:r>
    </w:p>
    <w:p w14:paraId="54CFF280" w14:textId="77777777" w:rsidR="00D7721B" w:rsidRDefault="0039180D">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8.7.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96FFFA"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8.8.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3E6EDBD"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8.9. Os fornecedores assumem todos os custos de preparação e apresentação de suas propostas e a Administração não será, em nenhum caso, responsável por esses custos, independentemente da condução ou do resultado do processo de contratação.</w:t>
      </w:r>
    </w:p>
    <w:p w14:paraId="2D3B5649"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8.10. Em caso de divergência entre disposições deste Aviso de Contratação Direta e de seus anexos ou demais peças que compõem o processo, prevalecerá as deste Aviso.</w:t>
      </w:r>
    </w:p>
    <w:p w14:paraId="5869F434"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8.11. Da sessão pública será divulgada Ata no sistema eletrônico.</w:t>
      </w:r>
    </w:p>
    <w:p w14:paraId="73CA45E1" w14:textId="77777777" w:rsidR="00D7721B" w:rsidRDefault="0039180D">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8.12. Integram este Aviso de Contratação Direta, para todos os fins e efeitos, os seguintes anexos:</w:t>
      </w:r>
    </w:p>
    <w:p w14:paraId="31E7C485" w14:textId="77777777" w:rsidR="00D7721B" w:rsidRDefault="0039180D">
      <w:pPr>
        <w:numPr>
          <w:ilvl w:val="2"/>
          <w:numId w:val="26"/>
        </w:num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ANEXO I – Documentação exigida para Habilitação</w:t>
      </w:r>
    </w:p>
    <w:p w14:paraId="5ABFD78C" w14:textId="5765DA32" w:rsidR="00D7721B" w:rsidRPr="00A92993" w:rsidRDefault="0039180D" w:rsidP="00A92993">
      <w:pPr>
        <w:numPr>
          <w:ilvl w:val="2"/>
          <w:numId w:val="26"/>
        </w:num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ANEXO II - Termo de Referência.</w:t>
      </w:r>
    </w:p>
    <w:p w14:paraId="0CBCF459" w14:textId="467CC871" w:rsidR="00D7721B" w:rsidRDefault="0039180D">
      <w:pPr>
        <w:spacing w:before="120" w:after="120" w:line="276" w:lineRule="auto"/>
        <w:jc w:val="both"/>
        <w:rPr>
          <w:rFonts w:ascii="Bookman Old Style" w:hAnsi="Bookman Old Style" w:cs="Arial"/>
          <w:color w:val="000000"/>
          <w:sz w:val="18"/>
          <w:szCs w:val="18"/>
        </w:rPr>
      </w:pPr>
      <w:r w:rsidRPr="0000492E">
        <w:rPr>
          <w:rFonts w:ascii="Bookman Old Style" w:hAnsi="Bookman Old Style" w:cs="Arial"/>
          <w:color w:val="000000"/>
          <w:sz w:val="18"/>
          <w:szCs w:val="18"/>
        </w:rPr>
        <w:t xml:space="preserve">Maravilhas/MG, </w:t>
      </w:r>
      <w:r w:rsidR="00973A13">
        <w:rPr>
          <w:rFonts w:ascii="Bookman Old Style" w:hAnsi="Bookman Old Style" w:cs="Arial"/>
          <w:color w:val="000000"/>
          <w:sz w:val="18"/>
          <w:szCs w:val="18"/>
        </w:rPr>
        <w:t>1</w:t>
      </w:r>
      <w:r w:rsidR="00D92A68">
        <w:rPr>
          <w:rFonts w:ascii="Bookman Old Style" w:hAnsi="Bookman Old Style" w:cs="Arial"/>
          <w:color w:val="000000"/>
          <w:sz w:val="18"/>
          <w:szCs w:val="18"/>
        </w:rPr>
        <w:t>7</w:t>
      </w:r>
      <w:r w:rsidR="00973A13">
        <w:rPr>
          <w:rFonts w:ascii="Bookman Old Style" w:hAnsi="Bookman Old Style" w:cs="Arial"/>
          <w:color w:val="000000"/>
          <w:sz w:val="18"/>
          <w:szCs w:val="18"/>
        </w:rPr>
        <w:t xml:space="preserve"> </w:t>
      </w:r>
      <w:r w:rsidRPr="0000492E">
        <w:rPr>
          <w:rFonts w:ascii="Bookman Old Style" w:hAnsi="Bookman Old Style" w:cs="Arial"/>
          <w:color w:val="000000"/>
          <w:sz w:val="18"/>
          <w:szCs w:val="18"/>
        </w:rPr>
        <w:t xml:space="preserve">de </w:t>
      </w:r>
      <w:r w:rsidR="00973A13">
        <w:rPr>
          <w:rFonts w:ascii="Bookman Old Style" w:hAnsi="Bookman Old Style" w:cs="Arial"/>
          <w:color w:val="000000"/>
          <w:sz w:val="18"/>
          <w:szCs w:val="18"/>
        </w:rPr>
        <w:t>março</w:t>
      </w:r>
      <w:r w:rsidR="0000492E">
        <w:rPr>
          <w:rFonts w:ascii="Bookman Old Style" w:hAnsi="Bookman Old Style" w:cs="Arial"/>
          <w:color w:val="000000"/>
          <w:sz w:val="18"/>
          <w:szCs w:val="18"/>
        </w:rPr>
        <w:t xml:space="preserve"> </w:t>
      </w:r>
      <w:r w:rsidRPr="0000492E">
        <w:rPr>
          <w:rFonts w:ascii="Bookman Old Style" w:hAnsi="Bookman Old Style" w:cs="Arial"/>
          <w:color w:val="000000"/>
          <w:sz w:val="18"/>
          <w:szCs w:val="18"/>
        </w:rPr>
        <w:t>de 2025.</w:t>
      </w:r>
    </w:p>
    <w:p w14:paraId="47F6AFAE" w14:textId="77777777" w:rsidR="00D7721B" w:rsidRDefault="00D7721B">
      <w:pPr>
        <w:spacing w:before="120" w:after="120" w:line="276" w:lineRule="auto"/>
        <w:jc w:val="both"/>
        <w:rPr>
          <w:rFonts w:ascii="Bookman Old Style" w:hAnsi="Bookman Old Style" w:cs="Arial"/>
          <w:color w:val="000000"/>
          <w:sz w:val="18"/>
          <w:szCs w:val="18"/>
        </w:rPr>
      </w:pPr>
    </w:p>
    <w:p w14:paraId="3EDE7698" w14:textId="72C3F917" w:rsidR="00A92993" w:rsidRDefault="00D92A68" w:rsidP="00E32F68">
      <w:pPr>
        <w:spacing w:before="120" w:after="120" w:line="276" w:lineRule="auto"/>
        <w:jc w:val="center"/>
        <w:rPr>
          <w:rFonts w:ascii="Bookman Old Style" w:hAnsi="Bookman Old Style" w:cs="Arial"/>
          <w:color w:val="000000"/>
          <w:sz w:val="18"/>
          <w:szCs w:val="18"/>
        </w:rPr>
      </w:pPr>
      <w:r>
        <w:rPr>
          <w:rFonts w:ascii="Bookman Old Style" w:hAnsi="Bookman Old Style" w:cs="Arial"/>
          <w:color w:val="000000"/>
          <w:sz w:val="18"/>
          <w:szCs w:val="18"/>
        </w:rPr>
        <w:t>Comissão de Licitação</w:t>
      </w:r>
    </w:p>
    <w:p w14:paraId="27F3B466" w14:textId="77777777" w:rsidR="0042086F" w:rsidRDefault="0042086F" w:rsidP="00E32F68">
      <w:pPr>
        <w:spacing w:before="120" w:after="120" w:line="276" w:lineRule="auto"/>
        <w:jc w:val="center"/>
        <w:rPr>
          <w:rFonts w:ascii="Bookman Old Style" w:hAnsi="Bookman Old Style" w:cs="Arial"/>
          <w:color w:val="000000"/>
          <w:sz w:val="18"/>
          <w:szCs w:val="18"/>
        </w:rPr>
      </w:pPr>
    </w:p>
    <w:p w14:paraId="5DBE8CA3" w14:textId="77777777" w:rsidR="00D7721B" w:rsidRDefault="00D7721B" w:rsidP="009E6730">
      <w:pPr>
        <w:rPr>
          <w:rFonts w:ascii="Bookman Old Style" w:hAnsi="Bookman Old Style" w:cs="Arial"/>
          <w:b/>
          <w:bCs/>
          <w:sz w:val="18"/>
          <w:szCs w:val="18"/>
          <w:lang w:eastAsia="en-US"/>
        </w:rPr>
      </w:pPr>
    </w:p>
    <w:p w14:paraId="72262EAA" w14:textId="77777777" w:rsidR="00D7721B" w:rsidRDefault="00D7721B">
      <w:pPr>
        <w:jc w:val="center"/>
        <w:rPr>
          <w:rFonts w:ascii="Bookman Old Style" w:hAnsi="Bookman Old Style" w:cs="Arial"/>
          <w:b/>
          <w:bCs/>
          <w:sz w:val="18"/>
          <w:szCs w:val="18"/>
          <w:lang w:eastAsia="en-US"/>
        </w:rPr>
      </w:pPr>
    </w:p>
    <w:p w14:paraId="3DD92DB6" w14:textId="77777777" w:rsidR="00D7721B" w:rsidRDefault="0039180D">
      <w:pPr>
        <w:shd w:val="clear" w:color="auto" w:fill="D9D9D9" w:themeFill="background1" w:themeFillShade="D9"/>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ANEXO I – DOCUMENTAÇÃO EXIGIDA PARA HABILITAÇÃO</w:t>
      </w:r>
    </w:p>
    <w:p w14:paraId="4FBB85FE" w14:textId="77777777" w:rsidR="00D7721B" w:rsidRDefault="00D7721B">
      <w:pPr>
        <w:rPr>
          <w:rFonts w:ascii="Bookman Old Style" w:hAnsi="Bookman Old Style" w:cs="Arial"/>
          <w:sz w:val="18"/>
          <w:szCs w:val="18"/>
          <w:lang w:eastAsia="en-US"/>
        </w:rPr>
      </w:pPr>
    </w:p>
    <w:p w14:paraId="68104A2C" w14:textId="77777777" w:rsidR="00D7721B" w:rsidRDefault="0039180D">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bCs/>
          <w:color w:val="000000"/>
          <w:sz w:val="18"/>
          <w:szCs w:val="18"/>
        </w:rPr>
        <w:t xml:space="preserve">Habilitação jurídica: </w:t>
      </w:r>
    </w:p>
    <w:p w14:paraId="53FA5F36"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no caso de empresário individual, inscrição no Registro Público de Empresas Mercantis, a cargo da Junta Comercial da respectiva sede;</w:t>
      </w:r>
    </w:p>
    <w:p w14:paraId="472383AB" w14:textId="77777777" w:rsidR="00D7721B" w:rsidRDefault="0039180D">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Em se tratando de Microempreendedor Individual – MEI: Certificado da Condição de Microempreendedor Individual - CCMEI, cuja aceitação ficará condicionada à verificação da autenticidade no sítio www.portaldoempreendedor.gov.br;</w:t>
      </w:r>
    </w:p>
    <w:p w14:paraId="387F03EC"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BC6558A"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inscrição no Registro Público de Empresas Mercantis onde opera, com averbação no Registro onde tem sede a matriz, no caso de ser o participante sucursal, filial ou agência;</w:t>
      </w:r>
    </w:p>
    <w:p w14:paraId="02CC830D"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No caso de sociedade simples: inscrição do ato constitutivo no Registro Civil das Pessoas Jurídicas do local de sua sede, acompanhada de prova da indicação dos seus administradores;</w:t>
      </w:r>
    </w:p>
    <w:p w14:paraId="7ACC3D32"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decreto de autorização, em se tratando de sociedade empresária estrangeira em funcionamento no País;</w:t>
      </w:r>
    </w:p>
    <w:p w14:paraId="08549F35"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16C57FF" w14:textId="77777777" w:rsidR="00D7721B" w:rsidRDefault="0039180D">
      <w:pPr>
        <w:pStyle w:val="PargrafodaLista"/>
        <w:numPr>
          <w:ilvl w:val="1"/>
          <w:numId w:val="16"/>
        </w:numPr>
        <w:spacing w:before="120" w:after="120" w:line="276" w:lineRule="auto"/>
        <w:jc w:val="both"/>
        <w:rPr>
          <w:rFonts w:ascii="Bookman Old Style" w:hAnsi="Bookman Old Style" w:cs="Arial"/>
          <w:bCs/>
          <w:color w:val="000000"/>
          <w:sz w:val="18"/>
          <w:szCs w:val="18"/>
        </w:rPr>
      </w:pPr>
      <w:r>
        <w:rPr>
          <w:rFonts w:ascii="Bookman Old Style" w:hAnsi="Bookman Old Style" w:cs="Arial"/>
          <w:bCs/>
          <w:color w:val="000000"/>
          <w:sz w:val="18"/>
          <w:szCs w:val="18"/>
        </w:rPr>
        <w:t>Os documentos acima deverão estar acompanhados de todas as alterações ou da consolidação respectiva.</w:t>
      </w:r>
    </w:p>
    <w:p w14:paraId="24789DC4" w14:textId="77777777" w:rsidR="00D7721B" w:rsidRDefault="00D7721B">
      <w:pPr>
        <w:pStyle w:val="PargrafodaLista"/>
        <w:spacing w:before="120" w:after="120" w:line="276" w:lineRule="auto"/>
        <w:ind w:left="1134"/>
        <w:jc w:val="both"/>
        <w:rPr>
          <w:rFonts w:ascii="Bookman Old Style" w:hAnsi="Bookman Old Style" w:cs="Arial"/>
          <w:bCs/>
          <w:color w:val="000000"/>
          <w:sz w:val="18"/>
          <w:szCs w:val="18"/>
        </w:rPr>
      </w:pPr>
    </w:p>
    <w:p w14:paraId="424930A9" w14:textId="77777777" w:rsidR="00D7721B" w:rsidRDefault="0039180D">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bCs/>
          <w:color w:val="000000"/>
          <w:sz w:val="18"/>
          <w:szCs w:val="18"/>
        </w:rPr>
        <w:t xml:space="preserve"> Regularidade fiscal, social e trabalhista:</w:t>
      </w:r>
    </w:p>
    <w:p w14:paraId="0CDC8FAD"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lang w:eastAsia="en-US"/>
        </w:rPr>
        <w:t>prova de inscrição no Cadastro Nacional de Pessoas Jurídicas ou no Cadastro de Pessoas Físicas, conforme o caso;</w:t>
      </w:r>
    </w:p>
    <w:p w14:paraId="04808FE1"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31C6EC6"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lang w:eastAsia="en-US"/>
        </w:rPr>
        <w:t>prova de regularidade com o Fundo de Garantia do Tempo de Serviço (FGTS);</w:t>
      </w:r>
    </w:p>
    <w:p w14:paraId="04D27913"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7B8AE6" w14:textId="77777777" w:rsidR="00D7721B" w:rsidRDefault="0039180D">
      <w:pPr>
        <w:numPr>
          <w:ilvl w:val="1"/>
          <w:numId w:val="16"/>
        </w:numPr>
        <w:tabs>
          <w:tab w:val="left" w:pos="1440"/>
        </w:tabs>
        <w:autoSpaceDE w:val="0"/>
        <w:snapToGrid w:val="0"/>
        <w:spacing w:before="120" w:after="120" w:line="276" w:lineRule="auto"/>
        <w:jc w:val="both"/>
        <w:rPr>
          <w:rFonts w:ascii="Bookman Old Style" w:hAnsi="Bookman Old Style" w:cs="Arial"/>
          <w:b/>
          <w:sz w:val="18"/>
          <w:szCs w:val="18"/>
        </w:rPr>
      </w:pPr>
      <w:r>
        <w:rPr>
          <w:rFonts w:ascii="Bookman Old Style" w:hAnsi="Bookman Old Style" w:cs="Arial"/>
          <w:sz w:val="18"/>
          <w:szCs w:val="18"/>
        </w:rPr>
        <w:t xml:space="preserve">prova de regularidade com a Fazenda Estadual e Municipal do domicílio ou sede do fornecedor, relativa à atividade em cujo exercício contrata ou concorre; </w:t>
      </w:r>
    </w:p>
    <w:p w14:paraId="338C477D" w14:textId="77777777" w:rsidR="00D7721B" w:rsidRDefault="00D7721B">
      <w:pPr>
        <w:tabs>
          <w:tab w:val="left" w:pos="1440"/>
        </w:tabs>
        <w:autoSpaceDE w:val="0"/>
        <w:snapToGrid w:val="0"/>
        <w:spacing w:before="120" w:after="120" w:line="276" w:lineRule="auto"/>
        <w:jc w:val="both"/>
        <w:rPr>
          <w:rFonts w:ascii="Bookman Old Style" w:hAnsi="Bookman Old Style" w:cs="Arial"/>
          <w:b/>
          <w:sz w:val="18"/>
          <w:szCs w:val="18"/>
        </w:rPr>
      </w:pPr>
    </w:p>
    <w:p w14:paraId="279F4726" w14:textId="77777777" w:rsidR="00D7721B" w:rsidRDefault="0039180D">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color w:val="000000"/>
          <w:sz w:val="18"/>
          <w:szCs w:val="18"/>
        </w:rPr>
        <w:t>Qualificação Econômico-Financeira:</w:t>
      </w:r>
      <w:r>
        <w:rPr>
          <w:rFonts w:ascii="Bookman Old Style" w:hAnsi="Bookman Old Style" w:cs="Arial"/>
          <w:b/>
          <w:bCs/>
          <w:iCs/>
          <w:color w:val="000000"/>
          <w:sz w:val="18"/>
          <w:szCs w:val="18"/>
        </w:rPr>
        <w:t xml:space="preserve"> </w:t>
      </w:r>
    </w:p>
    <w:p w14:paraId="2479543F" w14:textId="77777777" w:rsidR="00D7721B" w:rsidRDefault="0039180D">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lastRenderedPageBreak/>
        <w:t>Certidão negativa de falência expedida pelo distribuidor da sede do fornecedor;</w:t>
      </w:r>
    </w:p>
    <w:p w14:paraId="5DA1CDC0" w14:textId="77777777" w:rsidR="00D7721B" w:rsidRDefault="00D7721B">
      <w:pPr>
        <w:pStyle w:val="PargrafodaLista"/>
        <w:tabs>
          <w:tab w:val="left" w:pos="1440"/>
        </w:tabs>
        <w:autoSpaceDE w:val="0"/>
        <w:snapToGrid w:val="0"/>
        <w:spacing w:before="120" w:after="120" w:line="276" w:lineRule="auto"/>
        <w:ind w:left="927"/>
        <w:jc w:val="both"/>
        <w:rPr>
          <w:rFonts w:ascii="Bookman Old Style" w:hAnsi="Bookman Old Style" w:cs="Arial"/>
          <w:color w:val="000000"/>
          <w:sz w:val="18"/>
          <w:szCs w:val="18"/>
        </w:rPr>
      </w:pPr>
    </w:p>
    <w:p w14:paraId="235F28ED" w14:textId="77777777" w:rsidR="00D7721B" w:rsidRDefault="0039180D">
      <w:pPr>
        <w:pStyle w:val="PADRO"/>
        <w:keepNext w:val="0"/>
        <w:widowControl/>
        <w:numPr>
          <w:ilvl w:val="0"/>
          <w:numId w:val="16"/>
        </w:numPr>
        <w:spacing w:before="120" w:after="120"/>
        <w:rPr>
          <w:rFonts w:ascii="Bookman Old Style" w:hAnsi="Bookman Old Style" w:cs="Arial"/>
          <w:b/>
          <w:sz w:val="18"/>
          <w:szCs w:val="18"/>
        </w:rPr>
      </w:pPr>
      <w:r>
        <w:rPr>
          <w:rFonts w:ascii="Bookman Old Style" w:hAnsi="Bookman Old Style" w:cs="Arial"/>
          <w:b/>
          <w:color w:val="000000"/>
          <w:sz w:val="18"/>
          <w:szCs w:val="18"/>
        </w:rPr>
        <w:t>Qualificação</w:t>
      </w:r>
      <w:r>
        <w:rPr>
          <w:rFonts w:ascii="Bookman Old Style" w:hAnsi="Bookman Old Style" w:cs="Arial"/>
          <w:b/>
          <w:sz w:val="18"/>
          <w:szCs w:val="18"/>
        </w:rPr>
        <w:t xml:space="preserve"> Técnica</w:t>
      </w:r>
    </w:p>
    <w:p w14:paraId="14B1CE56" w14:textId="77777777" w:rsidR="00D7721B" w:rsidRDefault="0039180D">
      <w:pPr>
        <w:pStyle w:val="PADRO"/>
        <w:keepNext w:val="0"/>
        <w:widowControl/>
        <w:numPr>
          <w:ilvl w:val="1"/>
          <w:numId w:val="1"/>
        </w:numPr>
        <w:spacing w:before="120" w:after="120"/>
        <w:rPr>
          <w:rFonts w:ascii="Bookman Old Style" w:hAnsi="Bookman Old Style" w:cs="Arial"/>
          <w:color w:val="000000"/>
          <w:sz w:val="18"/>
          <w:szCs w:val="18"/>
        </w:rPr>
      </w:pPr>
      <w:bookmarkStart w:id="4" w:name="_Hlk519176340"/>
      <w:r>
        <w:rPr>
          <w:rFonts w:ascii="Bookman Old Style" w:hAnsi="Bookman Old Style" w:cs="Arial"/>
          <w:color w:val="000000"/>
          <w:sz w:val="18"/>
          <w:szCs w:val="18"/>
        </w:rPr>
        <w:t xml:space="preserve">Certidões ou atestados que demonstrem capacidade operacional na execução de serviços similares de complexidade tecnológica e operacional equivalente ou superior ao objeto desta dispensa. </w:t>
      </w:r>
    </w:p>
    <w:p w14:paraId="0445829A" w14:textId="77777777" w:rsidR="00D7721B" w:rsidRDefault="00D7721B">
      <w:pPr>
        <w:pStyle w:val="PADRO"/>
        <w:keepNext w:val="0"/>
        <w:widowControl/>
        <w:spacing w:before="120" w:after="120"/>
        <w:rPr>
          <w:rFonts w:ascii="Bookman Old Style" w:hAnsi="Bookman Old Style" w:cs="Arial"/>
          <w:color w:val="000000"/>
          <w:sz w:val="18"/>
          <w:szCs w:val="18"/>
        </w:rPr>
      </w:pPr>
    </w:p>
    <w:p w14:paraId="79AFFAC0" w14:textId="77777777" w:rsidR="00D7721B" w:rsidRDefault="00D7721B">
      <w:pPr>
        <w:pStyle w:val="PADRO"/>
        <w:keepNext w:val="0"/>
        <w:widowControl/>
        <w:spacing w:before="120" w:after="120"/>
        <w:rPr>
          <w:rFonts w:ascii="Bookman Old Style" w:hAnsi="Bookman Old Style" w:cs="Arial"/>
          <w:color w:val="000000"/>
          <w:sz w:val="18"/>
          <w:szCs w:val="18"/>
        </w:rPr>
      </w:pPr>
    </w:p>
    <w:p w14:paraId="6F33896A" w14:textId="77777777" w:rsidR="00D7721B" w:rsidRDefault="00D7721B">
      <w:pPr>
        <w:pStyle w:val="PADRO"/>
        <w:keepNext w:val="0"/>
        <w:widowControl/>
        <w:spacing w:before="120" w:after="120"/>
        <w:rPr>
          <w:rFonts w:ascii="Bookman Old Style" w:hAnsi="Bookman Old Style" w:cs="Arial"/>
          <w:color w:val="000000"/>
          <w:sz w:val="18"/>
          <w:szCs w:val="18"/>
        </w:rPr>
      </w:pPr>
    </w:p>
    <w:p w14:paraId="272B967A" w14:textId="77777777" w:rsidR="00D7721B" w:rsidRDefault="00D7721B">
      <w:pPr>
        <w:pStyle w:val="PADRO"/>
        <w:keepNext w:val="0"/>
        <w:widowControl/>
        <w:spacing w:before="120" w:after="120"/>
        <w:rPr>
          <w:rFonts w:ascii="Bookman Old Style" w:hAnsi="Bookman Old Style" w:cs="Arial"/>
          <w:color w:val="000000"/>
          <w:sz w:val="18"/>
          <w:szCs w:val="18"/>
        </w:rPr>
      </w:pPr>
    </w:p>
    <w:p w14:paraId="4E38A09C" w14:textId="77777777" w:rsidR="00D7721B" w:rsidRDefault="00D7721B">
      <w:pPr>
        <w:pStyle w:val="PADRO"/>
        <w:keepNext w:val="0"/>
        <w:widowControl/>
        <w:spacing w:before="120" w:after="120"/>
        <w:rPr>
          <w:rFonts w:ascii="Bookman Old Style" w:hAnsi="Bookman Old Style" w:cs="Arial"/>
          <w:color w:val="000000"/>
          <w:sz w:val="18"/>
          <w:szCs w:val="18"/>
        </w:rPr>
      </w:pPr>
    </w:p>
    <w:p w14:paraId="6D7655CA" w14:textId="77777777" w:rsidR="00D7721B" w:rsidRDefault="00D7721B">
      <w:pPr>
        <w:pStyle w:val="PADRO"/>
        <w:keepNext w:val="0"/>
        <w:widowControl/>
        <w:spacing w:before="120" w:after="120"/>
        <w:rPr>
          <w:rFonts w:ascii="Bookman Old Style" w:hAnsi="Bookman Old Style" w:cs="Arial"/>
          <w:color w:val="000000"/>
          <w:sz w:val="18"/>
          <w:szCs w:val="18"/>
        </w:rPr>
      </w:pPr>
    </w:p>
    <w:p w14:paraId="6FC60D68" w14:textId="77777777" w:rsidR="00D7721B" w:rsidRDefault="00D7721B">
      <w:pPr>
        <w:pStyle w:val="PADRO"/>
        <w:keepNext w:val="0"/>
        <w:widowControl/>
        <w:spacing w:before="120" w:after="120"/>
        <w:rPr>
          <w:rFonts w:ascii="Bookman Old Style" w:hAnsi="Bookman Old Style" w:cs="Arial"/>
          <w:color w:val="000000"/>
          <w:sz w:val="18"/>
          <w:szCs w:val="18"/>
        </w:rPr>
      </w:pPr>
    </w:p>
    <w:p w14:paraId="1BFD45B2" w14:textId="77777777" w:rsidR="00D7721B" w:rsidRDefault="00D7721B">
      <w:pPr>
        <w:pStyle w:val="PADRO"/>
        <w:keepNext w:val="0"/>
        <w:widowControl/>
        <w:spacing w:before="120" w:after="120"/>
        <w:rPr>
          <w:rFonts w:ascii="Bookman Old Style" w:hAnsi="Bookman Old Style" w:cs="Arial"/>
          <w:color w:val="000000"/>
          <w:sz w:val="18"/>
          <w:szCs w:val="18"/>
        </w:rPr>
      </w:pPr>
    </w:p>
    <w:p w14:paraId="5E677B54" w14:textId="77777777" w:rsidR="00D7721B" w:rsidRDefault="00D7721B">
      <w:pPr>
        <w:pStyle w:val="PADRO"/>
        <w:keepNext w:val="0"/>
        <w:widowControl/>
        <w:spacing w:before="120" w:after="120"/>
        <w:rPr>
          <w:rFonts w:ascii="Bookman Old Style" w:hAnsi="Bookman Old Style" w:cs="Arial"/>
          <w:color w:val="000000"/>
          <w:sz w:val="18"/>
          <w:szCs w:val="18"/>
        </w:rPr>
      </w:pPr>
    </w:p>
    <w:p w14:paraId="42F33229" w14:textId="77777777" w:rsidR="00D7721B" w:rsidRDefault="00D7721B">
      <w:pPr>
        <w:pStyle w:val="PADRO"/>
        <w:keepNext w:val="0"/>
        <w:widowControl/>
        <w:spacing w:before="120" w:after="120"/>
        <w:rPr>
          <w:rFonts w:ascii="Bookman Old Style" w:hAnsi="Bookman Old Style" w:cs="Arial"/>
          <w:color w:val="000000"/>
          <w:sz w:val="18"/>
          <w:szCs w:val="18"/>
        </w:rPr>
      </w:pPr>
    </w:p>
    <w:p w14:paraId="06D83746" w14:textId="77777777" w:rsidR="00D7721B" w:rsidRDefault="00D7721B">
      <w:pPr>
        <w:pStyle w:val="PADRO"/>
        <w:keepNext w:val="0"/>
        <w:widowControl/>
        <w:spacing w:before="120" w:after="120"/>
        <w:rPr>
          <w:rFonts w:ascii="Bookman Old Style" w:hAnsi="Bookman Old Style" w:cs="Arial"/>
          <w:color w:val="000000"/>
          <w:sz w:val="18"/>
          <w:szCs w:val="18"/>
        </w:rPr>
      </w:pPr>
    </w:p>
    <w:p w14:paraId="2FCD2CE1" w14:textId="77777777" w:rsidR="00D7721B" w:rsidRDefault="00D7721B">
      <w:pPr>
        <w:pStyle w:val="PADRO"/>
        <w:keepNext w:val="0"/>
        <w:widowControl/>
        <w:spacing w:before="120" w:after="120"/>
        <w:rPr>
          <w:rFonts w:ascii="Bookman Old Style" w:hAnsi="Bookman Old Style" w:cs="Arial"/>
          <w:color w:val="000000"/>
          <w:sz w:val="18"/>
          <w:szCs w:val="18"/>
        </w:rPr>
      </w:pPr>
    </w:p>
    <w:p w14:paraId="6D3F9345" w14:textId="77777777" w:rsidR="00D7721B" w:rsidRDefault="00D7721B">
      <w:pPr>
        <w:pStyle w:val="PADRO"/>
        <w:keepNext w:val="0"/>
        <w:widowControl/>
        <w:spacing w:before="120" w:after="120"/>
        <w:rPr>
          <w:rFonts w:ascii="Bookman Old Style" w:hAnsi="Bookman Old Style" w:cs="Arial"/>
          <w:color w:val="000000"/>
          <w:sz w:val="18"/>
          <w:szCs w:val="18"/>
        </w:rPr>
      </w:pPr>
    </w:p>
    <w:p w14:paraId="3B01AE9C" w14:textId="77777777" w:rsidR="00D7721B" w:rsidRDefault="00D7721B">
      <w:pPr>
        <w:pStyle w:val="PADRO"/>
        <w:keepNext w:val="0"/>
        <w:widowControl/>
        <w:spacing w:before="120" w:after="120"/>
        <w:rPr>
          <w:rFonts w:ascii="Bookman Old Style" w:hAnsi="Bookman Old Style" w:cs="Arial"/>
          <w:color w:val="000000"/>
          <w:sz w:val="18"/>
          <w:szCs w:val="18"/>
        </w:rPr>
      </w:pPr>
    </w:p>
    <w:p w14:paraId="4A9469EB" w14:textId="77777777" w:rsidR="00D7721B" w:rsidRDefault="00D7721B">
      <w:pPr>
        <w:pStyle w:val="PADRO"/>
        <w:keepNext w:val="0"/>
        <w:widowControl/>
        <w:spacing w:before="120" w:after="120"/>
        <w:rPr>
          <w:rFonts w:ascii="Bookman Old Style" w:hAnsi="Bookman Old Style" w:cs="Arial"/>
          <w:color w:val="000000"/>
          <w:sz w:val="18"/>
          <w:szCs w:val="18"/>
        </w:rPr>
      </w:pPr>
    </w:p>
    <w:p w14:paraId="3AB02EA5" w14:textId="77777777" w:rsidR="00D7721B" w:rsidRDefault="00D7721B">
      <w:pPr>
        <w:pStyle w:val="PADRO"/>
        <w:keepNext w:val="0"/>
        <w:widowControl/>
        <w:spacing w:before="120" w:after="120"/>
        <w:rPr>
          <w:rFonts w:ascii="Bookman Old Style" w:hAnsi="Bookman Old Style" w:cs="Arial"/>
          <w:color w:val="000000"/>
          <w:sz w:val="18"/>
          <w:szCs w:val="18"/>
        </w:rPr>
      </w:pPr>
    </w:p>
    <w:p w14:paraId="13FA345B" w14:textId="77777777" w:rsidR="00D7721B" w:rsidRDefault="00D7721B">
      <w:pPr>
        <w:pStyle w:val="PADRO"/>
        <w:keepNext w:val="0"/>
        <w:widowControl/>
        <w:spacing w:before="120" w:after="120"/>
        <w:rPr>
          <w:rFonts w:ascii="Bookman Old Style" w:hAnsi="Bookman Old Style" w:cs="Arial"/>
          <w:color w:val="000000"/>
          <w:sz w:val="18"/>
          <w:szCs w:val="18"/>
        </w:rPr>
      </w:pPr>
    </w:p>
    <w:p w14:paraId="00B73452" w14:textId="77777777" w:rsidR="00D7721B" w:rsidRDefault="00D7721B">
      <w:pPr>
        <w:pStyle w:val="PADRO"/>
        <w:keepNext w:val="0"/>
        <w:widowControl/>
        <w:spacing w:before="120" w:after="120"/>
        <w:rPr>
          <w:rFonts w:ascii="Bookman Old Style" w:hAnsi="Bookman Old Style" w:cs="Arial"/>
          <w:color w:val="000000"/>
          <w:sz w:val="18"/>
          <w:szCs w:val="18"/>
        </w:rPr>
      </w:pPr>
    </w:p>
    <w:p w14:paraId="0F5ED62E" w14:textId="77777777" w:rsidR="00D7721B" w:rsidRDefault="00D7721B">
      <w:pPr>
        <w:pStyle w:val="PADRO"/>
        <w:keepNext w:val="0"/>
        <w:widowControl/>
        <w:spacing w:before="120" w:after="120"/>
        <w:rPr>
          <w:rFonts w:ascii="Bookman Old Style" w:hAnsi="Bookman Old Style" w:cs="Arial"/>
          <w:color w:val="000000"/>
          <w:sz w:val="18"/>
          <w:szCs w:val="18"/>
        </w:rPr>
      </w:pPr>
    </w:p>
    <w:p w14:paraId="444B5284" w14:textId="77777777" w:rsidR="00D7721B" w:rsidRDefault="00D7721B">
      <w:pPr>
        <w:pStyle w:val="PADRO"/>
        <w:keepNext w:val="0"/>
        <w:widowControl/>
        <w:spacing w:before="120" w:after="120"/>
        <w:rPr>
          <w:rFonts w:ascii="Bookman Old Style" w:hAnsi="Bookman Old Style" w:cs="Arial"/>
          <w:color w:val="000000"/>
          <w:sz w:val="18"/>
          <w:szCs w:val="18"/>
        </w:rPr>
      </w:pPr>
    </w:p>
    <w:p w14:paraId="18A972F3" w14:textId="77777777" w:rsidR="00D7721B" w:rsidRDefault="00D7721B">
      <w:pPr>
        <w:pStyle w:val="PADRO"/>
        <w:keepNext w:val="0"/>
        <w:widowControl/>
        <w:spacing w:before="120" w:after="120"/>
        <w:rPr>
          <w:rFonts w:ascii="Bookman Old Style" w:hAnsi="Bookman Old Style" w:cs="Arial"/>
          <w:color w:val="000000"/>
          <w:sz w:val="18"/>
          <w:szCs w:val="18"/>
        </w:rPr>
      </w:pPr>
    </w:p>
    <w:p w14:paraId="37ABA01B" w14:textId="77777777" w:rsidR="00D7721B" w:rsidRDefault="00D7721B">
      <w:pPr>
        <w:pStyle w:val="PADRO"/>
        <w:keepNext w:val="0"/>
        <w:widowControl/>
        <w:spacing w:before="120" w:after="120"/>
        <w:rPr>
          <w:rFonts w:ascii="Bookman Old Style" w:hAnsi="Bookman Old Style" w:cs="Arial"/>
          <w:color w:val="000000"/>
          <w:sz w:val="18"/>
          <w:szCs w:val="18"/>
        </w:rPr>
      </w:pPr>
    </w:p>
    <w:p w14:paraId="4E29FEC1" w14:textId="77777777" w:rsidR="00D7721B" w:rsidRDefault="00D7721B">
      <w:pPr>
        <w:pStyle w:val="PADRO"/>
        <w:keepNext w:val="0"/>
        <w:widowControl/>
        <w:spacing w:before="120" w:after="120"/>
        <w:rPr>
          <w:rFonts w:ascii="Bookman Old Style" w:hAnsi="Bookman Old Style" w:cs="Arial"/>
          <w:color w:val="000000"/>
          <w:sz w:val="18"/>
          <w:szCs w:val="18"/>
        </w:rPr>
      </w:pPr>
    </w:p>
    <w:p w14:paraId="3C1F0EE0" w14:textId="77777777" w:rsidR="00D7721B" w:rsidRDefault="00D7721B">
      <w:pPr>
        <w:pStyle w:val="PADRO"/>
        <w:keepNext w:val="0"/>
        <w:widowControl/>
        <w:spacing w:before="120" w:after="120"/>
        <w:rPr>
          <w:rFonts w:ascii="Bookman Old Style" w:hAnsi="Bookman Old Style" w:cs="Arial"/>
          <w:color w:val="000000"/>
          <w:sz w:val="18"/>
          <w:szCs w:val="18"/>
        </w:rPr>
      </w:pPr>
    </w:p>
    <w:p w14:paraId="0E8A7C46" w14:textId="77777777" w:rsidR="00D7721B" w:rsidRDefault="00D7721B">
      <w:pPr>
        <w:pStyle w:val="PADRO"/>
        <w:keepNext w:val="0"/>
        <w:widowControl/>
        <w:spacing w:before="120" w:after="120"/>
        <w:rPr>
          <w:rFonts w:ascii="Bookman Old Style" w:hAnsi="Bookman Old Style" w:cs="Arial"/>
          <w:color w:val="000000"/>
          <w:sz w:val="18"/>
          <w:szCs w:val="18"/>
        </w:rPr>
      </w:pPr>
    </w:p>
    <w:p w14:paraId="71CE352F" w14:textId="77777777" w:rsidR="00D7721B" w:rsidRDefault="00D7721B">
      <w:pPr>
        <w:pStyle w:val="PADRO"/>
        <w:keepNext w:val="0"/>
        <w:widowControl/>
        <w:spacing w:before="120" w:after="120"/>
        <w:rPr>
          <w:rFonts w:ascii="Bookman Old Style" w:hAnsi="Bookman Old Style" w:cs="Arial"/>
          <w:color w:val="000000"/>
          <w:sz w:val="18"/>
          <w:szCs w:val="18"/>
        </w:rPr>
      </w:pPr>
    </w:p>
    <w:p w14:paraId="0EDB4F47" w14:textId="77777777" w:rsidR="00D7721B" w:rsidRDefault="00D7721B">
      <w:pPr>
        <w:pStyle w:val="PADRO"/>
        <w:keepNext w:val="0"/>
        <w:widowControl/>
        <w:spacing w:before="120" w:after="120"/>
        <w:rPr>
          <w:rFonts w:ascii="Bookman Old Style" w:hAnsi="Bookman Old Style" w:cs="Arial"/>
          <w:color w:val="000000"/>
          <w:sz w:val="18"/>
          <w:szCs w:val="18"/>
        </w:rPr>
      </w:pPr>
    </w:p>
    <w:p w14:paraId="0E7D0C5F" w14:textId="77777777" w:rsidR="00D7721B" w:rsidRDefault="00D7721B">
      <w:pPr>
        <w:pStyle w:val="PADRO"/>
        <w:keepNext w:val="0"/>
        <w:widowControl/>
        <w:spacing w:before="120" w:after="120"/>
        <w:rPr>
          <w:rFonts w:ascii="Bookman Old Style" w:hAnsi="Bookman Old Style" w:cs="Arial"/>
          <w:color w:val="000000"/>
          <w:sz w:val="18"/>
          <w:szCs w:val="18"/>
        </w:rPr>
      </w:pPr>
    </w:p>
    <w:p w14:paraId="6E50471D" w14:textId="77777777" w:rsidR="00D7721B" w:rsidRDefault="00D7721B">
      <w:pPr>
        <w:pStyle w:val="PADRO"/>
        <w:keepNext w:val="0"/>
        <w:widowControl/>
        <w:spacing w:before="120" w:after="120"/>
        <w:rPr>
          <w:rFonts w:ascii="Bookman Old Style" w:hAnsi="Bookman Old Style" w:cs="Arial"/>
          <w:color w:val="000000"/>
          <w:sz w:val="18"/>
          <w:szCs w:val="18"/>
        </w:rPr>
      </w:pPr>
    </w:p>
    <w:p w14:paraId="18C522FE" w14:textId="77777777" w:rsidR="00D7721B" w:rsidRDefault="00D7721B">
      <w:pPr>
        <w:pStyle w:val="PADRO"/>
        <w:keepNext w:val="0"/>
        <w:widowControl/>
        <w:spacing w:before="120" w:after="120"/>
        <w:rPr>
          <w:rFonts w:ascii="Bookman Old Style" w:hAnsi="Bookman Old Style" w:cs="Arial"/>
          <w:color w:val="000000"/>
          <w:sz w:val="18"/>
          <w:szCs w:val="18"/>
        </w:rPr>
      </w:pPr>
    </w:p>
    <w:p w14:paraId="5DDC1CB3" w14:textId="77777777" w:rsidR="00D7721B" w:rsidRDefault="00D7721B">
      <w:pPr>
        <w:pStyle w:val="PADRO"/>
        <w:keepNext w:val="0"/>
        <w:widowControl/>
        <w:spacing w:before="120" w:after="120"/>
        <w:rPr>
          <w:rFonts w:ascii="Bookman Old Style" w:hAnsi="Bookman Old Style" w:cs="Arial"/>
          <w:color w:val="000000"/>
          <w:sz w:val="18"/>
          <w:szCs w:val="18"/>
        </w:rPr>
      </w:pPr>
    </w:p>
    <w:p w14:paraId="7404DE27" w14:textId="77777777" w:rsidR="00D7721B" w:rsidRDefault="00D7721B">
      <w:pPr>
        <w:spacing w:line="360" w:lineRule="auto"/>
        <w:contextualSpacing/>
        <w:rPr>
          <w:rFonts w:ascii="Bookman Old Style" w:hAnsi="Bookman Old Style" w:cs="Times New Roman"/>
          <w:b/>
          <w:color w:val="000000"/>
          <w:sz w:val="18"/>
          <w:szCs w:val="18"/>
          <w:u w:val="single"/>
        </w:rPr>
      </w:pPr>
    </w:p>
    <w:p w14:paraId="79CB6D82" w14:textId="77777777" w:rsidR="00D7721B" w:rsidRDefault="0039180D">
      <w:pPr>
        <w:shd w:val="clear" w:color="auto" w:fill="D9D9D9" w:themeFill="background1" w:themeFillShade="D9"/>
        <w:contextualSpacing/>
        <w:jc w:val="center"/>
        <w:rPr>
          <w:rFonts w:ascii="Bookman Old Style" w:hAnsi="Bookman Old Style" w:cs="Times New Roman"/>
          <w:b/>
          <w:color w:val="000000"/>
          <w:sz w:val="18"/>
          <w:szCs w:val="18"/>
        </w:rPr>
      </w:pPr>
      <w:r>
        <w:rPr>
          <w:rFonts w:ascii="Bookman Old Style" w:hAnsi="Bookman Old Style" w:cs="Times New Roman"/>
          <w:b/>
          <w:color w:val="000000"/>
          <w:sz w:val="18"/>
          <w:szCs w:val="18"/>
        </w:rPr>
        <w:t>ANEXO II – TERMO DE REFERÊNCIA</w:t>
      </w:r>
    </w:p>
    <w:p w14:paraId="0C35116F" w14:textId="77777777" w:rsidR="00D7721B" w:rsidRDefault="00D7721B">
      <w:pPr>
        <w:contextualSpacing/>
        <w:jc w:val="center"/>
        <w:rPr>
          <w:rFonts w:ascii="Bookman Old Style" w:hAnsi="Bookman Old Style"/>
          <w:sz w:val="18"/>
          <w:szCs w:val="18"/>
        </w:rPr>
      </w:pPr>
    </w:p>
    <w:p w14:paraId="6AEA96E1" w14:textId="10490CE4" w:rsidR="00D7721B" w:rsidRPr="00730352" w:rsidRDefault="0039180D">
      <w:pPr>
        <w:pStyle w:val="Default"/>
        <w:spacing w:after="200"/>
        <w:contextualSpacing/>
        <w:jc w:val="center"/>
        <w:rPr>
          <w:rFonts w:ascii="Bookman Old Style" w:hAnsi="Bookman Old Style" w:cs="Bookman Old Style"/>
          <w:b/>
          <w:bCs/>
          <w:sz w:val="18"/>
          <w:szCs w:val="18"/>
        </w:rPr>
      </w:pPr>
      <w:r w:rsidRPr="00730352">
        <w:rPr>
          <w:rFonts w:ascii="Bookman Old Style" w:hAnsi="Bookman Old Style" w:cs="Bookman Old Style"/>
          <w:b/>
          <w:bCs/>
          <w:sz w:val="18"/>
          <w:szCs w:val="18"/>
        </w:rPr>
        <w:t xml:space="preserve">DISPENSA ELETRÔNICA Nº </w:t>
      </w:r>
      <w:r w:rsidR="008335D8">
        <w:rPr>
          <w:rFonts w:ascii="Bookman Old Style" w:hAnsi="Bookman Old Style" w:cs="Bookman Old Style"/>
          <w:b/>
          <w:bCs/>
          <w:sz w:val="18"/>
          <w:szCs w:val="18"/>
        </w:rPr>
        <w:t>1</w:t>
      </w:r>
      <w:r w:rsidR="00D92A68">
        <w:rPr>
          <w:rFonts w:ascii="Bookman Old Style" w:hAnsi="Bookman Old Style" w:cs="Bookman Old Style"/>
          <w:b/>
          <w:bCs/>
          <w:sz w:val="18"/>
          <w:szCs w:val="18"/>
        </w:rPr>
        <w:t>7</w:t>
      </w:r>
      <w:r w:rsidRPr="00730352">
        <w:rPr>
          <w:rFonts w:ascii="Bookman Old Style" w:hAnsi="Bookman Old Style" w:cs="Bookman Old Style"/>
          <w:b/>
          <w:bCs/>
          <w:sz w:val="18"/>
          <w:szCs w:val="18"/>
        </w:rPr>
        <w:t>/2025</w:t>
      </w:r>
    </w:p>
    <w:p w14:paraId="684A751E" w14:textId="1D129F73" w:rsidR="00034CCE" w:rsidRDefault="0039180D" w:rsidP="005A756D">
      <w:pPr>
        <w:pStyle w:val="Default"/>
        <w:spacing w:after="200"/>
        <w:contextualSpacing/>
        <w:jc w:val="center"/>
        <w:rPr>
          <w:rFonts w:ascii="Bookman Old Style" w:hAnsi="Bookman Old Style" w:cs="Bookman Old Style"/>
          <w:b/>
          <w:bCs/>
          <w:sz w:val="18"/>
          <w:szCs w:val="18"/>
        </w:rPr>
      </w:pPr>
      <w:r w:rsidRPr="00730352">
        <w:rPr>
          <w:rFonts w:ascii="Bookman Old Style" w:hAnsi="Bookman Old Style" w:cs="Bookman Old Style"/>
          <w:b/>
          <w:bCs/>
          <w:sz w:val="18"/>
          <w:szCs w:val="18"/>
        </w:rPr>
        <w:t xml:space="preserve">PROCESSO </w:t>
      </w:r>
      <w:r w:rsidR="001104DF" w:rsidRPr="00730352">
        <w:rPr>
          <w:rFonts w:ascii="Bookman Old Style" w:hAnsi="Bookman Old Style" w:cs="Bookman Old Style"/>
          <w:b/>
          <w:bCs/>
          <w:sz w:val="18"/>
          <w:szCs w:val="18"/>
        </w:rPr>
        <w:t>LICITATORIO</w:t>
      </w:r>
      <w:r w:rsidRPr="00730352">
        <w:rPr>
          <w:rFonts w:ascii="Bookman Old Style" w:hAnsi="Bookman Old Style" w:cs="Bookman Old Style"/>
          <w:b/>
          <w:bCs/>
          <w:sz w:val="18"/>
          <w:szCs w:val="18"/>
        </w:rPr>
        <w:t xml:space="preserve"> N° </w:t>
      </w:r>
      <w:r w:rsidR="008335D8">
        <w:rPr>
          <w:rFonts w:ascii="Bookman Old Style" w:hAnsi="Bookman Old Style" w:cs="Bookman Old Style"/>
          <w:b/>
          <w:bCs/>
          <w:sz w:val="18"/>
          <w:szCs w:val="18"/>
        </w:rPr>
        <w:t>4</w:t>
      </w:r>
      <w:r w:rsidR="00D92A68">
        <w:rPr>
          <w:rFonts w:ascii="Bookman Old Style" w:hAnsi="Bookman Old Style" w:cs="Bookman Old Style"/>
          <w:b/>
          <w:bCs/>
          <w:sz w:val="18"/>
          <w:szCs w:val="18"/>
        </w:rPr>
        <w:t>9</w:t>
      </w:r>
      <w:r w:rsidRPr="00730352">
        <w:rPr>
          <w:rFonts w:ascii="Bookman Old Style" w:hAnsi="Bookman Old Style" w:cs="Bookman Old Style"/>
          <w:b/>
          <w:bCs/>
          <w:sz w:val="18"/>
          <w:szCs w:val="18"/>
        </w:rPr>
        <w:t>/2025</w:t>
      </w:r>
      <w:bookmarkEnd w:id="4"/>
    </w:p>
    <w:p w14:paraId="593577AA" w14:textId="77777777" w:rsidR="00B956AB" w:rsidRDefault="00B956AB" w:rsidP="005A756D">
      <w:pPr>
        <w:pStyle w:val="Default"/>
        <w:spacing w:after="200"/>
        <w:contextualSpacing/>
        <w:jc w:val="center"/>
        <w:rPr>
          <w:rFonts w:ascii="Bookman Old Style" w:hAnsi="Bookman Old Style" w:cs="Bookman Old Style"/>
          <w:b/>
          <w:bCs/>
          <w:sz w:val="18"/>
          <w:szCs w:val="18"/>
        </w:rPr>
      </w:pPr>
    </w:p>
    <w:p w14:paraId="598318EC" w14:textId="77777777" w:rsidR="00B956AB" w:rsidRDefault="00B956AB" w:rsidP="005A756D">
      <w:pPr>
        <w:pStyle w:val="Default"/>
        <w:spacing w:after="200"/>
        <w:contextualSpacing/>
        <w:jc w:val="center"/>
        <w:rPr>
          <w:rFonts w:ascii="Bookman Old Style" w:hAnsi="Bookman Old Style" w:cs="Bookman Old Style"/>
          <w:b/>
          <w:bCs/>
          <w:sz w:val="18"/>
          <w:szCs w:val="18"/>
        </w:rPr>
      </w:pPr>
    </w:p>
    <w:p w14:paraId="4E4447D5" w14:textId="77777777" w:rsidR="00B956AB" w:rsidRPr="003C2246" w:rsidRDefault="00B956AB" w:rsidP="00B956AB">
      <w:pPr>
        <w:tabs>
          <w:tab w:val="left" w:pos="413"/>
          <w:tab w:val="left" w:pos="9072"/>
        </w:tabs>
        <w:spacing w:line="360" w:lineRule="auto"/>
        <w:jc w:val="center"/>
        <w:rPr>
          <w:rFonts w:eastAsia="Arial"/>
          <w:b/>
          <w:color w:val="000000"/>
          <w:u w:val="single"/>
        </w:rPr>
      </w:pPr>
      <w:r w:rsidRPr="003C2246">
        <w:rPr>
          <w:rFonts w:eastAsia="Arial"/>
          <w:b/>
          <w:color w:val="000000"/>
          <w:u w:val="single"/>
        </w:rPr>
        <w:t xml:space="preserve">TERMO DE REFERÊNCIA - SERVIÇOS SEM DEDICAÇÃO EXCLUSIVA DE MÃO-DE-OBRA – </w:t>
      </w:r>
      <w:bookmarkStart w:id="5" w:name="_Hlk125536380"/>
      <w:r w:rsidRPr="003C2246">
        <w:rPr>
          <w:rFonts w:eastAsia="Arial"/>
          <w:b/>
          <w:color w:val="000000"/>
          <w:u w:val="single"/>
        </w:rPr>
        <w:t>LEI Nº 14.133, DE 1º DE ABRIL DE 2021</w:t>
      </w:r>
    </w:p>
    <w:bookmarkEnd w:id="5"/>
    <w:p w14:paraId="2C84928B" w14:textId="77777777" w:rsidR="00B956AB" w:rsidRPr="002A066C" w:rsidRDefault="00B956AB" w:rsidP="00B956AB">
      <w:pPr>
        <w:tabs>
          <w:tab w:val="left" w:pos="413"/>
          <w:tab w:val="left" w:pos="9072"/>
        </w:tabs>
        <w:spacing w:line="360" w:lineRule="auto"/>
        <w:jc w:val="center"/>
        <w:rPr>
          <w:rFonts w:ascii="Times New Roman" w:hAnsi="Times New Roman" w:cs="Times New Roman"/>
          <w:b/>
          <w:color w:val="000000"/>
          <w:u w:val="single"/>
        </w:rPr>
      </w:pPr>
    </w:p>
    <w:p w14:paraId="74F6A201" w14:textId="77777777" w:rsidR="00B956AB" w:rsidRPr="00501ADD"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CONDIÇÕES GERAIS DA CONTRATAÇÃO</w:t>
      </w:r>
    </w:p>
    <w:p w14:paraId="34B1F374" w14:textId="77777777" w:rsidR="00B956AB" w:rsidRPr="001E5F14"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sidRPr="00D71C14">
        <w:rPr>
          <w:rFonts w:eastAsia="Arial"/>
        </w:rPr>
        <w:t>Contratação de serviços</w:t>
      </w:r>
      <w:r>
        <w:rPr>
          <w:rFonts w:eastAsia="Arial"/>
        </w:rPr>
        <w:t xml:space="preserve"> de </w:t>
      </w:r>
      <w:r w:rsidRPr="00D71C14">
        <w:rPr>
          <w:rFonts w:eastAsia="Arial"/>
        </w:rPr>
        <w:t>manutenção</w:t>
      </w:r>
      <w:r>
        <w:rPr>
          <w:rFonts w:eastAsia="Arial"/>
        </w:rPr>
        <w:t xml:space="preserve"> preventiva e corretiva em aparelho ar condicionado,</w:t>
      </w:r>
      <w:r w:rsidRPr="00D71C14">
        <w:rPr>
          <w:rFonts w:eastAsia="Arial"/>
        </w:rPr>
        <w:t xml:space="preserve"> </w:t>
      </w:r>
      <w:r>
        <w:rPr>
          <w:rFonts w:eastAsia="Arial"/>
        </w:rPr>
        <w:t>i</w:t>
      </w:r>
      <w:r w:rsidRPr="00D71C14">
        <w:rPr>
          <w:rFonts w:eastAsia="Arial"/>
        </w:rPr>
        <w:t>nstalação</w:t>
      </w:r>
      <w:r>
        <w:rPr>
          <w:rFonts w:eastAsia="Arial"/>
        </w:rPr>
        <w:t xml:space="preserve">/desinstalação </w:t>
      </w:r>
      <w:r w:rsidRPr="00D71C14">
        <w:rPr>
          <w:rFonts w:eastAsia="Arial"/>
        </w:rPr>
        <w:t xml:space="preserve">e carga de gás em </w:t>
      </w:r>
      <w:r>
        <w:rPr>
          <w:rFonts w:eastAsia="Arial"/>
        </w:rPr>
        <w:t>aparelhos de ar condicionado, bem como manutenção em geladeiras e bebedouros</w:t>
      </w:r>
      <w:r w:rsidRPr="00D71C14">
        <w:rPr>
          <w:rFonts w:eastAsia="Arial"/>
        </w:rPr>
        <w:t xml:space="preserve">, </w:t>
      </w:r>
      <w:r>
        <w:rPr>
          <w:rFonts w:eastAsia="Arial"/>
          <w:color w:val="000000"/>
        </w:rPr>
        <w:t>nos termos da tabela abaixo, conforme condições e exigências estabelecidas neste instrumento.</w:t>
      </w: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19"/>
        <w:gridCol w:w="3260"/>
        <w:gridCol w:w="1417"/>
        <w:gridCol w:w="1134"/>
      </w:tblGrid>
      <w:tr w:rsidR="00B956AB" w14:paraId="2120068F" w14:textId="77777777" w:rsidTr="00B956AB">
        <w:tc>
          <w:tcPr>
            <w:tcW w:w="709" w:type="dxa"/>
            <w:tcBorders>
              <w:top w:val="single" w:sz="4" w:space="0" w:color="000000"/>
              <w:left w:val="single" w:sz="4" w:space="0" w:color="000000"/>
              <w:bottom w:val="single" w:sz="4" w:space="0" w:color="000000"/>
              <w:right w:val="single" w:sz="4" w:space="0" w:color="000000"/>
            </w:tcBorders>
          </w:tcPr>
          <w:p w14:paraId="29D582FB" w14:textId="77777777" w:rsidR="00B956AB" w:rsidRDefault="00B956AB" w:rsidP="00D85A5F">
            <w:pPr>
              <w:widowControl w:val="0"/>
              <w:spacing w:before="120" w:after="288" w:line="312" w:lineRule="auto"/>
              <w:jc w:val="center"/>
              <w:rPr>
                <w:rFonts w:eastAsia="Arial"/>
                <w:b/>
                <w:color w:val="000000"/>
              </w:rPr>
            </w:pPr>
            <w:r>
              <w:rPr>
                <w:rFonts w:eastAsia="Arial"/>
                <w:b/>
                <w:color w:val="000000"/>
              </w:rPr>
              <w:t>ITEM</w:t>
            </w:r>
          </w:p>
          <w:p w14:paraId="7F0EA8DA" w14:textId="77777777" w:rsidR="00B956AB" w:rsidRDefault="00B956AB" w:rsidP="00D85A5F">
            <w:pPr>
              <w:widowControl w:val="0"/>
              <w:spacing w:before="120" w:after="288" w:line="312" w:lineRule="auto"/>
              <w:ind w:firstLine="709"/>
              <w:jc w:val="center"/>
              <w:rPr>
                <w:rFonts w:eastAsia="Arial"/>
                <w:b/>
                <w:color w:val="000000"/>
              </w:rPr>
            </w:pPr>
          </w:p>
        </w:tc>
        <w:tc>
          <w:tcPr>
            <w:tcW w:w="3119" w:type="dxa"/>
            <w:tcBorders>
              <w:top w:val="single" w:sz="4" w:space="0" w:color="000000"/>
              <w:left w:val="single" w:sz="4" w:space="0" w:color="000000"/>
              <w:bottom w:val="single" w:sz="4" w:space="0" w:color="000000"/>
              <w:right w:val="single" w:sz="4" w:space="0" w:color="000000"/>
            </w:tcBorders>
          </w:tcPr>
          <w:p w14:paraId="7070B2F2" w14:textId="77777777" w:rsidR="00B956AB" w:rsidRDefault="00B956AB" w:rsidP="00D85A5F">
            <w:pPr>
              <w:widowControl w:val="0"/>
              <w:spacing w:before="120" w:after="288" w:line="312" w:lineRule="auto"/>
              <w:jc w:val="center"/>
              <w:rPr>
                <w:rFonts w:eastAsia="Arial"/>
                <w:color w:val="000000"/>
              </w:rPr>
            </w:pPr>
            <w:r>
              <w:rPr>
                <w:rFonts w:eastAsia="Arial"/>
                <w:b/>
                <w:color w:val="000000"/>
              </w:rPr>
              <w:t>ESPECIFICAÇÃO*</w:t>
            </w:r>
          </w:p>
        </w:tc>
        <w:tc>
          <w:tcPr>
            <w:tcW w:w="3260" w:type="dxa"/>
            <w:tcBorders>
              <w:top w:val="single" w:sz="4" w:space="0" w:color="000000"/>
              <w:left w:val="single" w:sz="4" w:space="0" w:color="000000"/>
              <w:bottom w:val="single" w:sz="4" w:space="0" w:color="000000"/>
              <w:right w:val="single" w:sz="4" w:space="0" w:color="000000"/>
            </w:tcBorders>
          </w:tcPr>
          <w:p w14:paraId="2E8DE294" w14:textId="77777777" w:rsidR="00B956AB" w:rsidRDefault="00B956AB" w:rsidP="00D85A5F">
            <w:pPr>
              <w:widowControl w:val="0"/>
              <w:spacing w:before="120" w:after="288" w:line="312" w:lineRule="auto"/>
              <w:jc w:val="center"/>
              <w:rPr>
                <w:rFonts w:eastAsia="Arial"/>
                <w:color w:val="000000"/>
              </w:rPr>
            </w:pPr>
            <w:r>
              <w:rPr>
                <w:rFonts w:eastAsia="Arial"/>
                <w:b/>
                <w:color w:val="000000"/>
              </w:rPr>
              <w:t>CATSER</w:t>
            </w:r>
          </w:p>
        </w:tc>
        <w:tc>
          <w:tcPr>
            <w:tcW w:w="1417" w:type="dxa"/>
            <w:tcBorders>
              <w:top w:val="single" w:sz="4" w:space="0" w:color="000000"/>
              <w:left w:val="single" w:sz="4" w:space="0" w:color="000000"/>
              <w:bottom w:val="single" w:sz="4" w:space="0" w:color="000000"/>
              <w:right w:val="single" w:sz="4" w:space="0" w:color="000000"/>
            </w:tcBorders>
          </w:tcPr>
          <w:p w14:paraId="143A1A90" w14:textId="77777777" w:rsidR="00B956AB" w:rsidRDefault="00B956AB" w:rsidP="00D85A5F">
            <w:pPr>
              <w:widowControl w:val="0"/>
              <w:spacing w:before="120" w:after="288" w:line="312" w:lineRule="auto"/>
              <w:jc w:val="center"/>
              <w:rPr>
                <w:rFonts w:eastAsia="Arial"/>
                <w:color w:val="000000"/>
              </w:rPr>
            </w:pPr>
            <w:r>
              <w:rPr>
                <w:rFonts w:eastAsia="Arial"/>
                <w:b/>
                <w:color w:val="000000"/>
              </w:rPr>
              <w:t>UNIDADE DE MEDIDA</w:t>
            </w:r>
          </w:p>
        </w:tc>
        <w:tc>
          <w:tcPr>
            <w:tcW w:w="1134" w:type="dxa"/>
            <w:tcBorders>
              <w:top w:val="single" w:sz="4" w:space="0" w:color="000000"/>
              <w:left w:val="single" w:sz="4" w:space="0" w:color="000000"/>
              <w:bottom w:val="single" w:sz="4" w:space="0" w:color="000000"/>
              <w:right w:val="single" w:sz="4" w:space="0" w:color="000000"/>
            </w:tcBorders>
          </w:tcPr>
          <w:p w14:paraId="1419D524" w14:textId="75BE9441" w:rsidR="00B956AB" w:rsidRDefault="00B956AB" w:rsidP="00D85A5F">
            <w:pPr>
              <w:widowControl w:val="0"/>
              <w:spacing w:before="120" w:after="288" w:line="312" w:lineRule="auto"/>
              <w:jc w:val="center"/>
              <w:rPr>
                <w:rFonts w:eastAsia="Arial"/>
                <w:b/>
              </w:rPr>
            </w:pPr>
            <w:r>
              <w:rPr>
                <w:rFonts w:eastAsia="Arial"/>
                <w:b/>
              </w:rPr>
              <w:t>QUANT</w:t>
            </w:r>
            <w:r>
              <w:rPr>
                <w:rFonts w:eastAsia="Arial"/>
                <w:b/>
              </w:rPr>
              <w:t>.</w:t>
            </w:r>
          </w:p>
        </w:tc>
      </w:tr>
      <w:tr w:rsidR="00B956AB" w14:paraId="46BC3C59" w14:textId="77777777" w:rsidTr="00B956AB">
        <w:tc>
          <w:tcPr>
            <w:tcW w:w="709" w:type="dxa"/>
            <w:tcBorders>
              <w:top w:val="single" w:sz="4" w:space="0" w:color="000000"/>
              <w:left w:val="single" w:sz="4" w:space="0" w:color="000000"/>
              <w:bottom w:val="single" w:sz="4" w:space="0" w:color="000000"/>
              <w:right w:val="single" w:sz="4" w:space="0" w:color="000000"/>
            </w:tcBorders>
          </w:tcPr>
          <w:p w14:paraId="64A8544B" w14:textId="77777777" w:rsidR="00B956AB" w:rsidRDefault="00B956AB" w:rsidP="00D85A5F">
            <w:pPr>
              <w:widowControl w:val="0"/>
              <w:spacing w:before="120" w:after="288" w:line="312" w:lineRule="auto"/>
              <w:jc w:val="center"/>
              <w:rPr>
                <w:rFonts w:eastAsia="Arial"/>
                <w:b/>
                <w:color w:val="000000"/>
              </w:rPr>
            </w:pPr>
            <w:r>
              <w:rPr>
                <w:rFonts w:eastAsia="Arial"/>
                <w:b/>
                <w:color w:val="000000"/>
              </w:rPr>
              <w:t>1</w:t>
            </w:r>
          </w:p>
        </w:tc>
        <w:tc>
          <w:tcPr>
            <w:tcW w:w="3119" w:type="dxa"/>
            <w:tcBorders>
              <w:top w:val="single" w:sz="4" w:space="0" w:color="000000"/>
              <w:left w:val="single" w:sz="4" w:space="0" w:color="000000"/>
              <w:bottom w:val="single" w:sz="4" w:space="0" w:color="000000"/>
              <w:right w:val="single" w:sz="4" w:space="0" w:color="000000"/>
            </w:tcBorders>
          </w:tcPr>
          <w:p w14:paraId="28B6B1DD" w14:textId="77777777" w:rsidR="00B956AB" w:rsidRPr="000B2705" w:rsidRDefault="00B956AB" w:rsidP="00D85A5F">
            <w:pPr>
              <w:widowControl w:val="0"/>
              <w:spacing w:before="120" w:after="288" w:line="312" w:lineRule="auto"/>
              <w:jc w:val="both"/>
              <w:rPr>
                <w:rFonts w:eastAsia="Arial"/>
                <w:color w:val="000000"/>
              </w:rPr>
            </w:pPr>
            <w:r w:rsidRPr="000B2705">
              <w:rPr>
                <w:szCs w:val="22"/>
              </w:rPr>
              <w:t>Manutenção preventiva e corretiva dos aparelhos</w:t>
            </w:r>
            <w:r>
              <w:rPr>
                <w:szCs w:val="22"/>
              </w:rPr>
              <w:t xml:space="preserve"> de</w:t>
            </w:r>
            <w:r w:rsidRPr="000B2705">
              <w:rPr>
                <w:szCs w:val="22"/>
              </w:rPr>
              <w:t xml:space="preserve"> ar condicionado, bebedouros e geladeiras, instalação e desinstalação, carga de gás refrigerante 410, R32, R22, R600, gás de limpeza e higienização dos aparelhos de ar condicionado</w:t>
            </w:r>
            <w:r>
              <w:rPr>
                <w:szCs w:val="22"/>
              </w:rPr>
              <w:t>, bem como demais aparelhos de refrigeração</w:t>
            </w:r>
            <w:r w:rsidRPr="000B2705">
              <w:rPr>
                <w:szCs w:val="22"/>
              </w:rPr>
              <w:t xml:space="preserve"> da Secretaria de Saúde</w:t>
            </w:r>
            <w:r>
              <w:rPr>
                <w:szCs w:val="22"/>
              </w:rPr>
              <w:t>. Quantidade aproximada de aparelhos: 44 aparelhos de ar condicionado; 9 bebedouros; e 16 geladeiras, aproximadamente.</w:t>
            </w:r>
          </w:p>
        </w:tc>
        <w:tc>
          <w:tcPr>
            <w:tcW w:w="3260" w:type="dxa"/>
            <w:tcBorders>
              <w:top w:val="single" w:sz="4" w:space="0" w:color="000000"/>
              <w:left w:val="single" w:sz="4" w:space="0" w:color="000000"/>
              <w:bottom w:val="single" w:sz="4" w:space="0" w:color="000000"/>
              <w:right w:val="single" w:sz="4" w:space="0" w:color="000000"/>
            </w:tcBorders>
            <w:vAlign w:val="center"/>
          </w:tcPr>
          <w:p w14:paraId="03D2455A" w14:textId="77777777" w:rsidR="00B956AB" w:rsidRDefault="00B956AB" w:rsidP="00D85A5F">
            <w:pPr>
              <w:widowControl w:val="0"/>
              <w:spacing w:before="120" w:after="288" w:line="312" w:lineRule="auto"/>
              <w:rPr>
                <w:rFonts w:eastAsia="Arial"/>
                <w:color w:val="000000"/>
              </w:rPr>
            </w:pPr>
            <w:r>
              <w:rPr>
                <w:rFonts w:eastAsia="Arial"/>
                <w:color w:val="000000"/>
              </w:rPr>
              <w:t>Manutenção preventiva e corretiva em aparelhos de refrigeração</w:t>
            </w:r>
          </w:p>
        </w:tc>
        <w:tc>
          <w:tcPr>
            <w:tcW w:w="1417" w:type="dxa"/>
            <w:tcBorders>
              <w:top w:val="single" w:sz="4" w:space="0" w:color="000000"/>
              <w:left w:val="single" w:sz="4" w:space="0" w:color="000000"/>
              <w:bottom w:val="single" w:sz="4" w:space="0" w:color="000000"/>
              <w:right w:val="single" w:sz="4" w:space="0" w:color="000000"/>
            </w:tcBorders>
            <w:vAlign w:val="center"/>
          </w:tcPr>
          <w:p w14:paraId="34BB4DE9" w14:textId="6774A445" w:rsidR="00B956AB" w:rsidRDefault="00910DD1" w:rsidP="00D85A5F">
            <w:pPr>
              <w:widowControl w:val="0"/>
              <w:spacing w:before="120" w:after="288" w:line="312" w:lineRule="auto"/>
              <w:rPr>
                <w:rFonts w:eastAsia="Arial"/>
                <w:color w:val="000000"/>
              </w:rPr>
            </w:pPr>
            <w:r>
              <w:rPr>
                <w:rFonts w:eastAsia="Arial"/>
                <w:color w:val="000000"/>
              </w:rPr>
              <w:t xml:space="preserve">        </w:t>
            </w:r>
            <w:r w:rsidR="00B956AB">
              <w:rPr>
                <w:rFonts w:eastAsia="Arial"/>
                <w:color w:val="000000"/>
              </w:rPr>
              <w:t>mês</w:t>
            </w:r>
          </w:p>
        </w:tc>
        <w:tc>
          <w:tcPr>
            <w:tcW w:w="1134" w:type="dxa"/>
            <w:tcBorders>
              <w:top w:val="single" w:sz="4" w:space="0" w:color="000000"/>
              <w:left w:val="single" w:sz="4" w:space="0" w:color="000000"/>
              <w:bottom w:val="single" w:sz="4" w:space="0" w:color="000000"/>
              <w:right w:val="single" w:sz="4" w:space="0" w:color="000000"/>
            </w:tcBorders>
            <w:vAlign w:val="center"/>
          </w:tcPr>
          <w:p w14:paraId="10A8B0AD" w14:textId="77777777" w:rsidR="00B956AB" w:rsidRDefault="00B956AB" w:rsidP="00D85A5F">
            <w:pPr>
              <w:widowControl w:val="0"/>
              <w:spacing w:before="120" w:after="288" w:line="312" w:lineRule="auto"/>
              <w:jc w:val="center"/>
              <w:rPr>
                <w:rFonts w:eastAsia="Arial"/>
                <w:color w:val="000000"/>
              </w:rPr>
            </w:pPr>
            <w:r>
              <w:rPr>
                <w:rFonts w:eastAsia="Arial"/>
                <w:color w:val="000000"/>
              </w:rPr>
              <w:t>12</w:t>
            </w:r>
          </w:p>
        </w:tc>
      </w:tr>
    </w:tbl>
    <w:p w14:paraId="3E6408D6" w14:textId="77777777" w:rsidR="00B956AB" w:rsidRPr="004434BE"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O(s) serviço(s)objeto desta contratação são caracterizados como comuns, conforme justificativa constante do Estudo Técnico Preliminar.</w:t>
      </w:r>
    </w:p>
    <w:p w14:paraId="1EB3BFCD"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pPr>
      <w:r w:rsidRPr="00D71C14">
        <w:rPr>
          <w:rFonts w:eastAsia="Arial"/>
          <w:i/>
        </w:rPr>
        <w:t>O prazo de vigência da contratação é de 12 meses contados da homologação do processo na forma do artigo 105 da Lei n° 14.133, de 2021.</w:t>
      </w:r>
    </w:p>
    <w:p w14:paraId="70D1EEF1"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lastRenderedPageBreak/>
        <w:t>O contrato oferece maior detalhamento das regras que serão aplicadas em relação à vigência da contratação.</w:t>
      </w:r>
    </w:p>
    <w:p w14:paraId="40C87ABA" w14:textId="77777777" w:rsidR="00B956AB" w:rsidRPr="004434BE"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FUNDAMENTAÇÃO E DESCRIÇÃO DA NECESSIDADE DA CONTRATAÇÃO</w:t>
      </w:r>
    </w:p>
    <w:p w14:paraId="6619100E"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rPr>
      </w:pPr>
      <w:r w:rsidRPr="008535EC">
        <w:rPr>
          <w:rFonts w:eastAsia="Arial"/>
        </w:rPr>
        <w:t>A Fundamentação da Contratação e de seus quantitativos encontra-se pormenorizada em Tópico específico dos Estudos Técnicos Preliminares, apêndice deste Termo de Referência.</w:t>
      </w:r>
    </w:p>
    <w:p w14:paraId="6A89C4CC" w14:textId="77777777" w:rsidR="00B956AB" w:rsidRPr="008535EC"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rPr>
      </w:pPr>
      <w:r>
        <w:rPr>
          <w:rFonts w:eastAsia="Arial"/>
          <w:color w:val="000000"/>
        </w:rPr>
        <w:t>O objeto desta contratação está descrito no item 1.1 deste Termo.</w:t>
      </w:r>
    </w:p>
    <w:p w14:paraId="424FAC89" w14:textId="77777777" w:rsidR="00B956AB" w:rsidRPr="008535EC"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DESCRIÇÃO DA SOLUÇÃO COMO UM TODO CONSIDERADO O CICLO DE VIDA DO OBJETO E ESPECIFICAÇÃO DO PRODUTO</w:t>
      </w:r>
    </w:p>
    <w:p w14:paraId="059AE93A"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i/>
          <w:iCs/>
        </w:rPr>
      </w:pPr>
      <w:r w:rsidRPr="00D71C14">
        <w:rPr>
          <w:rFonts w:eastAsia="Arial"/>
          <w:i/>
          <w:iCs/>
        </w:rPr>
        <w:t>A descrição da solução como um todo encontra-se pormenorizada em tópico específico dos Estudos Técnicos Preliminares, apêndice deste Termo de Referência.</w:t>
      </w:r>
    </w:p>
    <w:p w14:paraId="22F2074D" w14:textId="77777777" w:rsidR="00B956AB" w:rsidRPr="00D71C14"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REQUISITOS DA CONTRATAÇÃO</w:t>
      </w:r>
    </w:p>
    <w:p w14:paraId="3A0ED569" w14:textId="77777777" w:rsidR="00B956AB" w:rsidRPr="00960CC8" w:rsidRDefault="00B956AB" w:rsidP="00B956AB">
      <w:pPr>
        <w:pStyle w:val="PargrafodaLista"/>
        <w:keepNext/>
        <w:keepLines/>
        <w:pBdr>
          <w:top w:val="nil"/>
          <w:left w:val="nil"/>
          <w:bottom w:val="nil"/>
          <w:right w:val="nil"/>
          <w:between w:val="nil"/>
        </w:pBdr>
        <w:tabs>
          <w:tab w:val="left" w:pos="567"/>
        </w:tabs>
        <w:spacing w:before="120" w:after="288" w:line="312" w:lineRule="auto"/>
        <w:ind w:left="360"/>
        <w:jc w:val="both"/>
        <w:rPr>
          <w:rFonts w:eastAsia="Arial"/>
          <w:b/>
          <w:color w:val="000000"/>
        </w:rPr>
      </w:pPr>
      <w:r w:rsidRPr="00960CC8">
        <w:rPr>
          <w:rFonts w:eastAsia="Arial"/>
          <w:b/>
          <w:color w:val="000000"/>
        </w:rPr>
        <w:t>Subcontratação</w:t>
      </w:r>
    </w:p>
    <w:p w14:paraId="661DFF13" w14:textId="77777777" w:rsidR="00B956AB" w:rsidRPr="00D71C14" w:rsidRDefault="00B956AB" w:rsidP="00B956AB">
      <w:pPr>
        <w:numPr>
          <w:ilvl w:val="1"/>
          <w:numId w:val="41"/>
        </w:numPr>
        <w:pBdr>
          <w:top w:val="nil"/>
          <w:left w:val="nil"/>
          <w:bottom w:val="nil"/>
          <w:right w:val="nil"/>
          <w:between w:val="nil"/>
        </w:pBdr>
        <w:spacing w:before="120" w:after="288" w:line="312" w:lineRule="auto"/>
        <w:ind w:firstLine="702"/>
        <w:jc w:val="both"/>
        <w:rPr>
          <w:rFonts w:eastAsia="Arial"/>
        </w:rPr>
      </w:pPr>
      <w:r w:rsidRPr="00D71C14">
        <w:rPr>
          <w:rFonts w:eastAsia="Arial"/>
          <w:i/>
        </w:rPr>
        <w:t>Não é admitida a subcontratação do objeto contratual.</w:t>
      </w:r>
    </w:p>
    <w:p w14:paraId="27CF6541" w14:textId="77777777" w:rsidR="00B956AB" w:rsidRDefault="00B956AB" w:rsidP="00B956AB">
      <w:pPr>
        <w:keepNext/>
        <w:keepLines/>
        <w:pBdr>
          <w:top w:val="nil"/>
          <w:left w:val="nil"/>
          <w:bottom w:val="nil"/>
          <w:right w:val="nil"/>
          <w:between w:val="nil"/>
        </w:pBdr>
        <w:tabs>
          <w:tab w:val="left" w:pos="567"/>
        </w:tabs>
        <w:spacing w:before="120" w:after="288" w:line="312" w:lineRule="auto"/>
        <w:ind w:left="170" w:firstLine="256"/>
        <w:jc w:val="both"/>
        <w:rPr>
          <w:rFonts w:eastAsia="Arial"/>
          <w:b/>
          <w:color w:val="000000"/>
        </w:rPr>
      </w:pPr>
      <w:r>
        <w:rPr>
          <w:rFonts w:eastAsia="Arial"/>
          <w:b/>
          <w:color w:val="000000"/>
        </w:rPr>
        <w:t>Garantia da contratação</w:t>
      </w:r>
    </w:p>
    <w:p w14:paraId="5A6C30EC"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pPr>
      <w:r w:rsidRPr="00D71C14">
        <w:rPr>
          <w:rFonts w:eastAsia="Arial"/>
          <w:i/>
        </w:rPr>
        <w:t xml:space="preserve">Não haverá exigência da garantia da contratação dos </w:t>
      </w:r>
      <w:hyperlink r:id="rId12" w:anchor="art96">
        <w:r w:rsidRPr="00D71C14">
          <w:rPr>
            <w:rFonts w:eastAsia="Arial"/>
            <w:i/>
            <w:u w:val="single"/>
          </w:rPr>
          <w:t>artigos 96 e seguintes da Lei nº 14.133, de 2021</w:t>
        </w:r>
      </w:hyperlink>
      <w:r w:rsidRPr="00D71C14">
        <w:rPr>
          <w:rFonts w:eastAsia="Arial"/>
          <w:i/>
        </w:rPr>
        <w:t>, pelas razões constantes do Estudo Técnico Preliminar.</w:t>
      </w:r>
    </w:p>
    <w:p w14:paraId="039DC46D"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Pr>
          <w:rFonts w:eastAsia="Arial"/>
          <w:b/>
          <w:color w:val="000000"/>
        </w:rPr>
        <w:t>Vistoria</w:t>
      </w:r>
    </w:p>
    <w:p w14:paraId="56853248"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16:00 horas.  </w:t>
      </w:r>
    </w:p>
    <w:p w14:paraId="4EE6E632"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Serão disponibilizados data e horário diferentes aos interessados em realizar a vistoria prévia. </w:t>
      </w:r>
    </w:p>
    <w:p w14:paraId="0B19F78A"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Para a vistoria, o representante legal da empresa ou responsável técnico deverá estar devidamente identificado, apresentando documento de identidade civil e documento expedido pela empresa comprovando sua habilitação</w:t>
      </w:r>
      <w:r>
        <w:rPr>
          <w:rFonts w:eastAsia="Arial"/>
          <w:i/>
        </w:rPr>
        <w:t xml:space="preserve"> para a realização da vistoria.</w:t>
      </w:r>
    </w:p>
    <w:p w14:paraId="7E3A27C5"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814AB14" w14:textId="77777777" w:rsidR="00B956AB" w:rsidRDefault="00B956AB" w:rsidP="00B956AB">
      <w:pPr>
        <w:keepNext/>
        <w:keepLines/>
        <w:numPr>
          <w:ilvl w:val="0"/>
          <w:numId w:val="41"/>
        </w:numPr>
        <w:pBdr>
          <w:top w:val="nil"/>
          <w:left w:val="nil"/>
          <w:bottom w:val="nil"/>
          <w:right w:val="nil"/>
          <w:between w:val="nil"/>
        </w:pBdr>
        <w:tabs>
          <w:tab w:val="left" w:pos="567"/>
        </w:tabs>
        <w:spacing w:before="120" w:after="288" w:line="312" w:lineRule="auto"/>
        <w:jc w:val="both"/>
      </w:pPr>
      <w:r>
        <w:rPr>
          <w:rFonts w:eastAsia="Arial"/>
          <w:b/>
          <w:color w:val="000000"/>
        </w:rPr>
        <w:t>MODELO DE EXECUÇÃO DO OBJETO</w:t>
      </w:r>
    </w:p>
    <w:p w14:paraId="6BF3D124" w14:textId="77777777" w:rsidR="00B956AB" w:rsidRPr="00D71C14"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rPr>
      </w:pPr>
      <w:r w:rsidRPr="00D71C14">
        <w:rPr>
          <w:rFonts w:eastAsia="Arial"/>
          <w:b/>
        </w:rPr>
        <w:t>Condições de execução</w:t>
      </w:r>
    </w:p>
    <w:p w14:paraId="03AB38BC"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A execução do objeto seguirá a seguinte dinâmica:</w:t>
      </w:r>
    </w:p>
    <w:p w14:paraId="5AAC3214" w14:textId="77777777" w:rsidR="00B956AB" w:rsidRPr="00D71C14" w:rsidRDefault="00B956AB" w:rsidP="00B956AB">
      <w:pPr>
        <w:numPr>
          <w:ilvl w:val="2"/>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Início da execução do objeto: a partir da emissão da ordem de serviço;</w:t>
      </w:r>
    </w:p>
    <w:p w14:paraId="1B0A026F" w14:textId="77777777" w:rsidR="00B956AB" w:rsidRPr="00D71C14" w:rsidRDefault="00B956AB" w:rsidP="00B956AB">
      <w:pPr>
        <w:numPr>
          <w:ilvl w:val="2"/>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 xml:space="preserve">Local e horário da prestação de serviço: </w:t>
      </w:r>
      <w:r>
        <w:rPr>
          <w:rFonts w:eastAsia="Arial"/>
          <w:i/>
        </w:rPr>
        <w:t>os locais para prestação dos serviços</w:t>
      </w:r>
      <w:r w:rsidRPr="00D71C14">
        <w:rPr>
          <w:rFonts w:eastAsia="Arial"/>
          <w:i/>
        </w:rPr>
        <w:t xml:space="preserve"> </w:t>
      </w:r>
      <w:r>
        <w:rPr>
          <w:rFonts w:eastAsia="Arial"/>
          <w:i/>
        </w:rPr>
        <w:t xml:space="preserve">inclui todas as unidades de saúde vinculadas a rede pública de saúde do município de Maravilhas/MG. O horário para os serviços é de 07:00 às 11:00 </w:t>
      </w:r>
      <w:proofErr w:type="spellStart"/>
      <w:r>
        <w:rPr>
          <w:rFonts w:eastAsia="Arial"/>
          <w:i/>
        </w:rPr>
        <w:t>hs</w:t>
      </w:r>
      <w:proofErr w:type="spellEnd"/>
      <w:r>
        <w:rPr>
          <w:rFonts w:eastAsia="Arial"/>
          <w:i/>
        </w:rPr>
        <w:t xml:space="preserve">, e 13:00 às 16:00 </w:t>
      </w:r>
      <w:proofErr w:type="spellStart"/>
      <w:r>
        <w:rPr>
          <w:rFonts w:eastAsia="Arial"/>
          <w:i/>
        </w:rPr>
        <w:t>hs</w:t>
      </w:r>
      <w:proofErr w:type="spellEnd"/>
      <w:r>
        <w:rPr>
          <w:rFonts w:eastAsia="Arial"/>
          <w:i/>
        </w:rPr>
        <w:t xml:space="preserve">, podendo o serviço ser acionado a qualquer momento durante o horário de expediente. </w:t>
      </w:r>
    </w:p>
    <w:p w14:paraId="6A0C15A4"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Pr>
          <w:rFonts w:eastAsia="Arial"/>
          <w:b/>
          <w:color w:val="000000"/>
        </w:rPr>
        <w:t>Local da prestação dos serviços</w:t>
      </w:r>
    </w:p>
    <w:p w14:paraId="6CA7330E"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Pr>
          <w:rFonts w:eastAsia="Arial"/>
          <w:i/>
        </w:rPr>
        <w:t>Os serviços pod</w:t>
      </w:r>
      <w:r w:rsidRPr="00AB0D4B">
        <w:rPr>
          <w:rFonts w:eastAsia="Arial"/>
          <w:i/>
        </w:rPr>
        <w:t xml:space="preserve">erão </w:t>
      </w:r>
      <w:r>
        <w:rPr>
          <w:rFonts w:eastAsia="Arial"/>
          <w:i/>
        </w:rPr>
        <w:t xml:space="preserve">ser </w:t>
      </w:r>
      <w:r w:rsidRPr="00AB0D4B">
        <w:rPr>
          <w:rFonts w:eastAsia="Arial"/>
          <w:i/>
        </w:rPr>
        <w:t>prestados no</w:t>
      </w:r>
      <w:r>
        <w:rPr>
          <w:rFonts w:eastAsia="Arial"/>
          <w:i/>
        </w:rPr>
        <w:t>s</w:t>
      </w:r>
      <w:r w:rsidRPr="00AB0D4B">
        <w:rPr>
          <w:rFonts w:eastAsia="Arial"/>
          <w:i/>
        </w:rPr>
        <w:t xml:space="preserve"> seguinte</w:t>
      </w:r>
      <w:r>
        <w:rPr>
          <w:rFonts w:eastAsia="Arial"/>
          <w:i/>
        </w:rPr>
        <w:t>s</w:t>
      </w:r>
      <w:r w:rsidRPr="00AB0D4B">
        <w:rPr>
          <w:rFonts w:eastAsia="Arial"/>
          <w:i/>
        </w:rPr>
        <w:t xml:space="preserve"> endereço</w:t>
      </w:r>
      <w:r>
        <w:rPr>
          <w:rFonts w:eastAsia="Arial"/>
          <w:i/>
        </w:rPr>
        <w:t>s: Rua Capitão Paulino, 181, Centro; Praça José Aniceto, 09, Centro; Rua do Cruzeiro, 120, Serra; Avenida Crispim Alves Magalhães, Cidade Nova, Rua Amazonas, 78, Cidade Nova ou Zona Rural (Catita, São José de Chácara e Boa Vista).</w:t>
      </w:r>
    </w:p>
    <w:p w14:paraId="655E914D" w14:textId="77777777" w:rsidR="00B956AB" w:rsidRPr="00D71C14"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rPr>
      </w:pPr>
      <w:r w:rsidRPr="00D71C14">
        <w:rPr>
          <w:rFonts w:eastAsia="Arial"/>
          <w:b/>
        </w:rPr>
        <w:t>Materiais a serem disponibilizados</w:t>
      </w:r>
    </w:p>
    <w:p w14:paraId="77F9227E"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rPr>
      </w:pPr>
      <w:r w:rsidRPr="00D71C14">
        <w:rPr>
          <w:rFonts w:eastAsia="Arial"/>
          <w:i/>
        </w:rPr>
        <w:t>Para a perfeita execução dos serviços, a Contratada deverá disponibilizar os materiais, equipamentos, ferramentas e utensílios necessários</w:t>
      </w:r>
      <w:r>
        <w:rPr>
          <w:rFonts w:eastAsia="Arial"/>
          <w:i/>
        </w:rPr>
        <w:t xml:space="preserve"> e suficientes</w:t>
      </w:r>
      <w:r w:rsidRPr="00D71C14">
        <w:rPr>
          <w:rFonts w:eastAsia="Arial"/>
          <w:i/>
        </w:rPr>
        <w:t xml:space="preserve">, nas quantidades estimadas e qualidades </w:t>
      </w:r>
      <w:r>
        <w:rPr>
          <w:rFonts w:eastAsia="Arial"/>
          <w:i/>
        </w:rPr>
        <w:t>garantida</w:t>
      </w:r>
      <w:r w:rsidRPr="00D71C14">
        <w:rPr>
          <w:rFonts w:eastAsia="Arial"/>
          <w:i/>
        </w:rPr>
        <w:t>, promovendo sua substituição quando necessário:</w:t>
      </w:r>
    </w:p>
    <w:p w14:paraId="2BAD2EB7" w14:textId="77777777" w:rsidR="00B956AB" w:rsidRPr="00D71C14"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rPr>
      </w:pPr>
      <w:r w:rsidRPr="00D71C14">
        <w:rPr>
          <w:rFonts w:eastAsia="Arial"/>
          <w:b/>
        </w:rPr>
        <w:t>Especificação da garantia do serviço (</w:t>
      </w:r>
      <w:hyperlink r:id="rId13" w:anchor="art40%C2%A71">
        <w:r w:rsidRPr="00D71C14">
          <w:rPr>
            <w:rFonts w:eastAsia="Arial"/>
            <w:b/>
            <w:u w:val="single"/>
          </w:rPr>
          <w:t>art. 40, §1º, inciso III, da Lei nº 14.133, de 2021</w:t>
        </w:r>
      </w:hyperlink>
      <w:r w:rsidRPr="00D71C14">
        <w:rPr>
          <w:rFonts w:eastAsia="Arial"/>
          <w:b/>
        </w:rPr>
        <w:t>)</w:t>
      </w:r>
    </w:p>
    <w:p w14:paraId="2DE5EE89" w14:textId="77777777" w:rsidR="00B956AB" w:rsidRPr="00D71C14" w:rsidRDefault="00B956AB" w:rsidP="00B956AB">
      <w:pPr>
        <w:numPr>
          <w:ilvl w:val="1"/>
          <w:numId w:val="41"/>
        </w:numPr>
        <w:pBdr>
          <w:top w:val="nil"/>
          <w:left w:val="nil"/>
          <w:bottom w:val="nil"/>
          <w:right w:val="nil"/>
          <w:between w:val="nil"/>
        </w:pBdr>
        <w:spacing w:before="120" w:after="288" w:line="312" w:lineRule="auto"/>
        <w:ind w:left="0" w:firstLine="1701"/>
        <w:jc w:val="both"/>
      </w:pPr>
      <w:r w:rsidRPr="00D71C14">
        <w:rPr>
          <w:rFonts w:eastAsia="Arial"/>
          <w:i/>
        </w:rPr>
        <w:t xml:space="preserve">O prazo de garantia contratual dos serviços é aquele estabelecido </w:t>
      </w:r>
      <w:hyperlink r:id="rId14">
        <w:r w:rsidRPr="00D71C14">
          <w:rPr>
            <w:rFonts w:eastAsia="Arial"/>
            <w:i/>
            <w:u w:val="single"/>
          </w:rPr>
          <w:t>na Lei nº 8.078, de 11 de setembro de 1990</w:t>
        </w:r>
      </w:hyperlink>
      <w:r w:rsidRPr="00D71C14">
        <w:rPr>
          <w:rFonts w:eastAsia="Arial"/>
          <w:i/>
        </w:rPr>
        <w:t xml:space="preserve"> (Código de Defesa do Consumidor).</w:t>
      </w:r>
    </w:p>
    <w:p w14:paraId="68FCBF41" w14:textId="77777777" w:rsidR="00B956AB" w:rsidRPr="00E032A2"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MODELO DE GESTÃO DO CONTRATO</w:t>
      </w:r>
    </w:p>
    <w:p w14:paraId="43421760"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O contrato deverá ser executado fielmente pelas partes, de acordo com as cláusulas avençadas e as normas da Lei nº 14.133, de 2021, e cada parte responderá pelas consequências de sua inexecução total ou parcial.</w:t>
      </w:r>
    </w:p>
    <w:p w14:paraId="598793E4"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Em caso de impedimento, ordem de paralisação ou suspensão do contrato, o cronograma de execução será prorrogado automaticamente pelo tempo correspondente, anotadas tais circunstâncias mediante simples apostila.</w:t>
      </w:r>
    </w:p>
    <w:p w14:paraId="41417FC0"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lastRenderedPageBreak/>
        <w:t>As comunicações entre o órgão ou entidade e a contratada devem ser realizadas por escrito sempre que o ato exigir tal formalidade, admitindo-se o uso de mensagem eletrônica para esse fim.</w:t>
      </w:r>
    </w:p>
    <w:p w14:paraId="08CEAE23"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O órgão ou entidade poderá convocar representante da empresa para adoção de providências que devam ser cumpridas de imediato.</w:t>
      </w:r>
    </w:p>
    <w:p w14:paraId="7BFB2FD4" w14:textId="77777777" w:rsidR="00B956AB" w:rsidRPr="00D7244D" w:rsidRDefault="00B956AB" w:rsidP="00B956AB">
      <w:pPr>
        <w:numPr>
          <w:ilvl w:val="1"/>
          <w:numId w:val="41"/>
        </w:numPr>
        <w:pBdr>
          <w:top w:val="nil"/>
          <w:left w:val="nil"/>
          <w:bottom w:val="nil"/>
          <w:right w:val="nil"/>
          <w:between w:val="nil"/>
        </w:pBdr>
        <w:spacing w:before="120" w:after="288" w:line="312" w:lineRule="auto"/>
        <w:ind w:left="0" w:firstLine="1701"/>
        <w:jc w:val="both"/>
      </w:pPr>
      <w:r w:rsidRPr="00D7244D">
        <w:rPr>
          <w:rFonts w:eastAsia="Arial"/>
          <w: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66E447"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A execução do contrato deverá ser acompanhada e fiscalizada pelo(s) fiscal(</w:t>
      </w:r>
      <w:proofErr w:type="spellStart"/>
      <w:r>
        <w:rPr>
          <w:rFonts w:eastAsia="Arial"/>
          <w:color w:val="000000"/>
        </w:rPr>
        <w:t>is</w:t>
      </w:r>
      <w:proofErr w:type="spellEnd"/>
      <w:r>
        <w:rPr>
          <w:rFonts w:eastAsia="Arial"/>
          <w:color w:val="000000"/>
        </w:rPr>
        <w:t xml:space="preserve">) do contrato, ou pelos respectivos substitutos </w:t>
      </w:r>
      <w:hyperlink r:id="rId15" w:anchor="art117">
        <w:r>
          <w:rPr>
            <w:rFonts w:eastAsia="Arial"/>
            <w:color w:val="000080"/>
            <w:u w:val="single"/>
          </w:rPr>
          <w:t>(Lei nº 14.133, de 2021, art. 117, caput</w:t>
        </w:r>
      </w:hyperlink>
      <w:r>
        <w:rPr>
          <w:rFonts w:eastAsia="Arial"/>
          <w:color w:val="000000"/>
        </w:rPr>
        <w:t>).</w:t>
      </w:r>
    </w:p>
    <w:p w14:paraId="7C507931"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 xml:space="preserve">O fiscal técnico do contrato acompanhará a execução do contrato, para que sejam cumpridas todas as condições estabelecidas no contrato, de modo a assegurar os melhores resultados para a Administração. </w:t>
      </w:r>
    </w:p>
    <w:p w14:paraId="36464151"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16" w:anchor="art117%C2%A71">
        <w:r>
          <w:rPr>
            <w:rFonts w:eastAsia="Arial"/>
            <w:color w:val="000080"/>
            <w:u w:val="single"/>
          </w:rPr>
          <w:t>Lei nº 14.133, de 2021, art. 117, §1º</w:t>
        </w:r>
      </w:hyperlink>
      <w:r>
        <w:rPr>
          <w:rFonts w:eastAsia="Arial"/>
          <w:color w:val="000000"/>
        </w:rPr>
        <w:t>);</w:t>
      </w:r>
    </w:p>
    <w:p w14:paraId="40448549"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 xml:space="preserve">Identificada qualquer inexatidão ou irregularidade, o fiscal técnico do contrato emitirá notificações para a correção da execução do contrato, determinando prazo para a correção. </w:t>
      </w:r>
    </w:p>
    <w:p w14:paraId="1FBA1897"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4"/>
        <w:jc w:val="both"/>
      </w:pPr>
      <w:r w:rsidRPr="00374440">
        <w:rPr>
          <w:rFonts w:eastAsia="Arial"/>
          <w:color w:val="00000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14E0EE1"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 xml:space="preserve">No caso de ocorrências que possam inviabilizar a execução do contrato nas datas aprazadas, o fiscal técnico do contrato comunicará o fato imediatamente ao gestor do contrato. </w:t>
      </w:r>
    </w:p>
    <w:p w14:paraId="6A9DA627"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O fiscal técnico do contrato comunicará ao gestor do contrato, em tempo hábil, o término do contrato sob sua responsabilidade, com vistas à tempestiva renovação ou à prorrogação contratual</w:t>
      </w:r>
      <w:r w:rsidRPr="00510B28">
        <w:rPr>
          <w:rFonts w:eastAsia="Arial"/>
          <w:color w:val="FF0000"/>
        </w:rPr>
        <w:t xml:space="preserve"> </w:t>
      </w:r>
    </w:p>
    <w:p w14:paraId="3CFC0CE5"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 xml:space="preserve">O gestor do contrato acompanhará os registros realizados pelos fiscais do contrato, de todas as ocorrências relacionadas à execução do contrato e as medidas </w:t>
      </w:r>
      <w:r>
        <w:rPr>
          <w:rFonts w:eastAsia="Arial"/>
          <w:color w:val="000000"/>
        </w:rPr>
        <w:lastRenderedPageBreak/>
        <w:t>adotadas, informando, se for o caso, à autoridade superior àquelas que ultrapassarem a sua competência</w:t>
      </w:r>
      <w:r w:rsidRPr="00374440">
        <w:rPr>
          <w:rFonts w:eastAsia="Arial"/>
        </w:rPr>
        <w:t>.</w:t>
      </w:r>
    </w:p>
    <w:p w14:paraId="2C878828"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Pr="00374440">
        <w:rPr>
          <w:rFonts w:eastAsia="Arial"/>
        </w:rPr>
        <w:t>.</w:t>
      </w:r>
    </w:p>
    <w:p w14:paraId="667F2DA3"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Caso ocorram descumprimento das obrigações contratuais, o fiscal administrativo do contrato atuará tempestivamente na solução do problema, reportando ao gestor do contrato para que tome as providências cabíveis, quando ultrapassar a sua competência</w:t>
      </w:r>
      <w:r w:rsidRPr="00374440">
        <w:rPr>
          <w:rFonts w:eastAsia="Arial"/>
        </w:rPr>
        <w:t>.</w:t>
      </w:r>
    </w:p>
    <w:p w14:paraId="3806AE84"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510B28">
        <w:rPr>
          <w:rFonts w:eastAsia="Arial"/>
          <w:color w:val="FF0000"/>
        </w:rPr>
        <w:t xml:space="preserve"> </w:t>
      </w:r>
    </w:p>
    <w:p w14:paraId="7361D1CC"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4"/>
        <w:jc w:val="both"/>
      </w:pPr>
      <w:r>
        <w:rPr>
          <w:rFonts w:eastAsia="Arial"/>
          <w:color w:val="00000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510B28">
        <w:rPr>
          <w:rFonts w:eastAsia="Arial"/>
          <w:color w:val="FF0000"/>
        </w:rPr>
        <w:t xml:space="preserve"> </w:t>
      </w:r>
    </w:p>
    <w:p w14:paraId="0ABA62C5"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B6BC329" w14:textId="77777777" w:rsidR="00B956AB" w:rsidRDefault="00B956AB" w:rsidP="00B956AB">
      <w:pPr>
        <w:numPr>
          <w:ilvl w:val="2"/>
          <w:numId w:val="41"/>
        </w:numPr>
        <w:pBdr>
          <w:top w:val="nil"/>
          <w:left w:val="nil"/>
          <w:bottom w:val="nil"/>
          <w:right w:val="nil"/>
          <w:between w:val="nil"/>
        </w:pBdr>
        <w:spacing w:before="120" w:after="288" w:line="312" w:lineRule="auto"/>
        <w:ind w:left="0" w:firstLine="2695"/>
        <w:jc w:val="both"/>
      </w:pPr>
      <w:r>
        <w:rPr>
          <w:rFonts w:eastAsia="Arial"/>
          <w:color w:val="000000"/>
        </w:rPr>
        <w:t xml:space="preserve">O gestor do contrato tomará providências para a formalização de processo administrativo de responsabilização para fins de aplicação de sanções, a ser conduzido pela comissão de que trata o </w:t>
      </w:r>
      <w:hyperlink r:id="rId17" w:anchor="art158">
        <w:r>
          <w:rPr>
            <w:rFonts w:eastAsia="Arial"/>
            <w:color w:val="000080"/>
            <w:u w:val="single"/>
          </w:rPr>
          <w:t>art. 158 da Lei nº 14.133, de 2021</w:t>
        </w:r>
      </w:hyperlink>
      <w:r>
        <w:rPr>
          <w:rFonts w:eastAsia="Arial"/>
          <w:color w:val="000000"/>
        </w:rPr>
        <w:t>, ou pelo agente ou pelo setor com competência para tal, conforme o caso.</w:t>
      </w:r>
      <w:r w:rsidRPr="00B06272">
        <w:rPr>
          <w:rFonts w:eastAsia="Arial"/>
          <w:color w:val="FF0000"/>
        </w:rPr>
        <w:t xml:space="preserve"> </w:t>
      </w:r>
    </w:p>
    <w:p w14:paraId="602ABA15"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t>O fiscal administrativo do contrato comunicará ao gestor do contrato, em tempo hábil, o término do contrato sob sua responsabilidade, com vistas à tempestiva renovação ou prorrogação contratual.</w:t>
      </w:r>
      <w:r w:rsidRPr="00510B28">
        <w:rPr>
          <w:rFonts w:eastAsia="Arial"/>
          <w:color w:val="FF0000"/>
        </w:rPr>
        <w:t xml:space="preserve"> </w:t>
      </w:r>
    </w:p>
    <w:p w14:paraId="6231AEB0"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rPr>
      </w:pPr>
      <w:r>
        <w:rPr>
          <w:rFonts w:eastAsia="Arial"/>
          <w:color w:val="000000"/>
        </w:rPr>
        <w:t>O gestor do contrato deverá elaborar relatório final com informações sobre a consecução dos objetivos que tenham justificado a contratação e eventuais condutas a serem adotadas para o aprimoramento das atividades da Administração.</w:t>
      </w:r>
      <w:r w:rsidRPr="00510B28">
        <w:rPr>
          <w:rFonts w:eastAsia="Arial"/>
          <w:color w:val="FF0000"/>
        </w:rPr>
        <w:t xml:space="preserve"> </w:t>
      </w:r>
    </w:p>
    <w:p w14:paraId="270787D5"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pPr>
      <w:r>
        <w:rPr>
          <w:rFonts w:eastAsia="Arial"/>
          <w:color w:val="000000"/>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6F2AD73" w14:textId="77777777" w:rsidR="00B956AB" w:rsidRPr="00D7244D" w:rsidRDefault="00B956AB" w:rsidP="00B956AB">
      <w:pPr>
        <w:numPr>
          <w:ilvl w:val="1"/>
          <w:numId w:val="41"/>
        </w:numPr>
        <w:pBdr>
          <w:top w:val="nil"/>
          <w:left w:val="nil"/>
          <w:bottom w:val="nil"/>
          <w:right w:val="nil"/>
          <w:between w:val="nil"/>
        </w:pBdr>
        <w:spacing w:before="120" w:after="288" w:line="312" w:lineRule="auto"/>
        <w:ind w:left="0" w:firstLine="1701"/>
        <w:jc w:val="both"/>
      </w:pPr>
      <w:r w:rsidRPr="00D7244D">
        <w:rPr>
          <w:rFonts w:eastAsia="Arial"/>
          <w:i/>
        </w:rPr>
        <w:t>O contratado deverá manter preposto aceito pela Administração no local do serviço para representá-lo na execução do contrato.</w:t>
      </w:r>
    </w:p>
    <w:p w14:paraId="06F50207" w14:textId="77777777" w:rsidR="00B956AB" w:rsidRPr="00D7244D" w:rsidRDefault="00B956AB" w:rsidP="00B956AB">
      <w:pPr>
        <w:numPr>
          <w:ilvl w:val="2"/>
          <w:numId w:val="41"/>
        </w:numPr>
        <w:pBdr>
          <w:top w:val="nil"/>
          <w:left w:val="nil"/>
          <w:bottom w:val="nil"/>
          <w:right w:val="nil"/>
          <w:between w:val="nil"/>
        </w:pBdr>
        <w:spacing w:before="120" w:after="288" w:line="312" w:lineRule="auto"/>
        <w:ind w:left="0" w:firstLine="2695"/>
        <w:jc w:val="both"/>
      </w:pPr>
      <w:r w:rsidRPr="00D7244D">
        <w:rPr>
          <w:rFonts w:eastAsia="Arial"/>
          <w:i/>
        </w:rPr>
        <w:t>A indicação ou a manutenção do preposto da empresa poderá ser recusada pelo órgão ou entidade, desde que devidamente justificada, devendo a empresa designar outro para o exercício da atividade.</w:t>
      </w:r>
    </w:p>
    <w:p w14:paraId="005B7394" w14:textId="77777777" w:rsidR="00B956AB" w:rsidRPr="00FE05A0" w:rsidRDefault="00B956AB" w:rsidP="00B956AB">
      <w:pPr>
        <w:keepNext/>
        <w:keepLines/>
        <w:numPr>
          <w:ilvl w:val="0"/>
          <w:numId w:val="41"/>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CRITÉRIOS DE MEDIÇÃO E DE PAGAMENTO</w:t>
      </w:r>
    </w:p>
    <w:p w14:paraId="4F6DAE9C" w14:textId="77777777" w:rsidR="00B956AB" w:rsidRPr="0057114B"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i/>
          <w:color w:val="FF0000"/>
        </w:rPr>
      </w:pPr>
      <w:r w:rsidRPr="0057114B">
        <w:rPr>
          <w:rFonts w:eastAsia="Arial"/>
          <w:iCs/>
        </w:rPr>
        <w:t xml:space="preserve">A avaliação da </w:t>
      </w:r>
      <w:r w:rsidRPr="00D7244D">
        <w:rPr>
          <w:rFonts w:eastAsia="Arial"/>
          <w:iCs/>
        </w:rPr>
        <w:t>execução do objeto</w:t>
      </w:r>
      <w:r w:rsidRPr="00D7244D">
        <w:rPr>
          <w:rFonts w:eastAsia="Arial"/>
          <w:i/>
        </w:rPr>
        <w:t xml:space="preserve"> utilizará o Instrument</w:t>
      </w:r>
      <w:r>
        <w:rPr>
          <w:rFonts w:eastAsia="Arial"/>
          <w:i/>
        </w:rPr>
        <w:t>o de Medição de Resultado (IMR).</w:t>
      </w:r>
    </w:p>
    <w:p w14:paraId="3DD07934" w14:textId="77777777" w:rsidR="00B956AB" w:rsidRPr="0057114B"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57114B">
        <w:rPr>
          <w:rFonts w:eastAsia="Arial"/>
          <w:iCs/>
        </w:rPr>
        <w:t>Será</w:t>
      </w:r>
      <w:r w:rsidRPr="0057114B">
        <w:rPr>
          <w:rFonts w:eastAsia="Arial"/>
          <w:i/>
        </w:rPr>
        <w:t xml:space="preserve"> </w:t>
      </w:r>
      <w:r w:rsidRPr="0057114B">
        <w:rPr>
          <w:rFonts w:eastAsia="Arial"/>
          <w:iCs/>
        </w:rPr>
        <w:t>indicada a retenção ou glosa no pagamento, proporcional à irregularidade verificada, sem prejuízo das sanções cabíveis, caso se constate que a Contratada:</w:t>
      </w:r>
    </w:p>
    <w:p w14:paraId="01C6A2A6" w14:textId="77777777" w:rsidR="00B956AB" w:rsidRPr="0057114B" w:rsidRDefault="00B956AB" w:rsidP="00B956AB">
      <w:pPr>
        <w:pBdr>
          <w:top w:val="nil"/>
          <w:left w:val="nil"/>
          <w:bottom w:val="nil"/>
          <w:right w:val="nil"/>
          <w:between w:val="nil"/>
        </w:pBdr>
        <w:spacing w:before="120" w:after="288" w:line="312" w:lineRule="auto"/>
        <w:ind w:firstLine="2694"/>
        <w:jc w:val="both"/>
        <w:rPr>
          <w:rFonts w:eastAsia="Arial"/>
          <w:iCs/>
        </w:rPr>
      </w:pPr>
      <w:r>
        <w:rPr>
          <w:rFonts w:eastAsia="Arial"/>
          <w:iCs/>
        </w:rPr>
        <w:t xml:space="preserve">7.1.1.1. </w:t>
      </w:r>
      <w:r w:rsidRPr="0057114B">
        <w:rPr>
          <w:rFonts w:eastAsia="Arial"/>
          <w:iCs/>
        </w:rPr>
        <w:t>não produzir os resultados acordados,</w:t>
      </w:r>
    </w:p>
    <w:p w14:paraId="3C5A7D37" w14:textId="77777777" w:rsidR="00B956AB" w:rsidRPr="004B3A20" w:rsidRDefault="00B956AB" w:rsidP="00B956AB">
      <w:pPr>
        <w:pBdr>
          <w:top w:val="nil"/>
          <w:left w:val="nil"/>
          <w:bottom w:val="nil"/>
          <w:right w:val="nil"/>
          <w:between w:val="nil"/>
        </w:pBdr>
        <w:spacing w:before="120" w:after="288" w:line="312" w:lineRule="auto"/>
        <w:ind w:firstLine="2694"/>
        <w:jc w:val="both"/>
        <w:rPr>
          <w:rFonts w:eastAsia="Arial"/>
          <w:iCs/>
          <w:color w:val="FF0000"/>
        </w:rPr>
      </w:pPr>
      <w:r w:rsidRPr="004B3A20">
        <w:rPr>
          <w:rFonts w:eastAsia="Arial"/>
          <w:iCs/>
        </w:rPr>
        <w:t>7.1.1.2. deixar de executar, ou não executar com a qualidade mínima exigida as atividades contratadas; ou</w:t>
      </w:r>
    </w:p>
    <w:p w14:paraId="768288B0" w14:textId="77777777" w:rsidR="00B956AB" w:rsidRPr="004B3A20" w:rsidRDefault="00B956AB" w:rsidP="00B956AB">
      <w:pPr>
        <w:pStyle w:val="PargrafodaLista"/>
        <w:numPr>
          <w:ilvl w:val="3"/>
          <w:numId w:val="43"/>
        </w:numPr>
        <w:pBdr>
          <w:top w:val="nil"/>
          <w:left w:val="nil"/>
          <w:bottom w:val="nil"/>
          <w:right w:val="nil"/>
          <w:between w:val="nil"/>
        </w:pBdr>
        <w:spacing w:before="120" w:after="288" w:line="312" w:lineRule="auto"/>
        <w:ind w:left="0" w:firstLine="2694"/>
        <w:jc w:val="both"/>
        <w:rPr>
          <w:rFonts w:eastAsia="Arial"/>
          <w:iCs/>
        </w:rPr>
      </w:pPr>
      <w:r w:rsidRPr="004B3A20">
        <w:rPr>
          <w:rFonts w:eastAsia="Arial"/>
          <w:iCs/>
        </w:rPr>
        <w:t>deixar de utilizar materiais e recursos humanos exigidos para a execução do serviço, ou utilizá-los com qualidade ou quantidade inferior à demandada.</w:t>
      </w:r>
    </w:p>
    <w:p w14:paraId="08C2B363" w14:textId="77777777" w:rsidR="00B956AB" w:rsidRPr="004B3A20"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sidRPr="004B3A20">
        <w:rPr>
          <w:rFonts w:eastAsia="Arial"/>
          <w:b/>
          <w:color w:val="000000"/>
        </w:rPr>
        <w:t>Do recebimento</w:t>
      </w:r>
    </w:p>
    <w:p w14:paraId="3068A2B9" w14:textId="77777777" w:rsidR="00B956AB" w:rsidRPr="004B3A2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Os serviços serão recebidos provisoriamente, no prazo de 07 dias, pelos fiscais técnico e administrativo, mediante termos detalhados, quando verificado o cumprimento das exigências de caráter técnico e administrativo. (</w:t>
      </w:r>
      <w:hyperlink r:id="rId18" w:anchor="art140">
        <w:r>
          <w:rPr>
            <w:rFonts w:eastAsia="Arial"/>
            <w:color w:val="000080"/>
            <w:u w:val="single"/>
          </w:rPr>
          <w:t xml:space="preserve">Art. 140, I, </w:t>
        </w:r>
        <w:proofErr w:type="gramStart"/>
        <w:r>
          <w:rPr>
            <w:rFonts w:eastAsia="Arial"/>
            <w:color w:val="000080"/>
            <w:u w:val="single"/>
          </w:rPr>
          <w:t>a ,</w:t>
        </w:r>
        <w:proofErr w:type="gramEnd"/>
        <w:r>
          <w:rPr>
            <w:rFonts w:eastAsia="Arial"/>
            <w:color w:val="000080"/>
            <w:u w:val="single"/>
          </w:rPr>
          <w:t xml:space="preserve"> da Lei nº 14.133</w:t>
        </w:r>
      </w:hyperlink>
      <w:r w:rsidRPr="004B3A20">
        <w:rPr>
          <w:rFonts w:eastAsia="Arial"/>
          <w:color w:val="000000"/>
        </w:rPr>
        <w:t>).</w:t>
      </w:r>
    </w:p>
    <w:p w14:paraId="3937712B" w14:textId="77777777" w:rsidR="00B956AB" w:rsidRPr="004B3A2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4B3A20">
        <w:rPr>
          <w:rFonts w:eastAsia="Arial"/>
          <w:iCs/>
        </w:rPr>
        <w:t>O prazo da disposição acima será contado do recebimento de comunicação de cobrança oriunda do contratado com a comprovação da prestação dos serviços a que se referem a parcela a ser paga.</w:t>
      </w:r>
    </w:p>
    <w:p w14:paraId="1EFD4FEC" w14:textId="77777777" w:rsidR="00B956AB" w:rsidRPr="004B3A2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4B3A20">
        <w:rPr>
          <w:rFonts w:eastAsia="Arial"/>
          <w:iCs/>
        </w:rPr>
        <w:t xml:space="preserve">O fiscal técnico do contrato realizará o recebimento provisório do objeto do contrato mediante termo detalhado que comprove o cumprimento das exigências de caráter técnico. </w:t>
      </w:r>
    </w:p>
    <w:p w14:paraId="76EFC747" w14:textId="77777777" w:rsidR="00B956AB" w:rsidRPr="004B3A2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4B3A20">
        <w:rPr>
          <w:rFonts w:eastAsia="Arial"/>
          <w:iCs/>
        </w:rPr>
        <w:t xml:space="preserve">O fiscal administrativo do contrato realizará o recebimento provisório do objeto do contrato mediante termo detalhado que comprove o cumprimento das exigências de caráter administrativo. </w:t>
      </w:r>
    </w:p>
    <w:p w14:paraId="67BCF7FC"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lastRenderedPageBreak/>
        <w:t>O fiscal setorial do contrato, quando houver, realizará o recebimento provisório sob o ponto de vista técnico e administrativo.</w:t>
      </w:r>
    </w:p>
    <w:p w14:paraId="57826EDD"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1E3F8D7"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1CE20CD"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A fiscalização não efetuará o ateste da última e/ou única medição de serviços até que sejam sanadas todas as eventuais pendências que possam vir a ser apontadas no Recebimento Provisório. (</w:t>
      </w:r>
      <w:hyperlink r:id="rId19" w:anchor="art119">
        <w:r>
          <w:rPr>
            <w:rFonts w:eastAsia="Arial"/>
            <w:color w:val="000080"/>
            <w:u w:val="single"/>
          </w:rPr>
          <w:t>Art. 119 c/c art. 140 da Lei nº 14133, de 2021</w:t>
        </w:r>
      </w:hyperlink>
      <w:r w:rsidRPr="00FB7740">
        <w:rPr>
          <w:rFonts w:eastAsia="Arial"/>
          <w:iCs/>
        </w:rPr>
        <w:t>)</w:t>
      </w:r>
    </w:p>
    <w:p w14:paraId="3BCD4A5D"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O recebimento provisório também ficará sujeito, quando cabível, à conclusão de todos os testes de campo e à entrega dos Manuais e Instruções exigíveis.</w:t>
      </w:r>
    </w:p>
    <w:p w14:paraId="4DAAAF38"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Os serviços poderão ser rejeitados, no todo ou em parte, quando em desacordo com as especificações constantes neste Termo de Referência e na proposta, sem prejuízo da aplicação das penalidades.</w:t>
      </w:r>
    </w:p>
    <w:p w14:paraId="2810E497"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B1E4841"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Os serviços serão recebidos definitivamente no prazo de 05 dias, contados do recebimento provisório, por servidor ou comissão designada pela autoridade competente, após a verificação da qualidade e quantidade do serviço e consequente aceitação mediante termo detalhado, obedecendo os seguintes procedimentos:</w:t>
      </w:r>
    </w:p>
    <w:p w14:paraId="43C69F75"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5E02E09"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 xml:space="preserve">Realizar a análise dos relatórios e de toda a documentação apresentada pela fiscalização e, caso haja irregularidades que impeçam a liquidação e o pagamento </w:t>
      </w:r>
      <w:r w:rsidRPr="00FB7740">
        <w:rPr>
          <w:rFonts w:eastAsia="Arial"/>
          <w:iCs/>
        </w:rPr>
        <w:lastRenderedPageBreak/>
        <w:t>da despesa, indicar as cláusulas contratuais pertinentes, solicitando à CONTRATADA, por escrito, as respectivas correções;</w:t>
      </w:r>
    </w:p>
    <w:p w14:paraId="7452E3A3"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Emitir Termo Circunstanciado para efeito de recebimento definitivo dos serviços prestados, com base nos relatórios e documentações apresentadas; e</w:t>
      </w:r>
    </w:p>
    <w:p w14:paraId="2AF3D249"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Comunicar a empresa para que emita a Nota Fiscal ou Fatura, com o valor exato dimensionado pela fiscalização.</w:t>
      </w:r>
    </w:p>
    <w:p w14:paraId="66D70DEA" w14:textId="77777777" w:rsidR="00B956AB" w:rsidRPr="00FB7740"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FB7740">
        <w:rPr>
          <w:rFonts w:eastAsia="Arial"/>
          <w:iCs/>
        </w:rPr>
        <w:t xml:space="preserve">Enviar a documentação pertinente ao setor </w:t>
      </w:r>
      <w:r>
        <w:rPr>
          <w:rFonts w:eastAsia="Arial"/>
          <w:iCs/>
        </w:rPr>
        <w:t xml:space="preserve">responsável </w:t>
      </w:r>
      <w:r w:rsidRPr="00FB7740">
        <w:rPr>
          <w:rFonts w:eastAsia="Arial"/>
          <w:iCs/>
        </w:rPr>
        <w:t>para a formalização dos procedimentos de liquidação e pagamento, no valor dimensionado pela fiscalização e gestão.</w:t>
      </w:r>
    </w:p>
    <w:p w14:paraId="633DAA37"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 xml:space="preserve">No caso de controvérsia sobre a execução do objeto, quanto à dimensão, qualidade e quantidade, deverá ser observado o teor do </w:t>
      </w:r>
      <w:hyperlink r:id="rId20" w:anchor="art143">
        <w:r>
          <w:rPr>
            <w:rFonts w:eastAsia="Arial"/>
            <w:color w:val="000080"/>
            <w:u w:val="single"/>
          </w:rPr>
          <w:t>art. 143 da Lei nº 14.133, de 2021</w:t>
        </w:r>
      </w:hyperlink>
      <w:r>
        <w:rPr>
          <w:rFonts w:eastAsia="Arial"/>
          <w:color w:val="000000"/>
        </w:rPr>
        <w:t xml:space="preserve">, comunicando-se à empresa para emissão de Nota Fiscal no que </w:t>
      </w:r>
      <w:proofErr w:type="spellStart"/>
      <w:r>
        <w:rPr>
          <w:rFonts w:eastAsia="Arial"/>
          <w:color w:val="000000"/>
        </w:rPr>
        <w:t>pertine</w:t>
      </w:r>
      <w:proofErr w:type="spellEnd"/>
      <w:r>
        <w:rPr>
          <w:rFonts w:eastAsia="Arial"/>
          <w:color w:val="000000"/>
        </w:rPr>
        <w:t xml:space="preserve"> à parcela incontroversa da execução do objeto, para efeito de liquidação e pagamento.</w:t>
      </w:r>
    </w:p>
    <w:p w14:paraId="4FB7E283"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Nenhum prazo de recebimento ocorrerá enquanto pendente a solução, pelo contratado, de inconsistências verificadas na execução do objeto ou no instrumento de cobrança.</w:t>
      </w:r>
    </w:p>
    <w:p w14:paraId="5C798FF5" w14:textId="77777777" w:rsidR="00B956AB" w:rsidRPr="00FB7740"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color w:val="000000"/>
        </w:rPr>
      </w:pPr>
      <w:r>
        <w:rPr>
          <w:rFonts w:eastAsia="Arial"/>
          <w:color w:val="000000"/>
        </w:rPr>
        <w:t>O recebimento provisório ou definitivo não excluirá a responsabilidade civil pela solidez e pela segurança do serviço nem a responsabilidade ético-profissional pela perfeita execução do contrato.</w:t>
      </w:r>
    </w:p>
    <w:p w14:paraId="3E949813"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Pr>
          <w:rFonts w:eastAsia="Arial"/>
          <w:b/>
          <w:color w:val="000000"/>
        </w:rPr>
        <w:t>Liquidação</w:t>
      </w:r>
    </w:p>
    <w:p w14:paraId="659AE438" w14:textId="77777777" w:rsidR="00B956AB" w:rsidRPr="00FE05A0"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Recebida a Nota Fiscal ou documento de cobrança equivalente, ocorrerá a liquidação.</w:t>
      </w:r>
    </w:p>
    <w:p w14:paraId="023237F3"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1"/>
        <w:jc w:val="both"/>
        <w:rPr>
          <w:rFonts w:eastAsia="Arial"/>
        </w:rPr>
      </w:pPr>
      <w:r>
        <w:rPr>
          <w:rFonts w:eastAsia="Arial"/>
          <w:color w:val="000000"/>
        </w:rPr>
        <w:t xml:space="preserve">Para fins de liquidação, o setor competente deverá verificar se a nota fiscal ou instrumento de cobrança equivalente apresentado expressa os elementos necessários e essenciais do documento, tais como: </w:t>
      </w:r>
    </w:p>
    <w:p w14:paraId="5B992591" w14:textId="77777777" w:rsidR="00B956AB" w:rsidRDefault="00B956AB" w:rsidP="00B956AB">
      <w:pPr>
        <w:numPr>
          <w:ilvl w:val="0"/>
          <w:numId w:val="42"/>
        </w:numPr>
        <w:spacing w:before="120" w:line="312" w:lineRule="auto"/>
        <w:ind w:left="851" w:firstLine="709"/>
        <w:jc w:val="both"/>
        <w:rPr>
          <w:rFonts w:eastAsia="Arial"/>
          <w:color w:val="000000"/>
        </w:rPr>
      </w:pPr>
      <w:r>
        <w:rPr>
          <w:rFonts w:eastAsia="Arial"/>
          <w:color w:val="000000"/>
        </w:rPr>
        <w:t>o prazo de validade;</w:t>
      </w:r>
    </w:p>
    <w:p w14:paraId="1D42FFAD" w14:textId="77777777" w:rsidR="00B956AB" w:rsidRDefault="00B956AB" w:rsidP="00B956AB">
      <w:pPr>
        <w:numPr>
          <w:ilvl w:val="0"/>
          <w:numId w:val="42"/>
        </w:numPr>
        <w:spacing w:line="312" w:lineRule="auto"/>
        <w:ind w:left="851" w:firstLine="709"/>
        <w:jc w:val="both"/>
        <w:rPr>
          <w:rFonts w:eastAsia="Arial"/>
          <w:color w:val="000000"/>
        </w:rPr>
      </w:pPr>
      <w:r>
        <w:rPr>
          <w:rFonts w:eastAsia="Arial"/>
          <w:color w:val="000000"/>
        </w:rPr>
        <w:t xml:space="preserve">a data da emissão; </w:t>
      </w:r>
    </w:p>
    <w:p w14:paraId="2E574BB7" w14:textId="77777777" w:rsidR="00B956AB" w:rsidRDefault="00B956AB" w:rsidP="00B956AB">
      <w:pPr>
        <w:numPr>
          <w:ilvl w:val="0"/>
          <w:numId w:val="42"/>
        </w:numPr>
        <w:spacing w:line="312" w:lineRule="auto"/>
        <w:ind w:left="851" w:firstLine="709"/>
        <w:jc w:val="both"/>
        <w:rPr>
          <w:rFonts w:eastAsia="Arial"/>
          <w:color w:val="000000"/>
        </w:rPr>
      </w:pPr>
      <w:r>
        <w:rPr>
          <w:rFonts w:eastAsia="Arial"/>
          <w:color w:val="000000"/>
        </w:rPr>
        <w:t xml:space="preserve">os dados do contrato e do órgão contratante; </w:t>
      </w:r>
    </w:p>
    <w:p w14:paraId="66008A56" w14:textId="77777777" w:rsidR="00B956AB" w:rsidRDefault="00B956AB" w:rsidP="00B956AB">
      <w:pPr>
        <w:numPr>
          <w:ilvl w:val="0"/>
          <w:numId w:val="42"/>
        </w:numPr>
        <w:spacing w:line="312" w:lineRule="auto"/>
        <w:ind w:left="851" w:firstLine="709"/>
        <w:jc w:val="both"/>
        <w:rPr>
          <w:rFonts w:eastAsia="Arial"/>
          <w:color w:val="000000"/>
        </w:rPr>
      </w:pPr>
      <w:r>
        <w:rPr>
          <w:rFonts w:eastAsia="Arial"/>
          <w:color w:val="000000"/>
        </w:rPr>
        <w:t xml:space="preserve">o período respectivo de execução do contrato; </w:t>
      </w:r>
    </w:p>
    <w:p w14:paraId="3DC803CC" w14:textId="77777777" w:rsidR="00B956AB" w:rsidRDefault="00B956AB" w:rsidP="00B956AB">
      <w:pPr>
        <w:numPr>
          <w:ilvl w:val="0"/>
          <w:numId w:val="42"/>
        </w:numPr>
        <w:spacing w:line="312" w:lineRule="auto"/>
        <w:ind w:left="851" w:firstLine="709"/>
        <w:jc w:val="both"/>
        <w:rPr>
          <w:rFonts w:eastAsia="Arial"/>
          <w:color w:val="000000"/>
        </w:rPr>
      </w:pPr>
      <w:r>
        <w:rPr>
          <w:rFonts w:eastAsia="Arial"/>
          <w:color w:val="000000"/>
        </w:rPr>
        <w:t xml:space="preserve">o valor a pagar; e </w:t>
      </w:r>
    </w:p>
    <w:p w14:paraId="3D467AEE" w14:textId="77777777" w:rsidR="00B956AB" w:rsidRDefault="00B956AB" w:rsidP="00B956AB">
      <w:pPr>
        <w:numPr>
          <w:ilvl w:val="0"/>
          <w:numId w:val="42"/>
        </w:numPr>
        <w:spacing w:after="288" w:line="312" w:lineRule="auto"/>
        <w:ind w:left="851" w:firstLine="709"/>
        <w:jc w:val="both"/>
        <w:rPr>
          <w:rFonts w:eastAsia="Arial"/>
          <w:color w:val="000000"/>
        </w:rPr>
      </w:pPr>
      <w:r>
        <w:rPr>
          <w:rFonts w:eastAsia="Arial"/>
          <w:color w:val="000000"/>
        </w:rPr>
        <w:t>eventual destaque do valor de retenções tributárias cabíveis.</w:t>
      </w:r>
    </w:p>
    <w:p w14:paraId="53E6E3C9"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rPr>
      </w:pPr>
      <w:r>
        <w:rPr>
          <w:rFonts w:eastAsia="Arial"/>
          <w:color w:val="000000"/>
        </w:rPr>
        <w:t xml:space="preserve"> Havendo erro na apresentação da nota fiscal ou instrumento de cobrança equivalente, ou circunstância que impeça a liquidação da despesa, esta ficará sobrestada até </w:t>
      </w:r>
      <w:r>
        <w:rPr>
          <w:rFonts w:eastAsia="Arial"/>
          <w:color w:val="000000"/>
        </w:rPr>
        <w:lastRenderedPageBreak/>
        <w:t>que o contratado providencie as medidas saneadoras, reiniciando-se o prazo após a comprovação da regularização da situação, sem ônus ao contratante;</w:t>
      </w:r>
    </w:p>
    <w:p w14:paraId="5BBD825D"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rPr>
      </w:pPr>
      <w:r>
        <w:rPr>
          <w:rFonts w:eastAsia="Arial"/>
          <w:color w:val="000000"/>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21" w:anchor="art68">
        <w:r>
          <w:rPr>
            <w:rFonts w:eastAsia="Arial"/>
            <w:color w:val="000080"/>
            <w:u w:val="single"/>
          </w:rPr>
          <w:t xml:space="preserve">art. 68 da Lei nº 14.133, de 2021.  </w:t>
        </w:r>
      </w:hyperlink>
      <w:r>
        <w:rPr>
          <w:rFonts w:eastAsia="Arial"/>
          <w:color w:val="000000"/>
        </w:rPr>
        <w:t xml:space="preserve"> </w:t>
      </w:r>
    </w:p>
    <w:p w14:paraId="103F1CA7" w14:textId="77777777" w:rsidR="00B956AB" w:rsidRPr="00FE05A0"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603AF79A"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39ACFB"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CADF173"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 xml:space="preserve">Persistindo a irregularidade, o contratante deverá adotar as medidas necessárias à rescisão contratual nos autos do processo administrativo correspondente, assegurada ao contratado a ampla defesa. </w:t>
      </w:r>
    </w:p>
    <w:p w14:paraId="2814A192"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Havendo a efetiva execução do objeto, os pagamentos serão realizados normalmente, até que se decida pela rescisão do contrato, caso o contratado não regularize sua situação.</w:t>
      </w:r>
    </w:p>
    <w:p w14:paraId="3A871AE2"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Pr>
          <w:rFonts w:eastAsia="Arial"/>
          <w:b/>
          <w:color w:val="000000"/>
        </w:rPr>
        <w:t>Prazo de pagamento</w:t>
      </w:r>
    </w:p>
    <w:p w14:paraId="6C1F1675"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 xml:space="preserve">O pagamento será efetuado no prazo de até 30 (trinta) dias </w:t>
      </w:r>
      <w:r w:rsidRPr="00813FDB">
        <w:rPr>
          <w:rFonts w:eastAsia="Arial"/>
          <w:color w:val="000000"/>
        </w:rPr>
        <w:t>corridos, contados do adimplemento da obrigação, e ateste da(s) Nota(s) Fiscal(</w:t>
      </w:r>
      <w:proofErr w:type="spellStart"/>
      <w:r w:rsidRPr="00813FDB">
        <w:rPr>
          <w:rFonts w:eastAsia="Arial"/>
          <w:color w:val="000000"/>
        </w:rPr>
        <w:t>is</w:t>
      </w:r>
      <w:proofErr w:type="spellEnd"/>
      <w:r w:rsidRPr="00813FDB">
        <w:rPr>
          <w:rFonts w:eastAsia="Arial"/>
          <w:color w:val="000000"/>
        </w:rPr>
        <w:t>)</w:t>
      </w:r>
      <w:r>
        <w:rPr>
          <w:rFonts w:eastAsia="Arial"/>
          <w:color w:val="000000"/>
        </w:rPr>
        <w:t>.</w:t>
      </w:r>
    </w:p>
    <w:p w14:paraId="7FAD75D8"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No caso de atraso pelo Contratante, os valores devidos ao contratado serão atualizados monetariamente entre o termo final do prazo de pagamento até a data de sua efetiva realização, mediante aplicação do índice IGP-M de correção monetária.</w:t>
      </w:r>
    </w:p>
    <w:p w14:paraId="3C8EDCAD"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284"/>
        <w:jc w:val="both"/>
        <w:rPr>
          <w:rFonts w:eastAsia="Arial"/>
          <w:b/>
          <w:color w:val="000000"/>
        </w:rPr>
      </w:pPr>
      <w:r>
        <w:rPr>
          <w:rFonts w:eastAsia="Arial"/>
          <w:b/>
          <w:color w:val="000000"/>
        </w:rPr>
        <w:t>Forma de pagamento</w:t>
      </w:r>
    </w:p>
    <w:p w14:paraId="4FB4A067" w14:textId="77777777" w:rsidR="00B956AB" w:rsidRPr="0023366A"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O pagamento será realizado por meio de ordem bancária, para crédito em banco, agência e conta corrente indicados pelo contratado.</w:t>
      </w:r>
    </w:p>
    <w:p w14:paraId="5F7A7B2A"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lastRenderedPageBreak/>
        <w:t>Será considerada data do pagamento o dia em que constar como emitida a ordem bancária para pagamento.</w:t>
      </w:r>
    </w:p>
    <w:p w14:paraId="78D3DBBD" w14:textId="77777777" w:rsidR="00B956AB" w:rsidRPr="00EA483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Quando do pagamento, será efetuada a retenção tributária prevista na legislação aplicável.</w:t>
      </w:r>
    </w:p>
    <w:p w14:paraId="72A1C78F" w14:textId="77777777" w:rsidR="00B956AB" w:rsidRPr="0023366A" w:rsidRDefault="00B956AB" w:rsidP="00B956AB">
      <w:pPr>
        <w:numPr>
          <w:ilvl w:val="2"/>
          <w:numId w:val="41"/>
        </w:numPr>
        <w:pBdr>
          <w:top w:val="nil"/>
          <w:left w:val="nil"/>
          <w:bottom w:val="nil"/>
          <w:right w:val="nil"/>
          <w:between w:val="nil"/>
        </w:pBdr>
        <w:spacing w:before="120" w:after="288" w:line="312" w:lineRule="auto"/>
        <w:ind w:left="0" w:firstLine="2695"/>
        <w:jc w:val="both"/>
        <w:rPr>
          <w:rFonts w:eastAsia="Arial"/>
          <w:iCs/>
        </w:rPr>
      </w:pPr>
      <w:r w:rsidRPr="0023366A">
        <w:rPr>
          <w:rFonts w:eastAsia="Arial"/>
          <w:iCs/>
        </w:rPr>
        <w:t>Independentemente do percentual de tributo inserido na planilha, quando houver, serão retidos na fonte, quando da realização do pagamento, os percentuais estabelecidos na legislação vigente.</w:t>
      </w:r>
    </w:p>
    <w:p w14:paraId="4371BA5A" w14:textId="77777777" w:rsidR="00B956AB" w:rsidRDefault="00B956AB" w:rsidP="00B956AB">
      <w:pPr>
        <w:numPr>
          <w:ilvl w:val="1"/>
          <w:numId w:val="41"/>
        </w:numPr>
        <w:pBdr>
          <w:top w:val="nil"/>
          <w:left w:val="nil"/>
          <w:bottom w:val="nil"/>
          <w:right w:val="nil"/>
          <w:between w:val="nil"/>
        </w:pBdr>
        <w:spacing w:before="120" w:after="288" w:line="312" w:lineRule="auto"/>
        <w:ind w:left="0" w:firstLine="1708"/>
        <w:jc w:val="both"/>
        <w:rPr>
          <w:rFonts w:eastAsia="Arial"/>
          <w:color w:val="000000"/>
        </w:rPr>
      </w:pPr>
      <w:r>
        <w:rPr>
          <w:rFonts w:eastAsia="Arial"/>
          <w:color w:val="000000"/>
        </w:rPr>
        <w:t xml:space="preserve">O contratado regularmente optante pelo Simples Nacional, nos termos da </w:t>
      </w:r>
      <w:hyperlink r:id="rId22">
        <w:r>
          <w:rPr>
            <w:rFonts w:eastAsia="Arial"/>
            <w:color w:val="000080"/>
            <w:u w:val="single"/>
          </w:rPr>
          <w:t>Lei Complementar nº 123, de 2006</w:t>
        </w:r>
      </w:hyperlink>
      <w:r>
        <w:rPr>
          <w:rFonts w:eastAsia="Arial"/>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06DCD8" w14:textId="77777777" w:rsidR="00B956AB" w:rsidRPr="00307150" w:rsidRDefault="00B956AB" w:rsidP="00B956AB">
      <w:pPr>
        <w:keepNext/>
        <w:keepLines/>
        <w:numPr>
          <w:ilvl w:val="0"/>
          <w:numId w:val="43"/>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FORMA E CRITÉRIOS DE SELEÇÃO DO FORNECEDOR</w:t>
      </w:r>
    </w:p>
    <w:p w14:paraId="0B53359F" w14:textId="77777777" w:rsidR="00B956AB" w:rsidRDefault="00B956AB" w:rsidP="00B956AB">
      <w:pPr>
        <w:keepNext/>
        <w:keepLines/>
        <w:pBdr>
          <w:top w:val="nil"/>
          <w:left w:val="nil"/>
          <w:bottom w:val="nil"/>
          <w:right w:val="nil"/>
          <w:between w:val="nil"/>
        </w:pBdr>
        <w:tabs>
          <w:tab w:val="left" w:pos="567"/>
        </w:tabs>
        <w:spacing w:before="120" w:after="288" w:line="312" w:lineRule="auto"/>
        <w:ind w:left="357" w:hanging="73"/>
        <w:jc w:val="both"/>
        <w:rPr>
          <w:rFonts w:eastAsia="Arial"/>
          <w:b/>
          <w:color w:val="000000"/>
          <w:highlight w:val="yellow"/>
        </w:rPr>
      </w:pPr>
      <w:r>
        <w:rPr>
          <w:rFonts w:eastAsia="Arial"/>
          <w:b/>
          <w:color w:val="000000"/>
        </w:rPr>
        <w:t>Forma de seleção e critério de julgamento da proposta</w:t>
      </w:r>
    </w:p>
    <w:p w14:paraId="123CBEA6" w14:textId="77777777" w:rsidR="00B956AB" w:rsidRPr="00CF0F83" w:rsidRDefault="00B956AB" w:rsidP="00B956AB">
      <w:pPr>
        <w:pStyle w:val="PargrafodaLista"/>
        <w:numPr>
          <w:ilvl w:val="1"/>
          <w:numId w:val="43"/>
        </w:numPr>
        <w:pBdr>
          <w:top w:val="nil"/>
          <w:left w:val="nil"/>
          <w:bottom w:val="nil"/>
          <w:right w:val="nil"/>
          <w:between w:val="nil"/>
        </w:pBdr>
        <w:spacing w:before="120" w:after="288" w:line="312" w:lineRule="auto"/>
        <w:ind w:left="0" w:firstLine="1701"/>
        <w:jc w:val="both"/>
        <w:rPr>
          <w:rFonts w:eastAsia="Arial"/>
          <w:iCs/>
        </w:rPr>
      </w:pPr>
      <w:r w:rsidRPr="00CF0F83">
        <w:rPr>
          <w:rFonts w:eastAsia="Arial"/>
          <w:iCs/>
        </w:rPr>
        <w:t xml:space="preserve">O fornecedor será selecionado por meio da realização de procedimento de LICITAÇÃO, na modalidade </w:t>
      </w:r>
      <w:r>
        <w:rPr>
          <w:rFonts w:eastAsia="Arial"/>
          <w:iCs/>
        </w:rPr>
        <w:t>PREGÃO</w:t>
      </w:r>
      <w:r w:rsidRPr="00CF0F83">
        <w:rPr>
          <w:rFonts w:eastAsia="Arial"/>
          <w:iCs/>
        </w:rPr>
        <w:t xml:space="preserve">, sob a forma ELETRÔNICA, com adoção do critério de </w:t>
      </w:r>
      <w:r w:rsidRPr="00D7244D">
        <w:rPr>
          <w:rFonts w:eastAsia="Arial"/>
          <w:iCs/>
        </w:rPr>
        <w:t>julgamento pelo MENOR PREÇO.</w:t>
      </w:r>
    </w:p>
    <w:p w14:paraId="3F6AAE63" w14:textId="77777777" w:rsidR="00B956AB" w:rsidRDefault="00B956AB" w:rsidP="00B956AB">
      <w:pPr>
        <w:keepNext/>
        <w:keepLines/>
        <w:pBdr>
          <w:top w:val="nil"/>
          <w:left w:val="nil"/>
          <w:bottom w:val="nil"/>
          <w:right w:val="nil"/>
          <w:between w:val="nil"/>
        </w:pBdr>
        <w:tabs>
          <w:tab w:val="left" w:pos="567"/>
        </w:tabs>
        <w:spacing w:before="120" w:after="288" w:line="312" w:lineRule="auto"/>
        <w:ind w:left="284"/>
        <w:jc w:val="both"/>
        <w:rPr>
          <w:rFonts w:eastAsia="Arial"/>
          <w:b/>
          <w:color w:val="000000"/>
        </w:rPr>
      </w:pPr>
      <w:r>
        <w:rPr>
          <w:rFonts w:eastAsia="Arial"/>
          <w:b/>
          <w:color w:val="000000"/>
        </w:rPr>
        <w:t>Exigências de habilitação</w:t>
      </w:r>
    </w:p>
    <w:p w14:paraId="7AB0DBC3" w14:textId="77777777" w:rsidR="00B956AB" w:rsidRPr="00CF0F83" w:rsidRDefault="00B956AB" w:rsidP="00B956AB">
      <w:pPr>
        <w:pStyle w:val="PargrafodaLista"/>
        <w:numPr>
          <w:ilvl w:val="1"/>
          <w:numId w:val="43"/>
        </w:numPr>
        <w:pBdr>
          <w:top w:val="nil"/>
          <w:left w:val="nil"/>
          <w:bottom w:val="nil"/>
          <w:right w:val="nil"/>
          <w:between w:val="nil"/>
        </w:pBdr>
        <w:spacing w:before="120" w:after="288" w:line="312" w:lineRule="auto"/>
        <w:ind w:left="0" w:firstLine="1701"/>
        <w:jc w:val="both"/>
        <w:rPr>
          <w:rFonts w:eastAsia="Arial"/>
          <w:iCs/>
        </w:rPr>
      </w:pPr>
      <w:r w:rsidRPr="00CF0F83">
        <w:rPr>
          <w:rFonts w:eastAsia="Arial"/>
          <w:iCs/>
        </w:rPr>
        <w:t>Para fins de habilitação, deverá o licitante comprovar os seguintes requisitos:</w:t>
      </w:r>
    </w:p>
    <w:p w14:paraId="6DEBB2D6"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709"/>
        <w:jc w:val="both"/>
        <w:rPr>
          <w:rFonts w:eastAsia="Arial"/>
          <w:b/>
          <w:color w:val="000000"/>
        </w:rPr>
      </w:pPr>
      <w:r>
        <w:rPr>
          <w:rFonts w:eastAsia="Arial"/>
          <w:b/>
          <w:color w:val="000000"/>
        </w:rPr>
        <w:t>Habilitação jurídica</w:t>
      </w:r>
    </w:p>
    <w:p w14:paraId="0638A445" w14:textId="77777777" w:rsidR="00B956AB" w:rsidRPr="0034752C" w:rsidRDefault="00B956AB" w:rsidP="00B956AB">
      <w:pPr>
        <w:numPr>
          <w:ilvl w:val="1"/>
          <w:numId w:val="43"/>
        </w:numPr>
        <w:pBdr>
          <w:top w:val="nil"/>
          <w:left w:val="nil"/>
          <w:bottom w:val="nil"/>
          <w:right w:val="nil"/>
          <w:between w:val="nil"/>
        </w:pBdr>
        <w:spacing w:before="120" w:after="288" w:line="312" w:lineRule="auto"/>
        <w:ind w:left="0" w:firstLine="1701"/>
        <w:jc w:val="both"/>
      </w:pPr>
      <w:bookmarkStart w:id="6" w:name="_3dy6vkm" w:colFirst="0" w:colLast="0"/>
      <w:bookmarkEnd w:id="6"/>
      <w:r w:rsidRPr="008C4A67">
        <w:rPr>
          <w:rFonts w:eastAsia="Arial"/>
          <w:b/>
          <w:color w:val="000000"/>
        </w:rPr>
        <w:t>Pessoa física:</w:t>
      </w:r>
      <w:r w:rsidRPr="008C4A67">
        <w:rPr>
          <w:rFonts w:eastAsia="Arial"/>
          <w:color w:val="000000"/>
        </w:rPr>
        <w:t xml:space="preserve"> cédula de identidade (RG) ou documento equivalente que, por</w:t>
      </w:r>
      <w:r>
        <w:rPr>
          <w:rFonts w:eastAsia="Arial"/>
          <w:color w:val="000000"/>
        </w:rPr>
        <w:t xml:space="preserve"> força de lei, tenha validade para fins de identificação em todo o território nacional;</w:t>
      </w:r>
    </w:p>
    <w:p w14:paraId="4602AD87"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Empresário individual</w:t>
      </w:r>
      <w:r>
        <w:rPr>
          <w:rFonts w:eastAsia="Arial"/>
          <w:color w:val="00000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3">
        <w:r>
          <w:rPr>
            <w:rFonts w:eastAsia="Arial"/>
            <w:color w:val="000080"/>
            <w:u w:val="single"/>
          </w:rPr>
          <w:t>https://www.gov.br/empresas-e-negocios/pt-br/empreendedor</w:t>
        </w:r>
      </w:hyperlink>
      <w:r>
        <w:rPr>
          <w:rFonts w:eastAsia="Arial"/>
          <w:color w:val="000000"/>
        </w:rPr>
        <w:t>;</w:t>
      </w:r>
    </w:p>
    <w:p w14:paraId="6FC7F24D"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Sociedade empresária, sociedade limitada unipessoal – SLU ou sociedade identificada como empresa individual de responsabilidade limitada - EIRELI</w:t>
      </w:r>
      <w:r>
        <w:rPr>
          <w:rFonts w:eastAsia="Arial"/>
          <w:color w:val="000000"/>
        </w:rPr>
        <w:t>: inscrição do ato constitutivo, estatuto ou contrato social no Registro Público de Empresas Mercantis, a cargo da Junta Comercial da respectiva sede, acompanhada de documento comprobatório de seus administradores;</w:t>
      </w:r>
    </w:p>
    <w:p w14:paraId="64A76124"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lastRenderedPageBreak/>
        <w:t>Sociedade empresária estrangeira</w:t>
      </w:r>
      <w:r>
        <w:rPr>
          <w:rFonts w:eastAsia="Arial"/>
          <w:color w:val="000000"/>
        </w:rPr>
        <w:t xml:space="preserve">: portaria de autorização de funcionamento no Brasil, publicada no Diário Oficial da União e arquivada na Junta Comercial da unidade federativa onde se localizar a filial, agência, sucursal ou estabelecimento, a qual será </w:t>
      </w:r>
      <w:r w:rsidRPr="00D7244D">
        <w:rPr>
          <w:rFonts w:eastAsia="Arial"/>
        </w:rPr>
        <w:t xml:space="preserve">considerada como sua sede, conforme </w:t>
      </w:r>
      <w:hyperlink r:id="rId24">
        <w:r w:rsidRPr="00D7244D">
          <w:rPr>
            <w:rFonts w:eastAsia="Arial"/>
            <w:u w:val="single"/>
          </w:rPr>
          <w:t>Instrução Normativa DREI/ME n.º 77, de 18 de março de 2020</w:t>
        </w:r>
      </w:hyperlink>
      <w:r w:rsidRPr="00D7244D">
        <w:rPr>
          <w:rFonts w:eastAsia="Arial"/>
        </w:rPr>
        <w:t>.</w:t>
      </w:r>
    </w:p>
    <w:p w14:paraId="044694F2"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Sociedade simples</w:t>
      </w:r>
      <w:r>
        <w:rPr>
          <w:rFonts w:eastAsia="Arial"/>
          <w:color w:val="000000"/>
        </w:rPr>
        <w:t>: inscrição do ato constitutivo no Registro Civil de Pessoas Jurídicas do local de sua sede, acompanhada de documento comprobatório de seus administradores;</w:t>
      </w:r>
    </w:p>
    <w:p w14:paraId="22CCCCDA"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bookmarkStart w:id="7" w:name="_1t3h5sf" w:colFirst="0" w:colLast="0"/>
      <w:bookmarkEnd w:id="7"/>
      <w:r>
        <w:rPr>
          <w:rFonts w:eastAsia="Arial"/>
          <w:b/>
          <w:color w:val="000000"/>
        </w:rPr>
        <w:t>Filial, sucursal ou agência de sociedade simples ou empresária</w:t>
      </w:r>
      <w:r>
        <w:rPr>
          <w:rFonts w:eastAsia="Arial"/>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DB7EDE"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Sociedade cooperativa</w:t>
      </w:r>
      <w:r>
        <w:rPr>
          <w:rFonts w:eastAsia="Arial"/>
          <w:color w:val="00000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09EE2E9"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Agricultor familiar</w:t>
      </w:r>
      <w:r>
        <w:rPr>
          <w:rFonts w:eastAsia="Arial"/>
          <w:color w:val="000000"/>
        </w:rPr>
        <w:t>: Declaração de Aptidão ao Pronaf – DAP ou DAP-P válida, ou, ainda, outros documentos definidos pela Secretaria Especial de Agricultura Familiar e do Desenvolvimento Agrário, nos termos do art. 4º, §2º do Decreto nº 10.880, de 2 de dezembro de 2021.</w:t>
      </w:r>
    </w:p>
    <w:p w14:paraId="1A7403CD"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b/>
          <w:color w:val="000000"/>
        </w:rPr>
        <w:t>Produtor Rural</w:t>
      </w:r>
      <w:r>
        <w:rPr>
          <w:rFonts w:eastAsia="Arial"/>
          <w:color w:val="000000"/>
        </w:rPr>
        <w:t xml:space="preserve">: matrícula no Cadastro Específico do INSS – CEI, que comprove a qualificação como produtor rural pessoa física, nos termos da </w:t>
      </w:r>
      <w:hyperlink r:id="rId25">
        <w:r>
          <w:rPr>
            <w:rFonts w:eastAsia="Arial"/>
            <w:color w:val="000080"/>
            <w:u w:val="single"/>
          </w:rPr>
          <w:t>Instrução Normativa RFB n. 971, de 13 de novembro de 2009</w:t>
        </w:r>
      </w:hyperlink>
      <w:r>
        <w:rPr>
          <w:rFonts w:eastAsia="Arial"/>
          <w:color w:val="000000"/>
        </w:rPr>
        <w:t xml:space="preserve"> (</w:t>
      </w:r>
      <w:proofErr w:type="spellStart"/>
      <w:r>
        <w:rPr>
          <w:rFonts w:eastAsia="Arial"/>
          <w:color w:val="000000"/>
        </w:rPr>
        <w:t>arts</w:t>
      </w:r>
      <w:proofErr w:type="spellEnd"/>
      <w:r>
        <w:rPr>
          <w:rFonts w:eastAsia="Arial"/>
          <w:color w:val="000000"/>
        </w:rPr>
        <w:t>. 17 a 19 e 165).</w:t>
      </w:r>
    </w:p>
    <w:p w14:paraId="6FC28C63" w14:textId="77777777" w:rsidR="00B956AB" w:rsidRPr="0034752C"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Os documentos apresentados deverão estar acompanhados de todas as alterações ou da consolidação respectiva.</w:t>
      </w:r>
    </w:p>
    <w:p w14:paraId="1590A5A8"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709"/>
        <w:jc w:val="both"/>
        <w:rPr>
          <w:rFonts w:eastAsia="Arial"/>
          <w:b/>
          <w:color w:val="000000"/>
        </w:rPr>
      </w:pPr>
      <w:r>
        <w:rPr>
          <w:rFonts w:eastAsia="Arial"/>
          <w:b/>
          <w:color w:val="000000"/>
        </w:rPr>
        <w:t>Habilitação fiscal, social e trabalhista</w:t>
      </w:r>
    </w:p>
    <w:p w14:paraId="692FE2E3"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Prova de inscrição no Cadastro Nacional de Pessoas Jurídicas ou no Cadastro de Pessoas Físicas, conforme o caso;</w:t>
      </w:r>
    </w:p>
    <w:p w14:paraId="6D201BE4"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26">
        <w:r>
          <w:rPr>
            <w:rFonts w:eastAsia="Arial"/>
            <w:color w:val="000080"/>
            <w:u w:val="single"/>
          </w:rPr>
          <w:t>Portaria Conjunta nº 1.751, de 02 de outubro de 2014</w:t>
        </w:r>
      </w:hyperlink>
      <w:r>
        <w:rPr>
          <w:rFonts w:eastAsia="Arial"/>
          <w:color w:val="000000"/>
        </w:rPr>
        <w:t>, do Secretário da Receita Federal do Brasil e da Procuradora-Geral da Fazenda Nacional.</w:t>
      </w:r>
    </w:p>
    <w:p w14:paraId="03DAFC95"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Prova de regularidade com o Fundo de Garantia do Tempo de Serviço (FGTS);</w:t>
      </w:r>
    </w:p>
    <w:p w14:paraId="03189243"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7">
        <w:r>
          <w:rPr>
            <w:rFonts w:eastAsia="Arial"/>
            <w:color w:val="000080"/>
            <w:u w:val="single"/>
          </w:rPr>
          <w:t>Decreto-Lei nº 5.452, de 1º de maio de 1943;</w:t>
        </w:r>
      </w:hyperlink>
    </w:p>
    <w:p w14:paraId="60AFB54E"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rPr>
          <w:rFonts w:eastAsia="Arial"/>
        </w:rPr>
      </w:pPr>
      <w:r>
        <w:rPr>
          <w:rFonts w:eastAsia="Arial"/>
          <w:color w:val="000000"/>
        </w:rPr>
        <w:t xml:space="preserve">Prova de inscrição no cadastro de </w:t>
      </w:r>
      <w:r w:rsidRPr="00D7244D">
        <w:rPr>
          <w:rFonts w:eastAsia="Arial"/>
        </w:rPr>
        <w:t>contribuintes</w:t>
      </w:r>
      <w:r w:rsidRPr="00D7244D">
        <w:rPr>
          <w:rFonts w:eastAsia="Arial"/>
          <w:i/>
        </w:rPr>
        <w:t xml:space="preserve"> municipal </w:t>
      </w:r>
      <w:r w:rsidRPr="00D7244D">
        <w:rPr>
          <w:rFonts w:eastAsia="Arial"/>
        </w:rPr>
        <w:t xml:space="preserve">relativo </w:t>
      </w:r>
      <w:r>
        <w:rPr>
          <w:rFonts w:eastAsia="Arial"/>
          <w:color w:val="000000"/>
        </w:rPr>
        <w:t xml:space="preserve">ao domicílio ou sede do fornecedor, pertinente ao seu ramo de atividade e compatível com o objeto contratual; </w:t>
      </w:r>
    </w:p>
    <w:p w14:paraId="4FCB6E8B"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rPr>
          <w:rFonts w:eastAsia="Arial"/>
        </w:rPr>
      </w:pPr>
      <w:r>
        <w:rPr>
          <w:rFonts w:eastAsia="Arial"/>
          <w:color w:val="000000"/>
        </w:rPr>
        <w:t xml:space="preserve">Prova de regularidade com a </w:t>
      </w:r>
      <w:r w:rsidRPr="00D7244D">
        <w:rPr>
          <w:rFonts w:eastAsia="Arial"/>
        </w:rPr>
        <w:t xml:space="preserve">Fazenda </w:t>
      </w:r>
      <w:r w:rsidRPr="00D7244D">
        <w:rPr>
          <w:rFonts w:eastAsia="Arial"/>
          <w:i/>
        </w:rPr>
        <w:t xml:space="preserve">municipal </w:t>
      </w:r>
      <w:r w:rsidRPr="00D7244D">
        <w:rPr>
          <w:rFonts w:eastAsia="Arial"/>
        </w:rPr>
        <w:t xml:space="preserve">do domicílio </w:t>
      </w:r>
      <w:r>
        <w:rPr>
          <w:rFonts w:eastAsia="Arial"/>
          <w:color w:val="000000"/>
        </w:rPr>
        <w:t>ou sede do fornecedor, relativa à atividade em cujo exercício contrata ou concorre;</w:t>
      </w:r>
    </w:p>
    <w:p w14:paraId="4A5CA8FB"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rPr>
          <w:rFonts w:eastAsia="Arial"/>
        </w:rPr>
      </w:pPr>
      <w:r w:rsidRPr="00D7244D">
        <w:rPr>
          <w:rFonts w:eastAsia="Arial"/>
        </w:rPr>
        <w:t xml:space="preserve">Caso o fornecedor seja considerado isento dos tributos </w:t>
      </w:r>
      <w:r w:rsidRPr="00D7244D">
        <w:rPr>
          <w:rFonts w:eastAsia="Arial"/>
          <w:i/>
        </w:rPr>
        <w:t>municipal ou estadual</w:t>
      </w:r>
      <w:r w:rsidRPr="00D7244D">
        <w:rPr>
          <w:rFonts w:eastAsia="Arial"/>
        </w:rPr>
        <w:t xml:space="preserve"> </w:t>
      </w:r>
      <w:r>
        <w:rPr>
          <w:rFonts w:eastAsia="Arial"/>
          <w:color w:val="000000"/>
        </w:rPr>
        <w:t>relacionados ao objeto contratual, deverá comprovar tal condição mediante a apresentação de declaração da Fazenda respectiva do seu domicílio ou sede, ou outra equivalente, na forma da lei.</w:t>
      </w:r>
    </w:p>
    <w:p w14:paraId="5FCB80E5"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bookmarkStart w:id="8" w:name="_4d34og8" w:colFirst="0" w:colLast="0"/>
      <w:bookmarkEnd w:id="8"/>
      <w:r>
        <w:rPr>
          <w:rFonts w:eastAsia="Arial"/>
          <w:color w:val="000000"/>
        </w:rPr>
        <w:t xml:space="preserve">O fornecedor enquadrado como microempreendedor individual que pretenda auferir os benefícios do tratamento diferenciado previstos na </w:t>
      </w:r>
      <w:hyperlink r:id="rId28">
        <w:r>
          <w:rPr>
            <w:rFonts w:eastAsia="Arial"/>
            <w:color w:val="000080"/>
            <w:u w:val="single"/>
          </w:rPr>
          <w:t>Lei Complementar n. 123, de 2006</w:t>
        </w:r>
      </w:hyperlink>
      <w:r>
        <w:rPr>
          <w:rFonts w:eastAsia="Arial"/>
          <w:color w:val="000000"/>
        </w:rPr>
        <w:t>, estará dispensado da prova de inscrição nos cadastros de contribuintes estadual e municipal.</w:t>
      </w:r>
    </w:p>
    <w:p w14:paraId="1D1CB79F"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709"/>
        <w:jc w:val="both"/>
        <w:rPr>
          <w:rFonts w:eastAsia="Arial"/>
          <w:b/>
          <w:color w:val="000000"/>
        </w:rPr>
      </w:pPr>
      <w:r>
        <w:rPr>
          <w:rFonts w:eastAsia="Arial"/>
          <w:b/>
          <w:color w:val="000000"/>
        </w:rPr>
        <w:t>Qualificação Econômico-Financeira</w:t>
      </w:r>
    </w:p>
    <w:p w14:paraId="71BD0DD9"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 xml:space="preserve">certidão negativa de insolvência civil expedida pelo distribuidor do domicílio ou sede do licitante, caso se trate de pessoa física, desde que admitida a sua participação na licitação, ou de sociedade simples; </w:t>
      </w:r>
    </w:p>
    <w:p w14:paraId="7CC93BC8"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 xml:space="preserve">certidão negativa de falência expedida pelo distribuidor da sede do fornecedor - </w:t>
      </w:r>
      <w:hyperlink r:id="rId29" w:anchor="art69">
        <w:r>
          <w:rPr>
            <w:rFonts w:eastAsia="Arial"/>
            <w:color w:val="000080"/>
            <w:u w:val="single"/>
          </w:rPr>
          <w:t xml:space="preserve">Lei nº 14.133, de 2021, art. 69, </w:t>
        </w:r>
      </w:hyperlink>
      <w:hyperlink r:id="rId30" w:anchor="art69">
        <w:r>
          <w:rPr>
            <w:rFonts w:eastAsia="Arial"/>
            <w:i/>
            <w:color w:val="000080"/>
            <w:u w:val="single"/>
          </w:rPr>
          <w:t>caput</w:t>
        </w:r>
      </w:hyperlink>
      <w:hyperlink r:id="rId31" w:anchor="art69">
        <w:r>
          <w:rPr>
            <w:rFonts w:eastAsia="Arial"/>
            <w:color w:val="000080"/>
            <w:u w:val="single"/>
          </w:rPr>
          <w:t>, inciso II</w:t>
        </w:r>
      </w:hyperlink>
      <w:r>
        <w:rPr>
          <w:rFonts w:eastAsia="Arial"/>
          <w:color w:val="000000"/>
        </w:rPr>
        <w:t>);</w:t>
      </w:r>
    </w:p>
    <w:p w14:paraId="4F0774E5"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C1C5E2A" w14:textId="77777777" w:rsidR="00B956AB" w:rsidRDefault="00B956AB" w:rsidP="00B956AB">
      <w:pPr>
        <w:pBdr>
          <w:top w:val="nil"/>
          <w:left w:val="nil"/>
          <w:bottom w:val="nil"/>
          <w:right w:val="nil"/>
          <w:between w:val="nil"/>
        </w:pBdr>
        <w:spacing w:before="120" w:after="288" w:line="312" w:lineRule="auto"/>
        <w:ind w:firstLine="1701"/>
        <w:jc w:val="both"/>
        <w:rPr>
          <w:rFonts w:eastAsia="Arial"/>
          <w:color w:val="000000"/>
        </w:rPr>
      </w:pPr>
      <w:r>
        <w:rPr>
          <w:rFonts w:eastAsia="Arial"/>
          <w:color w:val="000000"/>
        </w:rPr>
        <w:t>I - Liquidez Geral (LG) = (Ativo Circulante + Realizável a Longo Prazo) / (Passivo Circulante + Passivo Não Circulante);</w:t>
      </w:r>
    </w:p>
    <w:p w14:paraId="17555D75" w14:textId="77777777" w:rsidR="00B956AB" w:rsidRDefault="00B956AB" w:rsidP="00B956AB">
      <w:pPr>
        <w:pBdr>
          <w:top w:val="nil"/>
          <w:left w:val="nil"/>
          <w:bottom w:val="nil"/>
          <w:right w:val="nil"/>
          <w:between w:val="nil"/>
        </w:pBdr>
        <w:spacing w:before="120" w:after="288" w:line="312" w:lineRule="auto"/>
        <w:ind w:firstLine="1701"/>
        <w:jc w:val="both"/>
        <w:rPr>
          <w:rFonts w:eastAsia="Arial"/>
          <w:color w:val="000000"/>
        </w:rPr>
      </w:pPr>
      <w:r>
        <w:rPr>
          <w:rFonts w:eastAsia="Arial"/>
          <w:color w:val="000000"/>
        </w:rPr>
        <w:t>II - Solvência Geral (SG)= (Ativo Total) / (Passivo Circulante +Passivo não Circulante); e</w:t>
      </w:r>
    </w:p>
    <w:p w14:paraId="40EF1012" w14:textId="77777777" w:rsidR="00B956AB" w:rsidRDefault="00B956AB" w:rsidP="00B956AB">
      <w:pPr>
        <w:pBdr>
          <w:top w:val="nil"/>
          <w:left w:val="nil"/>
          <w:bottom w:val="nil"/>
          <w:right w:val="nil"/>
          <w:between w:val="nil"/>
        </w:pBdr>
        <w:spacing w:before="120" w:after="288" w:line="312" w:lineRule="auto"/>
        <w:ind w:left="567" w:firstLine="1134"/>
        <w:jc w:val="both"/>
        <w:rPr>
          <w:rFonts w:eastAsia="Arial"/>
          <w:color w:val="000000"/>
        </w:rPr>
      </w:pPr>
      <w:r>
        <w:rPr>
          <w:rFonts w:eastAsia="Arial"/>
          <w:color w:val="000000"/>
        </w:rPr>
        <w:t>III - Liquidez Corrente (LC) = (Ativo Circulante) / (Passivo Circulante).</w:t>
      </w:r>
    </w:p>
    <w:p w14:paraId="2E484FB7"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lastRenderedPageBreak/>
        <w:t xml:space="preserve">Caso a empresa licitante apresente resultado inferior ou igual a 1 </w:t>
      </w:r>
      <w:r w:rsidRPr="00D7244D">
        <w:rPr>
          <w:rFonts w:eastAsia="Arial"/>
        </w:rPr>
        <w:t>(um) em qualquer dos índices de Liquidez Geral (LG), Solvência Geral (SG) e Liquidez Corrente (LC), será exigido para fins de habilitação capital mínimo de 10% do valor total estimado da parcela pertinente.</w:t>
      </w:r>
    </w:p>
    <w:p w14:paraId="2726FCC5"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As empresas criadas no exercício financeiro da licitação deverão atender a todas as exigências da habilitação e poderão substituir os demonstrativos contábeis pelo balanço de abertura. (</w:t>
      </w:r>
      <w:hyperlink r:id="rId32" w:anchor="art65%C2%A71">
        <w:r>
          <w:rPr>
            <w:rFonts w:eastAsia="Arial"/>
            <w:color w:val="000080"/>
            <w:u w:val="single"/>
          </w:rPr>
          <w:t>Lei nº 14.133, de 2021, art. 65, §1º</w:t>
        </w:r>
      </w:hyperlink>
      <w:r>
        <w:rPr>
          <w:rFonts w:eastAsia="Arial"/>
          <w:color w:val="000000"/>
        </w:rPr>
        <w:t>).</w:t>
      </w:r>
    </w:p>
    <w:p w14:paraId="1DBBCA84"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O balanço patrimonial, demonstração de resultado de exercício e demais demonstrações contábeis limitar-se-ão ao último exercício no caso de a pessoa jurídica ter sido constituída há menos de 2 (dois) anos. (</w:t>
      </w:r>
      <w:hyperlink r:id="rId33" w:anchor="art69%C2%A76">
        <w:r>
          <w:rPr>
            <w:rFonts w:eastAsia="Arial"/>
            <w:color w:val="000080"/>
            <w:u w:val="single"/>
          </w:rPr>
          <w:t>Lei nº 14.133, de 2021, art. 69, §6º</w:t>
        </w:r>
      </w:hyperlink>
      <w:r>
        <w:rPr>
          <w:rFonts w:eastAsia="Arial"/>
          <w:color w:val="000000"/>
        </w:rPr>
        <w:t>)</w:t>
      </w:r>
    </w:p>
    <w:p w14:paraId="4854DF3A" w14:textId="77777777" w:rsidR="00B956AB" w:rsidRPr="00D7244D" w:rsidRDefault="00B956AB" w:rsidP="00B956AB">
      <w:pPr>
        <w:numPr>
          <w:ilvl w:val="1"/>
          <w:numId w:val="43"/>
        </w:numPr>
        <w:pBdr>
          <w:top w:val="nil"/>
          <w:left w:val="nil"/>
          <w:bottom w:val="nil"/>
          <w:right w:val="nil"/>
          <w:between w:val="nil"/>
        </w:pBdr>
        <w:spacing w:before="120" w:after="288" w:line="312" w:lineRule="auto"/>
        <w:ind w:left="0" w:firstLine="1701"/>
        <w:jc w:val="both"/>
      </w:pPr>
      <w:r w:rsidRPr="00D7244D">
        <w:rPr>
          <w:rFonts w:eastAsia="Arial"/>
          <w:i/>
        </w:rPr>
        <w:t>O atendimento dos índices econômicos previstos neste item deverá ser atestado mediante declaração assinada por profissional habilitado da área contábil, apresentada pelo fornecedor.</w:t>
      </w:r>
    </w:p>
    <w:p w14:paraId="7B049387" w14:textId="77777777" w:rsidR="00B956AB" w:rsidRDefault="00B956AB" w:rsidP="00B956AB">
      <w:pPr>
        <w:keepNext/>
        <w:keepLines/>
        <w:pBdr>
          <w:top w:val="nil"/>
          <w:left w:val="nil"/>
          <w:bottom w:val="nil"/>
          <w:right w:val="nil"/>
          <w:between w:val="nil"/>
        </w:pBdr>
        <w:tabs>
          <w:tab w:val="left" w:pos="567"/>
        </w:tabs>
        <w:spacing w:before="120" w:after="288" w:line="312" w:lineRule="auto"/>
        <w:ind w:firstLine="709"/>
        <w:jc w:val="both"/>
        <w:rPr>
          <w:rFonts w:eastAsia="Arial"/>
          <w:b/>
          <w:color w:val="000000"/>
        </w:rPr>
      </w:pPr>
      <w:r>
        <w:rPr>
          <w:rFonts w:eastAsia="Arial"/>
          <w:b/>
          <w:color w:val="000000"/>
        </w:rPr>
        <w:t>Qualificação Técnica</w:t>
      </w:r>
    </w:p>
    <w:p w14:paraId="799C8B9D" w14:textId="77777777" w:rsidR="00B956AB" w:rsidRPr="00D7244D" w:rsidRDefault="00B956AB" w:rsidP="00B956AB">
      <w:pPr>
        <w:numPr>
          <w:ilvl w:val="1"/>
          <w:numId w:val="43"/>
        </w:numPr>
        <w:pBdr>
          <w:top w:val="nil"/>
          <w:left w:val="nil"/>
          <w:bottom w:val="nil"/>
          <w:right w:val="nil"/>
          <w:between w:val="nil"/>
        </w:pBdr>
        <w:spacing w:before="120" w:after="288" w:line="312" w:lineRule="auto"/>
        <w:ind w:left="0" w:firstLine="1701"/>
        <w:jc w:val="both"/>
      </w:pPr>
      <w:r w:rsidRPr="00D7244D">
        <w:rPr>
          <w:rFonts w:eastAsia="Arial"/>
          <w:i/>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5A503B2" w14:textId="77777777" w:rsidR="00B956AB" w:rsidRPr="00D7244D" w:rsidRDefault="00B956AB" w:rsidP="00B956AB">
      <w:pPr>
        <w:numPr>
          <w:ilvl w:val="2"/>
          <w:numId w:val="43"/>
        </w:numPr>
        <w:pBdr>
          <w:top w:val="nil"/>
          <w:left w:val="nil"/>
          <w:bottom w:val="nil"/>
          <w:right w:val="nil"/>
          <w:between w:val="nil"/>
        </w:pBdr>
        <w:spacing w:before="120" w:after="288" w:line="312" w:lineRule="auto"/>
        <w:ind w:left="0" w:firstLine="2694"/>
        <w:jc w:val="both"/>
      </w:pPr>
      <w:r w:rsidRPr="00D7244D">
        <w:rPr>
          <w:rFonts w:eastAsia="Arial"/>
          <w:i/>
        </w:rPr>
        <w:t>Será admitida, para fins de comprovação de quantitativo mínimo, a apresentação e o somatório de diferentes atestados executados de forma concomitante.</w:t>
      </w:r>
    </w:p>
    <w:p w14:paraId="268B684E" w14:textId="77777777" w:rsidR="00B956AB" w:rsidRPr="00D7244D" w:rsidRDefault="00B956AB" w:rsidP="00B956AB">
      <w:pPr>
        <w:numPr>
          <w:ilvl w:val="2"/>
          <w:numId w:val="43"/>
        </w:numPr>
        <w:pBdr>
          <w:top w:val="nil"/>
          <w:left w:val="nil"/>
          <w:bottom w:val="nil"/>
          <w:right w:val="nil"/>
          <w:between w:val="nil"/>
        </w:pBdr>
        <w:spacing w:before="120" w:after="288" w:line="312" w:lineRule="auto"/>
        <w:ind w:left="0" w:firstLine="2694"/>
        <w:jc w:val="both"/>
      </w:pPr>
      <w:r w:rsidRPr="00D7244D">
        <w:rPr>
          <w:rFonts w:eastAsia="Arial"/>
          <w:i/>
        </w:rPr>
        <w:t>Os atestados de capacidade técnica poderão ser apresentados em nome da matriz ou da filial do fornecedor.</w:t>
      </w:r>
    </w:p>
    <w:p w14:paraId="4D2D4B5B" w14:textId="77777777" w:rsidR="00B956AB" w:rsidRPr="00D7244D" w:rsidRDefault="00B956AB" w:rsidP="00B956AB">
      <w:pPr>
        <w:numPr>
          <w:ilvl w:val="2"/>
          <w:numId w:val="43"/>
        </w:numPr>
        <w:pBdr>
          <w:top w:val="nil"/>
          <w:left w:val="nil"/>
          <w:bottom w:val="nil"/>
          <w:right w:val="nil"/>
          <w:between w:val="nil"/>
        </w:pBdr>
        <w:spacing w:before="120" w:after="288" w:line="312" w:lineRule="auto"/>
        <w:ind w:left="0" w:firstLine="2694"/>
        <w:jc w:val="both"/>
      </w:pPr>
      <w:r w:rsidRPr="00D7244D">
        <w:rPr>
          <w:rFonts w:eastAsia="Arial"/>
          <w: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DB0C5C9" w14:textId="77777777" w:rsidR="00B956AB" w:rsidRDefault="00B956AB" w:rsidP="00B956AB">
      <w:pPr>
        <w:numPr>
          <w:ilvl w:val="1"/>
          <w:numId w:val="43"/>
        </w:numPr>
        <w:pBdr>
          <w:top w:val="nil"/>
          <w:left w:val="nil"/>
          <w:bottom w:val="nil"/>
          <w:right w:val="nil"/>
          <w:between w:val="nil"/>
        </w:pBdr>
        <w:spacing w:before="120" w:after="288" w:line="312" w:lineRule="auto"/>
        <w:ind w:left="0" w:firstLine="1701"/>
        <w:jc w:val="both"/>
      </w:pPr>
      <w:r>
        <w:rPr>
          <w:rFonts w:eastAsia="Arial"/>
          <w:color w:val="000000"/>
        </w:rPr>
        <w:t>Caso admitida a participação de cooperativas, será exigida a seguinte documentação complementar:</w:t>
      </w:r>
    </w:p>
    <w:p w14:paraId="61A0A727"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4" w:anchor="art4">
        <w:proofErr w:type="spellStart"/>
        <w:r>
          <w:rPr>
            <w:rFonts w:eastAsia="Arial"/>
            <w:color w:val="000080"/>
            <w:u w:val="single"/>
          </w:rPr>
          <w:t>arts</w:t>
        </w:r>
        <w:proofErr w:type="spellEnd"/>
        <w:r>
          <w:rPr>
            <w:rFonts w:eastAsia="Arial"/>
            <w:color w:val="000080"/>
            <w:u w:val="single"/>
          </w:rPr>
          <w:t>. 4º, inciso XI, 21, inciso I e 42, §§2º a 6º da Lei n. 5.764, de 1971</w:t>
        </w:r>
      </w:hyperlink>
      <w:r>
        <w:rPr>
          <w:rFonts w:eastAsia="Arial"/>
          <w:color w:val="000000"/>
        </w:rPr>
        <w:t>;</w:t>
      </w:r>
    </w:p>
    <w:p w14:paraId="6B397C06"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t>A declaração de regularidade de situação do contribuinte individual – DRSCI, para cada um dos cooperados indicados;</w:t>
      </w:r>
    </w:p>
    <w:p w14:paraId="1757F1DC"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lastRenderedPageBreak/>
        <w:t xml:space="preserve">A comprovação do capital social proporcional ao número de cooperados necessários à prestação do serviço; </w:t>
      </w:r>
    </w:p>
    <w:p w14:paraId="23E64C2E" w14:textId="77777777" w:rsidR="00B956AB" w:rsidRDefault="00B956AB" w:rsidP="00B956AB">
      <w:pPr>
        <w:numPr>
          <w:ilvl w:val="2"/>
          <w:numId w:val="43"/>
        </w:numPr>
        <w:pBdr>
          <w:top w:val="nil"/>
          <w:left w:val="nil"/>
          <w:bottom w:val="nil"/>
          <w:right w:val="nil"/>
          <w:between w:val="nil"/>
        </w:pBdr>
        <w:spacing w:before="120" w:after="288" w:line="312" w:lineRule="auto"/>
        <w:ind w:hanging="158"/>
        <w:jc w:val="both"/>
      </w:pPr>
      <w:r>
        <w:rPr>
          <w:rFonts w:eastAsia="Arial"/>
          <w:color w:val="000000"/>
        </w:rPr>
        <w:t xml:space="preserve">O registro previsto na </w:t>
      </w:r>
      <w:hyperlink r:id="rId35">
        <w:r>
          <w:rPr>
            <w:rFonts w:eastAsia="Arial"/>
            <w:color w:val="000080"/>
            <w:u w:val="single"/>
          </w:rPr>
          <w:t>Lei n. 5.764, de 1971, art. 107</w:t>
        </w:r>
      </w:hyperlink>
      <w:r>
        <w:rPr>
          <w:rFonts w:eastAsia="Arial"/>
          <w:color w:val="000000"/>
        </w:rPr>
        <w:t>;</w:t>
      </w:r>
    </w:p>
    <w:p w14:paraId="55055095"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t xml:space="preserve"> A comprovação de integração das respectivas quotas-partes por parte dos cooperados que executarão o contrato;</w:t>
      </w:r>
    </w:p>
    <w:p w14:paraId="47F15618"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080BB20" w14:textId="77777777" w:rsidR="00B956AB" w:rsidRDefault="00B956AB" w:rsidP="00B956AB">
      <w:pPr>
        <w:numPr>
          <w:ilvl w:val="2"/>
          <w:numId w:val="43"/>
        </w:numPr>
        <w:pBdr>
          <w:top w:val="nil"/>
          <w:left w:val="nil"/>
          <w:bottom w:val="nil"/>
          <w:right w:val="nil"/>
          <w:between w:val="nil"/>
        </w:pBdr>
        <w:spacing w:before="120" w:after="288" w:line="312" w:lineRule="auto"/>
        <w:ind w:left="0" w:firstLine="2694"/>
        <w:jc w:val="both"/>
      </w:pPr>
      <w:r>
        <w:rPr>
          <w:rFonts w:eastAsia="Arial"/>
          <w:color w:val="000000"/>
        </w:rPr>
        <w:t xml:space="preserve">A última auditoria contábil-financeira da cooperativa, conforme dispõe o </w:t>
      </w:r>
      <w:hyperlink r:id="rId36" w:anchor="art112">
        <w:r>
          <w:rPr>
            <w:rFonts w:eastAsia="Arial"/>
            <w:color w:val="000080"/>
            <w:u w:val="single"/>
          </w:rPr>
          <w:t>art. 112 da Lei n. 5.764, de 1971</w:t>
        </w:r>
      </w:hyperlink>
      <w:r>
        <w:rPr>
          <w:rFonts w:eastAsia="Arial"/>
          <w:color w:val="000000"/>
        </w:rPr>
        <w:t>, ou uma declaração, sob as penas da lei, de que tal auditoria não foi exigida pelo órgão fiscalizador</w:t>
      </w:r>
    </w:p>
    <w:p w14:paraId="35977D63" w14:textId="77777777" w:rsidR="00B956AB" w:rsidRPr="00082E40" w:rsidRDefault="00B956AB" w:rsidP="00B956AB">
      <w:pPr>
        <w:keepNext/>
        <w:keepLines/>
        <w:numPr>
          <w:ilvl w:val="0"/>
          <w:numId w:val="43"/>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ESTIMATIVAS DO VALOR DA CONTRATAÇÃO</w:t>
      </w:r>
    </w:p>
    <w:p w14:paraId="0FB212BD" w14:textId="77777777" w:rsidR="00B956AB" w:rsidRPr="00E32C0A" w:rsidRDefault="00B956AB" w:rsidP="00B956AB">
      <w:pPr>
        <w:numPr>
          <w:ilvl w:val="1"/>
          <w:numId w:val="43"/>
        </w:numPr>
        <w:pBdr>
          <w:top w:val="nil"/>
          <w:left w:val="nil"/>
          <w:bottom w:val="nil"/>
          <w:right w:val="nil"/>
          <w:between w:val="nil"/>
        </w:pBdr>
        <w:spacing w:before="120" w:after="288" w:line="312" w:lineRule="auto"/>
        <w:ind w:left="142" w:firstLine="1566"/>
        <w:jc w:val="both"/>
      </w:pPr>
      <w:r w:rsidRPr="00E32C0A">
        <w:rPr>
          <w:rFonts w:eastAsia="Arial"/>
          <w:i/>
        </w:rPr>
        <w:t xml:space="preserve">O custo estimado da contratação possui caráter sigiloso e será tornado público apenas e imediatamente após o julgamento das propostas. </w:t>
      </w:r>
    </w:p>
    <w:p w14:paraId="3D8592FC" w14:textId="77777777" w:rsidR="00B956AB" w:rsidRPr="00082E40" w:rsidRDefault="00B956AB" w:rsidP="00B956AB">
      <w:pPr>
        <w:keepNext/>
        <w:keepLines/>
        <w:numPr>
          <w:ilvl w:val="0"/>
          <w:numId w:val="43"/>
        </w:numPr>
        <w:pBdr>
          <w:top w:val="nil"/>
          <w:left w:val="nil"/>
          <w:bottom w:val="nil"/>
          <w:right w:val="nil"/>
          <w:between w:val="nil"/>
        </w:pBdr>
        <w:tabs>
          <w:tab w:val="left" w:pos="567"/>
        </w:tabs>
        <w:spacing w:before="120" w:after="288" w:line="312" w:lineRule="auto"/>
        <w:ind w:left="0" w:firstLine="0"/>
        <w:jc w:val="both"/>
        <w:rPr>
          <w:rFonts w:eastAsia="Arial"/>
          <w:b/>
          <w:color w:val="000000"/>
        </w:rPr>
      </w:pPr>
      <w:r>
        <w:rPr>
          <w:rFonts w:eastAsia="Arial"/>
          <w:b/>
          <w:color w:val="000000"/>
        </w:rPr>
        <w:t>ADEQUAÇÃO ORÇAMENTÁRIA</w:t>
      </w:r>
    </w:p>
    <w:p w14:paraId="48649B79" w14:textId="77777777" w:rsidR="00B956AB" w:rsidRDefault="00B956AB" w:rsidP="00B956AB">
      <w:pPr>
        <w:numPr>
          <w:ilvl w:val="1"/>
          <w:numId w:val="43"/>
        </w:numPr>
        <w:pBdr>
          <w:top w:val="nil"/>
          <w:left w:val="nil"/>
          <w:bottom w:val="nil"/>
          <w:right w:val="nil"/>
          <w:between w:val="nil"/>
        </w:pBdr>
        <w:spacing w:before="120" w:after="288" w:line="312" w:lineRule="auto"/>
        <w:ind w:left="142" w:firstLine="1566"/>
        <w:jc w:val="both"/>
      </w:pPr>
      <w:r>
        <w:rPr>
          <w:rFonts w:eastAsia="Arial"/>
          <w:color w:val="000000"/>
        </w:rPr>
        <w:t>As despesas decorrentes da presente contratação correrão à conta de recursos específicos consignados no Orçamento do Município de Maravilhas</w:t>
      </w:r>
    </w:p>
    <w:p w14:paraId="56AD4733" w14:textId="77777777" w:rsidR="00B956AB" w:rsidRDefault="00B956AB" w:rsidP="00B956AB">
      <w:pPr>
        <w:numPr>
          <w:ilvl w:val="1"/>
          <w:numId w:val="43"/>
        </w:numPr>
        <w:pBdr>
          <w:top w:val="nil"/>
          <w:left w:val="nil"/>
          <w:bottom w:val="nil"/>
          <w:right w:val="nil"/>
          <w:between w:val="nil"/>
        </w:pBdr>
        <w:spacing w:before="120" w:after="288" w:line="312" w:lineRule="auto"/>
        <w:ind w:firstLine="709"/>
        <w:jc w:val="both"/>
      </w:pPr>
      <w:r>
        <w:rPr>
          <w:rFonts w:eastAsia="Arial"/>
          <w:color w:val="000000"/>
        </w:rPr>
        <w:t>A contratação será atendida pela seguinte dotação:</w:t>
      </w:r>
    </w:p>
    <w:p w14:paraId="50914BFD" w14:textId="77777777" w:rsidR="00B956AB" w:rsidRDefault="00B956AB" w:rsidP="00B956AB">
      <w:pPr>
        <w:pBdr>
          <w:top w:val="nil"/>
          <w:left w:val="nil"/>
          <w:bottom w:val="nil"/>
          <w:right w:val="nil"/>
          <w:between w:val="nil"/>
        </w:pBdr>
        <w:spacing w:after="288" w:line="312" w:lineRule="auto"/>
        <w:ind w:left="1701"/>
        <w:jc w:val="both"/>
        <w:rPr>
          <w:rFonts w:eastAsia="Arial"/>
          <w:color w:val="000000"/>
        </w:rPr>
      </w:pPr>
      <w:r>
        <w:rPr>
          <w:rFonts w:eastAsia="Arial"/>
          <w:color w:val="000000"/>
        </w:rPr>
        <w:t>Ficha 258, 276, 290, 299, 337 e 344. Fonte 1.621.000.0000, 2.621.000.0000 e 1.500.000.1002.</w:t>
      </w:r>
    </w:p>
    <w:p w14:paraId="711D084B" w14:textId="77777777" w:rsidR="00B956AB" w:rsidRPr="00813FDB" w:rsidRDefault="00B956AB" w:rsidP="00B956AB">
      <w:pPr>
        <w:keepNext/>
        <w:keepLines/>
        <w:numPr>
          <w:ilvl w:val="0"/>
          <w:numId w:val="43"/>
        </w:numPr>
        <w:pBdr>
          <w:top w:val="nil"/>
          <w:left w:val="nil"/>
          <w:bottom w:val="nil"/>
          <w:right w:val="nil"/>
          <w:between w:val="nil"/>
        </w:pBdr>
        <w:tabs>
          <w:tab w:val="left" w:pos="567"/>
        </w:tabs>
        <w:spacing w:before="120" w:after="288" w:line="312" w:lineRule="auto"/>
        <w:ind w:left="0" w:firstLine="0"/>
        <w:jc w:val="both"/>
        <w:rPr>
          <w:rFonts w:eastAsia="Arial"/>
          <w:b/>
          <w:color w:val="000000"/>
        </w:rPr>
      </w:pPr>
      <w:bookmarkStart w:id="9" w:name="_Toc115335372"/>
      <w:r w:rsidRPr="00813FDB">
        <w:rPr>
          <w:rFonts w:eastAsia="Arial"/>
          <w:b/>
          <w:color w:val="000000"/>
        </w:rPr>
        <w:t>DA PUBLICIDADE</w:t>
      </w:r>
      <w:bookmarkEnd w:id="9"/>
    </w:p>
    <w:p w14:paraId="01D407DB" w14:textId="77777777" w:rsidR="00B956AB" w:rsidRPr="003D40FB" w:rsidRDefault="00B956AB" w:rsidP="00B956AB">
      <w:pPr>
        <w:numPr>
          <w:ilvl w:val="1"/>
          <w:numId w:val="43"/>
        </w:numPr>
        <w:pBdr>
          <w:top w:val="nil"/>
          <w:left w:val="nil"/>
          <w:bottom w:val="nil"/>
          <w:right w:val="nil"/>
          <w:between w:val="nil"/>
        </w:pBdr>
        <w:spacing w:before="120" w:after="288" w:line="312" w:lineRule="auto"/>
        <w:ind w:left="142" w:firstLine="1566"/>
        <w:jc w:val="both"/>
        <w:rPr>
          <w:rFonts w:eastAsia="Arial"/>
          <w:color w:val="000000"/>
        </w:rPr>
      </w:pPr>
      <w:r w:rsidRPr="00813FDB">
        <w:rPr>
          <w:rFonts w:eastAsia="Arial"/>
          <w:color w:val="000000"/>
        </w:rPr>
        <w:t>O extrato do contrato oriundo deste instrumento será publicado no</w:t>
      </w:r>
      <w:r>
        <w:rPr>
          <w:rFonts w:eastAsia="Arial"/>
          <w:color w:val="000000"/>
        </w:rPr>
        <w:t xml:space="preserve"> site oficial “maravilhas.mg.gov.br”.</w:t>
      </w:r>
    </w:p>
    <w:p w14:paraId="15CF45CE" w14:textId="1516B165" w:rsidR="00583A8E" w:rsidRPr="00B956AB" w:rsidRDefault="00B956AB" w:rsidP="00B956AB">
      <w:pPr>
        <w:numPr>
          <w:ilvl w:val="1"/>
          <w:numId w:val="43"/>
        </w:numPr>
        <w:pBdr>
          <w:top w:val="nil"/>
          <w:left w:val="nil"/>
          <w:bottom w:val="nil"/>
          <w:right w:val="nil"/>
          <w:between w:val="nil"/>
        </w:pBdr>
        <w:spacing w:before="120" w:after="288" w:line="312" w:lineRule="auto"/>
        <w:ind w:left="142" w:firstLine="1566"/>
        <w:jc w:val="both"/>
        <w:rPr>
          <w:rFonts w:eastAsia="Arial"/>
          <w:color w:val="000000"/>
        </w:rPr>
      </w:pPr>
      <w:bookmarkStart w:id="10" w:name="_Hlk111536178"/>
      <w:r w:rsidRPr="00813FDB">
        <w:rPr>
          <w:rFonts w:eastAsia="Arial"/>
          <w:color w:val="000000"/>
        </w:rPr>
        <w:t>A CONTRATADA deverá declarar para os devidos fins que está ciente que a íntegra do contrato, bem como de eventual Termo Aditivo, será publicada</w:t>
      </w:r>
      <w:r>
        <w:rPr>
          <w:rFonts w:eastAsia="Arial"/>
          <w:color w:val="000000"/>
        </w:rPr>
        <w:t xml:space="preserve"> no Portal da </w:t>
      </w:r>
      <w:r w:rsidRPr="00813FDB">
        <w:rPr>
          <w:rFonts w:eastAsia="Arial"/>
          <w:color w:val="000000"/>
        </w:rPr>
        <w:t>Pref</w:t>
      </w:r>
      <w:r>
        <w:rPr>
          <w:rFonts w:eastAsia="Arial"/>
          <w:color w:val="000000"/>
        </w:rPr>
        <w:t xml:space="preserve">eitura Municipal </w:t>
      </w:r>
      <w:r w:rsidRPr="00813FDB">
        <w:rPr>
          <w:rFonts w:eastAsia="Arial"/>
          <w:color w:val="000000"/>
        </w:rPr>
        <w:t>e que tal publicação não fere nenhum dispositivo da Lei Federal nº 13.709/2018, Lei Geral de Proteção de Dados Pessoais (LGDP).</w:t>
      </w:r>
      <w:bookmarkEnd w:id="10"/>
    </w:p>
    <w:p w14:paraId="1235C683" w14:textId="4FFEBE3A" w:rsidR="00583A8E" w:rsidRDefault="00B956AB">
      <w:pPr>
        <w:spacing w:line="360" w:lineRule="auto"/>
        <w:contextualSpacing/>
        <w:rPr>
          <w:noProof/>
        </w:rPr>
      </w:pPr>
      <w:r>
        <w:rPr>
          <w:noProof/>
        </w:rPr>
        <w:lastRenderedPageBreak/>
        <w:drawing>
          <wp:inline distT="0" distB="0" distL="0" distR="0" wp14:anchorId="7AD4995F" wp14:editId="23271260">
            <wp:extent cx="5948226" cy="7713891"/>
            <wp:effectExtent l="0" t="0" r="0" b="1905"/>
            <wp:docPr id="4300168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16888" name=""/>
                    <pic:cNvPicPr/>
                  </pic:nvPicPr>
                  <pic:blipFill rotWithShape="1">
                    <a:blip r:embed="rId37"/>
                    <a:srcRect l="41036" t="21262" r="26422"/>
                    <a:stretch/>
                  </pic:blipFill>
                  <pic:spPr bwMode="auto">
                    <a:xfrm>
                      <a:off x="0" y="0"/>
                      <a:ext cx="5948226" cy="7713891"/>
                    </a:xfrm>
                    <a:prstGeom prst="rect">
                      <a:avLst/>
                    </a:prstGeom>
                    <a:ln>
                      <a:noFill/>
                    </a:ln>
                    <a:extLst>
                      <a:ext uri="{53640926-AAD7-44D8-BBD7-CCE9431645EC}">
                        <a14:shadowObscured xmlns:a14="http://schemas.microsoft.com/office/drawing/2010/main"/>
                      </a:ext>
                    </a:extLst>
                  </pic:spPr>
                </pic:pic>
              </a:graphicData>
            </a:graphic>
          </wp:inline>
        </w:drawing>
      </w:r>
    </w:p>
    <w:p w14:paraId="38F6E2C5" w14:textId="77777777" w:rsidR="002A222A" w:rsidRDefault="002A222A">
      <w:pPr>
        <w:spacing w:line="360" w:lineRule="auto"/>
        <w:contextualSpacing/>
        <w:rPr>
          <w:noProof/>
        </w:rPr>
      </w:pPr>
    </w:p>
    <w:p w14:paraId="33816B62" w14:textId="77777777" w:rsidR="00583A8E" w:rsidRDefault="00583A8E">
      <w:pPr>
        <w:spacing w:line="360" w:lineRule="auto"/>
        <w:contextualSpacing/>
        <w:rPr>
          <w:noProof/>
        </w:rPr>
      </w:pPr>
    </w:p>
    <w:p w14:paraId="4EF7312D" w14:textId="77777777" w:rsidR="00034CCE" w:rsidRDefault="00034CCE">
      <w:pPr>
        <w:spacing w:line="360" w:lineRule="auto"/>
        <w:contextualSpacing/>
        <w:rPr>
          <w:rFonts w:ascii="Bookman Old Style" w:hAnsi="Bookman Old Style" w:cs="Bookman Old Style"/>
          <w:sz w:val="16"/>
          <w:szCs w:val="16"/>
        </w:rPr>
      </w:pPr>
    </w:p>
    <w:sectPr w:rsidR="00034CCE">
      <w:headerReference w:type="default" r:id="rId38"/>
      <w:footerReference w:type="default" r:id="rId39"/>
      <w:pgSz w:w="11906" w:h="16838"/>
      <w:pgMar w:top="1701"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E18CA" w14:textId="77777777" w:rsidR="00AD3D23" w:rsidRDefault="00AD3D23">
      <w:r>
        <w:separator/>
      </w:r>
    </w:p>
  </w:endnote>
  <w:endnote w:type="continuationSeparator" w:id="0">
    <w:p w14:paraId="0B421C1C" w14:textId="77777777" w:rsidR="00AD3D23" w:rsidRDefault="00AD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14B3" w14:textId="77777777" w:rsidR="004702D1" w:rsidRPr="004702D1" w:rsidRDefault="004702D1">
    <w:pPr>
      <w:pStyle w:val="Rodap"/>
      <w:jc w:val="center"/>
    </w:pPr>
    <w:r w:rsidRPr="004702D1">
      <w:t xml:space="preserve">Página </w:t>
    </w:r>
    <w:r w:rsidRPr="004702D1">
      <w:fldChar w:fldCharType="begin"/>
    </w:r>
    <w:r w:rsidRPr="004702D1">
      <w:instrText>PAGE  \* Arabic  \* MERGEFORMAT</w:instrText>
    </w:r>
    <w:r w:rsidRPr="004702D1">
      <w:fldChar w:fldCharType="separate"/>
    </w:r>
    <w:r w:rsidR="00673109">
      <w:rPr>
        <w:noProof/>
      </w:rPr>
      <w:t>11</w:t>
    </w:r>
    <w:r w:rsidRPr="004702D1">
      <w:fldChar w:fldCharType="end"/>
    </w:r>
    <w:r w:rsidRPr="004702D1">
      <w:t xml:space="preserve"> de </w:t>
    </w:r>
    <w:r w:rsidRPr="004702D1">
      <w:fldChar w:fldCharType="begin"/>
    </w:r>
    <w:r w:rsidRPr="004702D1">
      <w:instrText>NUMPAGES \ * Arábico \ * MERGEFORMAT</w:instrText>
    </w:r>
    <w:r w:rsidRPr="004702D1">
      <w:fldChar w:fldCharType="separate"/>
    </w:r>
    <w:r w:rsidR="00673109">
      <w:rPr>
        <w:noProof/>
      </w:rPr>
      <w:t>11</w:t>
    </w:r>
    <w:r w:rsidRPr="004702D1">
      <w:fldChar w:fldCharType="end"/>
    </w:r>
  </w:p>
  <w:p w14:paraId="7432E89F" w14:textId="77777777" w:rsidR="004702D1" w:rsidRDefault="004702D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D134" w14:textId="77777777" w:rsidR="00AD3D23" w:rsidRDefault="00AD3D23">
      <w:r>
        <w:separator/>
      </w:r>
    </w:p>
  </w:footnote>
  <w:footnote w:type="continuationSeparator" w:id="0">
    <w:p w14:paraId="16189106" w14:textId="77777777" w:rsidR="00AD3D23" w:rsidRDefault="00AD3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5AFA" w14:textId="77777777" w:rsidR="00760DD8" w:rsidRPr="00716441" w:rsidRDefault="00760DD8" w:rsidP="00760DD8">
    <w:pPr>
      <w:pStyle w:val="Cabealho"/>
      <w:jc w:val="center"/>
      <w:rPr>
        <w:rFonts w:ascii="Times New Roman" w:hAnsi="Times New Roman" w:cs="Times New Roman"/>
        <w:b/>
        <w:sz w:val="28"/>
        <w:szCs w:val="28"/>
        <w:u w:val="single"/>
      </w:rPr>
    </w:pPr>
    <w:r w:rsidRPr="00716441">
      <w:rPr>
        <w:rFonts w:ascii="Times New Roman" w:hAnsi="Times New Roman" w:cs="Times New Roman"/>
        <w:noProof/>
        <w:sz w:val="28"/>
        <w:szCs w:val="28"/>
      </w:rPr>
      <w:drawing>
        <wp:anchor distT="0" distB="0" distL="114300" distR="114300" simplePos="0" relativeHeight="251660288" behindDoc="0" locked="0" layoutInCell="1" allowOverlap="1" wp14:anchorId="6B88E9A1" wp14:editId="7E77BB59">
          <wp:simplePos x="0" y="0"/>
          <wp:positionH relativeFrom="column">
            <wp:posOffset>5244465</wp:posOffset>
          </wp:positionH>
          <wp:positionV relativeFrom="paragraph">
            <wp:posOffset>-291465</wp:posOffset>
          </wp:positionV>
          <wp:extent cx="843280" cy="1104900"/>
          <wp:effectExtent l="0" t="0" r="0" b="0"/>
          <wp:wrapNone/>
          <wp:docPr id="11085389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1104900"/>
                  </a:xfrm>
                  <a:prstGeom prst="rect">
                    <a:avLst/>
                  </a:prstGeom>
                  <a:noFill/>
                </pic:spPr>
              </pic:pic>
            </a:graphicData>
          </a:graphic>
          <wp14:sizeRelH relativeFrom="page">
            <wp14:pctWidth>0</wp14:pctWidth>
          </wp14:sizeRelH>
          <wp14:sizeRelV relativeFrom="page">
            <wp14:pctHeight>0</wp14:pctHeight>
          </wp14:sizeRelV>
        </wp:anchor>
      </w:drawing>
    </w:r>
    <w:r w:rsidRPr="00716441">
      <w:rPr>
        <w:rFonts w:ascii="Times New Roman" w:hAnsi="Times New Roman" w:cs="Times New Roman"/>
        <w:noProof/>
        <w:sz w:val="28"/>
        <w:szCs w:val="28"/>
      </w:rPr>
      <w:drawing>
        <wp:anchor distT="0" distB="0" distL="114300" distR="114300" simplePos="0" relativeHeight="251659264" behindDoc="0" locked="0" layoutInCell="1" allowOverlap="1" wp14:anchorId="525B3AE5" wp14:editId="10EF3CE2">
          <wp:simplePos x="0" y="0"/>
          <wp:positionH relativeFrom="column">
            <wp:posOffset>-675005</wp:posOffset>
          </wp:positionH>
          <wp:positionV relativeFrom="paragraph">
            <wp:posOffset>-289560</wp:posOffset>
          </wp:positionV>
          <wp:extent cx="1105535" cy="1057275"/>
          <wp:effectExtent l="0" t="0" r="0" b="9525"/>
          <wp:wrapNone/>
          <wp:docPr id="34613470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535" cy="1057275"/>
                  </a:xfrm>
                  <a:prstGeom prst="rect">
                    <a:avLst/>
                  </a:prstGeom>
                  <a:noFill/>
                </pic:spPr>
              </pic:pic>
            </a:graphicData>
          </a:graphic>
          <wp14:sizeRelH relativeFrom="page">
            <wp14:pctWidth>0</wp14:pctWidth>
          </wp14:sizeRelH>
          <wp14:sizeRelV relativeFrom="page">
            <wp14:pctHeight>0</wp14:pctHeight>
          </wp14:sizeRelV>
        </wp:anchor>
      </w:drawing>
    </w:r>
    <w:r w:rsidRPr="00716441">
      <w:rPr>
        <w:rFonts w:ascii="Times New Roman" w:hAnsi="Times New Roman" w:cs="Times New Roman"/>
        <w:b/>
        <w:sz w:val="28"/>
        <w:szCs w:val="28"/>
        <w:u w:val="single"/>
      </w:rPr>
      <w:t>PREFEITURA MUNICIPAL DE MARAVILHAS</w:t>
    </w:r>
  </w:p>
  <w:p w14:paraId="2EA7F65F" w14:textId="77777777" w:rsidR="00760DD8" w:rsidRPr="00716441" w:rsidRDefault="00760DD8" w:rsidP="00760DD8">
    <w:pPr>
      <w:pStyle w:val="Cabealho"/>
      <w:jc w:val="center"/>
      <w:rPr>
        <w:rFonts w:ascii="Times New Roman" w:hAnsi="Times New Roman" w:cs="Times New Roman"/>
        <w:sz w:val="28"/>
        <w:szCs w:val="28"/>
      </w:rPr>
    </w:pPr>
    <w:r w:rsidRPr="00716441">
      <w:rPr>
        <w:rFonts w:ascii="Times New Roman" w:hAnsi="Times New Roman" w:cs="Times New Roman"/>
        <w:sz w:val="28"/>
        <w:szCs w:val="28"/>
      </w:rPr>
      <w:t>Avenida Brasil, nº 33, Centro, Maravilhas – MG.</w:t>
    </w:r>
  </w:p>
  <w:p w14:paraId="7CA37446" w14:textId="77777777" w:rsidR="00760DD8" w:rsidRPr="00716441" w:rsidRDefault="00760DD8" w:rsidP="00760DD8">
    <w:pPr>
      <w:pStyle w:val="Cabealho"/>
      <w:jc w:val="center"/>
      <w:rPr>
        <w:rFonts w:ascii="Times New Roman" w:hAnsi="Times New Roman" w:cs="Times New Roman"/>
        <w:sz w:val="28"/>
        <w:szCs w:val="28"/>
        <w:lang w:val="en-US"/>
      </w:rPr>
    </w:pPr>
    <w:r w:rsidRPr="00716441">
      <w:rPr>
        <w:rFonts w:ascii="Times New Roman" w:hAnsi="Times New Roman" w:cs="Times New Roman"/>
        <w:sz w:val="28"/>
        <w:szCs w:val="28"/>
        <w:lang w:val="en-US"/>
      </w:rPr>
      <w:t>Tel: (37) 3272-1278 - Email: licitacao@maravilhas.mg.gov.br</w:t>
    </w:r>
  </w:p>
  <w:p w14:paraId="25B09280" w14:textId="77777777" w:rsidR="00760DD8" w:rsidRPr="00716441" w:rsidRDefault="00760DD8" w:rsidP="00760DD8">
    <w:pPr>
      <w:pStyle w:val="Cabealho"/>
      <w:jc w:val="center"/>
      <w:rPr>
        <w:rFonts w:ascii="Times New Roman" w:hAnsi="Times New Roman" w:cs="Times New Roman"/>
        <w:sz w:val="28"/>
        <w:szCs w:val="28"/>
      </w:rPr>
    </w:pPr>
    <w:r w:rsidRPr="00716441">
      <w:rPr>
        <w:rFonts w:ascii="Times New Roman" w:hAnsi="Times New Roman" w:cs="Times New Roman"/>
        <w:sz w:val="28"/>
        <w:szCs w:val="28"/>
      </w:rPr>
      <w:t>CEP 35.666-000 - CNPJ 18.313.841/0001-14</w:t>
    </w:r>
  </w:p>
  <w:p w14:paraId="01F0EFBA" w14:textId="77777777" w:rsidR="00D7721B" w:rsidRDefault="00D7721B">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931"/>
    <w:multiLevelType w:val="multilevel"/>
    <w:tmpl w:val="D8F25122"/>
    <w:lvl w:ilvl="0">
      <w:start w:val="7"/>
      <w:numFmt w:val="decimal"/>
      <w:lvlText w:val="%1."/>
      <w:lvlJc w:val="left"/>
      <w:pPr>
        <w:ind w:left="660" w:hanging="660"/>
      </w:pPr>
      <w:rPr>
        <w:rFonts w:hint="default"/>
      </w:rPr>
    </w:lvl>
    <w:lvl w:ilvl="1">
      <w:start w:val="1"/>
      <w:numFmt w:val="decimal"/>
      <w:lvlText w:val="%1.%2."/>
      <w:lvlJc w:val="left"/>
      <w:pPr>
        <w:ind w:left="1726" w:hanging="660"/>
      </w:pPr>
      <w:rPr>
        <w:rFonts w:ascii="Arial" w:hAnsi="Arial" w:cs="Arial" w:hint="default"/>
        <w:sz w:val="20"/>
        <w:szCs w:val="20"/>
      </w:rPr>
    </w:lvl>
    <w:lvl w:ilvl="2">
      <w:start w:val="1"/>
      <w:numFmt w:val="decimal"/>
      <w:lvlText w:val="%1.%2.%3."/>
      <w:lvlJc w:val="left"/>
      <w:pPr>
        <w:ind w:left="2852" w:hanging="720"/>
      </w:pPr>
      <w:rPr>
        <w:rFonts w:ascii="Arial" w:hAnsi="Arial" w:cs="Arial" w:hint="default"/>
      </w:rPr>
    </w:lvl>
    <w:lvl w:ilvl="3">
      <w:start w:val="3"/>
      <w:numFmt w:val="decimal"/>
      <w:lvlText w:val="%1.%2.%3.%4."/>
      <w:lvlJc w:val="left"/>
      <w:pPr>
        <w:ind w:left="3918" w:hanging="72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410" w:hanging="1080"/>
      </w:pPr>
      <w:rPr>
        <w:rFonts w:hint="default"/>
      </w:rPr>
    </w:lvl>
    <w:lvl w:ilvl="6">
      <w:start w:val="1"/>
      <w:numFmt w:val="decimal"/>
      <w:lvlText w:val="%1.%2.%3.%4.%5.%6.%7."/>
      <w:lvlJc w:val="left"/>
      <w:pPr>
        <w:ind w:left="7836" w:hanging="1440"/>
      </w:pPr>
      <w:rPr>
        <w:rFonts w:hint="default"/>
      </w:rPr>
    </w:lvl>
    <w:lvl w:ilvl="7">
      <w:start w:val="1"/>
      <w:numFmt w:val="decimal"/>
      <w:lvlText w:val="%1.%2.%3.%4.%5.%6.%7.%8."/>
      <w:lvlJc w:val="left"/>
      <w:pPr>
        <w:ind w:left="8902" w:hanging="1440"/>
      </w:pPr>
      <w:rPr>
        <w:rFonts w:hint="default"/>
      </w:rPr>
    </w:lvl>
    <w:lvl w:ilvl="8">
      <w:start w:val="1"/>
      <w:numFmt w:val="decimal"/>
      <w:lvlText w:val="%1.%2.%3.%4.%5.%6.%7.%8.%9."/>
      <w:lvlJc w:val="left"/>
      <w:pPr>
        <w:ind w:left="10328" w:hanging="1800"/>
      </w:pPr>
      <w:rPr>
        <w:rFonts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6B439B7"/>
    <w:multiLevelType w:val="multilevel"/>
    <w:tmpl w:val="D4E6FF84"/>
    <w:lvl w:ilvl="0">
      <w:start w:val="4"/>
      <w:numFmt w:val="decimal"/>
      <w:lvlText w:val="%1."/>
      <w:lvlJc w:val="left"/>
      <w:pPr>
        <w:ind w:left="495" w:hanging="495"/>
      </w:pPr>
      <w:rPr>
        <w:rFonts w:hint="default"/>
        <w:i w:val="0"/>
        <w:color w:val="000000"/>
      </w:rPr>
    </w:lvl>
    <w:lvl w:ilvl="1">
      <w:start w:val="5"/>
      <w:numFmt w:val="decimal"/>
      <w:lvlText w:val="%1.%2."/>
      <w:lvlJc w:val="left"/>
      <w:pPr>
        <w:ind w:left="495" w:hanging="495"/>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8E71CA2"/>
    <w:multiLevelType w:val="multilevel"/>
    <w:tmpl w:val="5AF27A04"/>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8F074D7"/>
    <w:multiLevelType w:val="multilevel"/>
    <w:tmpl w:val="7CB6D172"/>
    <w:lvl w:ilvl="0">
      <w:start w:val="3"/>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195F4A"/>
    <w:multiLevelType w:val="multilevel"/>
    <w:tmpl w:val="7C3EBF8C"/>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0" w15:restartNumberingAfterBreak="0">
    <w:nsid w:val="30561163"/>
    <w:multiLevelType w:val="hybridMultilevel"/>
    <w:tmpl w:val="929E600A"/>
    <w:lvl w:ilvl="0" w:tplc="FF502E0A">
      <w:start w:val="4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6B631C2"/>
    <w:multiLevelType w:val="multilevel"/>
    <w:tmpl w:val="20E0A1E8"/>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A85442"/>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75E1F75"/>
    <w:multiLevelType w:val="multilevel"/>
    <w:tmpl w:val="F89E72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8" w15:restartNumberingAfterBreak="0">
    <w:nsid w:val="4B6F2082"/>
    <w:multiLevelType w:val="multilevel"/>
    <w:tmpl w:val="B9A6B87A"/>
    <w:lvl w:ilvl="0">
      <w:start w:val="2"/>
      <w:numFmt w:val="decimal"/>
      <w:lvlText w:val="%1."/>
      <w:lvlJc w:val="left"/>
      <w:pPr>
        <w:ind w:left="495" w:hanging="495"/>
      </w:pPr>
      <w:rPr>
        <w:rFonts w:hint="default"/>
        <w:color w:val="000000"/>
      </w:rPr>
    </w:lvl>
    <w:lvl w:ilvl="1">
      <w:start w:val="2"/>
      <w:numFmt w:val="decimal"/>
      <w:lvlText w:val="%1.%2."/>
      <w:lvlJc w:val="left"/>
      <w:pPr>
        <w:ind w:left="495" w:hanging="495"/>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51A27108"/>
    <w:multiLevelType w:val="multilevel"/>
    <w:tmpl w:val="2FD0BF6C"/>
    <w:lvl w:ilvl="0">
      <w:start w:val="10"/>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0046CD"/>
    <w:multiLevelType w:val="multilevel"/>
    <w:tmpl w:val="EDB4D6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D2E7DF4"/>
    <w:multiLevelType w:val="multilevel"/>
    <w:tmpl w:val="874297FA"/>
    <w:lvl w:ilvl="0">
      <w:start w:val="7"/>
      <w:numFmt w:val="decimal"/>
      <w:lvlText w:val="%1."/>
      <w:lvlJc w:val="left"/>
      <w:pPr>
        <w:ind w:left="360" w:hanging="360"/>
      </w:pPr>
      <w:rPr>
        <w:rFonts w:hint="default"/>
      </w:rPr>
    </w:lvl>
    <w:lvl w:ilvl="1">
      <w:start w:val="3"/>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3F6489"/>
    <w:multiLevelType w:val="multilevel"/>
    <w:tmpl w:val="A6360B3A"/>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5FB0C94"/>
    <w:multiLevelType w:val="multilevel"/>
    <w:tmpl w:val="9894E162"/>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8" w15:restartNumberingAfterBreak="0">
    <w:nsid w:val="66897222"/>
    <w:multiLevelType w:val="multilevel"/>
    <w:tmpl w:val="CC0A2A3A"/>
    <w:lvl w:ilvl="0">
      <w:start w:val="11"/>
      <w:numFmt w:val="decimal"/>
      <w:lvlText w:val="%1."/>
      <w:lvlJc w:val="left"/>
      <w:pPr>
        <w:ind w:left="624" w:hanging="511"/>
      </w:pPr>
      <w:rPr>
        <w:rFonts w:ascii="Times New Roman" w:eastAsia="Times New Roman" w:hAnsi="Times New Roman" w:cs="Times New Roman"/>
        <w:b/>
        <w:sz w:val="24"/>
        <w:szCs w:val="24"/>
      </w:rPr>
    </w:lvl>
    <w:lvl w:ilvl="1">
      <w:start w:val="1"/>
      <w:numFmt w:val="lowerLetter"/>
      <w:lvlText w:val="%2)"/>
      <w:lvlJc w:val="left"/>
      <w:pPr>
        <w:ind w:left="524" w:hanging="418"/>
      </w:pPr>
      <w:rPr>
        <w:rFonts w:ascii="Book Antiqua" w:eastAsia="Times New Roman" w:hAnsi="Book Antiqua" w:cs="Times New Roman"/>
        <w:color w:val="1F1F1F"/>
        <w:sz w:val="20"/>
        <w:szCs w:val="20"/>
      </w:rPr>
    </w:lvl>
    <w:lvl w:ilvl="2">
      <w:numFmt w:val="bullet"/>
      <w:lvlText w:val="•"/>
      <w:lvlJc w:val="left"/>
      <w:pPr>
        <w:ind w:left="1848" w:hanging="418"/>
      </w:pPr>
    </w:lvl>
    <w:lvl w:ilvl="3">
      <w:numFmt w:val="bullet"/>
      <w:lvlText w:val="•"/>
      <w:lvlJc w:val="left"/>
      <w:pPr>
        <w:ind w:left="2937" w:hanging="418"/>
      </w:pPr>
    </w:lvl>
    <w:lvl w:ilvl="4">
      <w:numFmt w:val="bullet"/>
      <w:lvlText w:val="•"/>
      <w:lvlJc w:val="left"/>
      <w:pPr>
        <w:ind w:left="4026" w:hanging="418"/>
      </w:pPr>
    </w:lvl>
    <w:lvl w:ilvl="5">
      <w:numFmt w:val="bullet"/>
      <w:lvlText w:val="•"/>
      <w:lvlJc w:val="left"/>
      <w:pPr>
        <w:ind w:left="5115" w:hanging="418"/>
      </w:pPr>
    </w:lvl>
    <w:lvl w:ilvl="6">
      <w:numFmt w:val="bullet"/>
      <w:lvlText w:val="•"/>
      <w:lvlJc w:val="left"/>
      <w:pPr>
        <w:ind w:left="6204" w:hanging="418"/>
      </w:pPr>
    </w:lvl>
    <w:lvl w:ilvl="7">
      <w:numFmt w:val="bullet"/>
      <w:lvlText w:val="•"/>
      <w:lvlJc w:val="left"/>
      <w:pPr>
        <w:ind w:left="7293" w:hanging="418"/>
      </w:pPr>
    </w:lvl>
    <w:lvl w:ilvl="8">
      <w:numFmt w:val="bullet"/>
      <w:lvlText w:val="•"/>
      <w:lvlJc w:val="left"/>
      <w:pPr>
        <w:ind w:left="8382" w:hanging="417"/>
      </w:p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1" w15:restartNumberingAfterBreak="0">
    <w:nsid w:val="6E283115"/>
    <w:multiLevelType w:val="multilevel"/>
    <w:tmpl w:val="5C581FF8"/>
    <w:lvl w:ilvl="0">
      <w:start w:val="1"/>
      <w:numFmt w:val="decimal"/>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3210164">
    <w:abstractNumId w:val="5"/>
  </w:num>
  <w:num w:numId="2" w16cid:durableId="211623487">
    <w:abstractNumId w:val="30"/>
  </w:num>
  <w:num w:numId="3" w16cid:durableId="1752505419">
    <w:abstractNumId w:val="29"/>
  </w:num>
  <w:num w:numId="4" w16cid:durableId="1225287976">
    <w:abstractNumId w:val="9"/>
  </w:num>
  <w:num w:numId="5" w16cid:durableId="1416589695">
    <w:abstractNumId w:val="5"/>
  </w:num>
  <w:num w:numId="6" w16cid:durableId="797145037">
    <w:abstractNumId w:val="1"/>
  </w:num>
  <w:num w:numId="7" w16cid:durableId="2099787845">
    <w:abstractNumId w:val="5"/>
  </w:num>
  <w:num w:numId="8" w16cid:durableId="1331442369">
    <w:abstractNumId w:val="5"/>
  </w:num>
  <w:num w:numId="9" w16cid:durableId="697582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6630737">
    <w:abstractNumId w:val="5"/>
  </w:num>
  <w:num w:numId="11" w16cid:durableId="763306543">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919166">
    <w:abstractNumId w:val="22"/>
  </w:num>
  <w:num w:numId="13" w16cid:durableId="428350728">
    <w:abstractNumId w:val="7"/>
  </w:num>
  <w:num w:numId="14" w16cid:durableId="409891184">
    <w:abstractNumId w:val="8"/>
  </w:num>
  <w:num w:numId="15" w16cid:durableId="496849680">
    <w:abstractNumId w:val="20"/>
  </w:num>
  <w:num w:numId="16" w16cid:durableId="1647782690">
    <w:abstractNumId w:val="26"/>
  </w:num>
  <w:num w:numId="17" w16cid:durableId="1010984176">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1880284">
    <w:abstractNumId w:val="13"/>
  </w:num>
  <w:num w:numId="19" w16cid:durableId="761876033">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8674905">
    <w:abstractNumId w:val="25"/>
  </w:num>
  <w:num w:numId="21" w16cid:durableId="16660005">
    <w:abstractNumId w:val="11"/>
  </w:num>
  <w:num w:numId="22" w16cid:durableId="1774586888">
    <w:abstractNumId w:val="21"/>
  </w:num>
  <w:num w:numId="23" w16cid:durableId="2082171183">
    <w:abstractNumId w:val="32"/>
  </w:num>
  <w:num w:numId="24" w16cid:durableId="1644890231">
    <w:abstractNumId w:val="15"/>
  </w:num>
  <w:num w:numId="25" w16cid:durableId="753548480">
    <w:abstractNumId w:val="18"/>
  </w:num>
  <w:num w:numId="26" w16cid:durableId="1431507321">
    <w:abstractNumId w:val="2"/>
  </w:num>
  <w:num w:numId="27" w16cid:durableId="509639749">
    <w:abstractNumId w:val="23"/>
  </w:num>
  <w:num w:numId="28" w16cid:durableId="754134943">
    <w:abstractNumId w:val="3"/>
  </w:num>
  <w:num w:numId="29" w16cid:durableId="1374816890">
    <w:abstractNumId w:val="12"/>
  </w:num>
  <w:num w:numId="30" w16cid:durableId="1293056333">
    <w:abstractNumId w:val="31"/>
  </w:num>
  <w:num w:numId="31" w16cid:durableId="333264935">
    <w:abstractNumId w:val="27"/>
  </w:num>
  <w:num w:numId="32" w16cid:durableId="940836163">
    <w:abstractNumId w:val="4"/>
  </w:num>
  <w:num w:numId="33" w16cid:durableId="951088134">
    <w:abstractNumId w:val="16"/>
  </w:num>
  <w:num w:numId="34" w16cid:durableId="1699116314">
    <w:abstractNumId w:val="28"/>
  </w:num>
  <w:num w:numId="35" w16cid:durableId="1635326755">
    <w:abstractNumId w:val="10"/>
  </w:num>
  <w:num w:numId="36" w16cid:durableId="2109157177">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6900094">
    <w:abstractNumId w:val="19"/>
  </w:num>
  <w:num w:numId="38" w16cid:durableId="1549682018">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2876782">
    <w:abstractNumId w:val="24"/>
  </w:num>
  <w:num w:numId="40" w16cid:durableId="2020237083">
    <w:abstractNumId w:val="14"/>
  </w:num>
  <w:num w:numId="41" w16cid:durableId="702561350">
    <w:abstractNumId w:val="6"/>
  </w:num>
  <w:num w:numId="42" w16cid:durableId="1809587120">
    <w:abstractNumId w:val="17"/>
  </w:num>
  <w:num w:numId="43" w16cid:durableId="812910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21B"/>
    <w:rsid w:val="0000492E"/>
    <w:rsid w:val="00030BC6"/>
    <w:rsid w:val="00034CCE"/>
    <w:rsid w:val="00055321"/>
    <w:rsid w:val="0008052F"/>
    <w:rsid w:val="000C1381"/>
    <w:rsid w:val="001104DF"/>
    <w:rsid w:val="001274F3"/>
    <w:rsid w:val="00137106"/>
    <w:rsid w:val="002A222A"/>
    <w:rsid w:val="002E7B6C"/>
    <w:rsid w:val="00313BD9"/>
    <w:rsid w:val="00321AE5"/>
    <w:rsid w:val="00343C5C"/>
    <w:rsid w:val="0039180D"/>
    <w:rsid w:val="003E0E30"/>
    <w:rsid w:val="003F585F"/>
    <w:rsid w:val="0042086F"/>
    <w:rsid w:val="004332E2"/>
    <w:rsid w:val="00450D10"/>
    <w:rsid w:val="00452971"/>
    <w:rsid w:val="00461F9B"/>
    <w:rsid w:val="00462F3B"/>
    <w:rsid w:val="004702D1"/>
    <w:rsid w:val="004D6BAA"/>
    <w:rsid w:val="004E38FC"/>
    <w:rsid w:val="00506393"/>
    <w:rsid w:val="005676A3"/>
    <w:rsid w:val="00576101"/>
    <w:rsid w:val="00583A8E"/>
    <w:rsid w:val="005A51BF"/>
    <w:rsid w:val="005A756D"/>
    <w:rsid w:val="005D55B1"/>
    <w:rsid w:val="00622ECC"/>
    <w:rsid w:val="00643DAE"/>
    <w:rsid w:val="00651D6B"/>
    <w:rsid w:val="00673109"/>
    <w:rsid w:val="00687192"/>
    <w:rsid w:val="007109DF"/>
    <w:rsid w:val="00730352"/>
    <w:rsid w:val="00736BA6"/>
    <w:rsid w:val="00751BBF"/>
    <w:rsid w:val="00760DD8"/>
    <w:rsid w:val="007836C8"/>
    <w:rsid w:val="007C6883"/>
    <w:rsid w:val="007D5CF3"/>
    <w:rsid w:val="00813F73"/>
    <w:rsid w:val="008335D8"/>
    <w:rsid w:val="00864D20"/>
    <w:rsid w:val="00892434"/>
    <w:rsid w:val="00910DD1"/>
    <w:rsid w:val="00947046"/>
    <w:rsid w:val="00973A13"/>
    <w:rsid w:val="00997609"/>
    <w:rsid w:val="009E6730"/>
    <w:rsid w:val="009F23C0"/>
    <w:rsid w:val="00A562B5"/>
    <w:rsid w:val="00A8350A"/>
    <w:rsid w:val="00A92993"/>
    <w:rsid w:val="00AA539A"/>
    <w:rsid w:val="00AB4937"/>
    <w:rsid w:val="00AD3D23"/>
    <w:rsid w:val="00AE1D36"/>
    <w:rsid w:val="00AF50EA"/>
    <w:rsid w:val="00B1091C"/>
    <w:rsid w:val="00B12717"/>
    <w:rsid w:val="00B15B6E"/>
    <w:rsid w:val="00B455D4"/>
    <w:rsid w:val="00B52F0E"/>
    <w:rsid w:val="00B956AB"/>
    <w:rsid w:val="00BB12F6"/>
    <w:rsid w:val="00BE0E78"/>
    <w:rsid w:val="00BE290D"/>
    <w:rsid w:val="00C02468"/>
    <w:rsid w:val="00C0615D"/>
    <w:rsid w:val="00C25BF3"/>
    <w:rsid w:val="00C401B6"/>
    <w:rsid w:val="00C5254A"/>
    <w:rsid w:val="00C738A1"/>
    <w:rsid w:val="00CC1B31"/>
    <w:rsid w:val="00D40402"/>
    <w:rsid w:val="00D4466B"/>
    <w:rsid w:val="00D7721B"/>
    <w:rsid w:val="00D85B40"/>
    <w:rsid w:val="00D92A68"/>
    <w:rsid w:val="00DB028C"/>
    <w:rsid w:val="00E32F68"/>
    <w:rsid w:val="00E75475"/>
    <w:rsid w:val="00E96861"/>
    <w:rsid w:val="00EA78F9"/>
    <w:rsid w:val="00F06924"/>
    <w:rsid w:val="00F235E5"/>
    <w:rsid w:val="00F30E07"/>
    <w:rsid w:val="00FB0DA5"/>
    <w:rsid w:val="00FB5F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58C60"/>
  <w15:docId w15:val="{8B018D68-D667-47C5-9CDC-6E24216D8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lsdException w:name="Strong" w:qFormat="1"/>
    <w:lsdException w:name="Emphasis" w:uiPriority="0" w:qFormat="1"/>
    <w:lsdException w:name="Document Map"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pPr>
      <w:keepNext/>
      <w:suppressAutoHyphens/>
      <w:jc w:val="center"/>
      <w:outlineLvl w:val="1"/>
    </w:pPr>
    <w:rPr>
      <w:rFonts w:ascii="Times New Roman" w:eastAsia="Calibri" w:hAnsi="Times New Roman" w:cs="Times New Roman"/>
      <w:sz w:val="24"/>
    </w:rPr>
  </w:style>
  <w:style w:type="paragraph" w:styleId="Ttulo3">
    <w:name w:val="heading 3"/>
    <w:basedOn w:val="Normal"/>
    <w:next w:val="Normal"/>
    <w:link w:val="Ttulo3Char"/>
    <w:qFormat/>
    <w:pPr>
      <w:keepNext/>
      <w:suppressAutoHyphens/>
      <w:spacing w:before="240" w:after="60"/>
      <w:outlineLvl w:val="2"/>
    </w:pPr>
    <w:rPr>
      <w:rFonts w:eastAsia="Calibri" w:cs="Times New Roman"/>
      <w:b/>
      <w:bCs/>
      <w:sz w:val="26"/>
      <w:szCs w:val="26"/>
    </w:rPr>
  </w:style>
  <w:style w:type="paragraph" w:styleId="Ttulo4">
    <w:name w:val="heading 4"/>
    <w:basedOn w:val="Normal"/>
    <w:next w:val="Normal"/>
    <w:link w:val="Ttulo4Char"/>
    <w:qFormat/>
    <w:pPr>
      <w:keepNext/>
      <w:suppressAutoHyphens/>
      <w:spacing w:before="240" w:after="60"/>
      <w:outlineLvl w:val="3"/>
    </w:pPr>
    <w:rPr>
      <w:rFonts w:ascii="Times New Roman" w:eastAsia="Calibri" w:hAnsi="Times New Roman" w:cs="Times New Roman"/>
      <w:b/>
      <w:bCs/>
      <w:sz w:val="28"/>
      <w:szCs w:val="28"/>
    </w:rPr>
  </w:style>
  <w:style w:type="paragraph" w:styleId="Ttulo5">
    <w:name w:val="heading 5"/>
    <w:basedOn w:val="Normal"/>
    <w:next w:val="Normal"/>
    <w:link w:val="Ttulo5Char"/>
    <w:qFormat/>
    <w:pPr>
      <w:suppressAutoHyphens/>
      <w:spacing w:before="240" w:after="60"/>
      <w:outlineLvl w:val="4"/>
    </w:pPr>
    <w:rPr>
      <w:rFonts w:ascii="Times New Roman" w:eastAsia="Calibri" w:hAnsi="Times New Roman" w:cs="Times New Roman"/>
      <w:b/>
      <w:bCs/>
      <w:i/>
      <w:iCs/>
      <w:sz w:val="26"/>
      <w:szCs w:val="26"/>
    </w:rPr>
  </w:style>
  <w:style w:type="paragraph" w:styleId="Ttulo6">
    <w:name w:val="heading 6"/>
    <w:basedOn w:val="Normal"/>
    <w:next w:val="Normal"/>
    <w:link w:val="Ttulo6Char"/>
    <w:uiPriority w:val="99"/>
    <w:qFormat/>
    <w:pPr>
      <w:tabs>
        <w:tab w:val="left" w:pos="1152"/>
      </w:tabs>
      <w:suppressAutoHyphens/>
      <w:spacing w:before="240" w:after="60"/>
      <w:ind w:left="1152" w:hanging="1152"/>
      <w:outlineLvl w:val="5"/>
    </w:pPr>
    <w:rPr>
      <w:rFonts w:ascii="Times New Roman" w:eastAsia="Calibri" w:hAnsi="Times New Roman" w:cs="Times New Roman"/>
      <w:b/>
      <w:bCs/>
      <w:szCs w:val="20"/>
      <w:lang w:eastAsia="zh-CN"/>
    </w:rPr>
  </w:style>
  <w:style w:type="paragraph" w:styleId="Ttulo7">
    <w:name w:val="heading 7"/>
    <w:basedOn w:val="Normal"/>
    <w:next w:val="Normal"/>
    <w:link w:val="Ttulo7Char"/>
    <w:uiPriority w:val="99"/>
    <w:qFormat/>
    <w:pPr>
      <w:tabs>
        <w:tab w:val="left" w:pos="1296"/>
      </w:tabs>
      <w:suppressAutoHyphens/>
      <w:spacing w:before="240" w:after="60"/>
      <w:ind w:left="1296" w:hanging="1296"/>
      <w:outlineLvl w:val="6"/>
    </w:pPr>
    <w:rPr>
      <w:rFonts w:ascii="Times New Roman" w:eastAsia="Calibri" w:hAnsi="Times New Roman" w:cs="Times New Roman"/>
      <w:sz w:val="24"/>
      <w:lang w:eastAsia="zh-CN"/>
    </w:rPr>
  </w:style>
  <w:style w:type="paragraph" w:styleId="Ttulo8">
    <w:name w:val="heading 8"/>
    <w:basedOn w:val="Normal"/>
    <w:next w:val="Normal"/>
    <w:link w:val="Ttulo8Char"/>
    <w:qFormat/>
    <w:pPr>
      <w:suppressAutoHyphens/>
      <w:spacing w:before="240" w:after="60"/>
      <w:outlineLvl w:val="7"/>
    </w:pPr>
    <w:rPr>
      <w:rFonts w:ascii="Calibri" w:eastAsia="Calibri" w:hAnsi="Calibri" w:cs="Times New Roman"/>
      <w:i/>
      <w:iCs/>
      <w:sz w:val="24"/>
    </w:rPr>
  </w:style>
  <w:style w:type="paragraph" w:styleId="Ttulo9">
    <w:name w:val="heading 9"/>
    <w:basedOn w:val="Normal"/>
    <w:next w:val="Normal"/>
    <w:link w:val="Ttulo9Char"/>
    <w:uiPriority w:val="9"/>
    <w:qFormat/>
    <w:pPr>
      <w:keepNext/>
      <w:keepLines/>
      <w:suppressAutoHyphens/>
      <w:spacing w:before="200" w:line="276" w:lineRule="auto"/>
      <w:outlineLvl w:val="8"/>
    </w:pPr>
    <w:rPr>
      <w:rFonts w:ascii="Cambria" w:eastAsia="Calibri" w:hAnsi="Cambria" w:cs="Times New Roman"/>
      <w:i/>
      <w:iCs/>
      <w:color w:val="40404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uiPriority w:val="29"/>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Pr>
      <w:rFonts w:ascii="Arial" w:eastAsiaTheme="majorEastAsia" w:hAnsi="Arial" w:cs="Times New Roman"/>
      <w:b/>
      <w:bCs/>
      <w:color w:val="000000"/>
      <w:sz w:val="20"/>
      <w:szCs w:val="20"/>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qFormat/>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pPr>
      <w:ind w:left="720"/>
      <w:contextualSpacing/>
    </w:p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qFormat/>
    <w:rPr>
      <w:sz w:val="16"/>
      <w:szCs w:val="16"/>
    </w:rPr>
  </w:style>
  <w:style w:type="paragraph" w:styleId="Textodecomentrio">
    <w:name w:val="annotation text"/>
    <w:basedOn w:val="Normal"/>
    <w:link w:val="TextodecomentrioChar"/>
    <w:uiPriority w:val="99"/>
    <w:unhideWhenUsed/>
    <w:qFormat/>
    <w:rPr>
      <w:szCs w:val="20"/>
    </w:rPr>
  </w:style>
  <w:style w:type="character" w:customStyle="1" w:styleId="TextodecomentrioChar">
    <w:name w:val="Texto de comentário Char"/>
    <w:basedOn w:val="Fontepargpadro"/>
    <w:link w:val="Textodecomentrio"/>
    <w:uiPriority w:val="99"/>
    <w:qFormat/>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
    <w:name w:val="Assunto do comentário Char"/>
    <w:basedOn w:val="TextodecomentrioChar"/>
    <w:link w:val="Assuntodocomentrio"/>
    <w:uiPriority w:val="99"/>
    <w:qFormat/>
    <w:rPr>
      <w:rFonts w:ascii="Arial" w:eastAsia="Times New Roman" w:hAnsi="Arial" w:cs="Tahoma"/>
      <w:b/>
      <w:bCs/>
      <w:sz w:val="20"/>
      <w:szCs w:val="20"/>
      <w:lang w:eastAsia="pt-BR"/>
    </w:rPr>
  </w:style>
  <w:style w:type="paragraph" w:customStyle="1" w:styleId="Nivel10">
    <w:name w:val="Nivel1"/>
    <w:basedOn w:val="Ttulo1"/>
    <w:link w:val="Nivel1Char"/>
    <w:qFormat/>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Pr>
      <w:color w:val="000080"/>
      <w:u w:val="single"/>
    </w:rPr>
  </w:style>
  <w:style w:type="table" w:styleId="Tabelacomgrade">
    <w:name w:val="Table Grid"/>
    <w:basedOn w:val="Tabelanormal"/>
    <w:uiPriority w:val="59"/>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tabs>
        <w:tab w:val="num" w:pos="360"/>
      </w:tabs>
    </w:pPr>
  </w:style>
  <w:style w:type="character" w:customStyle="1" w:styleId="Nivel4Char">
    <w:name w:val="Nivel 4 Char"/>
    <w:basedOn w:val="Fontepargpadro"/>
    <w:link w:val="Nivel4"/>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qFormat/>
    <w:rPr>
      <w:rFonts w:ascii="Segoe UI" w:hAnsi="Segoe UI" w:cs="Segoe UI"/>
      <w:sz w:val="18"/>
      <w:szCs w:val="18"/>
    </w:rPr>
  </w:style>
  <w:style w:type="character" w:customStyle="1" w:styleId="TextodebaloChar">
    <w:name w:val="Texto de balão Char"/>
    <w:basedOn w:val="Fontepargpadro"/>
    <w:link w:val="Textodebalo"/>
    <w:qFormat/>
    <w:rPr>
      <w:rFonts w:ascii="Segoe UI" w:eastAsia="Times New Roman" w:hAnsi="Segoe UI" w:cs="Segoe UI"/>
      <w:sz w:val="18"/>
      <w:szCs w:val="18"/>
      <w:lang w:eastAsia="pt-BR"/>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qFormat/>
    <w:rPr>
      <w:rFonts w:ascii="Arial" w:eastAsia="Times New Roman" w:hAnsi="Arial" w:cs="Tahoma"/>
      <w:sz w:val="20"/>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qFormat/>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Ttulo2Char">
    <w:name w:val="Título 2 Char"/>
    <w:basedOn w:val="Fontepargpadro"/>
    <w:link w:val="Ttulo2"/>
    <w:qFormat/>
    <w:rPr>
      <w:rFonts w:ascii="Times New Roman" w:eastAsia="Calibri" w:hAnsi="Times New Roman" w:cs="Times New Roman"/>
      <w:sz w:val="24"/>
      <w:szCs w:val="24"/>
      <w:lang w:eastAsia="pt-BR"/>
    </w:rPr>
  </w:style>
  <w:style w:type="character" w:customStyle="1" w:styleId="Ttulo3Char">
    <w:name w:val="Título 3 Char"/>
    <w:basedOn w:val="Fontepargpadro"/>
    <w:link w:val="Ttulo3"/>
    <w:qFormat/>
    <w:rPr>
      <w:rFonts w:ascii="Arial" w:eastAsia="Calibri" w:hAnsi="Arial" w:cs="Times New Roman"/>
      <w:b/>
      <w:bCs/>
      <w:sz w:val="26"/>
      <w:szCs w:val="26"/>
      <w:lang w:eastAsia="pt-BR"/>
    </w:rPr>
  </w:style>
  <w:style w:type="character" w:customStyle="1" w:styleId="Ttulo4Char">
    <w:name w:val="Título 4 Char"/>
    <w:basedOn w:val="Fontepargpadro"/>
    <w:link w:val="Ttulo4"/>
    <w:qFormat/>
    <w:rPr>
      <w:rFonts w:ascii="Times New Roman" w:eastAsia="Calibri" w:hAnsi="Times New Roman" w:cs="Times New Roman"/>
      <w:b/>
      <w:bCs/>
      <w:sz w:val="28"/>
      <w:szCs w:val="28"/>
      <w:lang w:eastAsia="pt-BR"/>
    </w:rPr>
  </w:style>
  <w:style w:type="character" w:customStyle="1" w:styleId="Ttulo5Char">
    <w:name w:val="Título 5 Char"/>
    <w:basedOn w:val="Fontepargpadro"/>
    <w:link w:val="Ttulo5"/>
    <w:qFormat/>
    <w:rPr>
      <w:rFonts w:ascii="Times New Roman" w:eastAsia="Calibri" w:hAnsi="Times New Roman" w:cs="Times New Roman"/>
      <w:b/>
      <w:bCs/>
      <w:i/>
      <w:iCs/>
      <w:sz w:val="26"/>
      <w:szCs w:val="26"/>
      <w:lang w:eastAsia="pt-BR"/>
    </w:rPr>
  </w:style>
  <w:style w:type="character" w:customStyle="1" w:styleId="Ttulo6Char">
    <w:name w:val="Título 6 Char"/>
    <w:basedOn w:val="Fontepargpadro"/>
    <w:link w:val="Ttulo6"/>
    <w:uiPriority w:val="99"/>
    <w:qFormat/>
    <w:rPr>
      <w:rFonts w:ascii="Times New Roman" w:eastAsia="Calibri" w:hAnsi="Times New Roman" w:cs="Times New Roman"/>
      <w:b/>
      <w:bCs/>
      <w:sz w:val="20"/>
      <w:szCs w:val="20"/>
      <w:lang w:eastAsia="zh-CN"/>
    </w:rPr>
  </w:style>
  <w:style w:type="character" w:customStyle="1" w:styleId="Ttulo7Char">
    <w:name w:val="Título 7 Char"/>
    <w:basedOn w:val="Fontepargpadro"/>
    <w:link w:val="Ttulo7"/>
    <w:uiPriority w:val="99"/>
    <w:qFormat/>
    <w:rPr>
      <w:rFonts w:ascii="Times New Roman" w:eastAsia="Calibri" w:hAnsi="Times New Roman" w:cs="Times New Roman"/>
      <w:sz w:val="24"/>
      <w:szCs w:val="24"/>
      <w:lang w:eastAsia="zh-CN"/>
    </w:rPr>
  </w:style>
  <w:style w:type="character" w:customStyle="1" w:styleId="Ttulo8Char">
    <w:name w:val="Título 8 Char"/>
    <w:basedOn w:val="Fontepargpadro"/>
    <w:link w:val="Ttulo8"/>
    <w:qFormat/>
    <w:rPr>
      <w:rFonts w:ascii="Calibri" w:eastAsia="Calibri" w:hAnsi="Calibri" w:cs="Times New Roman"/>
      <w:i/>
      <w:iCs/>
      <w:sz w:val="24"/>
      <w:szCs w:val="24"/>
      <w:lang w:eastAsia="pt-BR"/>
    </w:rPr>
  </w:style>
  <w:style w:type="character" w:customStyle="1" w:styleId="Ttulo9Char">
    <w:name w:val="Título 9 Char"/>
    <w:basedOn w:val="Fontepargpadro"/>
    <w:link w:val="Ttulo9"/>
    <w:uiPriority w:val="9"/>
    <w:qFormat/>
    <w:rPr>
      <w:rFonts w:ascii="Cambria" w:eastAsia="Calibri" w:hAnsi="Cambria" w:cs="Times New Roman"/>
      <w:i/>
      <w:iCs/>
      <w:color w:val="404040"/>
      <w:sz w:val="20"/>
      <w:szCs w:val="20"/>
    </w:rPr>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Char">
    <w:name w:val="Título Char"/>
    <w:link w:val="Ttulo"/>
    <w:qFormat/>
    <w:locked/>
    <w:rPr>
      <w:rFonts w:ascii="Times New Roman" w:hAnsi="Times New Roman" w:cs="Times New Roman"/>
      <w:b/>
      <w:bCs/>
      <w:sz w:val="24"/>
      <w:szCs w:val="24"/>
      <w:lang w:eastAsia="pt-BR"/>
    </w:rPr>
  </w:style>
  <w:style w:type="character" w:customStyle="1" w:styleId="CorpodetextoChar">
    <w:name w:val="Corpo de texto Char"/>
    <w:link w:val="Corpodetexto"/>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customStyle="1" w:styleId="LinkdaInternet">
    <w:name w:val="Link da Internet"/>
    <w:uiPriority w:val="99"/>
    <w:rPr>
      <w:color w:val="0000FF"/>
      <w:u w:val="single"/>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Linkdainternetvisitado">
    <w:name w:val="Link da internet visitado"/>
    <w:uiPriority w:val="99"/>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uiPriority w:val="99"/>
    <w:qFormat/>
    <w:rPr>
      <w:rFonts w:ascii="Arial" w:hAnsi="Arial" w:cs="Arial"/>
      <w:sz w:val="24"/>
      <w:szCs w:val="24"/>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rPr>
  </w:style>
  <w:style w:type="character" w:customStyle="1" w:styleId="Sumrio1Char">
    <w:name w:val="Sumário 1 Char"/>
    <w:link w:val="Sumrio1"/>
    <w:uiPriority w:val="99"/>
    <w:semiHidden/>
    <w:qFormat/>
    <w:locked/>
    <w:rPr>
      <w:rFonts w:ascii="Times New Roman" w:eastAsia="Times New Roman" w:hAnsi="Times New Roman" w:cs="Times New Roman"/>
      <w:b/>
      <w:bCs/>
      <w:caps/>
      <w:sz w:val="20"/>
      <w:szCs w:val="20"/>
      <w:lang w:eastAsia="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rPr>
  </w:style>
  <w:style w:type="character" w:styleId="Forte">
    <w:name w:val="Strong"/>
    <w:uiPriority w:val="99"/>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uiPriority w:val="99"/>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semiHidden/>
    <w:qFormat/>
    <w:locked/>
    <w:rPr>
      <w:rFonts w:ascii="Tahoma" w:hAnsi="Tahoma" w:cs="Tahoma"/>
      <w:sz w:val="24"/>
      <w:szCs w:val="24"/>
      <w:shd w:val="clear" w:color="auto" w:fill="000080"/>
      <w:lang w:eastAsia="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customStyle="1" w:styleId="ncoradanotaderodap">
    <w:name w:val="Âncora da nota de rodapé"/>
    <w:rPr>
      <w:vertAlign w:val="superscript"/>
    </w:rPr>
  </w:style>
  <w:style w:type="character" w:customStyle="1" w:styleId="FootnoteCharacters">
    <w:name w:val="Footnote Characters"/>
    <w:uiPriority w:val="99"/>
    <w:qFormat/>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34"/>
    <w:qFormat/>
    <w:locked/>
    <w:rPr>
      <w:rFonts w:ascii="Arial" w:eastAsia="Times New Roman" w:hAnsi="Arial" w:cs="Tahoma"/>
      <w:sz w:val="20"/>
      <w:szCs w:val="24"/>
      <w:lang w:eastAsia="pt-BR"/>
    </w:rPr>
  </w:style>
  <w:style w:type="character" w:customStyle="1" w:styleId="MenoPendente10">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link w:val="TtuloChar"/>
    <w:qFormat/>
    <w:pPr>
      <w:suppressAutoHyphens/>
      <w:jc w:val="center"/>
    </w:pPr>
    <w:rPr>
      <w:rFonts w:ascii="Times New Roman" w:eastAsiaTheme="minorHAnsi" w:hAnsi="Times New Roman" w:cs="Times New Roman"/>
      <w:b/>
      <w:bCs/>
      <w:sz w:val="24"/>
    </w:rPr>
  </w:style>
  <w:style w:type="character" w:customStyle="1" w:styleId="TtuloChar2">
    <w:name w:val="Título Char2"/>
    <w:basedOn w:val="Fontepargpadro"/>
    <w:uiPriority w:val="10"/>
    <w:rPr>
      <w:rFonts w:asciiTheme="majorHAnsi" w:eastAsiaTheme="majorEastAsia" w:hAnsiTheme="majorHAnsi" w:cstheme="majorBidi"/>
      <w:spacing w:val="-10"/>
      <w:kern w:val="28"/>
      <w:sz w:val="56"/>
      <w:szCs w:val="56"/>
      <w:lang w:eastAsia="pt-BR"/>
    </w:rPr>
  </w:style>
  <w:style w:type="paragraph" w:styleId="Corpodetexto">
    <w:name w:val="Body Text"/>
    <w:basedOn w:val="Normal"/>
    <w:link w:val="CorpodetextoChar"/>
    <w:uiPriority w:val="1"/>
    <w:qFormat/>
    <w:pPr>
      <w:suppressAutoHyphens/>
      <w:jc w:val="both"/>
    </w:pPr>
    <w:rPr>
      <w:rFonts w:ascii="Times New Roman" w:eastAsiaTheme="minorHAnsi" w:hAnsi="Times New Roman" w:cs="Times New Roman"/>
      <w:b/>
      <w:bCs/>
      <w:sz w:val="24"/>
    </w:rPr>
  </w:style>
  <w:style w:type="character" w:customStyle="1" w:styleId="CorpodetextoChar1">
    <w:name w:val="Corpo de texto Char1"/>
    <w:basedOn w:val="Fontepargpadro"/>
    <w:uiPriority w:val="99"/>
    <w:semiHidden/>
    <w:rPr>
      <w:rFonts w:ascii="Arial" w:eastAsia="Times New Roman" w:hAnsi="Arial" w:cs="Tahoma"/>
      <w:sz w:val="20"/>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ndice">
    <w:name w:val="Índice"/>
    <w:basedOn w:val="Normal"/>
    <w:uiPriority w:val="99"/>
    <w:qFormat/>
    <w:pPr>
      <w:suppressLineNumbers/>
      <w:suppressAutoHyphens/>
    </w:pPr>
    <w:rPr>
      <w:rFonts w:ascii="Times New Roman" w:hAnsi="Times New Roman" w:cs="Times New Roman"/>
      <w:sz w:val="24"/>
      <w:lang w:eastAsia="zh-CN"/>
    </w:rPr>
  </w:style>
  <w:style w:type="paragraph" w:customStyle="1" w:styleId="Default">
    <w:name w:val="Default"/>
    <w:qFormat/>
    <w:pPr>
      <w:suppressAutoHyphens/>
      <w:spacing w:after="0" w:line="240" w:lineRule="auto"/>
    </w:pPr>
    <w:rPr>
      <w:rFonts w:ascii="Arial" w:eastAsia="Calibri" w:hAnsi="Arial" w:cs="Arial"/>
      <w:color w:val="000000"/>
      <w:sz w:val="24"/>
      <w:szCs w:val="24"/>
    </w:rPr>
  </w:style>
  <w:style w:type="paragraph" w:customStyle="1" w:styleId="CabealhoeRodap">
    <w:name w:val="Cabeçalho e Rodapé"/>
    <w:basedOn w:val="Normal"/>
    <w:qFormat/>
    <w:pPr>
      <w:suppressAutoHyphens/>
      <w:spacing w:after="200" w:line="276" w:lineRule="auto"/>
    </w:pPr>
    <w:rPr>
      <w:rFonts w:ascii="Calibri" w:eastAsia="Calibri" w:hAnsi="Calibri" w:cs="Calibri"/>
      <w:sz w:val="22"/>
      <w:szCs w:val="22"/>
      <w:lang w:eastAsia="en-US"/>
    </w:rPr>
  </w:style>
  <w:style w:type="paragraph" w:styleId="Corpodetexto2">
    <w:name w:val="Body Text 2"/>
    <w:basedOn w:val="Normal"/>
    <w:link w:val="Corpodetexto2Char"/>
    <w:qFormat/>
    <w:pPr>
      <w:suppressAutoHyphens/>
      <w:jc w:val="both"/>
    </w:pPr>
    <w:rPr>
      <w:rFonts w:ascii="Times New Roman" w:eastAsiaTheme="minorHAnsi" w:hAnsi="Times New Roman" w:cs="Times New Roman"/>
      <w:b/>
      <w:bCs/>
      <w:sz w:val="24"/>
    </w:rPr>
  </w:style>
  <w:style w:type="character" w:customStyle="1" w:styleId="Corpodetexto2Char1">
    <w:name w:val="Corpo de texto 2 Char1"/>
    <w:basedOn w:val="Fontepargpadro"/>
    <w:uiPriority w:val="99"/>
    <w:semiHidden/>
    <w:rPr>
      <w:rFonts w:ascii="Arial" w:eastAsia="Times New Roman" w:hAnsi="Arial" w:cs="Tahoma"/>
      <w:sz w:val="20"/>
      <w:szCs w:val="24"/>
      <w:lang w:eastAsia="pt-BR"/>
    </w:rPr>
  </w:style>
  <w:style w:type="paragraph" w:styleId="Recuodecorpodetexto">
    <w:name w:val="Body Text Indent"/>
    <w:basedOn w:val="Normal"/>
    <w:link w:val="RecuodecorpodetextoChar"/>
    <w:pPr>
      <w:suppressAutoHyphens/>
      <w:spacing w:after="120"/>
      <w:ind w:left="283"/>
    </w:pPr>
    <w:rPr>
      <w:rFonts w:ascii="Times New Roman" w:eastAsiaTheme="minorHAnsi" w:hAnsi="Times New Roman" w:cs="Times New Roman"/>
      <w:sz w:val="24"/>
    </w:rPr>
  </w:style>
  <w:style w:type="character" w:customStyle="1" w:styleId="RecuodecorpodetextoChar1">
    <w:name w:val="Recuo de corpo de texto Char1"/>
    <w:basedOn w:val="Fontepargpadro"/>
    <w:uiPriority w:val="99"/>
    <w:semiHidden/>
    <w:rPr>
      <w:rFonts w:ascii="Arial" w:eastAsia="Times New Roman" w:hAnsi="Arial" w:cs="Tahoma"/>
      <w:sz w:val="20"/>
      <w:szCs w:val="24"/>
      <w:lang w:eastAsia="pt-BR"/>
    </w:rPr>
  </w:style>
  <w:style w:type="paragraph" w:customStyle="1" w:styleId="WW-Padro">
    <w:name w:val="WW-Padrão"/>
    <w:uiPriority w:val="99"/>
    <w:qFormat/>
    <w:pPr>
      <w:suppressAutoHyphens/>
      <w:spacing w:after="0" w:line="240" w:lineRule="auto"/>
    </w:pPr>
    <w:rPr>
      <w:rFonts w:ascii="Times New Roman" w:eastAsia="Calibri" w:hAnsi="Times New Roman" w:cs="Times New Roman"/>
      <w:lang w:eastAsia="ar-SA"/>
    </w:rPr>
  </w:style>
  <w:style w:type="paragraph" w:customStyle="1" w:styleId="Padro0">
    <w:name w:val="Padrão"/>
    <w:qFormat/>
    <w:pPr>
      <w:suppressAutoHyphens/>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qFormat/>
    <w:pPr>
      <w:suppressAutoHyphens/>
      <w:spacing w:after="120"/>
    </w:pPr>
    <w:rPr>
      <w:rFonts w:ascii="Times New Roman" w:eastAsiaTheme="minorHAnsi" w:hAnsi="Times New Roman" w:cs="Times New Roman"/>
      <w:sz w:val="16"/>
      <w:szCs w:val="16"/>
    </w:rPr>
  </w:style>
  <w:style w:type="character" w:customStyle="1" w:styleId="Corpodetexto3Char1">
    <w:name w:val="Corpo de texto 3 Char1"/>
    <w:basedOn w:val="Fontepargpadro"/>
    <w:uiPriority w:val="99"/>
    <w:semiHidden/>
    <w:rPr>
      <w:rFonts w:ascii="Arial" w:eastAsia="Times New Roman" w:hAnsi="Arial" w:cs="Tahoma"/>
      <w:sz w:val="16"/>
      <w:szCs w:val="16"/>
      <w:lang w:eastAsia="pt-BR"/>
    </w:rPr>
  </w:style>
  <w:style w:type="paragraph" w:customStyle="1" w:styleId="Recuodocorpodetexto">
    <w:name w:val="Recuo do corpo de texto"/>
    <w:basedOn w:val="Padro0"/>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szCs w:val="20"/>
    </w:rPr>
  </w:style>
  <w:style w:type="paragraph" w:customStyle="1" w:styleId="Contedo1">
    <w:name w:val="Conteúdo 1"/>
    <w:basedOn w:val="Padro0"/>
    <w:next w:val="Padro0"/>
    <w:qFormat/>
    <w:pPr>
      <w:spacing w:before="120" w:after="120"/>
    </w:pPr>
    <w:rPr>
      <w:b/>
      <w:bCs/>
      <w:caps/>
    </w:rPr>
  </w:style>
  <w:style w:type="paragraph" w:styleId="NormalWeb">
    <w:name w:val="Normal (Web)"/>
    <w:basedOn w:val="Normal"/>
    <w:uiPriority w:val="99"/>
    <w:qFormat/>
    <w:pPr>
      <w:suppressAutoHyphens/>
      <w:spacing w:beforeAutospacing="1" w:after="200" w:afterAutospacing="1"/>
    </w:pPr>
    <w:rPr>
      <w:rFonts w:ascii="Times New Roman" w:hAnsi="Times New Roman" w:cs="Times New Roman"/>
      <w:szCs w:val="20"/>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uppressAutoHyphens/>
      <w:ind w:left="720"/>
    </w:pPr>
    <w:rPr>
      <w:rFonts w:ascii="Times New Roman" w:eastAsia="Calibri" w:hAnsi="Times New Roman" w:cs="Times New Roman"/>
      <w:szCs w:val="20"/>
      <w:lang w:eastAsia="ar-SA"/>
    </w:rPr>
  </w:style>
  <w:style w:type="paragraph" w:customStyle="1" w:styleId="Ttulo40">
    <w:name w:val="Título4"/>
    <w:basedOn w:val="Normal"/>
    <w:next w:val="Subttulo"/>
    <w:uiPriority w:val="99"/>
    <w:qFormat/>
    <w:pPr>
      <w:suppressAutoHyphens/>
      <w:jc w:val="center"/>
    </w:pPr>
    <w:rPr>
      <w:rFonts w:ascii="Times New Roman" w:hAnsi="Times New Roman" w:cs="Times New Roman"/>
      <w:b/>
      <w:bCs/>
      <w:sz w:val="24"/>
      <w:lang w:eastAsia="zh-CN"/>
    </w:rPr>
  </w:style>
  <w:style w:type="paragraph" w:customStyle="1" w:styleId="Ttulo30">
    <w:name w:val="Título3"/>
    <w:basedOn w:val="Normal"/>
    <w:next w:val="Corpodetexto"/>
    <w:uiPriority w:val="99"/>
    <w:qFormat/>
    <w:pPr>
      <w:keepNext/>
      <w:suppressAutoHyphens/>
      <w:spacing w:before="240" w:after="120"/>
    </w:pPr>
    <w:rPr>
      <w:rFonts w:cs="Arial"/>
      <w:sz w:val="28"/>
      <w:szCs w:val="28"/>
      <w:lang w:eastAsia="zh-CN"/>
    </w:rPr>
  </w:style>
  <w:style w:type="paragraph" w:customStyle="1" w:styleId="Legenda2">
    <w:name w:val="Legenda2"/>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Ttulo20">
    <w:name w:val="Título2"/>
    <w:basedOn w:val="Normal"/>
    <w:next w:val="Corpodetexto"/>
    <w:uiPriority w:val="99"/>
    <w:qFormat/>
    <w:pPr>
      <w:keepNext/>
      <w:suppressAutoHyphens/>
      <w:spacing w:before="240" w:after="120"/>
    </w:pPr>
    <w:rPr>
      <w:rFonts w:cs="Arial"/>
      <w:sz w:val="28"/>
      <w:szCs w:val="28"/>
      <w:lang w:eastAsia="zh-CN"/>
    </w:rPr>
  </w:style>
  <w:style w:type="paragraph" w:customStyle="1" w:styleId="Legenda1">
    <w:name w:val="Legenda1"/>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Corpodetexto32">
    <w:name w:val="Corpo de texto 32"/>
    <w:basedOn w:val="Normal"/>
    <w:uiPriority w:val="99"/>
    <w:qFormat/>
    <w:pPr>
      <w:suppressAutoHyphens/>
      <w:spacing w:after="120"/>
    </w:pPr>
    <w:rPr>
      <w:rFonts w:ascii="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uppressAutoHyphens/>
      <w:spacing w:before="240" w:after="120"/>
    </w:pPr>
    <w:rPr>
      <w:rFonts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Theme="minorHAnsi"/>
      <w:i/>
      <w:iCs/>
    </w:rPr>
  </w:style>
  <w:style w:type="character" w:customStyle="1" w:styleId="SubttuloChar1">
    <w:name w:val="Subtítulo Char1"/>
    <w:basedOn w:val="Fontepargpadro"/>
    <w:uiPriority w:val="11"/>
    <w:rPr>
      <w:rFonts w:eastAsiaTheme="minorEastAsia"/>
      <w:color w:val="5A5A5A" w:themeColor="text1" w:themeTint="A5"/>
      <w:spacing w:val="15"/>
      <w:lang w:eastAsia="pt-BR"/>
    </w:rPr>
  </w:style>
  <w:style w:type="paragraph" w:customStyle="1" w:styleId="AlneaTracejada">
    <w:name w:val="Alínea Tracejada"/>
    <w:basedOn w:val="Normal"/>
    <w:uiPriority w:val="99"/>
    <w:qFormat/>
    <w:pPr>
      <w:numPr>
        <w:numId w:val="28"/>
      </w:numPr>
      <w:suppressAutoHyphens/>
      <w:spacing w:line="360" w:lineRule="auto"/>
      <w:jc w:val="both"/>
    </w:pPr>
    <w:rPr>
      <w:rFonts w:cs="Arial"/>
      <w:sz w:val="24"/>
      <w:lang w:eastAsia="zh-CN"/>
    </w:rPr>
  </w:style>
  <w:style w:type="paragraph" w:customStyle="1" w:styleId="Data1">
    <w:name w:val="Data1"/>
    <w:basedOn w:val="Normal"/>
    <w:next w:val="Normal"/>
    <w:uiPriority w:val="99"/>
    <w:qFormat/>
    <w:pPr>
      <w:suppressAutoHyphens/>
    </w:pPr>
    <w:rPr>
      <w:rFonts w:ascii="Times New Roman" w:hAnsi="Times New Roman" w:cs="Times New Roman"/>
      <w:sz w:val="24"/>
      <w:lang w:eastAsia="zh-CN"/>
    </w:rPr>
  </w:style>
  <w:style w:type="paragraph" w:styleId="Textodenotaderodap">
    <w:name w:val="footnote text"/>
    <w:basedOn w:val="Normal"/>
    <w:link w:val="TextodenotaderodapChar"/>
    <w:uiPriority w:val="99"/>
    <w:pPr>
      <w:suppressAutoHyphens/>
      <w:spacing w:after="120"/>
      <w:ind w:firstLine="964"/>
      <w:jc w:val="both"/>
    </w:pPr>
    <w:rPr>
      <w:rFonts w:eastAsiaTheme="minorHAnsi" w:cs="Arial"/>
      <w:szCs w:val="20"/>
      <w:lang w:eastAsia="zh-CN"/>
    </w:rPr>
  </w:style>
  <w:style w:type="character" w:customStyle="1" w:styleId="TextodenotaderodapChar1">
    <w:name w:val="Texto de nota de rodapé Char1"/>
    <w:basedOn w:val="Fontepargpadro"/>
    <w:uiPriority w:val="99"/>
    <w:semiHidden/>
    <w:rPr>
      <w:rFonts w:ascii="Arial" w:eastAsia="Times New Roman" w:hAnsi="Arial" w:cs="Tahoma"/>
      <w:sz w:val="20"/>
      <w:szCs w:val="20"/>
      <w:lang w:eastAsia="pt-BR"/>
    </w:rPr>
  </w:style>
  <w:style w:type="paragraph" w:customStyle="1" w:styleId="Contedodetabela">
    <w:name w:val="Conteúdo de tabela"/>
    <w:basedOn w:val="Normal"/>
    <w:uiPriority w:val="99"/>
    <w:qFormat/>
    <w:pPr>
      <w:suppressLineNumbers/>
      <w:suppressAutoHyphens/>
    </w:pPr>
    <w:rPr>
      <w:rFonts w:ascii="Times New Roman" w:hAnsi="Times New Roman" w:cs="Times New Roman"/>
      <w:sz w:val="24"/>
      <w:lang w:eastAsia="zh-CN"/>
    </w:rPr>
  </w:style>
  <w:style w:type="paragraph" w:customStyle="1" w:styleId="Contedodatabela">
    <w:name w:val="Conteúdo da tabela"/>
    <w:basedOn w:val="Normal"/>
    <w:uiPriority w:val="99"/>
    <w:qFormat/>
    <w:pPr>
      <w:suppressLineNumbers/>
      <w:suppressAutoHyphens/>
    </w:pPr>
    <w:rPr>
      <w:rFonts w:ascii="Times New Roman" w:hAnsi="Times New Roman" w:cs="Times New Roman"/>
      <w:sz w:val="24"/>
      <w:lang w:eastAsia="zh-CN"/>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pPr>
      <w:suppressAutoHyphens/>
      <w:spacing w:after="0" w:line="240" w:lineRule="auto"/>
    </w:pPr>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uppressAutoHyphens/>
      <w:spacing w:after="283"/>
    </w:pPr>
    <w:rPr>
      <w:rFonts w:ascii="Times New Roman" w:hAnsi="Times New Roman" w:cs="Times New Roman"/>
      <w:sz w:val="12"/>
      <w:szCs w:val="12"/>
      <w:lang w:eastAsia="zh-CN"/>
    </w:rPr>
  </w:style>
  <w:style w:type="paragraph" w:customStyle="1" w:styleId="Corpodetexto33">
    <w:name w:val="Corpo de texto 33"/>
    <w:basedOn w:val="Normal"/>
    <w:uiPriority w:val="99"/>
    <w:qFormat/>
    <w:pPr>
      <w:suppressAutoHyphens/>
      <w:spacing w:after="120"/>
    </w:pPr>
    <w:rPr>
      <w:rFonts w:ascii="Times New Roman" w:hAnsi="Times New Roman" w:cs="Times New Roman"/>
      <w:sz w:val="16"/>
      <w:szCs w:val="16"/>
      <w:lang w:eastAsia="zh-CN"/>
    </w:rPr>
  </w:style>
  <w:style w:type="paragraph" w:customStyle="1" w:styleId="WW-Corpodetexto3">
    <w:name w:val="WW-Corpo de texto 3"/>
    <w:basedOn w:val="Normal"/>
    <w:uiPriority w:val="99"/>
    <w:qFormat/>
    <w:pPr>
      <w:suppressAutoHyphens/>
      <w:jc w:val="both"/>
    </w:pPr>
    <w:rPr>
      <w:rFonts w:ascii="Times New Roman" w:hAnsi="Times New Roman" w:cs="Times New Roman"/>
      <w:sz w:val="24"/>
      <w:lang w:eastAsia="zh-CN"/>
    </w:rPr>
  </w:style>
  <w:style w:type="paragraph" w:customStyle="1" w:styleId="Corpodetexto34">
    <w:name w:val="Corpo de texto 34"/>
    <w:basedOn w:val="Normal"/>
    <w:uiPriority w:val="99"/>
    <w:qFormat/>
    <w:pPr>
      <w:suppressAutoHyphens/>
      <w:spacing w:after="120"/>
    </w:pPr>
    <w:rPr>
      <w:rFonts w:ascii="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uppressAutoHyphens/>
      <w:spacing w:after="120"/>
      <w:ind w:left="283"/>
    </w:pPr>
    <w:rPr>
      <w:rFonts w:ascii="Times New Roman" w:eastAsiaTheme="minorHAnsi" w:hAnsi="Times New Roman" w:cs="Times New Roman"/>
      <w:sz w:val="16"/>
      <w:szCs w:val="16"/>
      <w:lang w:eastAsia="ar-SA"/>
    </w:rPr>
  </w:style>
  <w:style w:type="character" w:customStyle="1" w:styleId="Recuodecorpodetexto3Char1">
    <w:name w:val="Recuo de corpo de texto 3 Char1"/>
    <w:basedOn w:val="Fontepargpadro"/>
    <w:uiPriority w:val="99"/>
    <w:semiHidden/>
    <w:rPr>
      <w:rFonts w:ascii="Arial" w:eastAsia="Times New Roman" w:hAnsi="Arial" w:cs="Tahoma"/>
      <w:sz w:val="16"/>
      <w:szCs w:val="16"/>
      <w:lang w:eastAsia="pt-BR"/>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uppressAutoHyphens/>
      <w:spacing w:after="120" w:line="480" w:lineRule="auto"/>
      <w:ind w:left="283"/>
    </w:pPr>
    <w:rPr>
      <w:rFonts w:ascii="Times New Roman" w:eastAsiaTheme="minorHAnsi" w:hAnsi="Times New Roman" w:cs="Times New Roman"/>
      <w:szCs w:val="20"/>
      <w:lang w:eastAsia="ar-SA"/>
    </w:rPr>
  </w:style>
  <w:style w:type="character" w:customStyle="1" w:styleId="Recuodecorpodetexto2Char1">
    <w:name w:val="Recuo de corpo de texto 2 Char1"/>
    <w:basedOn w:val="Fontepargpadro"/>
    <w:uiPriority w:val="99"/>
    <w:semiHidden/>
    <w:rPr>
      <w:rFonts w:ascii="Arial" w:eastAsia="Times New Roman" w:hAnsi="Arial" w:cs="Tahoma"/>
      <w:sz w:val="20"/>
      <w:szCs w:val="24"/>
      <w:lang w:eastAsia="pt-BR"/>
    </w:rPr>
  </w:style>
  <w:style w:type="paragraph" w:customStyle="1" w:styleId="Captulo">
    <w:name w:val="Capítulo"/>
    <w:basedOn w:val="Normal"/>
    <w:next w:val="Corpodetexto"/>
    <w:uiPriority w:val="99"/>
    <w:qFormat/>
    <w:pPr>
      <w:keepNext/>
      <w:suppressAutoHyphens/>
      <w:spacing w:before="240" w:after="120"/>
    </w:pPr>
    <w:rPr>
      <w:rFonts w:eastAsia="Calibri"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uppressAutoHyphens/>
      <w:ind w:left="1418" w:hanging="1418"/>
      <w:jc w:val="center"/>
    </w:pPr>
    <w:rPr>
      <w:rFonts w:ascii="Times New Roman" w:hAnsi="Times New Roman" w:cs="Times New Roman"/>
      <w:b/>
      <w:bCs/>
      <w:sz w:val="28"/>
      <w:szCs w:val="28"/>
      <w:u w:val="single"/>
      <w:lang w:eastAsia="ar-SA"/>
    </w:rPr>
  </w:style>
  <w:style w:type="paragraph" w:customStyle="1" w:styleId="OmniPage15">
    <w:name w:val="OmniPage #15"/>
    <w:basedOn w:val="Normal"/>
    <w:uiPriority w:val="99"/>
    <w:qFormat/>
    <w:pPr>
      <w:suppressAutoHyphens/>
      <w:spacing w:line="260" w:lineRule="exact"/>
    </w:pPr>
    <w:rPr>
      <w:rFonts w:ascii="Times New Roman" w:hAnsi="Times New Roman" w:cs="Times New Roman"/>
      <w:szCs w:val="20"/>
      <w:lang w:val="en-US" w:eastAsia="ar-SA"/>
    </w:rPr>
  </w:style>
  <w:style w:type="paragraph" w:customStyle="1" w:styleId="OmniPage25">
    <w:name w:val="OmniPage #25"/>
    <w:basedOn w:val="Normal"/>
    <w:uiPriority w:val="99"/>
    <w:qFormat/>
    <w:pPr>
      <w:suppressAutoHyphens/>
      <w:spacing w:line="260" w:lineRule="exact"/>
    </w:pPr>
    <w:rPr>
      <w:rFonts w:ascii="Times New Roman" w:hAnsi="Times New Roman" w:cs="Times New Roman"/>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uppressAutoHyphens/>
      <w:spacing w:before="100" w:after="100"/>
    </w:pPr>
    <w:rPr>
      <w:rFonts w:ascii="Times New Roman" w:hAnsi="Times New Roman" w:cs="Times New Roman"/>
      <w:sz w:val="18"/>
      <w:szCs w:val="18"/>
      <w:lang w:eastAsia="ar-SA"/>
    </w:rPr>
  </w:style>
  <w:style w:type="paragraph" w:styleId="Commarcadores">
    <w:name w:val="List Bullet"/>
    <w:basedOn w:val="Normal"/>
    <w:autoRedefine/>
    <w:uiPriority w:val="99"/>
    <w:qFormat/>
    <w:pPr>
      <w:numPr>
        <w:numId w:val="29"/>
      </w:numPr>
      <w:tabs>
        <w:tab w:val="left" w:pos="360"/>
      </w:tabs>
      <w:suppressAutoHyphens/>
      <w:ind w:left="360" w:firstLine="0"/>
    </w:pPr>
    <w:rPr>
      <w:rFonts w:ascii="Times New Roman" w:hAnsi="Times New Roman" w:cs="Times New Roman"/>
      <w:szCs w:val="20"/>
    </w:rPr>
  </w:style>
  <w:style w:type="paragraph" w:customStyle="1" w:styleId="WW-Padro1">
    <w:name w:val="WW-Padrão1"/>
    <w:uiPriority w:val="99"/>
    <w:qFormat/>
    <w:pPr>
      <w:suppressAutoHyphens/>
      <w:spacing w:after="0" w:line="240" w:lineRule="auto"/>
    </w:pPr>
    <w:rPr>
      <w:rFonts w:ascii="Times New Roman" w:eastAsia="Calibri" w:hAnsi="Times New Roman" w:cs="Times New Roman"/>
      <w:sz w:val="24"/>
      <w:szCs w:val="24"/>
      <w:lang w:eastAsia="ar-SA"/>
    </w:rPr>
  </w:style>
  <w:style w:type="paragraph" w:customStyle="1" w:styleId="WW-Padro11">
    <w:name w:val="WW-Padrão11"/>
    <w:uiPriority w:val="99"/>
    <w:qFormat/>
    <w:pPr>
      <w:suppressAutoHyphens/>
      <w:spacing w:after="0" w:line="240" w:lineRule="auto"/>
    </w:pPr>
    <w:rPr>
      <w:rFonts w:ascii="Times New Roman" w:eastAsia="Calibri" w:hAnsi="Times New Roman" w:cs="Times New Roman"/>
      <w:sz w:val="24"/>
      <w:szCs w:val="24"/>
      <w:lang w:eastAsia="ar-SA"/>
    </w:rPr>
  </w:style>
  <w:style w:type="paragraph" w:styleId="MapadoDocumento">
    <w:name w:val="Document Map"/>
    <w:basedOn w:val="Normal"/>
    <w:link w:val="MapadoDocumentoChar"/>
    <w:uiPriority w:val="99"/>
    <w:semiHidden/>
    <w:qFormat/>
    <w:pPr>
      <w:shd w:val="clear" w:color="auto" w:fill="000080"/>
      <w:suppressAutoHyphens/>
    </w:pPr>
    <w:rPr>
      <w:rFonts w:ascii="Tahoma" w:eastAsiaTheme="minorHAnsi" w:hAnsi="Tahoma"/>
      <w:sz w:val="24"/>
      <w:lang w:eastAsia="ar-SA"/>
    </w:rPr>
  </w:style>
  <w:style w:type="character" w:customStyle="1" w:styleId="MapadoDocumentoChar1">
    <w:name w:val="Mapa do Documento Char1"/>
    <w:basedOn w:val="Fontepargpadro"/>
    <w:uiPriority w:val="99"/>
    <w:semiHidden/>
    <w:rPr>
      <w:rFonts w:ascii="Segoe UI" w:eastAsia="Times New Roman" w:hAnsi="Segoe UI" w:cs="Segoe UI"/>
      <w:sz w:val="16"/>
      <w:szCs w:val="16"/>
      <w:lang w:eastAsia="pt-BR"/>
    </w:rPr>
  </w:style>
  <w:style w:type="paragraph" w:customStyle="1" w:styleId="fontelink">
    <w:name w:val="fontelink"/>
    <w:basedOn w:val="Normal"/>
    <w:uiPriority w:val="99"/>
    <w:qFormat/>
    <w:pPr>
      <w:suppressAutoHyphens/>
      <w:spacing w:beforeAutospacing="1" w:after="200" w:afterAutospacing="1"/>
    </w:pPr>
    <w:rPr>
      <w:rFonts w:ascii="Verdana" w:hAnsi="Verdana" w:cs="Verdana"/>
      <w:color w:val="073476"/>
      <w:sz w:val="15"/>
      <w:szCs w:val="15"/>
    </w:rPr>
  </w:style>
  <w:style w:type="paragraph" w:styleId="Partesuperior-zdoformulrio">
    <w:name w:val="HTML Top of Form"/>
    <w:basedOn w:val="Normal"/>
    <w:next w:val="Normal"/>
    <w:link w:val="Partesuperior-zdoformulrioChar2"/>
    <w:uiPriority w:val="99"/>
    <w:qFormat/>
    <w:pPr>
      <w:pBdr>
        <w:bottom w:val="single" w:sz="6" w:space="1" w:color="000000"/>
      </w:pBdr>
      <w:suppressAutoHyphens/>
      <w:jc w:val="center"/>
    </w:pPr>
    <w:rPr>
      <w:rFonts w:eastAsia="Calibri" w:cs="Arial"/>
      <w:vanish/>
      <w:sz w:val="16"/>
      <w:szCs w:val="16"/>
      <w:lang w:eastAsia="ar-SA"/>
    </w:rPr>
  </w:style>
  <w:style w:type="character" w:customStyle="1" w:styleId="Partesuperior-zdoformulrioChar2">
    <w:name w:val="Parte superior-z do formulário Char2"/>
    <w:basedOn w:val="Fontepargpadro"/>
    <w:link w:val="Partesuperior-zdoformulrio"/>
    <w:uiPriority w:val="99"/>
    <w:rPr>
      <w:rFonts w:ascii="Arial" w:eastAsia="Calibri"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uppressAutoHyphens/>
      <w:jc w:val="center"/>
    </w:pPr>
    <w:rPr>
      <w:rFonts w:eastAsiaTheme="minorHAnsi" w:cs="Arial"/>
      <w:vanish/>
      <w:sz w:val="16"/>
      <w:szCs w:val="16"/>
      <w:lang w:eastAsia="ar-SA"/>
    </w:rPr>
  </w:style>
  <w:style w:type="character" w:customStyle="1" w:styleId="ParteinferiordoformulrioChar2">
    <w:name w:val="Parte inferior do formulário Char2"/>
    <w:basedOn w:val="Fontepargpadro"/>
    <w:uiPriority w:val="99"/>
    <w:semiHidden/>
    <w:rPr>
      <w:rFonts w:ascii="Arial" w:eastAsia="Times New Roman" w:hAnsi="Arial" w:cs="Arial"/>
      <w:vanish/>
      <w:sz w:val="16"/>
      <w:szCs w:val="16"/>
      <w:lang w:eastAsia="pt-BR"/>
    </w:rPr>
  </w:style>
  <w:style w:type="paragraph" w:customStyle="1" w:styleId="Corpo">
    <w:name w:val="Corpo"/>
    <w:uiPriority w:val="99"/>
    <w:qFormat/>
    <w:pPr>
      <w:suppressAutoHyphens/>
      <w:spacing w:after="0" w:line="240" w:lineRule="auto"/>
    </w:pPr>
    <w:rPr>
      <w:rFonts w:ascii="Courier" w:eastAsia="Times New Roman" w:hAnsi="Courier" w:cs="Courier"/>
      <w:color w:val="000000"/>
      <w:sz w:val="24"/>
      <w:szCs w:val="24"/>
      <w:lang w:eastAsia="pt-BR"/>
    </w:rPr>
  </w:style>
  <w:style w:type="paragraph" w:customStyle="1" w:styleId="ww-padro0">
    <w:name w:val="ww-padro"/>
    <w:basedOn w:val="Normal"/>
    <w:uiPriority w:val="99"/>
    <w:qFormat/>
    <w:pPr>
      <w:suppressAutoHyphens/>
      <w:spacing w:beforeAutospacing="1" w:after="200" w:afterAutospacing="1"/>
    </w:pPr>
    <w:rPr>
      <w:rFonts w:ascii="Times New Roman" w:hAnsi="Times New Roman" w:cs="Times New Roman"/>
      <w:sz w:val="24"/>
    </w:rPr>
  </w:style>
  <w:style w:type="paragraph" w:styleId="SemEspaamento">
    <w:name w:val="No Spacing"/>
    <w:uiPriority w:val="99"/>
    <w:qFormat/>
    <w:pPr>
      <w:suppressAutoHyphens/>
      <w:spacing w:after="0" w:line="240" w:lineRule="auto"/>
    </w:pPr>
    <w:rPr>
      <w:rFonts w:ascii="Times New Roman" w:eastAsia="Times New Roman" w:hAnsi="Times New Roman" w:cs="Times New Roman"/>
      <w:sz w:val="24"/>
      <w:szCs w:val="24"/>
      <w:lang w:eastAsia="pt-BR"/>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eastAsia="Calibri" w:cs="Arial"/>
      <w:sz w:val="24"/>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ascii="Times New Roman" w:eastAsia="Calibri" w:hAnsi="Times New Roman" w:cs="Times New Roman"/>
      <w:sz w:val="24"/>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ascii="Times New Roman" w:eastAsia="Calibri" w:hAnsi="Times New Roman" w:cs="Times New Roman"/>
      <w:sz w:val="18"/>
      <w:szCs w:val="18"/>
    </w:rPr>
  </w:style>
  <w:style w:type="paragraph" w:customStyle="1" w:styleId="ww-padro10">
    <w:name w:val="ww-padro1"/>
    <w:basedOn w:val="Normal"/>
    <w:uiPriority w:val="99"/>
    <w:qFormat/>
    <w:pPr>
      <w:suppressAutoHyphens/>
    </w:pPr>
    <w:rPr>
      <w:rFonts w:ascii="Times New Roman" w:hAnsi="Times New Roman" w:cs="Times New Roman"/>
      <w:sz w:val="24"/>
    </w:rPr>
  </w:style>
  <w:style w:type="paragraph" w:customStyle="1" w:styleId="Corpodetexto21">
    <w:name w:val="Corpo de texto 21"/>
    <w:basedOn w:val="Normal"/>
    <w:uiPriority w:val="99"/>
    <w:qFormat/>
    <w:pPr>
      <w:suppressAutoHyphens/>
      <w:spacing w:after="120" w:line="480" w:lineRule="auto"/>
    </w:pPr>
    <w:rPr>
      <w:rFonts w:ascii="Times New Roman" w:hAnsi="Times New Roman" w:cs="Times New Roman"/>
      <w:szCs w:val="20"/>
      <w:lang w:eastAsia="ar-SA"/>
    </w:rPr>
  </w:style>
  <w:style w:type="paragraph" w:customStyle="1" w:styleId="Recuodecorpodetexto21">
    <w:name w:val="Recuo de corpo de texto 21"/>
    <w:basedOn w:val="Normal"/>
    <w:uiPriority w:val="99"/>
    <w:qFormat/>
    <w:pPr>
      <w:suppressAutoHyphens/>
      <w:spacing w:after="120" w:line="480" w:lineRule="auto"/>
      <w:ind w:left="283"/>
    </w:pPr>
    <w:rPr>
      <w:rFonts w:ascii="Times New Roman" w:hAnsi="Times New Roman" w:cs="Times New Roman"/>
      <w:szCs w:val="20"/>
      <w:lang w:eastAsia="ar-SA"/>
    </w:rPr>
  </w:style>
  <w:style w:type="paragraph" w:customStyle="1" w:styleId="Lista31">
    <w:name w:val="Lista 31"/>
    <w:basedOn w:val="Normal"/>
    <w:uiPriority w:val="99"/>
    <w:qFormat/>
    <w:pPr>
      <w:suppressAutoHyphens/>
      <w:ind w:left="849" w:hanging="283"/>
    </w:pPr>
    <w:rPr>
      <w:rFonts w:ascii="Times New Roman" w:hAnsi="Times New Roman" w:cs="Times New Roman"/>
      <w:szCs w:val="20"/>
      <w:lang w:eastAsia="ar-SA"/>
    </w:rPr>
  </w:style>
  <w:style w:type="paragraph" w:customStyle="1" w:styleId="western">
    <w:name w:val="western"/>
    <w:basedOn w:val="Normal"/>
    <w:uiPriority w:val="99"/>
    <w:qFormat/>
    <w:pPr>
      <w:suppressAutoHyphens/>
      <w:spacing w:beforeAutospacing="1" w:after="119"/>
    </w:pPr>
    <w:rPr>
      <w:rFonts w:ascii="Times New Roman" w:hAnsi="Times New Roman" w:cs="Times New Roman"/>
      <w:sz w:val="24"/>
    </w:rPr>
  </w:style>
  <w:style w:type="paragraph" w:customStyle="1" w:styleId="respostas2">
    <w:name w:val="respostas2"/>
    <w:basedOn w:val="Normal"/>
    <w:uiPriority w:val="99"/>
    <w:qFormat/>
    <w:pPr>
      <w:suppressAutoHyphens/>
      <w:spacing w:beforeAutospacing="1" w:after="200" w:afterAutospacing="1"/>
    </w:pPr>
    <w:rPr>
      <w:rFonts w:ascii="Times New Roman" w:hAnsi="Times New Roman" w:cs="Times New Roman"/>
      <w:color w:val="8F8F8F"/>
      <w:sz w:val="18"/>
      <w:szCs w:val="18"/>
    </w:rPr>
  </w:style>
  <w:style w:type="paragraph" w:customStyle="1" w:styleId="style18">
    <w:name w:val="style18"/>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pricebox">
    <w:name w:val="price_box"/>
    <w:basedOn w:val="Normal"/>
    <w:uiPriority w:val="99"/>
    <w:qFormat/>
    <w:pPr>
      <w:shd w:val="clear" w:color="auto" w:fill="EEEEEE"/>
      <w:suppressAutoHyphens/>
      <w:spacing w:beforeAutospacing="1" w:after="200" w:afterAutospacing="1"/>
    </w:pPr>
    <w:rPr>
      <w:rFonts w:ascii="Times New Roman" w:hAnsi="Times New Roman" w:cs="Times New Roman"/>
      <w:sz w:val="22"/>
      <w:szCs w:val="22"/>
    </w:rPr>
  </w:style>
  <w:style w:type="paragraph" w:customStyle="1" w:styleId="fst">
    <w:name w:val="fst"/>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titulo">
    <w:name w:val="titulo"/>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B">
    <w:name w:val="B"/>
    <w:basedOn w:val="Normal"/>
    <w:uiPriority w:val="99"/>
    <w:qFormat/>
    <w:pPr>
      <w:tabs>
        <w:tab w:val="left" w:pos="567"/>
      </w:tabs>
      <w:suppressAutoHyphens/>
      <w:jc w:val="both"/>
    </w:pPr>
    <w:rPr>
      <w:rFonts w:ascii="Times New Roman" w:hAnsi="Times New Roman" w:cs="Times New Roman"/>
      <w:caps/>
      <w:szCs w:val="20"/>
    </w:rPr>
  </w:style>
  <w:style w:type="paragraph" w:customStyle="1" w:styleId="BodyText21">
    <w:name w:val="Body Text 21"/>
    <w:basedOn w:val="Normal"/>
    <w:uiPriority w:val="99"/>
    <w:qFormat/>
    <w:pPr>
      <w:widowControl w:val="0"/>
      <w:suppressAutoHyphens/>
      <w:jc w:val="both"/>
    </w:pPr>
    <w:rPr>
      <w:rFonts w:ascii="Times New Roman" w:hAnsi="Times New Roman" w:cs="Times New Roman"/>
      <w:sz w:val="24"/>
    </w:rPr>
  </w:style>
  <w:style w:type="paragraph" w:customStyle="1" w:styleId="texto1">
    <w:name w:val="texto1"/>
    <w:basedOn w:val="Normal"/>
    <w:uiPriority w:val="99"/>
    <w:qFormat/>
    <w:pPr>
      <w:suppressAutoHyphens/>
      <w:spacing w:before="100" w:after="100" w:line="280" w:lineRule="atLeast"/>
      <w:jc w:val="both"/>
    </w:pPr>
    <w:rPr>
      <w:rFonts w:cs="Arial"/>
      <w:sz w:val="22"/>
      <w:szCs w:val="22"/>
    </w:rPr>
  </w:style>
  <w:style w:type="paragraph" w:customStyle="1" w:styleId="MapadoDocumento1">
    <w:name w:val="Mapa do Documento1"/>
    <w:basedOn w:val="Normal"/>
    <w:uiPriority w:val="99"/>
    <w:qFormat/>
    <w:pPr>
      <w:shd w:val="clear" w:color="auto" w:fill="000080"/>
      <w:suppressAutoHyphens/>
    </w:pPr>
    <w:rPr>
      <w:rFonts w:ascii="Tahoma" w:hAnsi="Tahoma"/>
      <w:sz w:val="24"/>
      <w:lang w:eastAsia="ar-SA"/>
    </w:rPr>
  </w:style>
  <w:style w:type="paragraph" w:customStyle="1" w:styleId="font5">
    <w:name w:val="font5"/>
    <w:basedOn w:val="Normal"/>
    <w:uiPriority w:val="99"/>
    <w:qFormat/>
    <w:pPr>
      <w:suppressAutoHyphens/>
      <w:spacing w:beforeAutospacing="1" w:after="200" w:afterAutospacing="1"/>
    </w:pPr>
    <w:rPr>
      <w:rFonts w:ascii="Times New Roman" w:hAnsi="Times New Roman" w:cs="Times New Roman"/>
      <w:color w:val="FF0000"/>
      <w:sz w:val="16"/>
      <w:szCs w:val="16"/>
    </w:rPr>
  </w:style>
  <w:style w:type="paragraph" w:customStyle="1" w:styleId="xl65">
    <w:name w:val="xl65"/>
    <w:basedOn w:val="Normal"/>
    <w:uiPriority w:val="99"/>
    <w:qFormat/>
    <w:pPr>
      <w:suppressAutoHyphens/>
      <w:spacing w:beforeAutospacing="1" w:after="200" w:afterAutospacing="1"/>
    </w:pPr>
    <w:rPr>
      <w:rFonts w:ascii="Times New Roman" w:hAnsi="Times New Roman" w:cs="Times New Roman"/>
      <w:szCs w:val="20"/>
    </w:rPr>
  </w:style>
  <w:style w:type="paragraph" w:customStyle="1" w:styleId="xl66">
    <w:name w:val="xl66"/>
    <w:basedOn w:val="Normal"/>
    <w:uiPriority w:val="99"/>
    <w:qFormat/>
    <w:pPr>
      <w:suppressAutoHyphens/>
      <w:spacing w:beforeAutospacing="1" w:after="200" w:afterAutospacing="1"/>
      <w:jc w:val="center"/>
    </w:pPr>
    <w:rPr>
      <w:rFonts w:ascii="Times New Roman" w:hAnsi="Times New Roman" w:cs="Times New Roman"/>
      <w:szCs w:val="20"/>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pPr>
    <w:rPr>
      <w:rFonts w:ascii="Times New Roman" w:hAnsi="Times New Roman" w:cs="Times New Roman"/>
      <w:sz w:val="16"/>
      <w:szCs w:val="16"/>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textAlignment w:val="center"/>
    </w:pPr>
    <w:rPr>
      <w:rFonts w:ascii="Times New Roman" w:hAnsi="Times New Roman" w:cs="Times New Roman"/>
      <w:color w:val="000000"/>
      <w:sz w:val="16"/>
      <w:szCs w:val="16"/>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textAlignment w:val="center"/>
    </w:pPr>
    <w:rPr>
      <w:rFonts w:ascii="Times New Roman" w:hAnsi="Times New Roman" w:cs="Times New Roman"/>
      <w:sz w:val="16"/>
      <w:szCs w:val="16"/>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textAlignment w:val="center"/>
    </w:pPr>
    <w:rPr>
      <w:rFonts w:ascii="Times New Roman" w:hAnsi="Times New Roman" w:cs="Times New Roman"/>
      <w:color w:val="000000"/>
      <w:sz w:val="16"/>
      <w:szCs w:val="16"/>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textAlignment w:val="center"/>
    </w:pPr>
    <w:rPr>
      <w:rFonts w:ascii="Times New Roman" w:hAnsi="Times New Roman" w:cs="Times New Roman"/>
      <w:sz w:val="16"/>
      <w:szCs w:val="16"/>
    </w:rPr>
  </w:style>
  <w:style w:type="paragraph" w:customStyle="1" w:styleId="PargrafodaLista2">
    <w:name w:val="Parágrafo da Lista2"/>
    <w:basedOn w:val="Normal"/>
    <w:uiPriority w:val="99"/>
    <w:qFormat/>
    <w:pPr>
      <w:widowControl w:val="0"/>
      <w:suppressAutoHyphens/>
    </w:pPr>
    <w:rPr>
      <w:rFonts w:ascii="Calibri" w:hAnsi="Calibri" w:cs="Calibri"/>
      <w:sz w:val="22"/>
      <w:szCs w:val="22"/>
      <w:lang w:val="en-US" w:eastAsia="en-US"/>
    </w:rPr>
  </w:style>
  <w:style w:type="paragraph" w:customStyle="1" w:styleId="TableParagraph">
    <w:name w:val="Table Paragraph"/>
    <w:basedOn w:val="Normal"/>
    <w:uiPriority w:val="1"/>
    <w:qFormat/>
    <w:pPr>
      <w:widowControl w:val="0"/>
      <w:suppressAutoHyphens/>
      <w:spacing w:line="261" w:lineRule="exact"/>
      <w:ind w:left="107"/>
    </w:pPr>
    <w:rPr>
      <w:rFonts w:ascii="Times New Roman" w:hAnsi="Times New Roman" w:cs="Times New Roman"/>
      <w:sz w:val="22"/>
      <w:szCs w:val="22"/>
      <w:lang w:val="pt-PT" w:eastAsia="en-US"/>
    </w:rPr>
  </w:style>
  <w:style w:type="table" w:customStyle="1" w:styleId="TableNormal">
    <w:name w:val="Table Normal"/>
    <w:uiPriority w:val="2"/>
    <w:semiHidden/>
    <w:unhideWhenUsed/>
    <w:qFormat/>
    <w:pPr>
      <w:suppressAutoHyphens/>
      <w:spacing w:after="0" w:line="240" w:lineRule="auto"/>
    </w:pPr>
    <w:rPr>
      <w:lang w:val="en-US"/>
    </w:rPr>
    <w:tblPr>
      <w:tblCellMar>
        <w:top w:w="0" w:type="dxa"/>
        <w:left w:w="0" w:type="dxa"/>
        <w:bottom w:w="0" w:type="dxa"/>
        <w:right w:w="0" w:type="dxa"/>
      </w:tblCellMar>
    </w:tblPr>
  </w:style>
  <w:style w:type="character" w:customStyle="1" w:styleId="Nivel2Char">
    <w:name w:val="Nivel 2 Char"/>
    <w:basedOn w:val="Fontepargpadro"/>
    <w:link w:val="Nivel2"/>
    <w:locked/>
    <w:rPr>
      <w:rFonts w:ascii="Ecofont_Spranq_eco_Sans" w:eastAsia="Arial Unicode MS" w:hAnsi="Ecofont_Spranq_eco_Sans" w:cs="Times New Roman"/>
      <w:sz w:val="20"/>
      <w:szCs w:val="20"/>
      <w:lang w:eastAsia="pt-BR"/>
    </w:rPr>
  </w:style>
  <w:style w:type="character" w:customStyle="1" w:styleId="Nivel1Char">
    <w:name w:val="Nivel1 Char"/>
    <w:basedOn w:val="Fontepargpadro"/>
    <w:link w:val="Nivel10"/>
    <w:locked/>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43608">
      <w:bodyDiv w:val="1"/>
      <w:marLeft w:val="0"/>
      <w:marRight w:val="0"/>
      <w:marTop w:val="0"/>
      <w:marBottom w:val="0"/>
      <w:divBdr>
        <w:top w:val="none" w:sz="0" w:space="0" w:color="auto"/>
        <w:left w:val="none" w:sz="0" w:space="0" w:color="auto"/>
        <w:bottom w:val="none" w:sz="0" w:space="0" w:color="auto"/>
        <w:right w:val="none" w:sz="0" w:space="0" w:color="auto"/>
      </w:divBdr>
    </w:div>
    <w:div w:id="189242123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normas.receita.fazenda.gov.br/sijut2consulta/link.action?visao=anotado&amp;idAto=56753" TargetMode="External"/><Relationship Id="rId39" Type="http://schemas.openxmlformats.org/officeDocument/2006/relationships/footer" Target="foot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1.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www.planalto.gov.br/ccivil_03/Leis/LCP/Lcp12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decreto-lei/del5452.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8" Type="http://schemas.openxmlformats.org/officeDocument/2006/relationships/hyperlink" Target="http://www.ammlicita.org.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normas.receita.fazenda.gov.br/sijut2consulta/link.action?idAto=1593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F6159-9650-40BD-A718-D57B43484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25</Pages>
  <Words>9607</Words>
  <Characters>51881</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Cliente</cp:lastModifiedBy>
  <cp:revision>61</cp:revision>
  <cp:lastPrinted>2025-01-27T13:29:00Z</cp:lastPrinted>
  <dcterms:created xsi:type="dcterms:W3CDTF">2025-01-09T16:48:00Z</dcterms:created>
  <dcterms:modified xsi:type="dcterms:W3CDTF">2025-03-17T17:22:00Z</dcterms:modified>
</cp:coreProperties>
</file>