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82474" w14:textId="77777777" w:rsidR="00380AFB" w:rsidRDefault="00380AFB"/>
    <w:p w14:paraId="588B18AE" w14:textId="77777777" w:rsidR="00380AFB" w:rsidRDefault="00380AFB">
      <w:pPr>
        <w:pStyle w:val="Default"/>
        <w:spacing w:line="276" w:lineRule="auto"/>
        <w:contextualSpacing/>
        <w:rPr>
          <w:rFonts w:ascii="Bookman Old Style" w:hAnsi="Bookman Old Style" w:cs="Times New Roman"/>
          <w:b/>
          <w:bCs/>
          <w:color w:val="auto"/>
          <w:sz w:val="19"/>
          <w:szCs w:val="19"/>
          <w:u w:val="single"/>
        </w:rPr>
      </w:pPr>
    </w:p>
    <w:p w14:paraId="6B3EC14C" w14:textId="77777777" w:rsidR="00380AFB" w:rsidRDefault="00000000">
      <w:pPr>
        <w:pStyle w:val="Default"/>
        <w:pBdr>
          <w:bottom w:val="single" w:sz="12" w:space="1" w:color="auto"/>
        </w:pBdr>
        <w:spacing w:line="276" w:lineRule="auto"/>
        <w:contextualSpacing/>
        <w:jc w:val="center"/>
        <w:rPr>
          <w:rFonts w:ascii="Bookman Old Style" w:hAnsi="Bookman Old Style" w:cs="Times New Roman"/>
          <w:b/>
          <w:bCs/>
          <w:color w:val="auto"/>
          <w:sz w:val="19"/>
          <w:szCs w:val="19"/>
        </w:rPr>
      </w:pPr>
      <w:r>
        <w:rPr>
          <w:rFonts w:ascii="Bookman Old Style" w:hAnsi="Bookman Old Style" w:cs="Times New Roman"/>
          <w:b/>
          <w:bCs/>
          <w:color w:val="auto"/>
          <w:sz w:val="19"/>
          <w:szCs w:val="19"/>
        </w:rPr>
        <w:t>EDITAL DE LICITAÇÃO</w:t>
      </w:r>
    </w:p>
    <w:p w14:paraId="618A64A3" w14:textId="77777777" w:rsidR="00380AFB" w:rsidRDefault="00380AFB">
      <w:pPr>
        <w:pStyle w:val="Default"/>
        <w:spacing w:line="276" w:lineRule="auto"/>
        <w:contextualSpacing/>
        <w:jc w:val="center"/>
        <w:rPr>
          <w:rFonts w:ascii="Bookman Old Style" w:hAnsi="Bookman Old Style" w:cs="Times New Roman"/>
          <w:b/>
          <w:bCs/>
          <w:color w:val="FF0000"/>
          <w:sz w:val="19"/>
          <w:szCs w:val="19"/>
        </w:rPr>
      </w:pPr>
    </w:p>
    <w:p w14:paraId="1543ADF0" w14:textId="77777777" w:rsidR="00380AFB" w:rsidRDefault="00000000">
      <w:pPr>
        <w:pStyle w:val="Default"/>
        <w:spacing w:line="276" w:lineRule="auto"/>
        <w:contextualSpacing/>
        <w:jc w:val="center"/>
        <w:rPr>
          <w:rFonts w:ascii="Bookman Old Style" w:hAnsi="Bookman Old Style" w:cs="Times New Roman"/>
          <w:color w:val="000000" w:themeColor="text1"/>
          <w:sz w:val="19"/>
          <w:szCs w:val="19"/>
        </w:rPr>
      </w:pPr>
      <w:r>
        <w:rPr>
          <w:rFonts w:ascii="Bookman Old Style" w:hAnsi="Bookman Old Style" w:cs="Times New Roman"/>
          <w:b/>
          <w:bCs/>
          <w:color w:val="000000" w:themeColor="text1"/>
          <w:sz w:val="19"/>
          <w:szCs w:val="19"/>
        </w:rPr>
        <w:t>PROCESSO LICITATÓRIO Nº 120/2025</w:t>
      </w:r>
    </w:p>
    <w:p w14:paraId="6074992A" w14:textId="77777777" w:rsidR="00380AFB" w:rsidRDefault="00000000">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MODALIDADE: PREGÃO ELETRÔNICO Nº 21/2025</w:t>
      </w:r>
    </w:p>
    <w:p w14:paraId="7424DD4F" w14:textId="77777777" w:rsidR="00380AFB" w:rsidRDefault="00000000">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 xml:space="preserve">REGISTRO DE PREÇOS </w:t>
      </w:r>
    </w:p>
    <w:p w14:paraId="454B25F9" w14:textId="77777777" w:rsidR="00380AFB" w:rsidRDefault="00000000">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TIPO: MENOR PREÇO</w:t>
      </w:r>
    </w:p>
    <w:p w14:paraId="6EFC881D" w14:textId="77777777" w:rsidR="00380AFB" w:rsidRDefault="00380AFB">
      <w:pPr>
        <w:pStyle w:val="Default"/>
        <w:spacing w:line="276" w:lineRule="auto"/>
        <w:contextualSpacing/>
        <w:rPr>
          <w:rFonts w:ascii="Bookman Old Style" w:hAnsi="Bookman Old Style" w:cs="Times New Roman"/>
          <w:color w:val="auto"/>
          <w:sz w:val="19"/>
          <w:szCs w:val="19"/>
        </w:rPr>
      </w:pPr>
    </w:p>
    <w:p w14:paraId="68FEA563" w14:textId="77777777" w:rsidR="00380AFB" w:rsidRDefault="00000000">
      <w:pPr>
        <w:pStyle w:val="Default"/>
        <w:spacing w:line="276" w:lineRule="auto"/>
        <w:contextualSpacing/>
        <w:jc w:val="both"/>
        <w:rPr>
          <w:rFonts w:ascii="Bookman Old Style" w:hAnsi="Bookman Old Style" w:cs="Times New Roman"/>
          <w:bCs/>
          <w:color w:val="auto"/>
          <w:sz w:val="19"/>
          <w:szCs w:val="19"/>
        </w:rPr>
      </w:pPr>
      <w:r>
        <w:rPr>
          <w:rFonts w:ascii="Bookman Old Style" w:hAnsi="Bookman Old Style" w:cs="Times New Roman"/>
          <w:b/>
          <w:bCs/>
          <w:color w:val="auto"/>
          <w:sz w:val="19"/>
          <w:szCs w:val="19"/>
        </w:rPr>
        <w:t xml:space="preserve">OBJETO: </w:t>
      </w:r>
      <w:r>
        <w:rPr>
          <w:rFonts w:ascii="Bookman Old Style" w:hAnsi="Bookman Old Style" w:cs="Times New Roman"/>
          <w:bCs/>
          <w:color w:val="auto"/>
          <w:sz w:val="19"/>
          <w:szCs w:val="19"/>
        </w:rPr>
        <w:t>Registro de Preços para</w:t>
      </w:r>
      <w:r>
        <w:rPr>
          <w:rFonts w:ascii="Bookman Old Style" w:hAnsi="Bookman Old Style" w:cs="Times New Roman"/>
          <w:b/>
          <w:bCs/>
          <w:color w:val="auto"/>
          <w:sz w:val="19"/>
          <w:szCs w:val="19"/>
        </w:rPr>
        <w:t xml:space="preserve"> </w:t>
      </w:r>
      <w:r>
        <w:rPr>
          <w:rFonts w:ascii="Bookman Old Style" w:hAnsi="Bookman Old Style" w:cs="Times New Roman"/>
          <w:bCs/>
          <w:color w:val="auto"/>
          <w:sz w:val="19"/>
          <w:szCs w:val="19"/>
        </w:rPr>
        <w:t>aquisição de cartucho e toner para atendimento das demandas da Secretaria Municipal de Governo do Município de Maravilhas/MG, conforme especificações constantes do Termo de Referência- Anexo I.</w:t>
      </w:r>
    </w:p>
    <w:p w14:paraId="0C1BB3B0" w14:textId="77777777" w:rsidR="00380AFB" w:rsidRDefault="00380AFB">
      <w:pPr>
        <w:pStyle w:val="Default"/>
        <w:spacing w:line="276" w:lineRule="auto"/>
        <w:contextualSpacing/>
        <w:jc w:val="both"/>
        <w:rPr>
          <w:rFonts w:ascii="Bookman Old Style" w:hAnsi="Bookman Old Style" w:cs="Times New Roman"/>
          <w:bCs/>
          <w:color w:val="auto"/>
          <w:sz w:val="19"/>
          <w:szCs w:val="19"/>
        </w:rPr>
      </w:pPr>
    </w:p>
    <w:p w14:paraId="1DC92FEC" w14:textId="77777777" w:rsidR="00380AFB" w:rsidRDefault="00000000">
      <w:pPr>
        <w:pStyle w:val="Default"/>
        <w:spacing w:line="276" w:lineRule="auto"/>
        <w:contextualSpacing/>
        <w:jc w:val="both"/>
        <w:rPr>
          <w:rFonts w:ascii="Bookman Old Style" w:hAnsi="Bookman Old Style" w:cs="Times New Roman"/>
          <w:b/>
          <w:color w:val="auto"/>
          <w:sz w:val="19"/>
          <w:szCs w:val="19"/>
        </w:rPr>
      </w:pPr>
      <w:r>
        <w:rPr>
          <w:rFonts w:ascii="Bookman Old Style" w:hAnsi="Bookman Old Style" w:cs="Times New Roman"/>
          <w:b/>
          <w:color w:val="auto"/>
          <w:sz w:val="19"/>
          <w:szCs w:val="19"/>
        </w:rPr>
        <w:t>DA EQUIPE DE PREGÃO:</w:t>
      </w:r>
    </w:p>
    <w:p w14:paraId="4A402110" w14:textId="77777777" w:rsidR="00380AFB" w:rsidRDefault="00000000">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color w:val="auto"/>
          <w:sz w:val="19"/>
          <w:szCs w:val="19"/>
        </w:rPr>
        <w:t xml:space="preserve">O Pregão será realizado pela </w:t>
      </w:r>
      <w:r>
        <w:rPr>
          <w:rFonts w:ascii="Bookman Old Style" w:hAnsi="Bookman Old Style" w:cs="Times New Roman"/>
          <w:color w:val="000000" w:themeColor="text1"/>
          <w:sz w:val="19"/>
          <w:szCs w:val="19"/>
        </w:rPr>
        <w:t xml:space="preserve">Pregoeira Olívia Capanema Benevides </w:t>
      </w:r>
      <w:r>
        <w:rPr>
          <w:rFonts w:ascii="Bookman Old Style" w:hAnsi="Bookman Old Style" w:cs="Times New Roman"/>
          <w:color w:val="auto"/>
          <w:sz w:val="19"/>
          <w:szCs w:val="19"/>
        </w:rPr>
        <w:t xml:space="preserve">e sua equipe de apoio designados pela </w:t>
      </w:r>
      <w:r>
        <w:rPr>
          <w:rFonts w:ascii="Bookman Old Style" w:hAnsi="Bookman Old Style" w:cs="Times New Roman"/>
          <w:color w:val="000000" w:themeColor="text1"/>
          <w:sz w:val="19"/>
          <w:szCs w:val="19"/>
        </w:rPr>
        <w:t>Portaria nº. 82, de 26 de maio de 2025</w:t>
      </w:r>
      <w:r>
        <w:rPr>
          <w:rFonts w:ascii="Bookman Old Style" w:hAnsi="Bookman Old Style" w:cs="Times New Roman"/>
          <w:color w:val="auto"/>
          <w:sz w:val="19"/>
          <w:szCs w:val="19"/>
        </w:rPr>
        <w:t>.</w:t>
      </w:r>
    </w:p>
    <w:p w14:paraId="194142B9" w14:textId="77777777" w:rsidR="00380AFB" w:rsidRDefault="00380AFB">
      <w:pPr>
        <w:pStyle w:val="Default"/>
        <w:spacing w:line="276" w:lineRule="auto"/>
        <w:contextualSpacing/>
        <w:jc w:val="both"/>
        <w:rPr>
          <w:rFonts w:ascii="Bookman Old Style" w:hAnsi="Bookman Old Style" w:cs="Times New Roman"/>
          <w:color w:val="auto"/>
          <w:sz w:val="19"/>
          <w:szCs w:val="19"/>
        </w:rPr>
      </w:pPr>
    </w:p>
    <w:p w14:paraId="77A979DD" w14:textId="77777777" w:rsidR="00380AFB" w:rsidRDefault="00000000">
      <w:pPr>
        <w:pStyle w:val="Default"/>
        <w:spacing w:line="276" w:lineRule="auto"/>
        <w:contextualSpacing/>
        <w:jc w:val="both"/>
        <w:rPr>
          <w:rFonts w:ascii="Bookman Old Style" w:hAnsi="Bookman Old Style" w:cs="Times New Roman"/>
          <w:b/>
          <w:color w:val="auto"/>
          <w:sz w:val="19"/>
          <w:szCs w:val="19"/>
        </w:rPr>
      </w:pPr>
      <w:r>
        <w:rPr>
          <w:rFonts w:ascii="Bookman Old Style" w:hAnsi="Bookman Old Style" w:cs="Times New Roman"/>
          <w:b/>
          <w:color w:val="auto"/>
          <w:sz w:val="19"/>
          <w:szCs w:val="19"/>
        </w:rPr>
        <w:t xml:space="preserve">DATAS E HORÁRIOS REFERENTES AO PREGÃO ELETRÔNICO: </w:t>
      </w:r>
    </w:p>
    <w:p w14:paraId="3BB4F824" w14:textId="77777777" w:rsidR="00380AFB" w:rsidRDefault="00000000">
      <w:pPr>
        <w:pStyle w:val="Default"/>
        <w:spacing w:line="276" w:lineRule="auto"/>
        <w:contextualSpacing/>
        <w:jc w:val="both"/>
        <w:rPr>
          <w:rFonts w:ascii="Bookman Old Style" w:hAnsi="Bookman Old Style" w:cs="Times New Roman"/>
          <w:color w:val="000000" w:themeColor="text1"/>
          <w:sz w:val="19"/>
          <w:szCs w:val="19"/>
        </w:rPr>
      </w:pPr>
      <w:r>
        <w:rPr>
          <w:rFonts w:ascii="Bookman Old Style" w:hAnsi="Bookman Old Style" w:cs="Times New Roman"/>
          <w:color w:val="000000" w:themeColor="text1"/>
          <w:sz w:val="19"/>
          <w:szCs w:val="19"/>
        </w:rPr>
        <w:t xml:space="preserve">Dia 07/07/2025 até 08h:55min (oito horas e cinquenta e cinco minutos): recebimento das propostas. </w:t>
      </w:r>
    </w:p>
    <w:p w14:paraId="28A04370" w14:textId="77777777" w:rsidR="00380AFB" w:rsidRDefault="00380AFB">
      <w:pPr>
        <w:pStyle w:val="Default"/>
        <w:spacing w:line="276" w:lineRule="auto"/>
        <w:contextualSpacing/>
        <w:jc w:val="both"/>
        <w:rPr>
          <w:rFonts w:ascii="Bookman Old Style" w:hAnsi="Bookman Old Style" w:cs="Times New Roman"/>
          <w:color w:val="000000" w:themeColor="text1"/>
          <w:sz w:val="19"/>
          <w:szCs w:val="19"/>
        </w:rPr>
      </w:pPr>
    </w:p>
    <w:p w14:paraId="2747E8AB" w14:textId="77777777" w:rsidR="00380AFB" w:rsidRDefault="00000000">
      <w:pPr>
        <w:pStyle w:val="Default"/>
        <w:spacing w:line="276" w:lineRule="auto"/>
        <w:contextualSpacing/>
        <w:jc w:val="both"/>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 xml:space="preserve">Dia 07/07/2025 às 9h:00min (nove horas): início da sessão. </w:t>
      </w:r>
    </w:p>
    <w:p w14:paraId="0CB5BED1" w14:textId="77777777" w:rsidR="00380AFB" w:rsidRDefault="00380AFB">
      <w:pPr>
        <w:pStyle w:val="Default"/>
        <w:spacing w:line="276" w:lineRule="auto"/>
        <w:contextualSpacing/>
        <w:jc w:val="both"/>
        <w:rPr>
          <w:rFonts w:ascii="Bookman Old Style" w:hAnsi="Bookman Old Style" w:cs="Times New Roman"/>
          <w:color w:val="auto"/>
          <w:sz w:val="19"/>
          <w:szCs w:val="19"/>
        </w:rPr>
      </w:pPr>
    </w:p>
    <w:p w14:paraId="33661179" w14:textId="77777777" w:rsidR="00380AFB" w:rsidRDefault="00000000">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color w:val="auto"/>
          <w:sz w:val="19"/>
          <w:szCs w:val="19"/>
        </w:rPr>
        <w:t xml:space="preserve">O encaminhamento das propostas deverá ser efetuado até a data e horário fixados para abertura das propostas comerciais. </w:t>
      </w:r>
    </w:p>
    <w:p w14:paraId="6DB9159D" w14:textId="77777777" w:rsidR="00380AFB" w:rsidRDefault="00380AFB">
      <w:pPr>
        <w:pStyle w:val="Default"/>
        <w:spacing w:line="276" w:lineRule="auto"/>
        <w:contextualSpacing/>
        <w:jc w:val="both"/>
        <w:rPr>
          <w:rFonts w:ascii="Bookman Old Style" w:hAnsi="Bookman Old Style" w:cs="Times New Roman"/>
          <w:color w:val="auto"/>
          <w:sz w:val="19"/>
          <w:szCs w:val="19"/>
        </w:rPr>
      </w:pPr>
    </w:p>
    <w:p w14:paraId="707F0CE3" w14:textId="77777777" w:rsidR="00380AFB" w:rsidRDefault="00000000">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color w:val="auto"/>
          <w:sz w:val="19"/>
          <w:szCs w:val="19"/>
        </w:rPr>
        <w:t>Após a abertura das propostas comerciais, o (a) Pregoeiro (a) iniciará a sessão pública do pregão eletrônico, com a divulgação das propostas de preços recebidas.</w:t>
      </w:r>
    </w:p>
    <w:p w14:paraId="551E4D2F" w14:textId="77777777" w:rsidR="00380AFB" w:rsidRDefault="00380AFB">
      <w:pPr>
        <w:pStyle w:val="Default"/>
        <w:spacing w:line="276" w:lineRule="auto"/>
        <w:contextualSpacing/>
        <w:jc w:val="both"/>
        <w:rPr>
          <w:rFonts w:ascii="Bookman Old Style" w:hAnsi="Bookman Old Style" w:cs="Times New Roman"/>
          <w:color w:val="auto"/>
          <w:sz w:val="19"/>
          <w:szCs w:val="19"/>
        </w:rPr>
      </w:pPr>
    </w:p>
    <w:p w14:paraId="0683F37F" w14:textId="77777777" w:rsidR="00380AFB" w:rsidRDefault="00000000">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color w:val="auto"/>
          <w:sz w:val="19"/>
          <w:szCs w:val="19"/>
        </w:rPr>
        <w:t>Não havendo expediente na data supracitada, a data limite para encaminhamento das propostas comerciais, bem como a data para a sessão do Pregão ficarão prorrogadas para o primeiro dia útil subsequente, nos mesmos horários</w:t>
      </w:r>
    </w:p>
    <w:p w14:paraId="0F210670" w14:textId="77777777" w:rsidR="00380AFB" w:rsidRDefault="00380AFB">
      <w:pPr>
        <w:pStyle w:val="Default"/>
        <w:spacing w:line="276" w:lineRule="auto"/>
        <w:contextualSpacing/>
        <w:jc w:val="both"/>
        <w:rPr>
          <w:rFonts w:ascii="Bookman Old Style" w:hAnsi="Bookman Old Style" w:cs="Times New Roman"/>
          <w:color w:val="auto"/>
          <w:sz w:val="19"/>
          <w:szCs w:val="19"/>
        </w:rPr>
      </w:pPr>
    </w:p>
    <w:p w14:paraId="11D79B92" w14:textId="77777777" w:rsidR="00380AFB" w:rsidRDefault="00000000">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b/>
          <w:color w:val="auto"/>
          <w:sz w:val="19"/>
          <w:szCs w:val="19"/>
        </w:rPr>
        <w:t>REFERÊNCIA DE TEMPO</w:t>
      </w:r>
      <w:r>
        <w:rPr>
          <w:rFonts w:ascii="Bookman Old Style" w:hAnsi="Bookman Old Style" w:cs="Times New Roman"/>
          <w:color w:val="auto"/>
          <w:sz w:val="19"/>
          <w:szCs w:val="19"/>
        </w:rPr>
        <w:t xml:space="preserve">: horário de Brasília. </w:t>
      </w:r>
    </w:p>
    <w:p w14:paraId="1777EB03" w14:textId="77777777" w:rsidR="00380AFB" w:rsidRDefault="00380AFB">
      <w:pPr>
        <w:pStyle w:val="Default"/>
        <w:spacing w:line="276" w:lineRule="auto"/>
        <w:contextualSpacing/>
        <w:jc w:val="both"/>
        <w:rPr>
          <w:rFonts w:ascii="Bookman Old Style" w:hAnsi="Bookman Old Style" w:cs="Times New Roman"/>
          <w:color w:val="auto"/>
          <w:sz w:val="19"/>
          <w:szCs w:val="19"/>
        </w:rPr>
      </w:pPr>
    </w:p>
    <w:p w14:paraId="6E7F8F31" w14:textId="77777777" w:rsidR="00380AFB" w:rsidRDefault="00000000">
      <w:pPr>
        <w:pStyle w:val="Default"/>
        <w:spacing w:line="276" w:lineRule="auto"/>
        <w:contextualSpacing/>
        <w:jc w:val="both"/>
        <w:rPr>
          <w:rFonts w:ascii="Bookman Old Style" w:hAnsi="Bookman Old Style" w:cs="Times New Roman"/>
          <w:color w:val="auto"/>
          <w:sz w:val="19"/>
          <w:szCs w:val="19"/>
        </w:rPr>
      </w:pPr>
      <w:r>
        <w:rPr>
          <w:rFonts w:ascii="Bookman Old Style" w:hAnsi="Bookman Old Style" w:cs="Times New Roman"/>
          <w:b/>
          <w:color w:val="auto"/>
          <w:sz w:val="19"/>
          <w:szCs w:val="19"/>
        </w:rPr>
        <w:t>SITE PARA REALIZAÇÃO DO PREGÃO:</w:t>
      </w:r>
      <w:r>
        <w:rPr>
          <w:rFonts w:ascii="Bookman Old Style" w:hAnsi="Bookman Old Style" w:cs="Times New Roman"/>
          <w:color w:val="auto"/>
          <w:sz w:val="19"/>
          <w:szCs w:val="19"/>
        </w:rPr>
        <w:t xml:space="preserve">  https://licitar.digital/</w:t>
      </w:r>
    </w:p>
    <w:p w14:paraId="2EA53CBB" w14:textId="77777777" w:rsidR="00380AFB" w:rsidRDefault="00380AFB">
      <w:pPr>
        <w:pStyle w:val="Default"/>
        <w:spacing w:line="276" w:lineRule="auto"/>
        <w:contextualSpacing/>
        <w:jc w:val="both"/>
        <w:rPr>
          <w:rFonts w:ascii="Bookman Old Style" w:hAnsi="Bookman Old Style" w:cs="Times New Roman"/>
          <w:color w:val="auto"/>
          <w:sz w:val="19"/>
          <w:szCs w:val="19"/>
        </w:rPr>
      </w:pPr>
    </w:p>
    <w:p w14:paraId="14179FC9" w14:textId="77777777" w:rsidR="00380AFB" w:rsidRDefault="00000000">
      <w:pPr>
        <w:pStyle w:val="Default"/>
        <w:spacing w:line="276" w:lineRule="auto"/>
        <w:contextualSpacing/>
        <w:jc w:val="both"/>
        <w:rPr>
          <w:rFonts w:ascii="Bookman Old Style" w:hAnsi="Bookman Old Style" w:cs="Times New Roman"/>
          <w:color w:val="000000" w:themeColor="text1"/>
          <w:sz w:val="19"/>
          <w:szCs w:val="19"/>
        </w:rPr>
      </w:pPr>
      <w:r>
        <w:rPr>
          <w:rFonts w:ascii="Bookman Old Style" w:hAnsi="Bookman Old Style" w:cs="Times New Roman"/>
          <w:b/>
          <w:color w:val="auto"/>
          <w:sz w:val="19"/>
          <w:szCs w:val="19"/>
        </w:rPr>
        <w:t>CONSULTAS AO EDITAL:</w:t>
      </w:r>
      <w:r>
        <w:rPr>
          <w:rFonts w:ascii="Bookman Old Style" w:hAnsi="Bookman Old Style" w:cs="Times New Roman"/>
          <w:color w:val="auto"/>
          <w:sz w:val="19"/>
          <w:szCs w:val="19"/>
        </w:rPr>
        <w:t xml:space="preserve"> na internet, </w:t>
      </w:r>
      <w:r>
        <w:rPr>
          <w:rFonts w:ascii="Bookman Old Style" w:hAnsi="Bookman Old Style" w:cs="Times New Roman"/>
          <w:color w:val="000000" w:themeColor="text1"/>
          <w:sz w:val="19"/>
          <w:szCs w:val="19"/>
        </w:rPr>
        <w:t xml:space="preserve">nos sites </w:t>
      </w:r>
      <w:hyperlink r:id="rId8" w:history="1">
        <w:r w:rsidR="00380AFB">
          <w:rPr>
            <w:rStyle w:val="Hyperlink"/>
            <w:rFonts w:ascii="Bookman Old Style" w:hAnsi="Bookman Old Style" w:cs="Times New Roman"/>
            <w:sz w:val="19"/>
            <w:szCs w:val="19"/>
          </w:rPr>
          <w:t>https://licitar.digital/</w:t>
        </w:r>
      </w:hyperlink>
      <w:r>
        <w:rPr>
          <w:rFonts w:ascii="Bookman Old Style" w:hAnsi="Bookman Old Style" w:cs="Times New Roman"/>
          <w:color w:val="000000" w:themeColor="text1"/>
          <w:sz w:val="19"/>
          <w:szCs w:val="19"/>
        </w:rPr>
        <w:t xml:space="preserve"> e https://ilai.memory.com.br/#/public/inicio.</w:t>
      </w:r>
    </w:p>
    <w:p w14:paraId="6959B14B" w14:textId="77777777" w:rsidR="00380AFB" w:rsidRDefault="00380AFB">
      <w:pPr>
        <w:pStyle w:val="Default"/>
        <w:spacing w:line="276" w:lineRule="auto"/>
        <w:contextualSpacing/>
        <w:jc w:val="both"/>
        <w:rPr>
          <w:rFonts w:ascii="Bookman Old Style" w:hAnsi="Bookman Old Style" w:cs="Times New Roman"/>
          <w:color w:val="auto"/>
          <w:sz w:val="19"/>
          <w:szCs w:val="19"/>
        </w:rPr>
      </w:pPr>
    </w:p>
    <w:p w14:paraId="30F36AD4" w14:textId="77777777" w:rsidR="00380AFB" w:rsidRDefault="00000000">
      <w:pPr>
        <w:pStyle w:val="Default"/>
        <w:spacing w:line="276" w:lineRule="auto"/>
        <w:contextualSpacing/>
        <w:jc w:val="both"/>
        <w:rPr>
          <w:rFonts w:ascii="Bookman Old Style" w:hAnsi="Bookman Old Style" w:cs="Times New Roman"/>
          <w:b/>
          <w:bCs/>
          <w:color w:val="000000" w:themeColor="text1"/>
          <w:sz w:val="19"/>
          <w:szCs w:val="19"/>
        </w:rPr>
      </w:pPr>
      <w:r>
        <w:rPr>
          <w:rFonts w:ascii="Bookman Old Style" w:hAnsi="Bookman Old Style" w:cs="Times New Roman"/>
          <w:b/>
          <w:bCs/>
          <w:color w:val="auto"/>
          <w:sz w:val="19"/>
          <w:szCs w:val="19"/>
        </w:rPr>
        <w:t xml:space="preserve">ESCLARECIMENTOS: </w:t>
      </w:r>
      <w:r>
        <w:rPr>
          <w:rFonts w:ascii="Bookman Old Style" w:hAnsi="Bookman Old Style" w:cs="Times New Roman"/>
          <w:bCs/>
          <w:color w:val="000000" w:themeColor="text1"/>
          <w:sz w:val="19"/>
          <w:szCs w:val="19"/>
        </w:rPr>
        <w:t xml:space="preserve">pelo link próprio do site </w:t>
      </w:r>
      <w:r>
        <w:rPr>
          <w:rFonts w:ascii="Bookman Old Style" w:hAnsi="Bookman Old Style" w:cs="Times New Roman"/>
          <w:color w:val="000000" w:themeColor="text1"/>
          <w:sz w:val="19"/>
          <w:szCs w:val="19"/>
        </w:rPr>
        <w:t>https://licitar.digital</w:t>
      </w:r>
      <w:r>
        <w:rPr>
          <w:rFonts w:ascii="Bookman Old Style" w:hAnsi="Bookman Old Style" w:cs="Times New Roman"/>
          <w:bCs/>
          <w:color w:val="000000" w:themeColor="text1"/>
          <w:sz w:val="19"/>
          <w:szCs w:val="19"/>
        </w:rPr>
        <w:t>, até o 3º dia útil que anteceder a abertura das propostas.</w:t>
      </w:r>
    </w:p>
    <w:p w14:paraId="05562607" w14:textId="77777777" w:rsidR="00380AFB" w:rsidRDefault="00000000">
      <w:pPr>
        <w:spacing w:line="276" w:lineRule="auto"/>
        <w:contextualSpacing/>
        <w:rPr>
          <w:rFonts w:ascii="Bookman Old Style" w:hAnsi="Bookman Old Style"/>
        </w:rPr>
      </w:pPr>
      <w:r>
        <w:rPr>
          <w:rFonts w:ascii="Bookman Old Style" w:hAnsi="Bookman Old Style"/>
        </w:rPr>
        <w:br w:type="page"/>
      </w:r>
    </w:p>
    <w:p w14:paraId="54FD9A4E"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20159248"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sz w:val="19"/>
          <w:szCs w:val="19"/>
        </w:rPr>
      </w:pPr>
    </w:p>
    <w:p w14:paraId="769995DE"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1. DO PREÂMBULO</w:t>
      </w:r>
    </w:p>
    <w:p w14:paraId="7D174AF3" w14:textId="77777777" w:rsidR="00380AFB" w:rsidRDefault="00380AFB">
      <w:pPr>
        <w:spacing w:after="200" w:line="276" w:lineRule="auto"/>
        <w:contextualSpacing/>
        <w:jc w:val="both"/>
        <w:rPr>
          <w:rFonts w:ascii="Bookman Old Style" w:eastAsia="Calibri" w:hAnsi="Bookman Old Style" w:cs="Times New Roman"/>
          <w:b/>
          <w:sz w:val="19"/>
          <w:szCs w:val="19"/>
        </w:rPr>
      </w:pPr>
    </w:p>
    <w:p w14:paraId="01A33C4D" w14:textId="77777777" w:rsidR="00380AFB" w:rsidRDefault="00000000">
      <w:pPr>
        <w:spacing w:after="200" w:line="276" w:lineRule="auto"/>
        <w:contextualSpacing/>
        <w:jc w:val="both"/>
        <w:rPr>
          <w:rFonts w:ascii="Bookman Old Style" w:eastAsia="Calibri" w:hAnsi="Bookman Old Style" w:cs="Times New Roman"/>
          <w:sz w:val="19"/>
          <w:szCs w:val="19"/>
        </w:rPr>
      </w:pPr>
      <w:r>
        <w:rPr>
          <w:rFonts w:ascii="Bookman Old Style" w:eastAsia="Calibri" w:hAnsi="Bookman Old Style" w:cs="Times New Roman"/>
          <w:b/>
          <w:sz w:val="19"/>
          <w:szCs w:val="19"/>
        </w:rPr>
        <w:t>1.1.</w:t>
      </w:r>
      <w:r>
        <w:rPr>
          <w:rFonts w:ascii="Bookman Old Style" w:eastAsia="Calibri" w:hAnsi="Bookman Old Style" w:cs="Times New Roman"/>
          <w:sz w:val="19"/>
          <w:szCs w:val="19"/>
        </w:rPr>
        <w:t xml:space="preserve"> O </w:t>
      </w:r>
      <w:r>
        <w:rPr>
          <w:rFonts w:ascii="Bookman Old Style" w:eastAsia="Calibri" w:hAnsi="Bookman Old Style" w:cs="Times New Roman"/>
          <w:b/>
          <w:sz w:val="19"/>
          <w:szCs w:val="19"/>
        </w:rPr>
        <w:t>MUNICÍPIO DE MARAVILHAS/MG</w:t>
      </w:r>
      <w:r>
        <w:rPr>
          <w:rFonts w:ascii="Bookman Old Style" w:eastAsia="Calibri" w:hAnsi="Bookman Old Style" w:cs="Times New Roman"/>
          <w:sz w:val="19"/>
          <w:szCs w:val="19"/>
        </w:rPr>
        <w:t xml:space="preserve">, com endereço na Avenida Brasil, n° 33, Centro, CEP 35.666-000, inscrito no CNPJ sob o n° 18.313.841/0001-14, torna pública a abertura do </w:t>
      </w:r>
      <w:r>
        <w:rPr>
          <w:rFonts w:ascii="Bookman Old Style" w:eastAsia="Calibri" w:hAnsi="Bookman Old Style" w:cs="Times New Roman"/>
          <w:b/>
          <w:bCs/>
          <w:color w:val="000000" w:themeColor="text1"/>
          <w:sz w:val="19"/>
          <w:szCs w:val="19"/>
        </w:rPr>
        <w:t xml:space="preserve">PROCESSO LICITATÓRIO N° 120/2025, </w:t>
      </w:r>
      <w:r>
        <w:rPr>
          <w:rFonts w:ascii="Bookman Old Style" w:eastAsia="Calibri" w:hAnsi="Bookman Old Style" w:cs="Times New Roman"/>
          <w:color w:val="000000" w:themeColor="text1"/>
          <w:sz w:val="19"/>
          <w:szCs w:val="19"/>
        </w:rPr>
        <w:t xml:space="preserve">na modalidade </w:t>
      </w:r>
      <w:r>
        <w:rPr>
          <w:rFonts w:ascii="Bookman Old Style" w:eastAsia="Calibri" w:hAnsi="Bookman Old Style" w:cs="Times New Roman"/>
          <w:b/>
          <w:bCs/>
          <w:color w:val="000000" w:themeColor="text1"/>
          <w:sz w:val="19"/>
          <w:szCs w:val="19"/>
        </w:rPr>
        <w:t>PREGÃO ELETRÔNICO N° 21/2025,</w:t>
      </w:r>
      <w:r>
        <w:rPr>
          <w:rFonts w:ascii="Bookman Old Style" w:eastAsia="Calibri" w:hAnsi="Bookman Old Style" w:cs="Times New Roman"/>
          <w:color w:val="FF0000"/>
          <w:sz w:val="19"/>
          <w:szCs w:val="19"/>
        </w:rPr>
        <w:t xml:space="preserve"> </w:t>
      </w:r>
      <w:r>
        <w:rPr>
          <w:rFonts w:ascii="Bookman Old Style" w:eastAsia="Calibri" w:hAnsi="Bookman Old Style" w:cs="Times New Roman"/>
          <w:sz w:val="19"/>
          <w:szCs w:val="19"/>
        </w:rPr>
        <w:t xml:space="preserve">do tipo </w:t>
      </w:r>
      <w:r>
        <w:rPr>
          <w:rFonts w:ascii="Bookman Old Style" w:eastAsia="Calibri" w:hAnsi="Bookman Old Style" w:cs="Times New Roman"/>
          <w:b/>
          <w:color w:val="000000" w:themeColor="text1"/>
          <w:sz w:val="19"/>
          <w:szCs w:val="19"/>
        </w:rPr>
        <w:t>MENOR PREÇO- ITEM</w:t>
      </w:r>
      <w:r>
        <w:rPr>
          <w:rFonts w:ascii="Bookman Old Style" w:eastAsia="Calibri" w:hAnsi="Bookman Old Style" w:cs="Times New Roman"/>
          <w:color w:val="000000" w:themeColor="text1"/>
          <w:sz w:val="19"/>
          <w:szCs w:val="19"/>
        </w:rPr>
        <w:t xml:space="preserve">, </w:t>
      </w:r>
      <w:r>
        <w:rPr>
          <w:rFonts w:ascii="Bookman Old Style" w:eastAsia="Calibri" w:hAnsi="Bookman Old Style" w:cs="Times New Roman"/>
          <w:b/>
          <w:color w:val="000000" w:themeColor="text1"/>
          <w:sz w:val="19"/>
          <w:szCs w:val="19"/>
        </w:rPr>
        <w:t>MODO DE DISPUTA ABERTA</w:t>
      </w:r>
      <w:r>
        <w:rPr>
          <w:rFonts w:ascii="Bookman Old Style" w:eastAsia="Calibri" w:hAnsi="Bookman Old Style" w:cs="Times New Roman"/>
          <w:color w:val="000000" w:themeColor="text1"/>
          <w:sz w:val="19"/>
          <w:szCs w:val="19"/>
        </w:rPr>
        <w:t xml:space="preserve">, </w:t>
      </w:r>
      <w:r>
        <w:rPr>
          <w:rFonts w:ascii="Bookman Old Style" w:eastAsia="Calibri" w:hAnsi="Bookman Old Style" w:cs="Times New Roman"/>
          <w:sz w:val="19"/>
          <w:szCs w:val="19"/>
        </w:rPr>
        <w:t>regido pela Lei Federal n° 14.133/2021,</w:t>
      </w:r>
      <w:r>
        <w:rPr>
          <w:rFonts w:ascii="Bookman Old Style" w:eastAsia="Calibri" w:hAnsi="Bookman Old Style" w:cs="Times New Roman"/>
          <w:color w:val="FF0000"/>
          <w:sz w:val="19"/>
          <w:szCs w:val="19"/>
        </w:rPr>
        <w:t xml:space="preserve"> </w:t>
      </w:r>
      <w:r>
        <w:rPr>
          <w:rFonts w:ascii="Bookman Old Style" w:eastAsia="Calibri" w:hAnsi="Bookman Old Style" w:cs="Times New Roman"/>
          <w:sz w:val="19"/>
          <w:szCs w:val="19"/>
        </w:rPr>
        <w:t>e outras normas aplicáveis ao objeto do certame e demais condições fixadas neste edital.</w:t>
      </w:r>
    </w:p>
    <w:p w14:paraId="6E4CF85D"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19E0EFF0"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5619BA2"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2. DO OBJETO E DO SETOR SOLICITANTE:</w:t>
      </w:r>
    </w:p>
    <w:p w14:paraId="6C9C80B2" w14:textId="77777777" w:rsidR="00380AFB" w:rsidRDefault="00380AFB">
      <w:pPr>
        <w:spacing w:line="276" w:lineRule="auto"/>
        <w:contextualSpacing/>
        <w:jc w:val="both"/>
        <w:rPr>
          <w:rFonts w:ascii="Bookman Old Style" w:eastAsia="Calibri" w:hAnsi="Bookman Old Style" w:cs="Times New Roman"/>
          <w:b/>
          <w:sz w:val="19"/>
          <w:szCs w:val="19"/>
        </w:rPr>
      </w:pPr>
    </w:p>
    <w:p w14:paraId="4B022D9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sz w:val="19"/>
          <w:szCs w:val="19"/>
        </w:rPr>
        <w:t>2.1.</w:t>
      </w:r>
      <w:r>
        <w:rPr>
          <w:rFonts w:ascii="Bookman Old Style" w:eastAsia="Calibri" w:hAnsi="Bookman Old Style" w:cs="Times New Roman"/>
          <w:bCs/>
          <w:sz w:val="19"/>
          <w:szCs w:val="19"/>
        </w:rPr>
        <w:t xml:space="preserve"> </w:t>
      </w:r>
      <w:r>
        <w:rPr>
          <w:rFonts w:ascii="Bookman Old Style" w:hAnsi="Bookman Old Style" w:cs="Times New Roman"/>
          <w:bCs/>
          <w:sz w:val="19"/>
          <w:szCs w:val="19"/>
        </w:rPr>
        <w:t>Registro de Preços para</w:t>
      </w:r>
      <w:r>
        <w:rPr>
          <w:rFonts w:ascii="Bookman Old Style" w:hAnsi="Bookman Old Style" w:cs="Times New Roman"/>
          <w:b/>
          <w:bCs/>
          <w:sz w:val="19"/>
          <w:szCs w:val="19"/>
        </w:rPr>
        <w:t xml:space="preserve"> </w:t>
      </w:r>
      <w:r>
        <w:rPr>
          <w:rFonts w:ascii="Bookman Old Style" w:hAnsi="Bookman Old Style" w:cs="Times New Roman"/>
          <w:bCs/>
          <w:sz w:val="19"/>
          <w:szCs w:val="19"/>
        </w:rPr>
        <w:t>aquisição de cartucho e toner para atendimento das demandas da Secretaria Municipal de Governo do Município de Maravilhas/MG</w:t>
      </w:r>
      <w:r>
        <w:rPr>
          <w:rFonts w:ascii="Bookman Old Style" w:eastAsia="Calibri" w:hAnsi="Bookman Old Style" w:cs="Times New Roman"/>
          <w:bCs/>
          <w:sz w:val="19"/>
          <w:szCs w:val="19"/>
        </w:rPr>
        <w:t>, conforme especificações constantes do Termo de Referência- Anexo I.</w:t>
      </w:r>
    </w:p>
    <w:p w14:paraId="2D9CD11A"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40EAFF4" w14:textId="77777777" w:rsidR="00380AFB" w:rsidRDefault="00000000">
      <w:pPr>
        <w:spacing w:line="276" w:lineRule="auto"/>
        <w:contextualSpacing/>
        <w:jc w:val="both"/>
        <w:rPr>
          <w:rFonts w:ascii="Bookman Old Style" w:eastAsia="Calibri" w:hAnsi="Bookman Old Style" w:cs="Times New Roman"/>
          <w:sz w:val="19"/>
          <w:szCs w:val="19"/>
        </w:rPr>
      </w:pPr>
      <w:r>
        <w:rPr>
          <w:rFonts w:ascii="Bookman Old Style" w:eastAsia="Calibri" w:hAnsi="Bookman Old Style" w:cs="Times New Roman"/>
          <w:b/>
          <w:bCs/>
          <w:sz w:val="19"/>
          <w:szCs w:val="19"/>
        </w:rPr>
        <w:t>2.2.</w:t>
      </w:r>
      <w:r>
        <w:rPr>
          <w:rFonts w:ascii="Bookman Old Style" w:eastAsia="Calibri" w:hAnsi="Bookman Old Style" w:cs="Times New Roman"/>
          <w:bCs/>
          <w:sz w:val="19"/>
          <w:szCs w:val="19"/>
        </w:rPr>
        <w:t xml:space="preserve"> Base legal: Lei n° 14.133/2021</w:t>
      </w:r>
      <w:r>
        <w:rPr>
          <w:rFonts w:ascii="Bookman Old Style" w:eastAsia="Calibri" w:hAnsi="Bookman Old Style" w:cs="Times New Roman"/>
          <w:color w:val="FF0000"/>
          <w:sz w:val="19"/>
          <w:szCs w:val="19"/>
        </w:rPr>
        <w:t xml:space="preserve"> </w:t>
      </w:r>
      <w:r>
        <w:rPr>
          <w:rFonts w:ascii="Bookman Old Style" w:eastAsia="Calibri" w:hAnsi="Bookman Old Style" w:cs="Times New Roman"/>
          <w:color w:val="000000" w:themeColor="text1"/>
          <w:sz w:val="19"/>
          <w:szCs w:val="19"/>
        </w:rPr>
        <w:t xml:space="preserve">e Portaria Municipal n° 285 e 288, </w:t>
      </w:r>
      <w:r>
        <w:rPr>
          <w:rFonts w:ascii="Bookman Old Style" w:eastAsia="Calibri" w:hAnsi="Bookman Old Style" w:cs="Times New Roman"/>
          <w:sz w:val="19"/>
          <w:szCs w:val="19"/>
        </w:rPr>
        <w:t>e outras normas aplicáveis ao objeto do certame e demais condições fixadas neste edital.</w:t>
      </w:r>
    </w:p>
    <w:p w14:paraId="728117DA" w14:textId="77777777" w:rsidR="00380AFB" w:rsidRDefault="00380AFB">
      <w:pPr>
        <w:spacing w:line="276" w:lineRule="auto"/>
        <w:contextualSpacing/>
        <w:jc w:val="both"/>
        <w:rPr>
          <w:rFonts w:ascii="Bookman Old Style" w:eastAsia="Calibri" w:hAnsi="Bookman Old Style" w:cs="Times New Roman"/>
          <w:b/>
          <w:sz w:val="19"/>
          <w:szCs w:val="19"/>
        </w:rPr>
      </w:pPr>
    </w:p>
    <w:p w14:paraId="5D7CFBE8" w14:textId="77777777" w:rsidR="00380AFB" w:rsidRDefault="00000000">
      <w:pPr>
        <w:spacing w:line="276" w:lineRule="auto"/>
        <w:contextualSpacing/>
        <w:jc w:val="both"/>
        <w:rPr>
          <w:rFonts w:ascii="Bookman Old Style" w:eastAsia="Calibri" w:hAnsi="Bookman Old Style" w:cs="Times New Roman"/>
          <w:sz w:val="19"/>
          <w:szCs w:val="19"/>
        </w:rPr>
      </w:pPr>
      <w:r>
        <w:rPr>
          <w:rFonts w:ascii="Bookman Old Style" w:eastAsia="Calibri" w:hAnsi="Bookman Old Style" w:cs="Times New Roman"/>
          <w:b/>
          <w:sz w:val="19"/>
          <w:szCs w:val="19"/>
        </w:rPr>
        <w:t>2.3.</w:t>
      </w:r>
      <w:r>
        <w:rPr>
          <w:rFonts w:ascii="Bookman Old Style" w:eastAsia="Calibri" w:hAnsi="Bookman Old Style" w:cs="Times New Roman"/>
          <w:sz w:val="19"/>
          <w:szCs w:val="19"/>
        </w:rPr>
        <w:t xml:space="preserve"> </w:t>
      </w:r>
      <w:r>
        <w:rPr>
          <w:rFonts w:ascii="Bookman Old Style" w:eastAsia="Calibri" w:hAnsi="Bookman Old Style" w:cs="Times New Roman"/>
          <w:bCs/>
          <w:sz w:val="19"/>
          <w:szCs w:val="19"/>
        </w:rPr>
        <w:t>Em caso de divergência entre as especificações do objeto descritas no site</w:t>
      </w:r>
      <w:r>
        <w:rPr>
          <w:rFonts w:ascii="Bookman Old Style" w:eastAsia="Calibri" w:hAnsi="Bookman Old Style" w:cs="Times New Roman"/>
          <w:bCs/>
          <w:color w:val="FF0000"/>
          <w:sz w:val="19"/>
          <w:szCs w:val="19"/>
        </w:rPr>
        <w:t xml:space="preserve"> </w:t>
      </w:r>
      <w:r>
        <w:rPr>
          <w:rFonts w:ascii="Bookman Old Style" w:hAnsi="Bookman Old Style" w:cs="Times New Roman"/>
          <w:sz w:val="19"/>
          <w:szCs w:val="19"/>
        </w:rPr>
        <w:t>https://licitar.digital/</w:t>
      </w:r>
      <w:r>
        <w:rPr>
          <w:rFonts w:ascii="Bookman Old Style" w:eastAsia="Calibri" w:hAnsi="Bookman Old Style" w:cs="Times New Roman"/>
          <w:bCs/>
          <w:sz w:val="19"/>
          <w:szCs w:val="19"/>
        </w:rPr>
        <w:t xml:space="preserve"> e as especificações técnicas constantes no Termo de Referência – Anexo I, o licitante deverá obedecer a estes últimos.</w:t>
      </w:r>
    </w:p>
    <w:p w14:paraId="1ED8DAE9"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0052D824"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053A9919"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3. DO ÓRGÃO GERENCIADOR E NÃO PARTICIPANTES:</w:t>
      </w:r>
    </w:p>
    <w:p w14:paraId="34101A8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8D61846" w14:textId="77777777" w:rsidR="00380AFB" w:rsidRDefault="00000000">
      <w:pPr>
        <w:pStyle w:val="Default"/>
        <w:spacing w:after="200" w:line="276" w:lineRule="auto"/>
        <w:contextualSpacing/>
        <w:jc w:val="both"/>
        <w:rPr>
          <w:rFonts w:ascii="Bookman Old Style" w:hAnsi="Bookman Old Style"/>
          <w:b/>
          <w:sz w:val="19"/>
          <w:szCs w:val="19"/>
        </w:rPr>
      </w:pPr>
      <w:r>
        <w:rPr>
          <w:rFonts w:ascii="Bookman Old Style" w:hAnsi="Bookman Old Style" w:cs="Bookman Old Style"/>
          <w:b/>
          <w:sz w:val="19"/>
          <w:szCs w:val="19"/>
        </w:rPr>
        <w:t xml:space="preserve">3.1. Órgão/entidade Gerenciador (a): </w:t>
      </w:r>
    </w:p>
    <w:p w14:paraId="786E12AD" w14:textId="77777777" w:rsidR="00380AFB" w:rsidRDefault="00380AFB">
      <w:pPr>
        <w:pStyle w:val="Default"/>
        <w:spacing w:after="200" w:line="276" w:lineRule="auto"/>
        <w:contextualSpacing/>
        <w:jc w:val="both"/>
        <w:rPr>
          <w:rFonts w:ascii="Bookman Old Style" w:hAnsi="Bookman Old Style" w:cs="Bookman Old Style"/>
          <w:sz w:val="19"/>
          <w:szCs w:val="19"/>
        </w:rPr>
      </w:pPr>
    </w:p>
    <w:p w14:paraId="31CF65E5" w14:textId="77777777" w:rsidR="00380AFB" w:rsidRDefault="00000000">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3.1.1. O gerenciador será a Prefeitura Municipal de Maravilhas/MG.</w:t>
      </w:r>
    </w:p>
    <w:p w14:paraId="7C84BD28" w14:textId="77777777" w:rsidR="00380AFB" w:rsidRDefault="00380AFB">
      <w:pPr>
        <w:pStyle w:val="Default"/>
        <w:spacing w:after="200" w:line="276" w:lineRule="auto"/>
        <w:ind w:left="567"/>
        <w:contextualSpacing/>
        <w:jc w:val="both"/>
        <w:rPr>
          <w:rFonts w:ascii="Bookman Old Style" w:hAnsi="Bookman Old Style" w:cs="Bookman Old Style"/>
          <w:sz w:val="19"/>
          <w:szCs w:val="19"/>
        </w:rPr>
      </w:pPr>
    </w:p>
    <w:p w14:paraId="0B59A5DD" w14:textId="77777777" w:rsidR="00380AFB" w:rsidRDefault="00000000">
      <w:pPr>
        <w:pStyle w:val="Default"/>
        <w:spacing w:after="200" w:line="276" w:lineRule="auto"/>
        <w:contextualSpacing/>
        <w:jc w:val="both"/>
        <w:rPr>
          <w:rFonts w:ascii="Bookman Old Style" w:hAnsi="Bookman Old Style"/>
          <w:b/>
          <w:sz w:val="19"/>
          <w:szCs w:val="19"/>
        </w:rPr>
      </w:pPr>
      <w:r>
        <w:rPr>
          <w:rFonts w:ascii="Bookman Old Style" w:hAnsi="Bookman Old Style" w:cs="Bookman Old Style"/>
          <w:b/>
          <w:sz w:val="19"/>
          <w:szCs w:val="19"/>
        </w:rPr>
        <w:t xml:space="preserve">3.2. Órgãos Participantes: </w:t>
      </w:r>
    </w:p>
    <w:p w14:paraId="093CCC5B" w14:textId="77777777" w:rsidR="00380AFB" w:rsidRDefault="00380AFB">
      <w:pPr>
        <w:pStyle w:val="Default"/>
        <w:spacing w:after="200" w:line="276" w:lineRule="auto"/>
        <w:contextualSpacing/>
        <w:jc w:val="both"/>
        <w:rPr>
          <w:rFonts w:ascii="Bookman Old Style" w:hAnsi="Bookman Old Style" w:cs="Bookman Old Style"/>
          <w:sz w:val="19"/>
          <w:szCs w:val="19"/>
        </w:rPr>
      </w:pPr>
    </w:p>
    <w:p w14:paraId="7C7873F4" w14:textId="77777777" w:rsidR="00380AFB" w:rsidRDefault="00000000">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 xml:space="preserve">3.2.1. </w:t>
      </w:r>
      <w:r>
        <w:rPr>
          <w:rFonts w:ascii="Bookman Old Style" w:hAnsi="Bookman Old Style" w:cs="Bookman Old Style"/>
          <w:bCs/>
          <w:sz w:val="19"/>
          <w:szCs w:val="19"/>
        </w:rPr>
        <w:t>Além do gerenciador, não há órgãos e entidades públicas participantes do registro de preços.</w:t>
      </w:r>
    </w:p>
    <w:p w14:paraId="340560FC"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3.3. Órgãos Não Participantes: </w:t>
      </w:r>
    </w:p>
    <w:p w14:paraId="4D667B70" w14:textId="77777777" w:rsidR="00380AFB" w:rsidRDefault="00000000">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 xml:space="preserve">3.3.1. A Ata de Registro de Preços, durante sua vigência, poderá ser utilizada por qualquer órgão ou entidade da Administração Pública que não tenha participado do certame licitatório, mediante consulta prévia para manifestação sobre a possibilidade de adesão e autorização do órgão gerenciador, inclusive quanto ao quantitativo, e submeter à anuência do fornecedor beneficiário, o qual deve optar pela aceitação ou não do fornecimento decorrente da adesão, desde que não prejudique as obrigações presentes e futuras decorrentes da Ata, assumidas com o órgão gerenciador e os órgãos participantes. </w:t>
      </w:r>
    </w:p>
    <w:p w14:paraId="6F9A53FF" w14:textId="77777777" w:rsidR="00380AFB" w:rsidRDefault="00380AFB">
      <w:pPr>
        <w:pStyle w:val="Default"/>
        <w:spacing w:after="200" w:line="276" w:lineRule="auto"/>
        <w:ind w:left="567"/>
        <w:contextualSpacing/>
        <w:jc w:val="both"/>
        <w:rPr>
          <w:rFonts w:ascii="Bookman Old Style" w:hAnsi="Bookman Old Style" w:cs="Bookman Old Style"/>
          <w:sz w:val="19"/>
          <w:szCs w:val="19"/>
        </w:rPr>
      </w:pPr>
    </w:p>
    <w:p w14:paraId="0E955573" w14:textId="77777777" w:rsidR="00380AFB" w:rsidRDefault="00000000">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 xml:space="preserve">3.3.2. A adesão deverá ser devidamente justificada no processo administrativo do órgão ou entidade não participante, pertinente à licitação, demonstrando a vantagem econômica na </w:t>
      </w:r>
      <w:r>
        <w:rPr>
          <w:rFonts w:ascii="Bookman Old Style" w:hAnsi="Bookman Old Style" w:cs="Bookman Old Style"/>
          <w:sz w:val="19"/>
          <w:szCs w:val="19"/>
        </w:rPr>
        <w:lastRenderedPageBreak/>
        <w:t xml:space="preserve">adesão à Ata, mencionando ainda a similitude de condições, tempestividade do prazo, suficiência das quantidades e qualidades dos bens/serviços a serem adquiridos. </w:t>
      </w:r>
    </w:p>
    <w:p w14:paraId="11FBE157" w14:textId="77777777" w:rsidR="00380AFB" w:rsidRDefault="00380AFB">
      <w:pPr>
        <w:pStyle w:val="Default"/>
        <w:spacing w:after="200" w:line="276" w:lineRule="auto"/>
        <w:ind w:left="567"/>
        <w:contextualSpacing/>
        <w:jc w:val="both"/>
        <w:rPr>
          <w:rFonts w:ascii="Bookman Old Style" w:hAnsi="Bookman Old Style" w:cs="Bookman Old Style"/>
          <w:sz w:val="19"/>
          <w:szCs w:val="19"/>
        </w:rPr>
      </w:pPr>
    </w:p>
    <w:p w14:paraId="070081CD" w14:textId="77777777" w:rsidR="00380AFB" w:rsidRDefault="00000000">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3.3.3.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39805BFB" w14:textId="77777777" w:rsidR="00380AFB" w:rsidRDefault="00380AFB">
      <w:pPr>
        <w:pStyle w:val="Default"/>
        <w:spacing w:after="200" w:line="276" w:lineRule="auto"/>
        <w:ind w:left="567"/>
        <w:contextualSpacing/>
        <w:jc w:val="both"/>
        <w:rPr>
          <w:rFonts w:ascii="Bookman Old Style" w:hAnsi="Bookman Old Style" w:cs="Bookman Old Style"/>
          <w:sz w:val="19"/>
          <w:szCs w:val="19"/>
        </w:rPr>
      </w:pPr>
    </w:p>
    <w:p w14:paraId="0C55831B" w14:textId="77777777" w:rsidR="00380AFB" w:rsidRDefault="00000000">
      <w:pPr>
        <w:pStyle w:val="Default"/>
        <w:spacing w:after="200" w:line="276" w:lineRule="auto"/>
        <w:ind w:left="567"/>
        <w:contextualSpacing/>
        <w:jc w:val="both"/>
        <w:rPr>
          <w:rFonts w:ascii="Bookman Old Style" w:hAnsi="Bookman Old Style" w:cs="Bookman Old Style"/>
          <w:sz w:val="19"/>
          <w:szCs w:val="19"/>
        </w:rPr>
      </w:pPr>
      <w:r>
        <w:rPr>
          <w:rFonts w:ascii="Bookman Old Style" w:hAnsi="Bookman Old Style" w:cs="Bookman Old Style"/>
          <w:sz w:val="19"/>
          <w:szCs w:val="19"/>
        </w:rPr>
        <w:t>3.3.4. As adesões à ata de registro de preços são limitadas, ainda, em sua totalidade, ao dobro do quantitativo de cada item registrado na ata de registro de preços para o órgão gerenciador e para os órgãos participantes, independentemente do número de órgãos não participantes que aderirem.</w:t>
      </w:r>
    </w:p>
    <w:p w14:paraId="47934AE5" w14:textId="77777777" w:rsidR="00380AFB" w:rsidRDefault="00380AFB">
      <w:pPr>
        <w:pStyle w:val="Default"/>
        <w:spacing w:after="200" w:line="276" w:lineRule="auto"/>
        <w:contextualSpacing/>
        <w:jc w:val="both"/>
        <w:rPr>
          <w:rFonts w:ascii="Bookman Old Style" w:hAnsi="Bookman Old Style" w:cs="Bookman Old Style"/>
          <w:sz w:val="19"/>
          <w:szCs w:val="19"/>
        </w:rPr>
      </w:pPr>
    </w:p>
    <w:p w14:paraId="78AD13D9" w14:textId="77777777" w:rsidR="00380AFB" w:rsidRDefault="00000000">
      <w:pPr>
        <w:pStyle w:val="Default"/>
        <w:spacing w:after="200" w:line="276" w:lineRule="auto"/>
        <w:ind w:left="567"/>
        <w:contextualSpacing/>
        <w:jc w:val="both"/>
        <w:rPr>
          <w:rFonts w:ascii="Bookman Old Style" w:hAnsi="Bookman Old Style"/>
          <w:sz w:val="19"/>
          <w:szCs w:val="19"/>
        </w:rPr>
      </w:pPr>
      <w:r>
        <w:rPr>
          <w:rFonts w:ascii="Bookman Old Style" w:hAnsi="Bookman Old Style" w:cs="Bookman Old Style"/>
          <w:sz w:val="19"/>
          <w:szCs w:val="19"/>
        </w:rPr>
        <w:t xml:space="preserve">3.3.5. Ao órgão ou entidade não participante que aderir à presente ata e ao órgão ou entidade partícipe competem, nos respectivos procedimentos instaurados,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todas as ocorrências ao órgão gerenciador, em especial acerca de eventual recusa do fornecedor em atender às condições estabelecidas no edital, firmadas na Ata de Registro de Preços, as divergências relativas à execução, características e origem dos serviços licitados, bem como a recusa em aceitar a Autorização de fornecimento ou documento equivalente para fornecimento ou prestação de serviços. </w:t>
      </w:r>
    </w:p>
    <w:p w14:paraId="22DF51D0"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C525447"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2D781F15"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4. DAS CONSULTAS, ESCLARECIMENTOS E IMPUGNAÇÃO AO EDITAL:</w:t>
      </w:r>
    </w:p>
    <w:p w14:paraId="744D22B2"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E38FE19" w14:textId="77777777" w:rsidR="00380AFB" w:rsidRDefault="00000000">
      <w:pPr>
        <w:spacing w:line="276" w:lineRule="auto"/>
        <w:contextualSpacing/>
        <w:jc w:val="both"/>
        <w:rPr>
          <w:rFonts w:ascii="Bookman Old Style" w:eastAsia="Calibri" w:hAnsi="Bookman Old Style" w:cs="Times New Roman"/>
          <w:bCs/>
          <w:color w:val="FF0000"/>
          <w:sz w:val="19"/>
          <w:szCs w:val="19"/>
        </w:rPr>
      </w:pPr>
      <w:r>
        <w:rPr>
          <w:rFonts w:ascii="Bookman Old Style" w:eastAsia="Calibri" w:hAnsi="Bookman Old Style" w:cs="Times New Roman"/>
          <w:b/>
          <w:bCs/>
          <w:sz w:val="19"/>
          <w:szCs w:val="19"/>
        </w:rPr>
        <w:t>4.1.</w:t>
      </w:r>
      <w:r>
        <w:rPr>
          <w:rFonts w:ascii="Bookman Old Style" w:eastAsia="Calibri" w:hAnsi="Bookman Old Style" w:cs="Times New Roman"/>
          <w:bCs/>
          <w:sz w:val="19"/>
          <w:szCs w:val="19"/>
        </w:rPr>
        <w:t xml:space="preserve"> O edital está disponível na internet, nos sites </w:t>
      </w:r>
      <w:hyperlink r:id="rId9" w:history="1">
        <w:r w:rsidR="00380AFB">
          <w:rPr>
            <w:rStyle w:val="Hyperlink"/>
            <w:rFonts w:ascii="Bookman Old Style" w:hAnsi="Bookman Old Style" w:cs="Times New Roman"/>
            <w:sz w:val="19"/>
            <w:szCs w:val="19"/>
          </w:rPr>
          <w:t>https://licitar.digital/e</w:t>
        </w:r>
      </w:hyperlink>
      <w:r>
        <w:rPr>
          <w:rFonts w:ascii="Bookman Old Style" w:hAnsi="Bookman Old Style" w:cs="Times New Roman"/>
          <w:sz w:val="19"/>
          <w:szCs w:val="19"/>
        </w:rPr>
        <w:t xml:space="preserve"> </w:t>
      </w:r>
      <w:hyperlink r:id="rId10" w:anchor="/public/inicio" w:history="1">
        <w:r w:rsidR="00380AFB">
          <w:rPr>
            <w:rStyle w:val="Hyperlink"/>
            <w:rFonts w:ascii="Bookman Old Style" w:hAnsi="Bookman Old Style" w:cs="Times New Roman"/>
            <w:sz w:val="19"/>
            <w:szCs w:val="19"/>
          </w:rPr>
          <w:t>https://ilai.memory.com.br/#/public/inicio</w:t>
        </w:r>
      </w:hyperlink>
      <w:r>
        <w:rPr>
          <w:rFonts w:ascii="Bookman Old Style" w:hAnsi="Bookman Old Style" w:cs="Times New Roman"/>
          <w:sz w:val="19"/>
          <w:szCs w:val="19"/>
        </w:rPr>
        <w:t xml:space="preserve">. </w:t>
      </w:r>
    </w:p>
    <w:p w14:paraId="7B78F39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A2631B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4.2.</w:t>
      </w:r>
      <w:r>
        <w:rPr>
          <w:rFonts w:ascii="Bookman Old Style" w:eastAsia="Calibri" w:hAnsi="Bookman Old Style" w:cs="Times New Roman"/>
          <w:bCs/>
          <w:sz w:val="19"/>
          <w:szCs w:val="19"/>
        </w:rPr>
        <w:t xml:space="preserve"> Os interessados em participar do certame devem acompanhar as publicações de avisos e atos referentes ao processo nos sites: </w:t>
      </w:r>
      <w:hyperlink r:id="rId11" w:history="1">
        <w:r w:rsidR="00380AFB">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 xml:space="preserve"> e </w:t>
      </w:r>
      <w:hyperlink r:id="rId12" w:anchor="/public/inicio" w:history="1">
        <w:r w:rsidR="00380AFB">
          <w:rPr>
            <w:rStyle w:val="Hyperlink"/>
            <w:rFonts w:ascii="Bookman Old Style" w:hAnsi="Bookman Old Style" w:cs="Times New Roman"/>
            <w:sz w:val="19"/>
            <w:szCs w:val="19"/>
          </w:rPr>
          <w:t>https://ilai.memory.com.br/#/public/inicio</w:t>
        </w:r>
      </w:hyperlink>
      <w:r>
        <w:rPr>
          <w:rFonts w:ascii="Bookman Old Style" w:eastAsia="Calibri" w:hAnsi="Bookman Old Style" w:cs="Times New Roman"/>
          <w:bCs/>
          <w:color w:val="FF0000"/>
          <w:sz w:val="19"/>
          <w:szCs w:val="19"/>
        </w:rPr>
        <w:t xml:space="preserve"> </w:t>
      </w:r>
      <w:r>
        <w:rPr>
          <w:rFonts w:ascii="Bookman Old Style" w:eastAsia="Calibri" w:hAnsi="Bookman Old Style" w:cs="Times New Roman"/>
          <w:bCs/>
          <w:sz w:val="19"/>
          <w:szCs w:val="19"/>
        </w:rPr>
        <w:t xml:space="preserve">e no Portal Nacional de Contratações Públicas (PNCP). </w:t>
      </w:r>
    </w:p>
    <w:p w14:paraId="564DFA2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8822DE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4.3.</w:t>
      </w:r>
      <w:r>
        <w:rPr>
          <w:rFonts w:ascii="Bookman Old Style" w:eastAsia="Calibri" w:hAnsi="Bookman Old Style" w:cs="Times New Roman"/>
          <w:bCs/>
          <w:sz w:val="19"/>
          <w:szCs w:val="19"/>
        </w:rPr>
        <w:t xml:space="preserve"> Qualquer pessoa é parte legítima para solicitar esclarecimentos sobre os termos do edital. Os pedidos de esclarecimentos deverão ser encaminhados por meio do sistema de pregão</w:t>
      </w:r>
      <w:r>
        <w:rPr>
          <w:rFonts w:ascii="Bookman Old Style" w:eastAsia="Calibri" w:hAnsi="Bookman Old Style" w:cs="Times New Roman"/>
          <w:bCs/>
          <w:color w:val="FF0000"/>
          <w:sz w:val="19"/>
          <w:szCs w:val="19"/>
        </w:rPr>
        <w:t xml:space="preserve"> </w:t>
      </w:r>
      <w:hyperlink r:id="rId13" w:history="1">
        <w:r w:rsidR="00380AFB">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w:t>
      </w:r>
      <w:r>
        <w:rPr>
          <w:rFonts w:ascii="Bookman Old Style" w:eastAsia="Calibri" w:hAnsi="Bookman Old Style" w:cs="Times New Roman"/>
          <w:bCs/>
          <w:color w:val="FF0000"/>
          <w:sz w:val="19"/>
          <w:szCs w:val="19"/>
        </w:rPr>
        <w:t xml:space="preserve"> </w:t>
      </w:r>
      <w:r>
        <w:rPr>
          <w:rFonts w:ascii="Bookman Old Style" w:eastAsia="Calibri" w:hAnsi="Bookman Old Style" w:cs="Times New Roman"/>
          <w:bCs/>
          <w:sz w:val="19"/>
          <w:szCs w:val="19"/>
        </w:rPr>
        <w:t xml:space="preserve">no link próprio deste pregão, até o 3º dia útil antes da data de abertura do certame, com identificação do interessado. </w:t>
      </w:r>
    </w:p>
    <w:p w14:paraId="052846FF"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538681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4.3.1.</w:t>
      </w:r>
      <w:r>
        <w:rPr>
          <w:rFonts w:ascii="Bookman Old Style" w:eastAsia="Calibri" w:hAnsi="Bookman Old Style" w:cs="Times New Roman"/>
          <w:bCs/>
          <w:sz w:val="19"/>
          <w:szCs w:val="19"/>
        </w:rPr>
        <w:t xml:space="preserve"> A resposta ao pedido de esclarecimento será divulgada em sítio eletrônico oficial no prazo de até 3 (três) dias úteis, limitado ao último dia útil anterior à data da abertura do certame. </w:t>
      </w:r>
    </w:p>
    <w:p w14:paraId="0FFD66A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4.3.2</w:t>
      </w:r>
      <w:r>
        <w:rPr>
          <w:rFonts w:ascii="Bookman Old Style" w:eastAsia="Calibri" w:hAnsi="Bookman Old Style" w:cs="Times New Roman"/>
          <w:bCs/>
          <w:sz w:val="19"/>
          <w:szCs w:val="19"/>
        </w:rPr>
        <w:t xml:space="preserve">. Em caso de indisponibilidade do sistema, os pedidos de esclarecimentos poderão ser enviados pelo e-mail </w:t>
      </w:r>
      <w:hyperlink r:id="rId14" w:history="1">
        <w:r w:rsidR="00380AFB">
          <w:rPr>
            <w:rStyle w:val="Hyperlink"/>
            <w:rFonts w:ascii="Bookman Old Style" w:eastAsia="Calibri" w:hAnsi="Bookman Old Style" w:cs="Times New Roman"/>
            <w:bCs/>
            <w:sz w:val="19"/>
            <w:szCs w:val="19"/>
          </w:rPr>
          <w:t>licitacao@maravilhas.mg.gov.br</w:t>
        </w:r>
      </w:hyperlink>
      <w:r>
        <w:rPr>
          <w:rFonts w:ascii="Bookman Old Style" w:eastAsia="Calibri" w:hAnsi="Bookman Old Style" w:cs="Times New Roman"/>
          <w:bCs/>
          <w:sz w:val="19"/>
          <w:szCs w:val="19"/>
        </w:rPr>
        <w:t xml:space="preserve">,  no mesmo prazo e requisito indicados acima. </w:t>
      </w:r>
    </w:p>
    <w:p w14:paraId="07583F6F"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F86373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4.4</w:t>
      </w:r>
      <w:r>
        <w:rPr>
          <w:rFonts w:ascii="Bookman Old Style" w:eastAsia="Calibri" w:hAnsi="Bookman Old Style" w:cs="Times New Roman"/>
          <w:bCs/>
          <w:sz w:val="19"/>
          <w:szCs w:val="19"/>
        </w:rPr>
        <w:t xml:space="preserve">. Os interessados devem consultar com frequência o Portal Nacional de Contratações Públicas e o site oficial da Administração, com vistas ao conhecimento de informações e alterações referentes ao processo. </w:t>
      </w:r>
    </w:p>
    <w:p w14:paraId="3B0184DC"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452CF2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4.5.</w:t>
      </w:r>
      <w:r>
        <w:rPr>
          <w:rFonts w:ascii="Bookman Old Style" w:eastAsia="Calibri" w:hAnsi="Bookman Old Style" w:cs="Times New Roman"/>
          <w:bCs/>
          <w:sz w:val="19"/>
          <w:szCs w:val="19"/>
        </w:rPr>
        <w:t xml:space="preserve"> Qualquer pessoa é parte legítima para impugnar este edital de licitação por irregularidade na aplicação da Lei 14.133/2021, devendo protocolar o pedido até 3 (três) dias úteis antes da data de abertura do certame. </w:t>
      </w:r>
    </w:p>
    <w:p w14:paraId="37E0EB5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AB17E5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4.5.1.</w:t>
      </w:r>
      <w:r>
        <w:rPr>
          <w:rFonts w:ascii="Bookman Old Style" w:eastAsia="Calibri" w:hAnsi="Bookman Old Style" w:cs="Times New Roman"/>
          <w:bCs/>
          <w:sz w:val="19"/>
          <w:szCs w:val="19"/>
        </w:rPr>
        <w:t xml:space="preserve">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164799C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4.5.2.</w:t>
      </w:r>
      <w:r>
        <w:rPr>
          <w:rFonts w:ascii="Bookman Old Style" w:eastAsia="Calibri" w:hAnsi="Bookman Old Style" w:cs="Times New Roman"/>
          <w:bCs/>
          <w:sz w:val="19"/>
          <w:szCs w:val="19"/>
        </w:rPr>
        <w:t xml:space="preserve"> Serão consideradas intempestivas impugnações que não sejam recebidas no sistema de pregão no prazo estabelecido, ou enviadas por outras formas ou para outros endereços eletrônicos. </w:t>
      </w:r>
    </w:p>
    <w:p w14:paraId="53E2610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4.5.3.</w:t>
      </w:r>
      <w:r>
        <w:rPr>
          <w:rFonts w:ascii="Bookman Old Style" w:eastAsia="Calibri" w:hAnsi="Bookman Old Style" w:cs="Times New Roman"/>
          <w:bCs/>
          <w:sz w:val="19"/>
          <w:szCs w:val="19"/>
        </w:rPr>
        <w:t xml:space="preserve"> Acolhida a impugnação, caso a alteração afete a formulação das propostas, será designada nova data para a realização da sessão e dada a devida divulgação, nos termos da lei. </w:t>
      </w:r>
    </w:p>
    <w:p w14:paraId="2EB0E9D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4.5.4</w:t>
      </w:r>
      <w:r>
        <w:rPr>
          <w:rFonts w:ascii="Bookman Old Style" w:eastAsia="Calibri" w:hAnsi="Bookman Old Style" w:cs="Times New Roman"/>
          <w:bCs/>
          <w:sz w:val="19"/>
          <w:szCs w:val="19"/>
        </w:rPr>
        <w:t xml:space="preserve">. A resposta à impugnação será divulgada em sítio eletrônico oficial no prazo de até 3 (três) dias úteis, limitado ao último dia útil anterior à data da abertura do certame. </w:t>
      </w:r>
    </w:p>
    <w:p w14:paraId="54079B9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4.5.5.</w:t>
      </w:r>
      <w:r>
        <w:rPr>
          <w:rFonts w:ascii="Bookman Old Style" w:eastAsia="Calibri" w:hAnsi="Bookman Old Style" w:cs="Times New Roman"/>
          <w:bCs/>
          <w:sz w:val="19"/>
          <w:szCs w:val="19"/>
        </w:rPr>
        <w:t xml:space="preserve"> A solicitação de vista aos autos deverá ser efetuada através de solicitação formal a ser enviada para o e-mail </w:t>
      </w:r>
      <w:hyperlink r:id="rId15" w:history="1">
        <w:r w:rsidR="00380AFB">
          <w:rPr>
            <w:rStyle w:val="Hyperlink"/>
            <w:rFonts w:ascii="Bookman Old Style" w:eastAsia="Calibri" w:hAnsi="Bookman Old Style" w:cs="Times New Roman"/>
            <w:bCs/>
            <w:sz w:val="19"/>
            <w:szCs w:val="19"/>
          </w:rPr>
          <w:t>licitacao@maravilhas.mg.gov.br</w:t>
        </w:r>
      </w:hyperlink>
      <w:r>
        <w:rPr>
          <w:rFonts w:ascii="Bookman Old Style" w:eastAsia="Calibri" w:hAnsi="Bookman Old Style" w:cs="Times New Roman"/>
          <w:bCs/>
          <w:sz w:val="19"/>
          <w:szCs w:val="19"/>
        </w:rPr>
        <w:t xml:space="preserve">. </w:t>
      </w:r>
    </w:p>
    <w:p w14:paraId="42E902CA"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001CE0CB"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EE88450"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5. DAS CONDIÇÕES DE PARTICIPAÇÃO:</w:t>
      </w:r>
    </w:p>
    <w:p w14:paraId="6928F696" w14:textId="77777777" w:rsidR="00380AFB" w:rsidRDefault="00380AFB">
      <w:pPr>
        <w:spacing w:after="0" w:line="276" w:lineRule="auto"/>
        <w:contextualSpacing/>
        <w:jc w:val="both"/>
        <w:rPr>
          <w:rFonts w:ascii="Bookman Old Style" w:hAnsi="Bookman Old Style" w:cs="Bookman Old Style"/>
          <w:b/>
          <w:bCs/>
          <w:color w:val="000000"/>
          <w:sz w:val="19"/>
          <w:szCs w:val="19"/>
        </w:rPr>
      </w:pPr>
    </w:p>
    <w:p w14:paraId="6388B494" w14:textId="77777777" w:rsidR="00380AFB" w:rsidRDefault="00000000">
      <w:pPr>
        <w:spacing w:after="0" w:line="240" w:lineRule="auto"/>
        <w:contextualSpacing/>
        <w:jc w:val="both"/>
        <w:rPr>
          <w:rFonts w:ascii="Bookman Old Style" w:hAnsi="Bookman Old Style"/>
          <w:sz w:val="19"/>
          <w:szCs w:val="19"/>
        </w:rPr>
      </w:pPr>
      <w:r>
        <w:rPr>
          <w:rFonts w:ascii="Bookman Old Style" w:hAnsi="Bookman Old Style" w:cs="Bookman Old Style"/>
          <w:b/>
          <w:bCs/>
          <w:color w:val="000000"/>
          <w:sz w:val="19"/>
          <w:szCs w:val="19"/>
        </w:rPr>
        <w:t>5.1.</w:t>
      </w:r>
      <w:r>
        <w:rPr>
          <w:rFonts w:ascii="Bookman Old Style" w:hAnsi="Bookman Old Style" w:cs="Bookman Old Style"/>
          <w:color w:val="000000"/>
          <w:sz w:val="19"/>
          <w:szCs w:val="19"/>
        </w:rPr>
        <w:t xml:space="preserve"> Poderão participar deste Pregão </w:t>
      </w:r>
      <w:r>
        <w:rPr>
          <w:rFonts w:ascii="Bookman Old Style" w:hAnsi="Bookman Old Style" w:cs="Bookman Old Style"/>
          <w:b/>
          <w:color w:val="000000"/>
          <w:sz w:val="19"/>
          <w:szCs w:val="19"/>
        </w:rPr>
        <w:t>exclusivamente Microempresas (ME) e Empresa de Pequeno Porte (EPP) e equiparadas,</w:t>
      </w:r>
      <w:r>
        <w:rPr>
          <w:rFonts w:ascii="Bookman Old Style" w:hAnsi="Bookman Old Style" w:cs="Bookman Old Style"/>
          <w:color w:val="000000"/>
          <w:sz w:val="19"/>
          <w:szCs w:val="19"/>
        </w:rPr>
        <w:t xml:space="preserve"> nos termos do art. 48, I, da Lei Complementar n° 123/2006, que atenderem a todas as exigências quanto à documentação que estiverem previamente cadastradas no </w:t>
      </w:r>
      <w:r>
        <w:rPr>
          <w:rFonts w:ascii="Bookman Old Style" w:hAnsi="Bookman Old Style" w:cs="Bookman Old Style"/>
          <w:i/>
          <w:color w:val="000000"/>
          <w:sz w:val="19"/>
          <w:szCs w:val="19"/>
        </w:rPr>
        <w:t>site</w:t>
      </w:r>
      <w:r>
        <w:rPr>
          <w:rFonts w:ascii="Bookman Old Style" w:hAnsi="Bookman Old Style" w:cs="Bookman Old Style"/>
          <w:color w:val="000000"/>
          <w:sz w:val="19"/>
          <w:szCs w:val="19"/>
        </w:rPr>
        <w:t xml:space="preserve"> </w:t>
      </w:r>
      <w:r>
        <w:rPr>
          <w:rFonts w:ascii="Bookman Old Style" w:hAnsi="Bookman Old Style"/>
          <w:sz w:val="19"/>
          <w:szCs w:val="19"/>
        </w:rPr>
        <w:t>www.licitardigital.com.br</w:t>
      </w:r>
      <w:r>
        <w:rPr>
          <w:rFonts w:ascii="Bookman Old Style" w:hAnsi="Bookman Old Style" w:cs="Bookman Old Style"/>
          <w:bCs/>
          <w:sz w:val="19"/>
          <w:szCs w:val="19"/>
        </w:rPr>
        <w:t xml:space="preserve">, </w:t>
      </w:r>
      <w:r>
        <w:rPr>
          <w:rFonts w:ascii="Bookman Old Style" w:hAnsi="Bookman Old Style" w:cs="Bookman Old Style"/>
          <w:color w:val="000000"/>
          <w:sz w:val="19"/>
          <w:szCs w:val="19"/>
        </w:rPr>
        <w:t>e cujo objeto social esteja relacionado ao objeto do certame.</w:t>
      </w:r>
    </w:p>
    <w:p w14:paraId="0E8474AD" w14:textId="77777777" w:rsidR="00380AFB" w:rsidRDefault="00380AFB">
      <w:pPr>
        <w:spacing w:after="0" w:line="240" w:lineRule="auto"/>
        <w:contextualSpacing/>
        <w:jc w:val="both"/>
        <w:rPr>
          <w:rFonts w:ascii="Bookman Old Style" w:hAnsi="Bookman Old Style"/>
          <w:sz w:val="19"/>
          <w:szCs w:val="19"/>
        </w:rPr>
      </w:pPr>
    </w:p>
    <w:p w14:paraId="0A7CBB56" w14:textId="77777777" w:rsidR="00380AFB" w:rsidRDefault="00000000">
      <w:pPr>
        <w:spacing w:after="0" w:line="240" w:lineRule="auto"/>
        <w:contextualSpacing/>
        <w:jc w:val="both"/>
        <w:rPr>
          <w:rFonts w:ascii="Bookman Old Style" w:hAnsi="Bookman Old Style"/>
          <w:sz w:val="19"/>
          <w:szCs w:val="19"/>
        </w:rPr>
      </w:pPr>
      <w:r>
        <w:rPr>
          <w:rFonts w:ascii="Bookman Old Style" w:hAnsi="Bookman Old Style" w:cs="Bookman Old Style"/>
          <w:b/>
          <w:bCs/>
          <w:color w:val="000000"/>
          <w:sz w:val="19"/>
          <w:szCs w:val="19"/>
        </w:rPr>
        <w:t>5.2.</w:t>
      </w:r>
      <w:r>
        <w:rPr>
          <w:rFonts w:ascii="Bookman Old Style" w:hAnsi="Bookman Old Style" w:cs="Bookman Old Style"/>
          <w:color w:val="000000"/>
          <w:sz w:val="19"/>
          <w:szCs w:val="19"/>
        </w:rPr>
        <w:t xml:space="preserve"> Participarão da sessão do Pregão Eletrônico os representantes dos licitantes efetivamente credenciados. </w:t>
      </w:r>
    </w:p>
    <w:p w14:paraId="6E2B8557" w14:textId="77777777" w:rsidR="00380AFB" w:rsidRDefault="00380AFB">
      <w:pPr>
        <w:spacing w:after="0" w:line="240" w:lineRule="auto"/>
        <w:contextualSpacing/>
        <w:jc w:val="both"/>
        <w:rPr>
          <w:rFonts w:ascii="Bookman Old Style" w:hAnsi="Bookman Old Style" w:cs="Bookman Old Style"/>
          <w:color w:val="000000"/>
          <w:sz w:val="19"/>
          <w:szCs w:val="19"/>
        </w:rPr>
      </w:pPr>
    </w:p>
    <w:p w14:paraId="16A7562A" w14:textId="77777777" w:rsidR="00380AFB" w:rsidRDefault="00000000">
      <w:pPr>
        <w:spacing w:after="0" w:line="240" w:lineRule="auto"/>
        <w:contextualSpacing/>
        <w:jc w:val="both"/>
        <w:rPr>
          <w:rFonts w:ascii="Bookman Old Style" w:hAnsi="Bookman Old Style"/>
          <w:sz w:val="19"/>
          <w:szCs w:val="19"/>
        </w:rPr>
      </w:pPr>
      <w:r>
        <w:rPr>
          <w:rFonts w:ascii="Bookman Old Style" w:hAnsi="Bookman Old Style" w:cs="Bookman Old Style"/>
          <w:b/>
          <w:bCs/>
          <w:color w:val="000000"/>
          <w:sz w:val="19"/>
          <w:szCs w:val="19"/>
        </w:rPr>
        <w:t>5.3.</w:t>
      </w:r>
      <w:r>
        <w:rPr>
          <w:rFonts w:ascii="Bookman Old Style" w:hAnsi="Bookman Old Style" w:cs="Bookman Old Style"/>
          <w:color w:val="000000"/>
          <w:sz w:val="19"/>
          <w:szCs w:val="19"/>
        </w:rPr>
        <w:t xml:space="preserve"> Não poderá participar da presente licitação pessoa jurídica: </w:t>
      </w:r>
    </w:p>
    <w:p w14:paraId="2CA150F7" w14:textId="77777777" w:rsidR="00380AFB" w:rsidRDefault="00380AFB">
      <w:pPr>
        <w:spacing w:after="0" w:line="240" w:lineRule="auto"/>
        <w:contextualSpacing/>
        <w:jc w:val="both"/>
        <w:rPr>
          <w:rFonts w:ascii="Bookman Old Style" w:hAnsi="Bookman Old Style" w:cs="Bookman Old Style"/>
          <w:color w:val="000000"/>
          <w:sz w:val="19"/>
          <w:szCs w:val="19"/>
        </w:rPr>
      </w:pPr>
    </w:p>
    <w:p w14:paraId="43ABE70D" w14:textId="77777777" w:rsidR="00380AFB" w:rsidRDefault="00000000">
      <w:pPr>
        <w:spacing w:after="0" w:line="240"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 xml:space="preserve">5.3.1. Suspensa de participar em licitação e impedida de contratar com a Administração Municipal; </w:t>
      </w:r>
    </w:p>
    <w:p w14:paraId="34CBB6F7" w14:textId="77777777" w:rsidR="00380AFB" w:rsidRDefault="00380AFB">
      <w:pPr>
        <w:spacing w:after="0" w:line="240" w:lineRule="auto"/>
        <w:ind w:left="567"/>
        <w:contextualSpacing/>
        <w:jc w:val="both"/>
        <w:rPr>
          <w:rFonts w:ascii="Bookman Old Style" w:hAnsi="Bookman Old Style" w:cs="Bookman Old Style"/>
          <w:color w:val="000000"/>
          <w:sz w:val="19"/>
          <w:szCs w:val="19"/>
        </w:rPr>
      </w:pPr>
    </w:p>
    <w:p w14:paraId="0636E206" w14:textId="77777777" w:rsidR="00380AFB" w:rsidRDefault="00000000">
      <w:pPr>
        <w:spacing w:after="0" w:line="240"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 xml:space="preserve">5.3.2. Declarada inidônea para licitar ou contratar com quaisquer órgãos da Administração Pública; </w:t>
      </w:r>
    </w:p>
    <w:p w14:paraId="0289ADD1" w14:textId="77777777" w:rsidR="00380AFB" w:rsidRDefault="00380AFB">
      <w:pPr>
        <w:spacing w:after="0" w:line="240" w:lineRule="auto"/>
        <w:ind w:left="567"/>
        <w:contextualSpacing/>
        <w:jc w:val="both"/>
        <w:rPr>
          <w:rFonts w:ascii="Bookman Old Style" w:hAnsi="Bookman Old Style" w:cs="Bookman Old Style"/>
          <w:color w:val="000000"/>
          <w:sz w:val="19"/>
          <w:szCs w:val="19"/>
        </w:rPr>
      </w:pPr>
    </w:p>
    <w:p w14:paraId="76DDCFCA" w14:textId="77777777" w:rsidR="00380AFB" w:rsidRDefault="00000000">
      <w:pPr>
        <w:spacing w:after="0" w:line="240"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5.3.3. Impedida de licitar e contratar com a Administração Municipal;</w:t>
      </w:r>
    </w:p>
    <w:p w14:paraId="36796050" w14:textId="77777777" w:rsidR="00380AFB" w:rsidRDefault="00380AFB">
      <w:pPr>
        <w:spacing w:after="0" w:line="240" w:lineRule="auto"/>
        <w:ind w:left="567"/>
        <w:contextualSpacing/>
        <w:jc w:val="both"/>
        <w:rPr>
          <w:rFonts w:ascii="Bookman Old Style" w:hAnsi="Bookman Old Style" w:cs="Bookman Old Style"/>
          <w:color w:val="000000"/>
          <w:sz w:val="19"/>
          <w:szCs w:val="19"/>
        </w:rPr>
      </w:pPr>
    </w:p>
    <w:p w14:paraId="6970A511" w14:textId="77777777" w:rsidR="00380AFB" w:rsidRDefault="00000000">
      <w:pPr>
        <w:spacing w:after="0" w:line="240" w:lineRule="auto"/>
        <w:ind w:left="567"/>
        <w:contextualSpacing/>
        <w:jc w:val="both"/>
        <w:rPr>
          <w:rFonts w:ascii="Bookman Old Style" w:hAnsi="Bookman Old Style"/>
          <w:sz w:val="19"/>
          <w:szCs w:val="19"/>
        </w:rPr>
      </w:pPr>
      <w:r>
        <w:rPr>
          <w:rFonts w:ascii="Bookman Old Style" w:hAnsi="Bookman Old Style" w:cs="Bookman Old Style"/>
          <w:color w:val="000000"/>
          <w:sz w:val="19"/>
          <w:szCs w:val="19"/>
        </w:rPr>
        <w:t xml:space="preserve">5.3.4. Com falência decretada e execução patrimonial; </w:t>
      </w:r>
    </w:p>
    <w:p w14:paraId="21796C5F" w14:textId="77777777" w:rsidR="00380AFB" w:rsidRDefault="00380AFB">
      <w:pPr>
        <w:spacing w:after="0" w:line="240" w:lineRule="auto"/>
        <w:ind w:left="567"/>
        <w:contextualSpacing/>
        <w:jc w:val="both"/>
        <w:rPr>
          <w:rFonts w:ascii="Bookman Old Style" w:hAnsi="Bookman Old Style" w:cs="Bookman Old Style"/>
          <w:color w:val="000000"/>
          <w:sz w:val="19"/>
          <w:szCs w:val="19"/>
        </w:rPr>
      </w:pPr>
    </w:p>
    <w:p w14:paraId="4A3F4144" w14:textId="77777777" w:rsidR="00380AFB" w:rsidRDefault="00000000">
      <w:pPr>
        <w:spacing w:after="0" w:line="240" w:lineRule="auto"/>
        <w:ind w:left="567"/>
        <w:contextualSpacing/>
        <w:jc w:val="both"/>
        <w:rPr>
          <w:rFonts w:ascii="Bookman Old Style" w:hAnsi="Bookman Old Style" w:cs="Bookman Old Style"/>
          <w:color w:val="000000"/>
          <w:sz w:val="19"/>
          <w:szCs w:val="19"/>
        </w:rPr>
      </w:pPr>
      <w:r>
        <w:rPr>
          <w:rFonts w:ascii="Bookman Old Style" w:hAnsi="Bookman Old Style" w:cs="Bookman Old Style"/>
          <w:color w:val="000000"/>
          <w:sz w:val="19"/>
          <w:szCs w:val="19"/>
        </w:rPr>
        <w:t>5.3.5. Cujo objeto social não seja compatível com o objeto desta licitação;</w:t>
      </w:r>
    </w:p>
    <w:p w14:paraId="77B7B5DA" w14:textId="77777777" w:rsidR="00380AFB" w:rsidRDefault="00380AFB">
      <w:pPr>
        <w:spacing w:after="0" w:line="240" w:lineRule="auto"/>
        <w:ind w:left="567"/>
        <w:contextualSpacing/>
        <w:jc w:val="both"/>
        <w:rPr>
          <w:rFonts w:ascii="Bookman Old Style" w:hAnsi="Bookman Old Style"/>
          <w:sz w:val="19"/>
          <w:szCs w:val="19"/>
        </w:rPr>
      </w:pPr>
    </w:p>
    <w:p w14:paraId="5DC85877" w14:textId="77777777" w:rsidR="00380AFB" w:rsidRDefault="00000000">
      <w:pPr>
        <w:spacing w:after="0" w:line="240" w:lineRule="auto"/>
        <w:ind w:left="567"/>
        <w:contextualSpacing/>
        <w:jc w:val="both"/>
        <w:rPr>
          <w:rFonts w:ascii="Bookman Old Style" w:hAnsi="Bookman Old Style"/>
          <w:sz w:val="19"/>
          <w:szCs w:val="19"/>
        </w:rPr>
      </w:pPr>
      <w:r>
        <w:rPr>
          <w:rFonts w:ascii="Bookman Old Style" w:hAnsi="Bookman Old Style" w:cs="Bookman Old Style"/>
          <w:sz w:val="19"/>
          <w:szCs w:val="19"/>
        </w:rPr>
        <w:t>5.3.6. Compostas de deputados, senadores e vereadores que sejam proprietários, controladores ou diretores, conforme art. 54, II, “a”, c/c art. 29, IX, ambos da Constituição Federal/88.</w:t>
      </w:r>
    </w:p>
    <w:p w14:paraId="69F6B933" w14:textId="77777777" w:rsidR="00380AFB" w:rsidRDefault="00380AFB">
      <w:pPr>
        <w:spacing w:after="0" w:line="240" w:lineRule="auto"/>
        <w:contextualSpacing/>
        <w:jc w:val="both"/>
        <w:rPr>
          <w:rFonts w:ascii="Bookman Old Style" w:hAnsi="Bookman Old Style" w:cs="Bookman Old Style"/>
          <w:color w:val="000000"/>
          <w:sz w:val="19"/>
          <w:szCs w:val="19"/>
        </w:rPr>
      </w:pPr>
    </w:p>
    <w:p w14:paraId="392BCFEA" w14:textId="77777777" w:rsidR="00380AFB" w:rsidRDefault="00000000">
      <w:pPr>
        <w:spacing w:after="0" w:line="240" w:lineRule="auto"/>
        <w:contextualSpacing/>
        <w:jc w:val="both"/>
        <w:rPr>
          <w:rFonts w:ascii="Bookman Old Style" w:hAnsi="Bookman Old Style"/>
          <w:sz w:val="19"/>
          <w:szCs w:val="19"/>
        </w:rPr>
      </w:pPr>
      <w:r>
        <w:rPr>
          <w:rFonts w:ascii="Bookman Old Style" w:hAnsi="Bookman Old Style"/>
          <w:b/>
          <w:sz w:val="19"/>
          <w:szCs w:val="19"/>
        </w:rPr>
        <w:t>5.4.</w:t>
      </w:r>
      <w:r>
        <w:rPr>
          <w:rFonts w:ascii="Bookman Old Style" w:hAnsi="Bookman Old Style"/>
          <w:sz w:val="19"/>
          <w:szCs w:val="19"/>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0D41D8C" w14:textId="77777777" w:rsidR="00380AFB" w:rsidRDefault="00380AFB">
      <w:pPr>
        <w:spacing w:after="0" w:line="240" w:lineRule="auto"/>
        <w:contextualSpacing/>
        <w:jc w:val="both"/>
        <w:rPr>
          <w:rFonts w:ascii="Bookman Old Style" w:hAnsi="Bookman Old Style" w:cs="Bookman Old Style"/>
          <w:color w:val="000000"/>
          <w:sz w:val="19"/>
          <w:szCs w:val="19"/>
        </w:rPr>
      </w:pPr>
    </w:p>
    <w:p w14:paraId="447E6005" w14:textId="77777777" w:rsidR="00380AFB" w:rsidRDefault="00000000">
      <w:pPr>
        <w:spacing w:after="0" w:line="240" w:lineRule="auto"/>
        <w:contextualSpacing/>
        <w:jc w:val="both"/>
        <w:rPr>
          <w:rFonts w:ascii="Bookman Old Style" w:hAnsi="Bookman Old Style" w:cs="Bookman Old Style"/>
          <w:color w:val="000000"/>
          <w:sz w:val="19"/>
          <w:szCs w:val="19"/>
        </w:rPr>
      </w:pPr>
      <w:r>
        <w:rPr>
          <w:rFonts w:ascii="Bookman Old Style" w:hAnsi="Bookman Old Style" w:cs="Bookman Old Style"/>
          <w:b/>
          <w:bCs/>
          <w:color w:val="000000"/>
          <w:sz w:val="19"/>
          <w:szCs w:val="19"/>
        </w:rPr>
        <w:t>5.5.</w:t>
      </w:r>
      <w:r>
        <w:rPr>
          <w:rFonts w:ascii="Bookman Old Style" w:hAnsi="Bookman Old Style" w:cs="Bookman Old Style"/>
          <w:color w:val="000000"/>
          <w:sz w:val="19"/>
          <w:szCs w:val="19"/>
        </w:rPr>
        <w:t xml:space="preserve"> A observância das vedações deste título é de inteira responsabilidade do licitante que, pelo descumprimento, se sujeita às penalidades cabíveis.</w:t>
      </w:r>
    </w:p>
    <w:p w14:paraId="3F3689B1"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2A4D1807"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A9F9E61"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6. DA PROPOSTA COMERCIAL:</w:t>
      </w:r>
    </w:p>
    <w:p w14:paraId="088BE74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A3441D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w:t>
      </w:r>
      <w:r>
        <w:rPr>
          <w:rFonts w:ascii="Bookman Old Style" w:eastAsia="Calibri" w:hAnsi="Bookman Old Style" w:cs="Times New Roman"/>
          <w:bCs/>
          <w:sz w:val="19"/>
          <w:szCs w:val="19"/>
        </w:rPr>
        <w:t xml:space="preserve"> Os licitantes encaminharão, exclusivamente por meio do sistema, a proposta e os documentos de habilitação exigidos neste Edital. </w:t>
      </w:r>
    </w:p>
    <w:p w14:paraId="41CDE38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29E0AB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6.1.1.</w:t>
      </w:r>
      <w:r>
        <w:rPr>
          <w:rFonts w:ascii="Bookman Old Style" w:eastAsia="Calibri" w:hAnsi="Bookman Old Style" w:cs="Times New Roman"/>
          <w:bCs/>
          <w:sz w:val="19"/>
          <w:szCs w:val="19"/>
        </w:rPr>
        <w:t xml:space="preserve"> O licitante deverá, na forma expressa no sistema eletrônico, apresentar a proposta de preços contendo a descrição do equipamento/produto/material ofertado, indicando a marca/modelo (quando for o caso); quantidades; prazos de validade quando solicitado; e de entrega, no que for aplicável, bem como os valores unitários e totais.</w:t>
      </w:r>
    </w:p>
    <w:p w14:paraId="540D8DB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6.1.2.</w:t>
      </w:r>
      <w:r>
        <w:rPr>
          <w:rFonts w:ascii="Bookman Old Style" w:eastAsia="Calibri" w:hAnsi="Bookman Old Style" w:cs="Times New Roman"/>
          <w:bCs/>
          <w:sz w:val="19"/>
          <w:szCs w:val="19"/>
        </w:rPr>
        <w:t xml:space="preserve"> Não serão aceitas propostas em quantitativo inferior ao máximo previsto no edital.</w:t>
      </w:r>
    </w:p>
    <w:p w14:paraId="27031FD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6.1.3.</w:t>
      </w:r>
      <w:r>
        <w:rPr>
          <w:rFonts w:ascii="Bookman Old Style" w:eastAsia="Calibri" w:hAnsi="Bookman Old Style" w:cs="Times New Roman"/>
          <w:bCs/>
          <w:sz w:val="19"/>
          <w:szCs w:val="19"/>
        </w:rPr>
        <w:t xml:space="preserve"> Toda proposta deverá ser inserida no sistema observando o disposto no </w:t>
      </w:r>
      <w:r>
        <w:rPr>
          <w:rFonts w:ascii="Bookman Old Style" w:eastAsia="Calibri" w:hAnsi="Bookman Old Style" w:cs="Times New Roman"/>
          <w:b/>
          <w:bCs/>
          <w:sz w:val="19"/>
          <w:szCs w:val="19"/>
          <w:u w:val="single"/>
        </w:rPr>
        <w:t>Anexo I e no modelo do Anexo IV</w:t>
      </w:r>
      <w:r>
        <w:rPr>
          <w:rFonts w:ascii="Bookman Old Style" w:eastAsia="Calibri" w:hAnsi="Bookman Old Style" w:cs="Times New Roman"/>
          <w:bCs/>
          <w:sz w:val="19"/>
          <w:szCs w:val="19"/>
        </w:rPr>
        <w:t xml:space="preserve">, constando os valores unitários e totais, por item, por lote ou global, conforme cada caso. </w:t>
      </w:r>
    </w:p>
    <w:p w14:paraId="3DE86972"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822100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6.2</w:t>
      </w:r>
      <w:r>
        <w:rPr>
          <w:rFonts w:ascii="Bookman Old Style" w:eastAsia="Calibri" w:hAnsi="Bookman Old Style" w:cs="Times New Roman"/>
          <w:bCs/>
          <w:sz w:val="19"/>
          <w:szCs w:val="19"/>
        </w:rPr>
        <w:t xml:space="preserve">. As licitantes arcarão com todos os custos decorrentes da elaboração e apresentação de suas propostas. </w:t>
      </w:r>
    </w:p>
    <w:p w14:paraId="6DCEDA8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3A2470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6.3.</w:t>
      </w:r>
      <w:r>
        <w:rPr>
          <w:rFonts w:ascii="Bookman Old Style" w:eastAsia="Calibri" w:hAnsi="Bookman Old Style" w:cs="Times New Roman"/>
          <w:bCs/>
          <w:sz w:val="19"/>
          <w:szCs w:val="19"/>
        </w:rPr>
        <w:t xml:space="preserve"> O encaminhamento de proposta pressupõe o pleno conhecimento e atendimento às exigências previstas neste edital. </w:t>
      </w:r>
    </w:p>
    <w:p w14:paraId="738BDD9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7C0C1F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6.4.</w:t>
      </w:r>
      <w:r>
        <w:rPr>
          <w:rFonts w:ascii="Bookman Old Style" w:eastAsia="Calibri" w:hAnsi="Bookman Old Style" w:cs="Times New Roman"/>
          <w:bCs/>
          <w:sz w:val="19"/>
          <w:szCs w:val="19"/>
        </w:rPr>
        <w:t xml:space="preserve"> A apresentação da proposta implicará na plena aceitação, por parte do licitante, das condições estabelecidas neste edital e seus anexos. </w:t>
      </w:r>
    </w:p>
    <w:p w14:paraId="18DE385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0231A2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6.5.</w:t>
      </w:r>
      <w:r>
        <w:rPr>
          <w:rFonts w:ascii="Bookman Old Style" w:eastAsia="Calibri" w:hAnsi="Bookman Old Style" w:cs="Times New Roman"/>
          <w:bCs/>
          <w:sz w:val="19"/>
          <w:szCs w:val="19"/>
        </w:rPr>
        <w:t xml:space="preserve"> Quando o julgamento for por item é facultado ao licitante cotar todos, alguns, ou somente um dos itens definidos no Termo de Referência – Anexo I, do Edital.</w:t>
      </w:r>
    </w:p>
    <w:p w14:paraId="7DAEE96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A3D578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6.6.</w:t>
      </w:r>
      <w:r>
        <w:rPr>
          <w:rFonts w:ascii="Bookman Old Style" w:eastAsia="Calibri" w:hAnsi="Bookman Old Style" w:cs="Times New Roman"/>
          <w:bCs/>
          <w:sz w:val="19"/>
          <w:szCs w:val="19"/>
        </w:rPr>
        <w:t xml:space="preserve"> Nos preços ofertados já deverão estar inclusos os impostos, fretes, taxas, seguros e as despesas decorrentes da execução do objeto. </w:t>
      </w:r>
    </w:p>
    <w:p w14:paraId="5E53D5F2"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143811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6.7.</w:t>
      </w:r>
      <w:r>
        <w:rPr>
          <w:rFonts w:ascii="Bookman Old Style" w:eastAsia="Calibri" w:hAnsi="Bookman Old Style" w:cs="Times New Roman"/>
          <w:bCs/>
          <w:sz w:val="19"/>
          <w:szCs w:val="19"/>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25BB9FC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9ED620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6.8.</w:t>
      </w:r>
      <w:r>
        <w:rPr>
          <w:rFonts w:ascii="Bookman Old Style" w:eastAsia="Calibri" w:hAnsi="Bookman Old Style" w:cs="Times New Roman"/>
          <w:bCs/>
          <w:sz w:val="19"/>
          <w:szCs w:val="19"/>
        </w:rPr>
        <w:t xml:space="preserve"> As propostas terão validade de, no mínimo, 60 (sessenta) dias, contados da data de abertura da sessão pública estabelecida no preâmbulo deste Edital. </w:t>
      </w:r>
    </w:p>
    <w:p w14:paraId="12D633A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E8885B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6.9.</w:t>
      </w:r>
      <w:r>
        <w:rPr>
          <w:rFonts w:ascii="Bookman Old Style" w:eastAsia="Calibri" w:hAnsi="Bookman Old Style" w:cs="Times New Roman"/>
          <w:bCs/>
          <w:sz w:val="19"/>
          <w:szCs w:val="19"/>
        </w:rPr>
        <w:t xml:space="preserve"> O licitante deverá encaminhar a proposta por meio do sistema eletrônico até a data e horário marcados para abertura da sessão, quando então, encerrar-se-á automaticamente a fase de recebimento de propostas.</w:t>
      </w:r>
    </w:p>
    <w:p w14:paraId="167E23C8"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02F7DE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6.10.</w:t>
      </w:r>
      <w:r>
        <w:rPr>
          <w:rFonts w:ascii="Bookman Old Style" w:eastAsia="Calibri" w:hAnsi="Bookman Old Style" w:cs="Times New Roman"/>
          <w:bCs/>
          <w:sz w:val="19"/>
          <w:szCs w:val="19"/>
        </w:rPr>
        <w:t xml:space="preserve"> Até a abertura da sessão, o licitante poderá retirar ou substituir a proposta anteriormente encaminhada.</w:t>
      </w:r>
    </w:p>
    <w:p w14:paraId="38FD12DB" w14:textId="77777777" w:rsidR="00380AFB" w:rsidRDefault="00380AFB">
      <w:pPr>
        <w:spacing w:line="276" w:lineRule="auto"/>
        <w:contextualSpacing/>
        <w:jc w:val="both"/>
        <w:rPr>
          <w:rFonts w:ascii="Bookman Old Style" w:eastAsia="Calibri" w:hAnsi="Bookman Old Style" w:cs="Times New Roman"/>
          <w:bCs/>
          <w:sz w:val="19"/>
          <w:szCs w:val="19"/>
        </w:rPr>
      </w:pPr>
    </w:p>
    <w:p w14:paraId="5FC92789" w14:textId="77777777" w:rsidR="00380AFB" w:rsidRDefault="00380AFB">
      <w:pPr>
        <w:spacing w:line="276" w:lineRule="auto"/>
        <w:contextualSpacing/>
        <w:jc w:val="both"/>
        <w:rPr>
          <w:rFonts w:ascii="Bookman Old Style" w:eastAsia="Calibri" w:hAnsi="Bookman Old Style" w:cs="Times New Roman"/>
          <w:bCs/>
          <w:sz w:val="19"/>
          <w:szCs w:val="19"/>
        </w:rPr>
      </w:pPr>
    </w:p>
    <w:p w14:paraId="42FEA20A" w14:textId="77777777" w:rsidR="00380AFB" w:rsidRDefault="00380AFB">
      <w:pPr>
        <w:spacing w:line="276" w:lineRule="auto"/>
        <w:contextualSpacing/>
        <w:jc w:val="both"/>
        <w:rPr>
          <w:rFonts w:ascii="Bookman Old Style" w:eastAsia="Calibri" w:hAnsi="Bookman Old Style" w:cs="Times New Roman"/>
          <w:bCs/>
          <w:sz w:val="19"/>
          <w:szCs w:val="19"/>
        </w:rPr>
      </w:pPr>
    </w:p>
    <w:p w14:paraId="3D9B295B"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048E6C18"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66D574A3"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lastRenderedPageBreak/>
        <w:t>7. DA DOCUMENTAÇÃO DE HABILITAÇÃO E OUTRAS PROVIDÊNCIAS:</w:t>
      </w:r>
    </w:p>
    <w:p w14:paraId="25E87998"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28D70A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w:t>
      </w:r>
      <w:r>
        <w:rPr>
          <w:rFonts w:ascii="Bookman Old Style" w:eastAsia="Calibri" w:hAnsi="Bookman Old Style" w:cs="Times New Roman"/>
          <w:bCs/>
          <w:sz w:val="19"/>
          <w:szCs w:val="19"/>
        </w:rPr>
        <w:t xml:space="preserve"> Os documentos de habilitação exigidos neste Edital, somente do classificado em primeiro lugar, deverão ser inseridos no sistema, concomitantemente com a Proposta atualizada, </w:t>
      </w:r>
      <w:r>
        <w:rPr>
          <w:rFonts w:ascii="Bookman Old Style" w:eastAsia="Calibri" w:hAnsi="Bookman Old Style" w:cs="Times New Roman"/>
          <w:b/>
          <w:bCs/>
          <w:sz w:val="19"/>
          <w:szCs w:val="19"/>
          <w:u w:val="single"/>
        </w:rPr>
        <w:t>após o encerramento dos lances</w:t>
      </w:r>
      <w:r>
        <w:rPr>
          <w:rFonts w:ascii="Bookman Old Style" w:eastAsia="Calibri" w:hAnsi="Bookman Old Style" w:cs="Times New Roman"/>
          <w:bCs/>
          <w:sz w:val="19"/>
          <w:szCs w:val="19"/>
        </w:rPr>
        <w:t xml:space="preserve"> e terão o prazo de 02 (duas) horas, após solicitado pelo(a) pregoeiro (a). </w:t>
      </w:r>
    </w:p>
    <w:p w14:paraId="67282FA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BB90A3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w:t>
      </w:r>
      <w:r>
        <w:rPr>
          <w:rFonts w:ascii="Bookman Old Style" w:eastAsia="Calibri" w:hAnsi="Bookman Old Style" w:cs="Times New Roman"/>
          <w:bCs/>
          <w:sz w:val="19"/>
          <w:szCs w:val="19"/>
        </w:rPr>
        <w:t xml:space="preserve"> Caso o licitante não insira toda a documentação exigida no edital, junto à proposta, não poderá fazê-lo em outro momento e será inabilitado, conforme determina o item anterior. </w:t>
      </w:r>
    </w:p>
    <w:p w14:paraId="54C98CB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3280CD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7.3.</w:t>
      </w:r>
      <w:r>
        <w:rPr>
          <w:rFonts w:ascii="Bookman Old Style" w:eastAsia="Calibri" w:hAnsi="Bookman Old Style" w:cs="Times New Roman"/>
          <w:bCs/>
          <w:sz w:val="19"/>
          <w:szCs w:val="19"/>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42807A9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5EB52A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7.4.</w:t>
      </w:r>
      <w:r>
        <w:rPr>
          <w:rFonts w:ascii="Bookman Old Style" w:eastAsia="Calibri" w:hAnsi="Bookman Old Style" w:cs="Times New Roman"/>
          <w:bCs/>
          <w:sz w:val="19"/>
          <w:szCs w:val="19"/>
        </w:rPr>
        <w:t xml:space="preserve"> Os documentos que compõem a habilitação do licitante melhor classificado somente serão disponibilizados na plataforma após os lances, conforme item 7.1 e será avaliado pelo(a) Pregoeiro(a) e para acesso público após o encerramento do envio de lances.</w:t>
      </w:r>
    </w:p>
    <w:p w14:paraId="3FCE0D02"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ED5DEB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w:t>
      </w:r>
      <w:r>
        <w:rPr>
          <w:rFonts w:ascii="Bookman Old Style" w:eastAsia="Calibri" w:hAnsi="Bookman Old Style" w:cs="Times New Roman"/>
          <w:bCs/>
          <w:sz w:val="19"/>
          <w:szCs w:val="19"/>
        </w:rPr>
        <w:t xml:space="preserve"> Os documentos de habilitação consistem em:</w:t>
      </w:r>
    </w:p>
    <w:p w14:paraId="4DCEF0C5" w14:textId="77777777" w:rsidR="00380AFB" w:rsidRDefault="00380AFB">
      <w:pPr>
        <w:spacing w:line="276" w:lineRule="auto"/>
        <w:contextualSpacing/>
        <w:jc w:val="both"/>
        <w:rPr>
          <w:rFonts w:ascii="Bookman Old Style" w:eastAsia="Calibri" w:hAnsi="Bookman Old Style" w:cs="Times New Roman"/>
          <w:bCs/>
          <w:sz w:val="19"/>
          <w:szCs w:val="19"/>
        </w:rPr>
      </w:pPr>
    </w:p>
    <w:p w14:paraId="16F795E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REGULARIDADE JURÍDICA:</w:t>
      </w:r>
      <w:r>
        <w:rPr>
          <w:rFonts w:ascii="Bookman Old Style" w:eastAsia="Calibri" w:hAnsi="Bookman Old Style" w:cs="Times New Roman"/>
          <w:bCs/>
          <w:sz w:val="19"/>
          <w:szCs w:val="19"/>
        </w:rPr>
        <w:t xml:space="preserve"> </w:t>
      </w:r>
    </w:p>
    <w:p w14:paraId="333F6F34" w14:textId="77777777" w:rsidR="00380AFB" w:rsidRDefault="00380AFB">
      <w:pPr>
        <w:spacing w:line="276" w:lineRule="auto"/>
        <w:contextualSpacing/>
        <w:jc w:val="both"/>
        <w:rPr>
          <w:rFonts w:ascii="Bookman Old Style" w:eastAsia="Calibri" w:hAnsi="Bookman Old Style" w:cs="Times New Roman"/>
          <w:bCs/>
          <w:sz w:val="19"/>
          <w:szCs w:val="19"/>
        </w:rPr>
      </w:pPr>
    </w:p>
    <w:p w14:paraId="2399EA0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7.5.1.</w:t>
      </w:r>
      <w:r>
        <w:rPr>
          <w:rFonts w:ascii="Bookman Old Style" w:eastAsia="Calibri" w:hAnsi="Bookman Old Style" w:cs="Times New Roman"/>
          <w:bCs/>
          <w:sz w:val="19"/>
          <w:szCs w:val="19"/>
        </w:rPr>
        <w:t xml:space="preserve"> Registro comercial, no caso de empresa individual; </w:t>
      </w:r>
    </w:p>
    <w:p w14:paraId="62B38A4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7.5.2.</w:t>
      </w:r>
      <w:r>
        <w:rPr>
          <w:rFonts w:ascii="Bookman Old Style" w:eastAsia="Calibri" w:hAnsi="Bookman Old Style" w:cs="Times New Roman"/>
          <w:bCs/>
          <w:sz w:val="19"/>
          <w:szCs w:val="19"/>
        </w:rPr>
        <w:t xml:space="preserve"> Ato constitutivo, estatuto ou contrato social em vigor</w:t>
      </w:r>
      <w:r>
        <w:rPr>
          <w:rStyle w:val="Refdenotaderodap"/>
          <w:rFonts w:ascii="Bookman Old Style" w:eastAsia="Calibri" w:hAnsi="Bookman Old Style" w:cs="Times New Roman"/>
          <w:bCs/>
          <w:sz w:val="19"/>
          <w:szCs w:val="19"/>
        </w:rPr>
        <w:footnoteReference w:id="1"/>
      </w:r>
      <w:r>
        <w:rPr>
          <w:rFonts w:ascii="Bookman Old Style" w:eastAsia="Calibri" w:hAnsi="Bookman Old Style" w:cs="Times New Roman"/>
          <w:bCs/>
          <w:sz w:val="19"/>
          <w:szCs w:val="19"/>
        </w:rPr>
        <w:t xml:space="preserve">, devidamente registrado, em se tratando de sociedade comercial e, no caso de sociedade por ações, acompanhado do documento de eleição de seus administradores; </w:t>
      </w:r>
    </w:p>
    <w:p w14:paraId="1CCC6BB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7.5.3.</w:t>
      </w:r>
      <w:r>
        <w:rPr>
          <w:rFonts w:ascii="Bookman Old Style" w:eastAsia="Calibri" w:hAnsi="Bookman Old Style" w:cs="Times New Roman"/>
          <w:bCs/>
          <w:sz w:val="19"/>
          <w:szCs w:val="19"/>
        </w:rPr>
        <w:t xml:space="preserve"> Inscrição do ato constitutivo, no caso de sociedade civil, acompanhada de prova da diretoria em exercício; </w:t>
      </w:r>
    </w:p>
    <w:p w14:paraId="694CD52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7.5.4.</w:t>
      </w:r>
      <w:r>
        <w:rPr>
          <w:rFonts w:ascii="Bookman Old Style" w:eastAsia="Calibri" w:hAnsi="Bookman Old Style" w:cs="Times New Roman"/>
          <w:bCs/>
          <w:sz w:val="19"/>
          <w:szCs w:val="19"/>
        </w:rPr>
        <w:t xml:space="preserve"> Decreto de autorização, em se tratando de empresa ou sociedade estrangeira em funcionamento no país e ato de registro ou autorização para funcionamento expedido pelo Órgão competente, quando a atividade assim o exigir. </w:t>
      </w:r>
    </w:p>
    <w:p w14:paraId="4399D6D7" w14:textId="77777777" w:rsidR="00380AFB" w:rsidRDefault="00380AFB">
      <w:pPr>
        <w:spacing w:line="276" w:lineRule="auto"/>
        <w:contextualSpacing/>
        <w:jc w:val="both"/>
        <w:rPr>
          <w:rFonts w:ascii="Bookman Old Style" w:eastAsia="Calibri" w:hAnsi="Bookman Old Style" w:cs="Times New Roman"/>
          <w:bCs/>
          <w:sz w:val="19"/>
          <w:szCs w:val="19"/>
        </w:rPr>
      </w:pPr>
    </w:p>
    <w:p w14:paraId="7FD3CD3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REGULARIDADE FISCAL E TRABALHISTA:</w:t>
      </w:r>
      <w:r>
        <w:rPr>
          <w:rFonts w:ascii="Bookman Old Style" w:eastAsia="Calibri" w:hAnsi="Bookman Old Style" w:cs="Times New Roman"/>
          <w:bCs/>
          <w:sz w:val="19"/>
          <w:szCs w:val="19"/>
        </w:rPr>
        <w:t xml:space="preserve"> </w:t>
      </w:r>
    </w:p>
    <w:p w14:paraId="7B75CD3D"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14F97F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7.5.5.</w:t>
      </w:r>
      <w:r>
        <w:rPr>
          <w:rFonts w:ascii="Bookman Old Style" w:eastAsia="Calibri" w:hAnsi="Bookman Old Style" w:cs="Times New Roman"/>
          <w:bCs/>
          <w:sz w:val="19"/>
          <w:szCs w:val="19"/>
        </w:rPr>
        <w:t xml:space="preserve"> Prova de Inscrição no Cadastro Nacional de Pessoas Jurídicas – CNPJ em situação ativa. </w:t>
      </w:r>
    </w:p>
    <w:p w14:paraId="1585D3D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7.5.6.</w:t>
      </w:r>
      <w:r>
        <w:rPr>
          <w:rFonts w:ascii="Bookman Old Style" w:eastAsia="Calibri" w:hAnsi="Bookman Old Style" w:cs="Times New Roman"/>
          <w:bCs/>
          <w:sz w:val="19"/>
          <w:szCs w:val="19"/>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 </w:t>
      </w:r>
    </w:p>
    <w:p w14:paraId="4A1CDBB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7.5.7.</w:t>
      </w:r>
      <w:r>
        <w:rPr>
          <w:rFonts w:ascii="Bookman Old Style" w:eastAsia="Calibri" w:hAnsi="Bookman Old Style" w:cs="Times New Roman"/>
          <w:bCs/>
          <w:sz w:val="19"/>
          <w:szCs w:val="19"/>
        </w:rPr>
        <w:t xml:space="preserve"> Prova de regularidade para com a Fazenda Estadual do domicílio ou sede do licitante, mediante apresentação de certidão emitida pela Secretaria competente do Estado. </w:t>
      </w:r>
    </w:p>
    <w:p w14:paraId="5025B19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7.5.8.</w:t>
      </w:r>
      <w:r>
        <w:rPr>
          <w:rFonts w:ascii="Bookman Old Style" w:eastAsia="Calibri" w:hAnsi="Bookman Old Style" w:cs="Times New Roman"/>
          <w:bCs/>
          <w:sz w:val="19"/>
          <w:szCs w:val="19"/>
        </w:rPr>
        <w:t xml:space="preserve"> Prova de regularidade para com a Fazenda Municipal do domicílio ou sede do licitante, mediante apresentação de certidão emitida pela Secretaria competente de seu Município. </w:t>
      </w:r>
    </w:p>
    <w:p w14:paraId="511A5A2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7.5.9.</w:t>
      </w:r>
      <w:r>
        <w:rPr>
          <w:rFonts w:ascii="Bookman Old Style" w:eastAsia="Calibri" w:hAnsi="Bookman Old Style" w:cs="Times New Roman"/>
          <w:bCs/>
          <w:sz w:val="19"/>
          <w:szCs w:val="19"/>
        </w:rPr>
        <w:t xml:space="preserve"> Prova de regularidade relativa ao Fundo de Garantia por Tempo de Serviço - FGTS, emitida pela Caixa Econômica Federal. </w:t>
      </w:r>
    </w:p>
    <w:p w14:paraId="7B01466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7.5.10.</w:t>
      </w:r>
      <w:r>
        <w:rPr>
          <w:rFonts w:ascii="Bookman Old Style" w:eastAsia="Calibri" w:hAnsi="Bookman Old Style" w:cs="Times New Roman"/>
          <w:bCs/>
          <w:sz w:val="19"/>
          <w:szCs w:val="19"/>
        </w:rPr>
        <w:t xml:space="preserve"> Prova de inexistência de débitos inadimplidos perante a Justiça do Trabalho, mediante a apresentação de certidão negativa. </w:t>
      </w:r>
    </w:p>
    <w:p w14:paraId="7AF7057B" w14:textId="77777777" w:rsidR="00380AFB" w:rsidRDefault="00380AFB">
      <w:pPr>
        <w:spacing w:line="276" w:lineRule="auto"/>
        <w:contextualSpacing/>
        <w:jc w:val="both"/>
        <w:rPr>
          <w:rFonts w:ascii="Bookman Old Style" w:eastAsia="Calibri" w:hAnsi="Bookman Old Style" w:cs="Times New Roman"/>
          <w:bCs/>
          <w:sz w:val="19"/>
          <w:szCs w:val="19"/>
        </w:rPr>
      </w:pPr>
    </w:p>
    <w:p w14:paraId="719A29B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lastRenderedPageBreak/>
        <w:t xml:space="preserve">Quanto à </w:t>
      </w:r>
      <w:r>
        <w:rPr>
          <w:rFonts w:ascii="Bookman Old Style" w:eastAsia="Calibri" w:hAnsi="Bookman Old Style" w:cs="Times New Roman"/>
          <w:b/>
          <w:bCs/>
          <w:sz w:val="19"/>
          <w:szCs w:val="19"/>
        </w:rPr>
        <w:t>QUALIFICAÇÃO ECONÔMICO-FINANCEIRA:</w:t>
      </w:r>
      <w:r>
        <w:rPr>
          <w:rFonts w:ascii="Bookman Old Style" w:eastAsia="Calibri" w:hAnsi="Bookman Old Style" w:cs="Times New Roman"/>
          <w:bCs/>
          <w:sz w:val="19"/>
          <w:szCs w:val="19"/>
        </w:rPr>
        <w:t xml:space="preserve"> </w:t>
      </w:r>
    </w:p>
    <w:p w14:paraId="423EDF7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110BD6B" w14:textId="77777777" w:rsidR="00380AFB" w:rsidRDefault="00000000">
      <w:pPr>
        <w:spacing w:line="276" w:lineRule="auto"/>
        <w:contextualSpacing/>
        <w:jc w:val="both"/>
        <w:rPr>
          <w:rFonts w:ascii="Bookman Old Style" w:eastAsia="Calibri" w:hAnsi="Bookman Old Style" w:cs="Times New Roman"/>
          <w:bCs/>
          <w:sz w:val="19"/>
          <w:szCs w:val="19"/>
          <w:highlight w:val="yellow"/>
        </w:rPr>
      </w:pPr>
      <w:r>
        <w:rPr>
          <w:rFonts w:ascii="Bookman Old Style" w:eastAsia="Calibri" w:hAnsi="Bookman Old Style" w:cs="Times New Roman"/>
          <w:b/>
          <w:bCs/>
          <w:sz w:val="19"/>
          <w:szCs w:val="19"/>
        </w:rPr>
        <w:t xml:space="preserve">7.5.11. </w:t>
      </w:r>
      <w:r>
        <w:rPr>
          <w:rFonts w:ascii="Bookman Old Style" w:eastAsia="Calibri" w:hAnsi="Bookman Old Style" w:cs="Times New Roman"/>
          <w:bCs/>
          <w:sz w:val="19"/>
          <w:szCs w:val="19"/>
        </w:rPr>
        <w:t>Certidão negativa de falência expedida pelo cartório distribuidor da sede da pessoa jurídica.</w:t>
      </w:r>
    </w:p>
    <w:p w14:paraId="7A3F60C6" w14:textId="77777777" w:rsidR="00380AFB" w:rsidRDefault="00380AFB">
      <w:pPr>
        <w:spacing w:line="276" w:lineRule="auto"/>
        <w:contextualSpacing/>
        <w:jc w:val="both"/>
        <w:rPr>
          <w:rFonts w:ascii="Bookman Old Style" w:eastAsia="Calibri" w:hAnsi="Bookman Old Style" w:cs="Times New Roman"/>
          <w:bCs/>
          <w:sz w:val="19"/>
          <w:szCs w:val="19"/>
        </w:rPr>
      </w:pPr>
    </w:p>
    <w:p w14:paraId="6C7080E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QUALIFICAÇÃO TÉCNICA:</w:t>
      </w:r>
    </w:p>
    <w:p w14:paraId="330DA50A"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D812E0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7.5.12.</w:t>
      </w:r>
      <w:r>
        <w:rPr>
          <w:rFonts w:ascii="Bookman Old Style" w:eastAsia="Calibri" w:hAnsi="Bookman Old Style" w:cs="Times New Roman"/>
          <w:bCs/>
          <w:sz w:val="19"/>
          <w:szCs w:val="19"/>
        </w:rPr>
        <w:t xml:space="preserve"> 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w:t>
      </w:r>
    </w:p>
    <w:p w14:paraId="4FCE86C6" w14:textId="77777777" w:rsidR="00380AFB" w:rsidRDefault="00380AFB">
      <w:pPr>
        <w:spacing w:line="276" w:lineRule="auto"/>
        <w:contextualSpacing/>
        <w:jc w:val="both"/>
        <w:rPr>
          <w:rFonts w:ascii="Bookman Old Style" w:eastAsia="Calibri" w:hAnsi="Bookman Old Style" w:cs="Times New Roman"/>
          <w:bCs/>
          <w:sz w:val="19"/>
          <w:szCs w:val="19"/>
        </w:rPr>
      </w:pPr>
    </w:p>
    <w:p w14:paraId="41152C6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7.5.12.1. Os atestados de capacidade técnica poderão ser apresentados em nome da matriz ou da filial do fornecedor.</w:t>
      </w:r>
    </w:p>
    <w:p w14:paraId="64562AE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7.5.12.2. O comprovante de aptidão deverá conter as seguintes informações:</w:t>
      </w:r>
    </w:p>
    <w:p w14:paraId="58B91A43" w14:textId="77777777" w:rsidR="00380AFB" w:rsidRDefault="00000000">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Nome empresarial e dados de identificação da instituição emitente; </w:t>
      </w:r>
    </w:p>
    <w:p w14:paraId="50317293" w14:textId="77777777" w:rsidR="00380AFB" w:rsidRDefault="00000000">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Local e data de emissão; </w:t>
      </w:r>
    </w:p>
    <w:p w14:paraId="1405635F" w14:textId="77777777" w:rsidR="00380AFB" w:rsidRDefault="00000000">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Nome, cargo, telefone e assinatura do responsável pela veracidade das informações. </w:t>
      </w:r>
    </w:p>
    <w:p w14:paraId="2DC1F18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às </w:t>
      </w:r>
      <w:r>
        <w:rPr>
          <w:rFonts w:ascii="Bookman Old Style" w:eastAsia="Calibri" w:hAnsi="Bookman Old Style" w:cs="Times New Roman"/>
          <w:b/>
          <w:bCs/>
          <w:sz w:val="19"/>
          <w:szCs w:val="19"/>
        </w:rPr>
        <w:t>DECLARAÇÕES:</w:t>
      </w:r>
      <w:r>
        <w:rPr>
          <w:rFonts w:ascii="Bookman Old Style" w:eastAsia="Calibri" w:hAnsi="Bookman Old Style" w:cs="Times New Roman"/>
          <w:bCs/>
          <w:sz w:val="19"/>
          <w:szCs w:val="19"/>
        </w:rPr>
        <w:t xml:space="preserve"> </w:t>
      </w:r>
    </w:p>
    <w:p w14:paraId="045C975A" w14:textId="77777777" w:rsidR="00380AFB" w:rsidRDefault="00000000">
      <w:pPr>
        <w:pStyle w:val="WW-Padro"/>
        <w:tabs>
          <w:tab w:val="left" w:pos="0"/>
        </w:tabs>
        <w:spacing w:after="120" w:line="276" w:lineRule="auto"/>
        <w:contextualSpacing/>
        <w:jc w:val="both"/>
        <w:rPr>
          <w:rFonts w:ascii="Bookman Old Style" w:hAnsi="Bookman Old Style" w:cs="Bookman Old Style"/>
          <w:color w:val="000000"/>
          <w:sz w:val="19"/>
          <w:szCs w:val="19"/>
        </w:rPr>
      </w:pPr>
      <w:r>
        <w:rPr>
          <w:rFonts w:ascii="Bookman Old Style" w:hAnsi="Bookman Old Style" w:cs="Bookman Old Style"/>
          <w:b/>
          <w:color w:val="000000"/>
          <w:sz w:val="19"/>
          <w:szCs w:val="19"/>
        </w:rPr>
        <w:t>7.5.13.</w:t>
      </w:r>
      <w:r>
        <w:rPr>
          <w:rFonts w:ascii="Bookman Old Style" w:hAnsi="Bookman Old Style" w:cs="Bookman Old Style"/>
          <w:color w:val="000000"/>
          <w:sz w:val="19"/>
          <w:szCs w:val="19"/>
        </w:rPr>
        <w:t xml:space="preserve"> As declarações </w:t>
      </w:r>
      <w:r>
        <w:rPr>
          <w:rFonts w:ascii="Bookman Old Style" w:hAnsi="Bookman Old Style" w:cs="Bookman Old Style"/>
          <w:b/>
          <w:bCs/>
          <w:color w:val="000000"/>
          <w:sz w:val="19"/>
          <w:szCs w:val="19"/>
          <w:u w:val="single"/>
        </w:rPr>
        <w:t>poderão</w:t>
      </w:r>
      <w:r>
        <w:rPr>
          <w:rFonts w:ascii="Bookman Old Style" w:hAnsi="Bookman Old Style" w:cs="Bookman Old Style"/>
          <w:color w:val="000000"/>
          <w:sz w:val="19"/>
          <w:szCs w:val="19"/>
        </w:rPr>
        <w:t xml:space="preserve"> ser enviadas de forma unificada. Segue modelo: </w:t>
      </w:r>
    </w:p>
    <w:p w14:paraId="6F270519" w14:textId="77777777" w:rsidR="00380AFB" w:rsidRDefault="00380AFB">
      <w:pPr>
        <w:pStyle w:val="WW-Padro"/>
        <w:tabs>
          <w:tab w:val="left" w:pos="0"/>
        </w:tabs>
        <w:spacing w:after="120" w:line="276" w:lineRule="auto"/>
        <w:contextualSpacing/>
        <w:jc w:val="both"/>
        <w:rPr>
          <w:rFonts w:ascii="Bookman Old Style" w:hAnsi="Bookman Old Style" w:cs="Bookman Old Style"/>
          <w:b/>
          <w:bCs/>
          <w:color w:val="000000"/>
          <w:sz w:val="19"/>
          <w:szCs w:val="19"/>
        </w:rPr>
      </w:pPr>
    </w:p>
    <w:p w14:paraId="46FB9322"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cs="Bookman Old Style"/>
          <w:b/>
          <w:bCs/>
          <w:color w:val="000000"/>
          <w:sz w:val="18"/>
          <w:szCs w:val="18"/>
          <w:lang w:eastAsia="pt-BR"/>
        </w:rPr>
      </w:pPr>
      <w:r>
        <w:rPr>
          <w:rFonts w:ascii="Bookman Old Style" w:hAnsi="Bookman Old Style" w:cs="Bookman Old Style"/>
          <w:b/>
          <w:bCs/>
          <w:color w:val="000000"/>
          <w:sz w:val="18"/>
          <w:szCs w:val="18"/>
          <w:lang w:eastAsia="pt-BR"/>
        </w:rPr>
        <w:lastRenderedPageBreak/>
        <w:t xml:space="preserve">DECLARAÇÃO UNIFICADA </w:t>
      </w:r>
    </w:p>
    <w:p w14:paraId="3C484D5A"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sz w:val="18"/>
          <w:szCs w:val="18"/>
        </w:rPr>
      </w:pPr>
    </w:p>
    <w:p w14:paraId="3CCC52E8"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 xml:space="preserve">PROCESSO LICITATÓRIO N° ----/2025. </w:t>
      </w:r>
    </w:p>
    <w:p w14:paraId="059566A0"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PREGÃO ELETRÔNICO Nº ----/2025.</w:t>
      </w:r>
    </w:p>
    <w:p w14:paraId="4F8EC185"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REGISTRO DE PREÇOS Nº ----/2025.</w:t>
      </w:r>
    </w:p>
    <w:p w14:paraId="32A2EA67"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Bookman Old Style" w:hAnsi="Bookman Old Style"/>
          <w:sz w:val="18"/>
          <w:szCs w:val="18"/>
        </w:rPr>
      </w:pPr>
    </w:p>
    <w:p w14:paraId="2F073827"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cs="Bookman Old Style"/>
          <w:b/>
          <w:bCs/>
          <w:color w:val="000000"/>
          <w:sz w:val="18"/>
          <w:szCs w:val="18"/>
          <w:lang w:eastAsia="pt-BR"/>
        </w:rPr>
      </w:pPr>
    </w:p>
    <w:p w14:paraId="4301F5A0"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3D38E393"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4A7F602F"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1399C67D"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0D6073F8"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b) que na mesma não há realização de trabalho noturno, perigoso ou insalubre por menores de 18 anos ou a realização de qualquer trabalho por menores de 16 anos. (    ) salvo na condição de aprendiz, na forma da Lei;</w:t>
      </w:r>
    </w:p>
    <w:p w14:paraId="484D9A4E"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6425786D"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cs="Bookman Old Style"/>
          <w:color w:val="000000"/>
          <w:sz w:val="18"/>
          <w:szCs w:val="18"/>
          <w:lang w:eastAsia="pt-BR"/>
        </w:rPr>
        <w:t>c) que cumpre plenamente os requisitos de habilitação e que sua proposta atende às exigências do edital;</w:t>
      </w:r>
    </w:p>
    <w:p w14:paraId="0C89E27D"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p>
    <w:p w14:paraId="20C296AD"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cs="Bookman Old Style"/>
          <w:color w:val="000000"/>
          <w:sz w:val="18"/>
          <w:szCs w:val="18"/>
          <w:lang w:eastAsia="pt-BR"/>
        </w:rPr>
        <w:t xml:space="preserve">d) </w:t>
      </w:r>
      <w:r>
        <w:rPr>
          <w:rFonts w:ascii="Bookman Old Style" w:hAnsi="Bookman Old Style"/>
          <w:sz w:val="18"/>
          <w:szCs w:val="18"/>
        </w:rPr>
        <w:t xml:space="preserve">que cumpre as exigências de reserva de cargos para pessoa com deficiência e para reabilitado da Previdência Social, previstas em lei e em outras normas específicas; </w:t>
      </w:r>
    </w:p>
    <w:p w14:paraId="641B2657"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p>
    <w:p w14:paraId="009AB9FE"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sz w:val="18"/>
          <w:szCs w:val="18"/>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ADDE558"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3DB430EB"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p>
    <w:p w14:paraId="44C58568"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 xml:space="preserve">______________________, ____ de _______________ de 2025.  </w:t>
      </w:r>
    </w:p>
    <w:p w14:paraId="689BBF0B"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sz w:val="18"/>
          <w:szCs w:val="18"/>
        </w:rPr>
      </w:pPr>
    </w:p>
    <w:p w14:paraId="39FD0826"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Bookman Old Style" w:hAnsi="Bookman Old Style"/>
          <w:sz w:val="18"/>
          <w:szCs w:val="18"/>
        </w:rPr>
      </w:pPr>
      <w:r>
        <w:rPr>
          <w:rFonts w:ascii="Bookman Old Style" w:hAnsi="Bookman Old Style" w:cs="Bookman Old Style"/>
          <w:color w:val="000000"/>
          <w:sz w:val="18"/>
          <w:szCs w:val="18"/>
        </w:rPr>
        <w:t>_____________________________________</w:t>
      </w:r>
    </w:p>
    <w:p w14:paraId="3B2E7D03" w14:textId="77777777" w:rsidR="00380AFB"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sz w:val="18"/>
          <w:szCs w:val="18"/>
        </w:rPr>
      </w:pPr>
      <w:r>
        <w:rPr>
          <w:rFonts w:ascii="Bookman Old Style" w:hAnsi="Bookman Old Style" w:cs="Bookman Old Style"/>
          <w:color w:val="000000"/>
          <w:sz w:val="18"/>
          <w:szCs w:val="18"/>
          <w:lang w:eastAsia="pt-BR"/>
        </w:rPr>
        <w:t>(Assinatura do representante legal)</w:t>
      </w:r>
    </w:p>
    <w:p w14:paraId="017EA27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22ADEC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7.6.</w:t>
      </w:r>
      <w:r>
        <w:rPr>
          <w:rFonts w:ascii="Bookman Old Style" w:eastAsia="Calibri" w:hAnsi="Bookman Old Style" w:cs="Times New Roman"/>
          <w:bCs/>
          <w:sz w:val="19"/>
          <w:szCs w:val="19"/>
        </w:rPr>
        <w:t xml:space="preserve"> Para fins de habilitação, será aceita a apresentação de certidões expedidas pelos órgãos da administração fiscal e tributária emitidas pela Internet. </w:t>
      </w:r>
    </w:p>
    <w:p w14:paraId="71B08F2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D71502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7.7.</w:t>
      </w:r>
      <w:r>
        <w:rPr>
          <w:rFonts w:ascii="Bookman Old Style" w:eastAsia="Calibri" w:hAnsi="Bookman Old Style" w:cs="Times New Roman"/>
          <w:bCs/>
          <w:sz w:val="19"/>
          <w:szCs w:val="19"/>
        </w:rPr>
        <w:t xml:space="preserve"> A verificação pelo órgão ou entidade promotora do certame nos sítios eletrônicos oficiais de órgãos e entidades emissores de certidões constitui meio legal de prova, para fins de habilitação. </w:t>
      </w:r>
    </w:p>
    <w:p w14:paraId="1F1C6818"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FD2339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7.8.</w:t>
      </w:r>
      <w:r>
        <w:rPr>
          <w:rFonts w:ascii="Bookman Old Style" w:eastAsia="Calibri" w:hAnsi="Bookman Old Style" w:cs="Times New Roman"/>
          <w:bCs/>
          <w:sz w:val="19"/>
          <w:szCs w:val="19"/>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5E11FDA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33CA25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7.8.1.</w:t>
      </w:r>
      <w:r>
        <w:rPr>
          <w:rFonts w:ascii="Bookman Old Style" w:eastAsia="Calibri" w:hAnsi="Bookman Old Style" w:cs="Times New Roman"/>
          <w:bCs/>
          <w:sz w:val="19"/>
          <w:szCs w:val="19"/>
        </w:rPr>
        <w:t xml:space="preserve"> O(a) Pregoeiro(a) poderá solicitar ao licitante documentos complementares à habilitação, quando necessários à confirmação dos documentos inseridos. </w:t>
      </w:r>
    </w:p>
    <w:p w14:paraId="782BF58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7.8.2.</w:t>
      </w:r>
      <w:r>
        <w:rPr>
          <w:rFonts w:ascii="Bookman Old Style" w:eastAsia="Calibri" w:hAnsi="Bookman Old Style" w:cs="Times New Roman"/>
          <w:bCs/>
          <w:sz w:val="19"/>
          <w:szCs w:val="19"/>
        </w:rPr>
        <w:t xml:space="preserve"> Caso haja a solicitação pelo(a) Pregoeiro(a), o licitante terá o prazo de 02 (duas) horas para envio da documentação solicitada. </w:t>
      </w:r>
    </w:p>
    <w:p w14:paraId="4977693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50BC10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7.9.</w:t>
      </w:r>
      <w:r>
        <w:rPr>
          <w:rFonts w:ascii="Bookman Old Style" w:eastAsia="Calibri" w:hAnsi="Bookman Old Style" w:cs="Times New Roman"/>
          <w:bCs/>
          <w:sz w:val="19"/>
          <w:szCs w:val="19"/>
        </w:rPr>
        <w:t xml:space="preserve"> Serão sanados pelo(a) Pregoeiro(a), através de informações ou diligências requeridas, quaisquer erros evidenciados como meramente formais. </w:t>
      </w:r>
    </w:p>
    <w:p w14:paraId="2EF96B9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7.10.</w:t>
      </w:r>
      <w:r>
        <w:rPr>
          <w:rFonts w:ascii="Bookman Old Style" w:eastAsia="Calibri" w:hAnsi="Bookman Old Style" w:cs="Times New Roman"/>
          <w:bCs/>
          <w:sz w:val="19"/>
          <w:szCs w:val="19"/>
        </w:rPr>
        <w:t xml:space="preserve"> Os documentos de habilitação que, por sua natureza, devem possuir prazo de validade e que não constarem a data ou o prazo de validade será considerada a validade de 180 (cento e oitenta) dias a partir da data de expedição. </w:t>
      </w:r>
    </w:p>
    <w:p w14:paraId="31A20462"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F8EECB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7.11.</w:t>
      </w:r>
      <w:r>
        <w:rPr>
          <w:rFonts w:ascii="Bookman Old Style" w:eastAsia="Calibri" w:hAnsi="Bookman Old Style" w:cs="Times New Roman"/>
          <w:bCs/>
          <w:sz w:val="19"/>
          <w:szCs w:val="19"/>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191CA691"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B2EB9F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7.11.1.</w:t>
      </w:r>
      <w:r>
        <w:rPr>
          <w:rFonts w:ascii="Bookman Old Style" w:eastAsia="Calibri" w:hAnsi="Bookman Old Style" w:cs="Times New Roman"/>
          <w:bCs/>
          <w:sz w:val="19"/>
          <w:szCs w:val="19"/>
        </w:rPr>
        <w:t xml:space="preserve"> Havendo alguma restrição na comprovação da regularidade fiscal e trabalhista será assegurado, às ME/EPP e equiparados, o prazo de 05 (cinco) dias úteis, cujo termo inicial corresponderá ao momento em que o licitante for declarada a vencedora do certame, prorrogável por igual período, a critério da Administração Pública, para a regularização da documentação.</w:t>
      </w:r>
    </w:p>
    <w:p w14:paraId="4AA19997" w14:textId="77777777" w:rsidR="00380AFB" w:rsidRDefault="00000000">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7.11.2.</w:t>
      </w:r>
      <w:r>
        <w:rPr>
          <w:rFonts w:ascii="Bookman Old Style" w:hAnsi="Bookman Old Style"/>
          <w:color w:val="000000"/>
          <w:sz w:val="19"/>
          <w:szCs w:val="19"/>
        </w:rPr>
        <w:t xml:space="preserve">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348E13BE" w14:textId="77777777" w:rsidR="00380AFB" w:rsidRDefault="00380AFB">
      <w:pPr>
        <w:pStyle w:val="WW-Padro"/>
        <w:tabs>
          <w:tab w:val="left" w:pos="142"/>
        </w:tabs>
        <w:spacing w:after="120" w:line="276" w:lineRule="auto"/>
        <w:contextualSpacing/>
        <w:jc w:val="both"/>
        <w:rPr>
          <w:rFonts w:ascii="Bookman Old Style" w:hAnsi="Bookman Old Style"/>
          <w:b/>
          <w:color w:val="000000"/>
          <w:sz w:val="19"/>
          <w:szCs w:val="19"/>
        </w:rPr>
      </w:pPr>
    </w:p>
    <w:p w14:paraId="49982A5A" w14:textId="77777777" w:rsidR="00380AFB" w:rsidRDefault="00000000">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7.12.</w:t>
      </w:r>
      <w:r>
        <w:rPr>
          <w:rFonts w:ascii="Bookman Old Style" w:hAnsi="Bookman Old Style"/>
          <w:color w:val="000000"/>
          <w:sz w:val="19"/>
          <w:szCs w:val="19"/>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D9D9FBA" w14:textId="77777777" w:rsidR="00380AFB" w:rsidRDefault="00380AFB">
      <w:pPr>
        <w:pStyle w:val="WW-Padro"/>
        <w:tabs>
          <w:tab w:val="left" w:pos="142"/>
        </w:tabs>
        <w:spacing w:after="120" w:line="276" w:lineRule="auto"/>
        <w:contextualSpacing/>
        <w:jc w:val="both"/>
        <w:rPr>
          <w:rFonts w:ascii="Bookman Old Style" w:hAnsi="Bookman Old Style"/>
          <w:b/>
          <w:color w:val="000000"/>
          <w:sz w:val="19"/>
          <w:szCs w:val="19"/>
        </w:rPr>
      </w:pPr>
    </w:p>
    <w:p w14:paraId="53058506" w14:textId="77777777" w:rsidR="00380AFB" w:rsidRDefault="00000000">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7.13.</w:t>
      </w:r>
      <w:r>
        <w:rPr>
          <w:rFonts w:ascii="Bookman Old Style" w:hAnsi="Bookman Old Style"/>
          <w:color w:val="000000"/>
          <w:sz w:val="19"/>
          <w:szCs w:val="19"/>
        </w:rPr>
        <w:t xml:space="preserve"> Os documentos devem ser identificados com o número de Cadastro (CNPJ e CPF, conforme o caso) e nome do licitante e devem ser apresentados: </w:t>
      </w:r>
    </w:p>
    <w:p w14:paraId="15CD2B19" w14:textId="77777777" w:rsidR="00380AFB" w:rsidRDefault="00380AFB">
      <w:pPr>
        <w:pStyle w:val="WW-Padro"/>
        <w:tabs>
          <w:tab w:val="left" w:pos="142"/>
        </w:tabs>
        <w:spacing w:after="120" w:line="276" w:lineRule="auto"/>
        <w:contextualSpacing/>
        <w:jc w:val="both"/>
        <w:rPr>
          <w:rFonts w:ascii="Bookman Old Style" w:hAnsi="Bookman Old Style"/>
          <w:b/>
          <w:color w:val="000000"/>
          <w:sz w:val="19"/>
          <w:szCs w:val="19"/>
        </w:rPr>
      </w:pPr>
    </w:p>
    <w:p w14:paraId="7AFB117B" w14:textId="77777777" w:rsidR="00380AFB" w:rsidRDefault="00000000">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7.13.1.</w:t>
      </w:r>
      <w:r>
        <w:rPr>
          <w:rFonts w:ascii="Bookman Old Style" w:hAnsi="Bookman Old Style"/>
          <w:color w:val="000000"/>
          <w:sz w:val="19"/>
          <w:szCs w:val="19"/>
        </w:rPr>
        <w:t xml:space="preserve"> Se o licitante for a matriz, todos os documentos deverão estar em nome da matriz; ou </w:t>
      </w:r>
    </w:p>
    <w:p w14:paraId="0CDA8CC1" w14:textId="77777777" w:rsidR="00380AFB" w:rsidRDefault="00000000">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7.13.2.</w:t>
      </w:r>
      <w:r>
        <w:rPr>
          <w:rFonts w:ascii="Bookman Old Style" w:hAnsi="Bookman Old Style"/>
          <w:color w:val="000000"/>
          <w:sz w:val="19"/>
          <w:szCs w:val="19"/>
        </w:rPr>
        <w:t xml:space="preserve">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37567F56" w14:textId="77777777" w:rsidR="00380AFB" w:rsidRDefault="00000000">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7.13.3.</w:t>
      </w:r>
      <w:r>
        <w:rPr>
          <w:rFonts w:ascii="Bookman Old Style" w:hAnsi="Bookman Old Style"/>
          <w:color w:val="000000"/>
          <w:sz w:val="19"/>
          <w:szCs w:val="19"/>
        </w:rPr>
        <w:t xml:space="preserve"> Os documentos exigidos neste Pregão poderão ser apresentados em original, por qualquer processo de cópia autenticada por Cartório/órgão competente ou pelo(a) Pregoeiro(a) ou publicação em órgão da imprensa oficial. </w:t>
      </w:r>
    </w:p>
    <w:p w14:paraId="0C5FDB11" w14:textId="77777777" w:rsidR="00380AFB" w:rsidRDefault="00380AFB">
      <w:pPr>
        <w:pStyle w:val="WW-Padro"/>
        <w:tabs>
          <w:tab w:val="left" w:pos="142"/>
        </w:tabs>
        <w:spacing w:after="120" w:line="276" w:lineRule="auto"/>
        <w:contextualSpacing/>
        <w:jc w:val="both"/>
        <w:rPr>
          <w:rFonts w:ascii="Bookman Old Style" w:hAnsi="Bookman Old Style"/>
          <w:b/>
          <w:color w:val="000000"/>
          <w:sz w:val="19"/>
          <w:szCs w:val="19"/>
        </w:rPr>
      </w:pPr>
    </w:p>
    <w:p w14:paraId="5463BFF7" w14:textId="77777777" w:rsidR="00380AFB" w:rsidRDefault="00000000">
      <w:pPr>
        <w:pStyle w:val="WW-Padro"/>
        <w:tabs>
          <w:tab w:val="left" w:pos="142"/>
        </w:tabs>
        <w:spacing w:after="120" w:line="276" w:lineRule="auto"/>
        <w:contextualSpacing/>
        <w:jc w:val="both"/>
        <w:rPr>
          <w:rFonts w:ascii="Bookman Old Style" w:hAnsi="Bookman Old Style"/>
          <w:color w:val="000000"/>
          <w:sz w:val="19"/>
          <w:szCs w:val="19"/>
        </w:rPr>
      </w:pPr>
      <w:r>
        <w:rPr>
          <w:rFonts w:ascii="Bookman Old Style" w:hAnsi="Bookman Old Style"/>
          <w:b/>
          <w:color w:val="000000"/>
          <w:sz w:val="19"/>
          <w:szCs w:val="19"/>
        </w:rPr>
        <w:t>7.14.</w:t>
      </w:r>
      <w:r>
        <w:rPr>
          <w:rFonts w:ascii="Bookman Old Style" w:hAnsi="Bookman Old Style"/>
          <w:color w:val="000000"/>
          <w:sz w:val="19"/>
          <w:szCs w:val="19"/>
        </w:rPr>
        <w:t xml:space="preserve"> Se o licitante desatender às exigências habilitatórias, o(a) Pregoeiro(a) examinará a oferta subsequente, verificando a sua aceitabilidade e procedendo à habilitação das licitantes, na ordem de classificação, e assim sucessivamente, até a apuração de uma proposta que atenda ao Edital.</w:t>
      </w:r>
    </w:p>
    <w:p w14:paraId="11C847B1"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4B73066D"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16CA551F"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8. DO CRITÉRIO DE JULGAMENTO:</w:t>
      </w:r>
    </w:p>
    <w:p w14:paraId="6B3051B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7BBAFF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8.1</w:t>
      </w:r>
      <w:r>
        <w:rPr>
          <w:rFonts w:ascii="Bookman Old Style" w:eastAsia="Calibri" w:hAnsi="Bookman Old Style" w:cs="Times New Roman"/>
          <w:bCs/>
          <w:sz w:val="19"/>
          <w:szCs w:val="19"/>
        </w:rPr>
        <w:t xml:space="preserve">. O critério de julgamento será o de </w:t>
      </w:r>
      <w:r>
        <w:rPr>
          <w:rFonts w:ascii="Bookman Old Style" w:eastAsia="Calibri" w:hAnsi="Bookman Old Style" w:cs="Times New Roman"/>
          <w:b/>
          <w:bCs/>
          <w:sz w:val="19"/>
          <w:szCs w:val="19"/>
        </w:rPr>
        <w:t>MENOR PREÇO- ITEM</w:t>
      </w:r>
      <w:r>
        <w:rPr>
          <w:rFonts w:ascii="Bookman Old Style" w:eastAsia="Calibri" w:hAnsi="Bookman Old Style" w:cs="Times New Roman"/>
          <w:bCs/>
          <w:sz w:val="19"/>
          <w:szCs w:val="19"/>
        </w:rPr>
        <w:t xml:space="preserve">, desde que observadas as especificações e demais condições estabelecidas neste Edital e seus anexos. </w:t>
      </w:r>
    </w:p>
    <w:p w14:paraId="3659C86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D6B04E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w:t>
      </w:r>
      <w:r>
        <w:rPr>
          <w:rFonts w:ascii="Bookman Old Style" w:eastAsia="Calibri" w:hAnsi="Bookman Old Style" w:cs="Times New Roman"/>
          <w:bCs/>
          <w:sz w:val="19"/>
          <w:szCs w:val="19"/>
        </w:rPr>
        <w:t xml:space="preserve"> Será desclassificada a proposta comercial que: </w:t>
      </w:r>
    </w:p>
    <w:p w14:paraId="7DA886D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54A777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8.2.1.</w:t>
      </w:r>
      <w:r>
        <w:rPr>
          <w:rFonts w:ascii="Bookman Old Style" w:eastAsia="Calibri" w:hAnsi="Bookman Old Style" w:cs="Times New Roman"/>
          <w:bCs/>
          <w:sz w:val="19"/>
          <w:szCs w:val="19"/>
        </w:rPr>
        <w:t xml:space="preserve"> Não se refira à integralidade do objeto; </w:t>
      </w:r>
    </w:p>
    <w:p w14:paraId="54D51BD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8.2.2.</w:t>
      </w:r>
      <w:r>
        <w:rPr>
          <w:rFonts w:ascii="Bookman Old Style" w:eastAsia="Calibri" w:hAnsi="Bookman Old Style" w:cs="Times New Roman"/>
          <w:bCs/>
          <w:sz w:val="19"/>
          <w:szCs w:val="19"/>
        </w:rPr>
        <w:t xml:space="preserve"> Não atenda às exigências estabelecidas neste edital ou em diligência; </w:t>
      </w:r>
    </w:p>
    <w:p w14:paraId="0E9AEA1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8.2.3.</w:t>
      </w:r>
      <w:r>
        <w:rPr>
          <w:rFonts w:ascii="Bookman Old Style" w:eastAsia="Calibri" w:hAnsi="Bookman Old Style" w:cs="Times New Roman"/>
          <w:bCs/>
          <w:sz w:val="19"/>
          <w:szCs w:val="19"/>
        </w:rPr>
        <w:t xml:space="preserve"> Apresente preços simbólicos, irrisórios ou de valor zero, incompatíveis com os preços de mercado acrescidos dos respectivos encargos, exceto quando se referirem a materiais e instalações de propriedade do licitante, para os quais ele renuncie à parcela ou à totalidade da remuneração; </w:t>
      </w:r>
      <w:r>
        <w:rPr>
          <w:rFonts w:ascii="Bookman Old Style" w:eastAsia="Calibri" w:hAnsi="Bookman Old Style" w:cs="Times New Roman"/>
          <w:bCs/>
          <w:sz w:val="19"/>
          <w:szCs w:val="19"/>
        </w:rPr>
        <w:lastRenderedPageBreak/>
        <w:t xml:space="preserve">ou superestimados ou, ainda, manifestamente inexequíveis, assim considerados nos termos do disposto no art. 59, § 4º, da Lei nº 14.133/2021. </w:t>
      </w:r>
    </w:p>
    <w:p w14:paraId="68144BE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8.2.3.1.</w:t>
      </w:r>
      <w:r>
        <w:rPr>
          <w:rFonts w:ascii="Bookman Old Style" w:eastAsia="Calibri" w:hAnsi="Bookman Old Style" w:cs="Times New Roman"/>
          <w:bCs/>
          <w:sz w:val="19"/>
          <w:szCs w:val="19"/>
        </w:rPr>
        <w:t xml:space="preserve"> Será considerada irrisória a proposta que não apresente valor mínimo necessário para cobrir os custos; </w:t>
      </w:r>
    </w:p>
    <w:p w14:paraId="6DB0AFF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8.2.3.2.</w:t>
      </w:r>
      <w:r>
        <w:rPr>
          <w:rFonts w:ascii="Bookman Old Style" w:eastAsia="Calibri" w:hAnsi="Bookman Old Style" w:cs="Times New Roman"/>
          <w:bCs/>
          <w:sz w:val="19"/>
          <w:szCs w:val="19"/>
        </w:rPr>
        <w:t xml:space="preserve">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2E5A6DE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8.2.3.3.</w:t>
      </w:r>
      <w:r>
        <w:rPr>
          <w:rFonts w:ascii="Bookman Old Style" w:eastAsia="Calibri" w:hAnsi="Bookman Old Style" w:cs="Times New Roman"/>
          <w:bCs/>
          <w:sz w:val="19"/>
          <w:szCs w:val="19"/>
        </w:rPr>
        <w:t xml:space="preserve"> Se não houver a comprovação da exequibilidade do preço, a proposta será desclassificada. </w:t>
      </w:r>
    </w:p>
    <w:p w14:paraId="5E37A138"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730BAD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8.3.</w:t>
      </w:r>
      <w:r>
        <w:rPr>
          <w:rFonts w:ascii="Bookman Old Style" w:eastAsia="Calibri" w:hAnsi="Bookman Old Style" w:cs="Times New Roman"/>
          <w:bCs/>
          <w:sz w:val="19"/>
          <w:szCs w:val="19"/>
        </w:rPr>
        <w:t xml:space="preserve"> Na análise das propostas não será considerada qualquer oferta de vantagem. </w:t>
      </w:r>
    </w:p>
    <w:p w14:paraId="437B6C65"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0FA265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8.4.</w:t>
      </w:r>
      <w:r>
        <w:rPr>
          <w:rFonts w:ascii="Bookman Old Style" w:eastAsia="Calibri" w:hAnsi="Bookman Old Style" w:cs="Times New Roman"/>
          <w:bCs/>
          <w:sz w:val="19"/>
          <w:szCs w:val="19"/>
        </w:rPr>
        <w:t xml:space="preserve"> Quaisquer erros de soma e/ou multiplicação apurados ou divergências nos itens componentes da planilha de preços poderão ser corrigidos pelo(a) Pregoeiro(a); </w:t>
      </w:r>
    </w:p>
    <w:p w14:paraId="479D0A8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8.4.1.</w:t>
      </w:r>
      <w:r>
        <w:rPr>
          <w:rFonts w:ascii="Bookman Old Style" w:eastAsia="Calibri" w:hAnsi="Bookman Old Style" w:cs="Times New Roman"/>
          <w:bCs/>
          <w:sz w:val="19"/>
          <w:szCs w:val="19"/>
        </w:rPr>
        <w:t xml:space="preserve">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6EA8D44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8.4.2.</w:t>
      </w:r>
      <w:r>
        <w:rPr>
          <w:rFonts w:ascii="Bookman Old Style" w:eastAsia="Calibri" w:hAnsi="Bookman Old Style" w:cs="Times New Roman"/>
          <w:bCs/>
          <w:sz w:val="19"/>
          <w:szCs w:val="19"/>
        </w:rPr>
        <w:t xml:space="preserve"> Serão desconsiderados valores apresentados a partir da terceira casa decimal, sobretudo para os preços unitários. </w:t>
      </w:r>
    </w:p>
    <w:p w14:paraId="5DE554DA"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1F5291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8.5.</w:t>
      </w:r>
      <w:r>
        <w:rPr>
          <w:rFonts w:ascii="Bookman Old Style" w:eastAsia="Calibri" w:hAnsi="Bookman Old Style" w:cs="Times New Roman"/>
          <w:bCs/>
          <w:sz w:val="19"/>
          <w:szCs w:val="19"/>
        </w:rPr>
        <w:t xml:space="preserve"> O (a) Pregoeiro (a) poderá, no julgamento das propostas e da documentação, desconsiderar evidentes falhas sanáveis. </w:t>
      </w:r>
    </w:p>
    <w:p w14:paraId="7536B89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8.5.1.</w:t>
      </w:r>
      <w:r>
        <w:rPr>
          <w:rFonts w:ascii="Bookman Old Style" w:eastAsia="Calibri" w:hAnsi="Bookman Old Style" w:cs="Times New Roman"/>
          <w:bCs/>
          <w:sz w:val="19"/>
          <w:szCs w:val="19"/>
        </w:rPr>
        <w:t xml:space="preserve"> As propostas e documentação apresentadas poderão ser submetidas à apreciação da área solicitante para verificação do atendimento ao objeto licitado, mediante parecer fundamentado. </w:t>
      </w:r>
    </w:p>
    <w:p w14:paraId="4F545325"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10687A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8.6.</w:t>
      </w:r>
      <w:r>
        <w:rPr>
          <w:rFonts w:ascii="Bookman Old Style" w:eastAsia="Calibri" w:hAnsi="Bookman Old Style" w:cs="Times New Roman"/>
          <w:bCs/>
          <w:sz w:val="19"/>
          <w:szCs w:val="19"/>
        </w:rPr>
        <w:t xml:space="preserve"> Se houver empate entre propostas, após a etapa de envio de lances, haverá a aplicação dos critérios de desempate previstos no art. 60, da Lei 14.133/2021, sem prejuízo da aplicação do disposto no art. 44 da Lei Complementar nº 123, de 14 de dezembro de 2006. </w:t>
      </w:r>
    </w:p>
    <w:p w14:paraId="228E3FD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8.6.1.</w:t>
      </w:r>
      <w:r>
        <w:rPr>
          <w:rFonts w:ascii="Bookman Old Style" w:eastAsia="Calibri" w:hAnsi="Bookman Old Style" w:cs="Times New Roman"/>
          <w:bCs/>
          <w:sz w:val="19"/>
          <w:szCs w:val="19"/>
        </w:rPr>
        <w:t xml:space="preserve"> Os critérios de desempate serão aplicados caso não haja envio de lances após o início da fase competitiva.</w:t>
      </w:r>
    </w:p>
    <w:p w14:paraId="4634342F"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5BC2CC6F"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5B29A49A"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9. DO PROCESSAMETNO E JULGAMETO DA LICITANTE:</w:t>
      </w:r>
    </w:p>
    <w:p w14:paraId="679C7F7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9D2B1B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w:t>
      </w:r>
      <w:r>
        <w:rPr>
          <w:rFonts w:ascii="Bookman Old Style" w:eastAsia="Calibri" w:hAnsi="Bookman Old Style" w:cs="Times New Roman"/>
          <w:bCs/>
          <w:sz w:val="19"/>
          <w:szCs w:val="19"/>
        </w:rPr>
        <w:t xml:space="preserve"> A abertura da sessão pública deste Pregão, conduzida pelo (a) Pregoeiro(a), ocorrerá na data e na hora indicada no preâmbulo deste Edital, exclusivamente no sítio </w:t>
      </w:r>
      <w:hyperlink r:id="rId16" w:history="1">
        <w:r w:rsidR="00380AFB">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w:t>
      </w:r>
      <w:r>
        <w:rPr>
          <w:rFonts w:ascii="Bookman Old Style" w:eastAsia="Calibri" w:hAnsi="Bookman Old Style" w:cs="Times New Roman"/>
          <w:bCs/>
          <w:sz w:val="19"/>
          <w:szCs w:val="19"/>
        </w:rPr>
        <w:t xml:space="preserve"> </w:t>
      </w:r>
    </w:p>
    <w:p w14:paraId="22F80615"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00E166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9.2.</w:t>
      </w:r>
      <w:r>
        <w:rPr>
          <w:rFonts w:ascii="Bookman Old Style" w:eastAsia="Calibri" w:hAnsi="Bookman Old Style" w:cs="Times New Roman"/>
          <w:bCs/>
          <w:sz w:val="19"/>
          <w:szCs w:val="19"/>
        </w:rPr>
        <w:t xml:space="preserve"> A comunicação entre o(a) Pregoeiro(a) e os licitantes ocorrerá exclusivamente mediante troca de mensagens, em campo próprio do sistema eletrônico. </w:t>
      </w:r>
    </w:p>
    <w:p w14:paraId="577DCE1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05871C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9.3.</w:t>
      </w:r>
      <w:r>
        <w:rPr>
          <w:rFonts w:ascii="Bookman Old Style" w:eastAsia="Calibri" w:hAnsi="Bookman Old Style" w:cs="Times New Roman"/>
          <w:bCs/>
          <w:sz w:val="19"/>
          <w:szCs w:val="19"/>
        </w:rPr>
        <w:t xml:space="preserve"> O licitante deverá estar previamente credenciado no sistema “Pregão Eletrônico”, no s</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 xml:space="preserve">tio </w:t>
      </w:r>
      <w:hyperlink r:id="rId17" w:history="1">
        <w:r w:rsidR="00380AFB">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w:t>
      </w:r>
      <w:r>
        <w:rPr>
          <w:rFonts w:ascii="Bookman Old Style" w:eastAsia="Calibri" w:hAnsi="Bookman Old Style" w:cs="Times New Roman"/>
          <w:bCs/>
          <w:sz w:val="19"/>
          <w:szCs w:val="19"/>
        </w:rPr>
        <w:t xml:space="preserve"> antes da data da realização do Pregão.</w:t>
      </w:r>
    </w:p>
    <w:p w14:paraId="2C11607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1AF980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9.3.1.</w:t>
      </w:r>
      <w:r>
        <w:rPr>
          <w:rFonts w:ascii="Bookman Old Style" w:eastAsia="Calibri" w:hAnsi="Bookman Old Style" w:cs="Times New Roman"/>
          <w:bCs/>
          <w:sz w:val="19"/>
          <w:szCs w:val="19"/>
        </w:rPr>
        <w:t xml:space="preserve"> O credenciamento far-se-á mediante a atribuição de chave de identificação e de senha pessoal e intransferível, obtidas junto ao provedor do sistema, onde também deverá informar-se a respeito do seu funcionamento e regulamento. </w:t>
      </w:r>
    </w:p>
    <w:p w14:paraId="3867ADE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9.3.2.</w:t>
      </w:r>
      <w:r>
        <w:rPr>
          <w:rFonts w:ascii="Bookman Old Style" w:eastAsia="Calibri" w:hAnsi="Bookman Old Style" w:cs="Times New Roman"/>
          <w:bCs/>
          <w:sz w:val="19"/>
          <w:szCs w:val="19"/>
        </w:rPr>
        <w:t xml:space="preserve"> O credenciamento junto ao provedor do sistema implica a responsabilidade legal do licitante e a presunção de sua capacidade técnica para a realização das transações inerentes ao Pregão na forma eletrônica. </w:t>
      </w:r>
    </w:p>
    <w:p w14:paraId="7C87C96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 xml:space="preserve">9.3.3. </w:t>
      </w:r>
      <w:r>
        <w:rPr>
          <w:rFonts w:ascii="Bookman Old Style" w:eastAsia="Calibri" w:hAnsi="Bookman Old Style" w:cs="Times New Roman"/>
          <w:bCs/>
          <w:sz w:val="19"/>
          <w:szCs w:val="19"/>
        </w:rPr>
        <w:t xml:space="preserve">O uso da senha de acesso ao sistema eletrônico é de responsabilidade exclusiva do licitante, incluindo qualquer transação por ele efetuada diretamente, ou por seu representante, não cabendo ao provedor do sistema ou ao Município responsabilidade por eventuais danos decorrentes do uso indevido da senha, ainda que por terceiros. </w:t>
      </w:r>
    </w:p>
    <w:p w14:paraId="0045E3F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446232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w:t>
      </w:r>
      <w:r>
        <w:rPr>
          <w:rFonts w:ascii="Bookman Old Style" w:eastAsia="Calibri" w:hAnsi="Bookman Old Style" w:cs="Times New Roman"/>
          <w:bCs/>
          <w:sz w:val="19"/>
          <w:szCs w:val="19"/>
        </w:rPr>
        <w:t xml:space="preserve"> O licitante será responsável por todas as transações que forem efetuadas em seu nome no sistema eletrônico, assumindo como firmes e verdadeiras suas propostas e lances. </w:t>
      </w:r>
    </w:p>
    <w:p w14:paraId="61BFC5D8"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515D18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9.5.</w:t>
      </w:r>
      <w:r>
        <w:rPr>
          <w:rFonts w:ascii="Bookman Old Style" w:eastAsia="Calibri" w:hAnsi="Bookman Old Style" w:cs="Times New Roman"/>
          <w:bCs/>
          <w:sz w:val="19"/>
          <w:szCs w:val="19"/>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01142733"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D308C5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9.6. </w:t>
      </w:r>
      <w:r>
        <w:rPr>
          <w:rFonts w:ascii="Bookman Old Style" w:eastAsia="Calibri" w:hAnsi="Bookman Old Style" w:cs="Times New Roman"/>
          <w:bCs/>
          <w:sz w:val="19"/>
          <w:szCs w:val="19"/>
        </w:rPr>
        <w:t xml:space="preserve">Aberta a sessão o(a) Pregoeiro(a) verificará as propostas apresentadas e desclassificará aquelas que não estejam em conformidade com os requisitos estabelecidos. </w:t>
      </w:r>
    </w:p>
    <w:p w14:paraId="4A85DEDF"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CC3E59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9.7.</w:t>
      </w:r>
      <w:r>
        <w:rPr>
          <w:rFonts w:ascii="Bookman Old Style" w:eastAsia="Calibri" w:hAnsi="Bookman Old Style" w:cs="Times New Roman"/>
          <w:bCs/>
          <w:sz w:val="19"/>
          <w:szCs w:val="19"/>
        </w:rPr>
        <w:t xml:space="preserve"> A desclassificação de proposta será sempre fundamentada e registrada no sistema, com acompanhamento em tempo real por todos os participantes. </w:t>
      </w:r>
    </w:p>
    <w:p w14:paraId="524C47E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36FEFB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9.8.</w:t>
      </w:r>
      <w:r>
        <w:rPr>
          <w:rFonts w:ascii="Bookman Old Style" w:eastAsia="Calibri" w:hAnsi="Bookman Old Style" w:cs="Times New Roman"/>
          <w:bCs/>
          <w:sz w:val="19"/>
          <w:szCs w:val="19"/>
        </w:rPr>
        <w:t xml:space="preserve"> O sistema ordenará, automaticamente, as propostas classificadas pelo (a) Pregoeiro (a), sendo que somente estas participarão da fase de lance.</w:t>
      </w:r>
    </w:p>
    <w:p w14:paraId="084B33AB"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4809DCD8"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3D6A2D60"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10. PARTICIPAÇÃO E PROCEDIMETNOS DA SESSÃO DO PREGÃO:</w:t>
      </w:r>
    </w:p>
    <w:p w14:paraId="2D5B8CB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C326EA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w:t>
      </w:r>
      <w:r>
        <w:rPr>
          <w:rFonts w:ascii="Bookman Old Style" w:eastAsia="Calibri" w:hAnsi="Bookman Old Style" w:cs="Times New Roman"/>
          <w:bCs/>
          <w:sz w:val="19"/>
          <w:szCs w:val="19"/>
        </w:rPr>
        <w:t xml:space="preserve"> A participação no Pregão Eletrônico dar-se-á pelo acesso à </w:t>
      </w:r>
      <w:r>
        <w:rPr>
          <w:rFonts w:ascii="Bookman Old Style" w:eastAsia="Calibri" w:hAnsi="Bookman Old Style" w:cs="Times New Roman"/>
          <w:bCs/>
          <w:color w:val="000000" w:themeColor="text1"/>
          <w:sz w:val="19"/>
          <w:szCs w:val="19"/>
        </w:rPr>
        <w:t>“PLATAFORMA DE LICITAÇÕES</w:t>
      </w:r>
      <w:hyperlink r:id="rId18" w:history="1"/>
      <w:r>
        <w:rPr>
          <w:rFonts w:ascii="Bookman Old Style" w:hAnsi="Bookman Old Style" w:cs="Times New Roman"/>
          <w:color w:val="000000" w:themeColor="text1"/>
          <w:sz w:val="19"/>
          <w:szCs w:val="19"/>
        </w:rPr>
        <w:t xml:space="preserve"> </w:t>
      </w:r>
      <w:hyperlink r:id="rId19" w:history="1">
        <w:r w:rsidR="00380AFB">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 xml:space="preserve">, </w:t>
      </w:r>
      <w:r>
        <w:rPr>
          <w:rFonts w:ascii="Bookman Old Style" w:eastAsia="Calibri" w:hAnsi="Bookman Old Style" w:cs="Times New Roman"/>
          <w:bCs/>
          <w:sz w:val="19"/>
          <w:szCs w:val="19"/>
        </w:rPr>
        <w:t>e subsequente registro da proposta de pre</w:t>
      </w:r>
      <w:r>
        <w:rPr>
          <w:rFonts w:ascii="Bookman Old Style" w:eastAsia="Calibri" w:hAnsi="Bookman Old Style" w:cs="Bookman Old Style"/>
          <w:bCs/>
          <w:sz w:val="19"/>
          <w:szCs w:val="19"/>
        </w:rPr>
        <w:t>ç</w:t>
      </w:r>
      <w:r>
        <w:rPr>
          <w:rFonts w:ascii="Bookman Old Style" w:eastAsia="Calibri" w:hAnsi="Bookman Old Style" w:cs="Times New Roman"/>
          <w:bCs/>
          <w:sz w:val="19"/>
          <w:szCs w:val="19"/>
        </w:rPr>
        <w:t>o e documentos de habilita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por meio do sistema eletr</w:t>
      </w:r>
      <w:r>
        <w:rPr>
          <w:rFonts w:ascii="Bookman Old Style" w:eastAsia="Calibri" w:hAnsi="Bookman Old Style" w:cs="Bookman Old Style"/>
          <w:bCs/>
          <w:sz w:val="19"/>
          <w:szCs w:val="19"/>
        </w:rPr>
        <w:t>ô</w:t>
      </w:r>
      <w:r>
        <w:rPr>
          <w:rFonts w:ascii="Bookman Old Style" w:eastAsia="Calibri" w:hAnsi="Bookman Old Style" w:cs="Times New Roman"/>
          <w:bCs/>
          <w:sz w:val="19"/>
          <w:szCs w:val="19"/>
        </w:rPr>
        <w:t>nico, observada a data e hor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rio limite estabelecidos </w:t>
      </w:r>
      <w:r>
        <w:rPr>
          <w:rFonts w:ascii="Bookman Old Style" w:eastAsia="Calibri" w:hAnsi="Bookman Old Style" w:cs="Bookman Old Style"/>
          <w:bCs/>
          <w:sz w:val="19"/>
          <w:szCs w:val="19"/>
        </w:rPr>
        <w:t>à</w:t>
      </w:r>
      <w:r>
        <w:rPr>
          <w:rFonts w:ascii="Bookman Old Style" w:eastAsia="Calibri" w:hAnsi="Bookman Old Style" w:cs="Times New Roman"/>
          <w:bCs/>
          <w:sz w:val="19"/>
          <w:szCs w:val="19"/>
        </w:rPr>
        <w:t xml:space="preserve"> fl. 1 deste Edital. </w:t>
      </w:r>
    </w:p>
    <w:p w14:paraId="25CC91A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3FD87D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w:t>
      </w:r>
      <w:r>
        <w:rPr>
          <w:rFonts w:ascii="Bookman Old Style" w:eastAsia="Calibri" w:hAnsi="Bookman Old Style" w:cs="Times New Roman"/>
          <w:bCs/>
          <w:sz w:val="19"/>
          <w:szCs w:val="19"/>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205135D3"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68A96A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w:t>
      </w:r>
      <w:r>
        <w:rPr>
          <w:rFonts w:ascii="Bookman Old Style" w:eastAsia="Calibri" w:hAnsi="Bookman Old Style" w:cs="Times New Roman"/>
          <w:bCs/>
          <w:sz w:val="19"/>
          <w:szCs w:val="19"/>
        </w:rPr>
        <w:t xml:space="preserve"> Realizado o acesso à sessão do pregão, no dia e hora definidos para a realização do pregão, o sistema apresentará a relação dos itens/lotes para os quais o fornecedor teve propostas classificadas. </w:t>
      </w:r>
    </w:p>
    <w:p w14:paraId="6DC2449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0CDDFA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10.4.</w:t>
      </w:r>
      <w:r>
        <w:rPr>
          <w:rFonts w:ascii="Bookman Old Style" w:eastAsia="Calibri" w:hAnsi="Bookman Old Style" w:cs="Times New Roman"/>
          <w:bCs/>
          <w:sz w:val="19"/>
          <w:szCs w:val="19"/>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05099CC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CD03DF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10.4.1.</w:t>
      </w:r>
      <w:r>
        <w:rPr>
          <w:rFonts w:ascii="Bookman Old Style" w:eastAsia="Calibri" w:hAnsi="Bookman Old Style" w:cs="Times New Roman"/>
          <w:bCs/>
          <w:sz w:val="19"/>
          <w:szCs w:val="19"/>
        </w:rPr>
        <w:t xml:space="preserve"> Alegações posteriores não serão aceitas, caso o licitante não efetue lances.</w:t>
      </w:r>
    </w:p>
    <w:p w14:paraId="3BE6AF2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BDA7DB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10.5.</w:t>
      </w:r>
      <w:r>
        <w:rPr>
          <w:rFonts w:ascii="Bookman Old Style" w:eastAsia="Calibri" w:hAnsi="Bookman Old Style" w:cs="Times New Roman"/>
          <w:bCs/>
          <w:sz w:val="19"/>
          <w:szCs w:val="19"/>
        </w:rPr>
        <w:t xml:space="preserve"> A cada lance ofertado o licitante será imediatamente informado pelo sistema sobre seu recebimento e respectivo horário de registro e valor. </w:t>
      </w:r>
    </w:p>
    <w:p w14:paraId="28162D8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5DC54A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10.6.</w:t>
      </w:r>
      <w:r>
        <w:rPr>
          <w:rFonts w:ascii="Bookman Old Style" w:eastAsia="Calibri" w:hAnsi="Bookman Old Style" w:cs="Times New Roman"/>
          <w:bCs/>
          <w:sz w:val="19"/>
          <w:szCs w:val="19"/>
        </w:rPr>
        <w:t xml:space="preserve"> Durante o transcurso da etapa de lances, será informado, em tempo real, o valor do menor lance de cada licitante registrado pelo sistema. </w:t>
      </w:r>
    </w:p>
    <w:p w14:paraId="20A94E23"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A274DB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10.7.</w:t>
      </w:r>
      <w:r>
        <w:rPr>
          <w:rFonts w:ascii="Bookman Old Style" w:eastAsia="Calibri" w:hAnsi="Bookman Old Style" w:cs="Times New Roman"/>
          <w:bCs/>
          <w:sz w:val="19"/>
          <w:szCs w:val="19"/>
        </w:rPr>
        <w:t xml:space="preserve"> O licitante poderá encaminhar lance com valor superior ao menor registrado, desde que seja inferior ao seu último lance ofertado e diferente de qualquer outro válido para o item/lote. </w:t>
      </w:r>
    </w:p>
    <w:p w14:paraId="70DE07E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0E2044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10.8.</w:t>
      </w:r>
      <w:r>
        <w:rPr>
          <w:rFonts w:ascii="Bookman Old Style" w:eastAsia="Calibri" w:hAnsi="Bookman Old Style" w:cs="Times New Roman"/>
          <w:bCs/>
          <w:sz w:val="19"/>
          <w:szCs w:val="19"/>
        </w:rPr>
        <w:t xml:space="preserve"> Permanecerá válida a proposta comercial encaminhada pelo sistema na hipótese de o licitante não encaminhar lances, sendo considerada para a classificação final. </w:t>
      </w:r>
    </w:p>
    <w:p w14:paraId="49CA1BA3"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99316E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10.9.</w:t>
      </w:r>
      <w:r>
        <w:rPr>
          <w:rFonts w:ascii="Bookman Old Style" w:eastAsia="Calibri" w:hAnsi="Bookman Old Style" w:cs="Times New Roman"/>
          <w:bCs/>
          <w:sz w:val="19"/>
          <w:szCs w:val="19"/>
        </w:rPr>
        <w:t xml:space="preserve"> Se os licitantes não ofertarem lances será verificada a conformidade da proposta de menor preço/maior desconto em relação ao valor estimado da contratação. </w:t>
      </w:r>
    </w:p>
    <w:p w14:paraId="4AE1875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911C0A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10.10.</w:t>
      </w:r>
      <w:r>
        <w:rPr>
          <w:rFonts w:ascii="Bookman Old Style" w:eastAsia="Calibri" w:hAnsi="Bookman Old Style" w:cs="Times New Roman"/>
          <w:bCs/>
          <w:sz w:val="19"/>
          <w:szCs w:val="19"/>
        </w:rPr>
        <w:t xml:space="preserve"> Será adotado para o envio de lances no pregão eletrônico o modo de disputa </w:t>
      </w:r>
      <w:r>
        <w:rPr>
          <w:rFonts w:ascii="Bookman Old Style" w:eastAsia="Calibri" w:hAnsi="Bookman Old Style" w:cs="Times New Roman"/>
          <w:b/>
          <w:bCs/>
          <w:color w:val="000000" w:themeColor="text1"/>
          <w:sz w:val="19"/>
          <w:szCs w:val="19"/>
        </w:rPr>
        <w:t>“aberto”,</w:t>
      </w:r>
      <w:r>
        <w:rPr>
          <w:rFonts w:ascii="Bookman Old Style" w:eastAsia="Calibri" w:hAnsi="Bookman Old Style" w:cs="Times New Roman"/>
          <w:bCs/>
          <w:color w:val="000000" w:themeColor="text1"/>
          <w:sz w:val="19"/>
          <w:szCs w:val="19"/>
        </w:rPr>
        <w:t xml:space="preserve"> </w:t>
      </w:r>
      <w:r>
        <w:rPr>
          <w:rFonts w:ascii="Bookman Old Style" w:eastAsia="Calibri" w:hAnsi="Bookman Old Style" w:cs="Times New Roman"/>
          <w:bCs/>
          <w:sz w:val="19"/>
          <w:szCs w:val="19"/>
        </w:rPr>
        <w:t>em que os licitantes apresentar</w:t>
      </w:r>
      <w:r>
        <w:rPr>
          <w:rFonts w:ascii="Bookman Old Style" w:eastAsia="Calibri" w:hAnsi="Bookman Old Style" w:cs="Bookman Old Style"/>
          <w:bCs/>
          <w:sz w:val="19"/>
          <w:szCs w:val="19"/>
        </w:rPr>
        <w:t>ã</w:t>
      </w:r>
      <w:r>
        <w:rPr>
          <w:rFonts w:ascii="Bookman Old Style" w:eastAsia="Calibri" w:hAnsi="Bookman Old Style" w:cs="Times New Roman"/>
          <w:bCs/>
          <w:sz w:val="19"/>
          <w:szCs w:val="19"/>
        </w:rPr>
        <w:t>o lances p</w:t>
      </w:r>
      <w:r>
        <w:rPr>
          <w:rFonts w:ascii="Bookman Old Style" w:eastAsia="Calibri" w:hAnsi="Bookman Old Style" w:cs="Bookman Old Style"/>
          <w:bCs/>
          <w:sz w:val="19"/>
          <w:szCs w:val="19"/>
        </w:rPr>
        <w:t>ú</w:t>
      </w:r>
      <w:r>
        <w:rPr>
          <w:rFonts w:ascii="Bookman Old Style" w:eastAsia="Calibri" w:hAnsi="Bookman Old Style" w:cs="Times New Roman"/>
          <w:bCs/>
          <w:sz w:val="19"/>
          <w:szCs w:val="19"/>
        </w:rPr>
        <w:t xml:space="preserve">blicos e sucessivos. </w:t>
      </w:r>
    </w:p>
    <w:p w14:paraId="49190C1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0F2332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10.11</w:t>
      </w:r>
      <w:r>
        <w:rPr>
          <w:rFonts w:ascii="Bookman Old Style" w:eastAsia="Calibri" w:hAnsi="Bookman Old Style" w:cs="Times New Roman"/>
          <w:bCs/>
          <w:sz w:val="19"/>
          <w:szCs w:val="19"/>
        </w:rPr>
        <w:t xml:space="preserve">. A etapa de lances da sessão pública terá duração de dez minutos e, após isso, será prorrogada automaticamente pelo sistema quando houver lance ofertado nos últimos dois minutos do período de duração da sessão pública. </w:t>
      </w:r>
    </w:p>
    <w:p w14:paraId="46A287F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445D14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10.12.</w:t>
      </w:r>
      <w:r>
        <w:rPr>
          <w:rFonts w:ascii="Bookman Old Style" w:eastAsia="Calibri" w:hAnsi="Bookman Old Style" w:cs="Times New Roman"/>
          <w:bCs/>
          <w:sz w:val="19"/>
          <w:szCs w:val="19"/>
        </w:rPr>
        <w:t xml:space="preserve"> A prorrogação automática da etapa de lances, de que trata o subitem anterior, será de dois minutos e ocorrerá sucessivamente sempre que houver lances enviados neste período de prorrogação, inclusive no caso de lances intermediários. </w:t>
      </w:r>
    </w:p>
    <w:p w14:paraId="657BBCB5"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703530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10.13.</w:t>
      </w:r>
      <w:r>
        <w:rPr>
          <w:rFonts w:ascii="Bookman Old Style" w:eastAsia="Calibri" w:hAnsi="Bookman Old Style" w:cs="Times New Roman"/>
          <w:bCs/>
          <w:sz w:val="19"/>
          <w:szCs w:val="19"/>
        </w:rPr>
        <w:t xml:space="preserve"> Não havendo novos lances na forma estabelecida nos itens anteriores, a sessão pública encerrar-se-á automaticamente, e o sistema ordenará e divulgará os lances conforme a ordem final de classificação. </w:t>
      </w:r>
    </w:p>
    <w:p w14:paraId="359432B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16B73A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10.14.</w:t>
      </w:r>
      <w:r>
        <w:rPr>
          <w:rFonts w:ascii="Bookman Old Style" w:eastAsia="Calibri" w:hAnsi="Bookman Old Style" w:cs="Times New Roman"/>
          <w:bCs/>
          <w:sz w:val="19"/>
          <w:szCs w:val="19"/>
        </w:rPr>
        <w:t xml:space="preserve"> Definida a melhor proposta, se a diferença em relação à proposta classificada em segundo lugar for de pelo menos 5% (cinco por cento), o (a) pregoeiro (a), auxiliado pela equipe de apoio, poderá admitir o reinício da disputa aberta, para a definição das demais colocações. </w:t>
      </w:r>
    </w:p>
    <w:p w14:paraId="62406BDD"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C76DED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10.15.</w:t>
      </w:r>
      <w:r>
        <w:rPr>
          <w:rFonts w:ascii="Bookman Old Style" w:eastAsia="Calibri" w:hAnsi="Bookman Old Style" w:cs="Times New Roman"/>
          <w:bCs/>
          <w:sz w:val="19"/>
          <w:szCs w:val="19"/>
        </w:rPr>
        <w:t xml:space="preserve"> Após o reinício previsto no item supra, os licitantes serão convocados para apresentar lances intermediários. </w:t>
      </w:r>
    </w:p>
    <w:p w14:paraId="574FCAFA"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B2AAFB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10.16.</w:t>
      </w:r>
      <w:r>
        <w:rPr>
          <w:rFonts w:ascii="Bookman Old Style" w:eastAsia="Calibri" w:hAnsi="Bookman Old Style" w:cs="Times New Roman"/>
          <w:bCs/>
          <w:sz w:val="19"/>
          <w:szCs w:val="19"/>
        </w:rPr>
        <w:t xml:space="preserve"> Após o término dos prazos estabelecidos nos subitens anteriores, o sistema ordenará e divulgará os lances segundo a ordem crescente de valores. </w:t>
      </w:r>
    </w:p>
    <w:p w14:paraId="1FA4B41D"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C9E76D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10.17</w:t>
      </w:r>
      <w:r>
        <w:rPr>
          <w:rFonts w:ascii="Bookman Old Style" w:eastAsia="Calibri" w:hAnsi="Bookman Old Style" w:cs="Times New Roman"/>
          <w:bCs/>
          <w:sz w:val="19"/>
          <w:szCs w:val="19"/>
        </w:rPr>
        <w:t xml:space="preserve">. Não serão aceitos dois ou mais lances de mesmo valor, prevalecendo aquele que for recebido e registrado em primeiro lugar. </w:t>
      </w:r>
    </w:p>
    <w:p w14:paraId="364188F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B315A4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10.18. </w:t>
      </w:r>
      <w:r>
        <w:rPr>
          <w:rFonts w:ascii="Bookman Old Style" w:eastAsia="Calibri" w:hAnsi="Bookman Old Style" w:cs="Times New Roman"/>
          <w:bCs/>
          <w:sz w:val="19"/>
          <w:szCs w:val="19"/>
        </w:rPr>
        <w:t xml:space="preserve">Durante o transcurso da sessão pública, os licitantes serão informados, em tempo real, do valor do menor lance registrado, vedada a identificação do licitante. </w:t>
      </w:r>
    </w:p>
    <w:p w14:paraId="7F61461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1CB84B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10.19.</w:t>
      </w:r>
      <w:r>
        <w:rPr>
          <w:rFonts w:ascii="Bookman Old Style" w:eastAsia="Calibri" w:hAnsi="Bookman Old Style" w:cs="Times New Roman"/>
          <w:bCs/>
          <w:sz w:val="19"/>
          <w:szCs w:val="19"/>
        </w:rPr>
        <w:t xml:space="preserve"> No caso de desconexão com o (a) Pregoeiro (a), no decorrer da etapa competitiva do Pregão, o sistema eletrônico poderá permanecer acessível aos licitantes para a recepção dos lances. </w:t>
      </w:r>
    </w:p>
    <w:p w14:paraId="07AFA46C"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843765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10.20.</w:t>
      </w:r>
      <w:r>
        <w:rPr>
          <w:rFonts w:ascii="Bookman Old Style" w:eastAsia="Calibri" w:hAnsi="Bookman Old Style" w:cs="Times New Roman"/>
          <w:bCs/>
          <w:sz w:val="19"/>
          <w:szCs w:val="19"/>
        </w:rPr>
        <w:t xml:space="preserve"> Quando a desconexão do sistema eletrônico para o (a) pregoeiro (a) persistir por tempo superior a </w:t>
      </w:r>
      <w:r>
        <w:rPr>
          <w:rFonts w:ascii="Bookman Old Style" w:eastAsia="Calibri" w:hAnsi="Bookman Old Style" w:cs="Times New Roman"/>
          <w:b/>
          <w:bCs/>
          <w:sz w:val="19"/>
          <w:szCs w:val="19"/>
          <w:u w:val="single"/>
        </w:rPr>
        <w:t>dez minutos</w:t>
      </w:r>
      <w:r>
        <w:rPr>
          <w:rFonts w:ascii="Bookman Old Style" w:eastAsia="Calibri" w:hAnsi="Bookman Old Style" w:cs="Times New Roman"/>
          <w:bCs/>
          <w:sz w:val="19"/>
          <w:szCs w:val="19"/>
        </w:rPr>
        <w:t xml:space="preserve">, a sessão pública será suspensa e reiniciada somente após decorridas </w:t>
      </w:r>
      <w:r>
        <w:rPr>
          <w:rFonts w:ascii="Bookman Old Style" w:eastAsia="Calibri" w:hAnsi="Bookman Old Style" w:cs="Times New Roman"/>
          <w:b/>
          <w:bCs/>
          <w:sz w:val="19"/>
          <w:szCs w:val="19"/>
          <w:u w:val="single"/>
        </w:rPr>
        <w:t>vinte e quatro horas</w:t>
      </w:r>
      <w:r>
        <w:rPr>
          <w:rFonts w:ascii="Bookman Old Style" w:eastAsia="Calibri" w:hAnsi="Bookman Old Style" w:cs="Times New Roman"/>
          <w:bCs/>
          <w:sz w:val="19"/>
          <w:szCs w:val="19"/>
        </w:rPr>
        <w:t xml:space="preserve"> da comunicação do fato pelo Pregoeiro aos participantes, no sítio eletrônico utilizado para divulgação.</w:t>
      </w:r>
    </w:p>
    <w:p w14:paraId="4F1F966F"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9DB0E6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10.21.</w:t>
      </w:r>
      <w:r>
        <w:rPr>
          <w:rFonts w:ascii="Bookman Old Style" w:eastAsia="Calibri" w:hAnsi="Bookman Old Style" w:cs="Times New Roman"/>
          <w:bCs/>
          <w:sz w:val="19"/>
          <w:szCs w:val="19"/>
        </w:rPr>
        <w:t xml:space="preserve"> Caso o licitante não apresente lances, concorrerá com o valor de sua proposta.</w:t>
      </w:r>
    </w:p>
    <w:p w14:paraId="33C40C03"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30DA85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w:t>
      </w:r>
      <w:r>
        <w:rPr>
          <w:rFonts w:ascii="Bookman Old Style" w:eastAsia="Calibri" w:hAnsi="Bookman Old Style" w:cs="Times New Roman"/>
          <w:bCs/>
          <w:sz w:val="19"/>
          <w:szCs w:val="19"/>
        </w:rPr>
        <w:t xml:space="preserve"> Em relação a itens não exclusivos, quando for o caso,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w:t>
      </w:r>
      <w:r>
        <w:rPr>
          <w:rFonts w:ascii="Bookman Old Style" w:eastAsia="Calibri" w:hAnsi="Bookman Old Style" w:cs="Times New Roman"/>
          <w:bCs/>
          <w:sz w:val="19"/>
          <w:szCs w:val="19"/>
        </w:rPr>
        <w:lastRenderedPageBreak/>
        <w:t xml:space="preserve">das demais classificadas, para o fim de aplicar-se o disposto nos arts. 44 e 45 da Lei Complementar nº 123, de 2006. </w:t>
      </w:r>
    </w:p>
    <w:p w14:paraId="3DFF852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EA4969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10.22.1.</w:t>
      </w:r>
      <w:r>
        <w:rPr>
          <w:rFonts w:ascii="Bookman Old Style" w:eastAsia="Calibri" w:hAnsi="Bookman Old Style" w:cs="Times New Roman"/>
          <w:bCs/>
          <w:sz w:val="19"/>
          <w:szCs w:val="19"/>
        </w:rPr>
        <w:t xml:space="preserve"> Nessas condições, as propostas de microempresas e empresas de pequeno porte que se encontrarem na faixa de até 5% (cinco por cento) acima da melhor proposta ou melhor lance serão consideradas empatadas com a primeira colocada. </w:t>
      </w:r>
    </w:p>
    <w:p w14:paraId="5B330DA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10.22.2.</w:t>
      </w:r>
      <w:r>
        <w:rPr>
          <w:rFonts w:ascii="Bookman Old Style" w:eastAsia="Calibri" w:hAnsi="Bookman Old Style" w:cs="Times New Roman"/>
          <w:bCs/>
          <w:sz w:val="19"/>
          <w:szCs w:val="19"/>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09EB85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10.22.3.</w:t>
      </w:r>
      <w:r>
        <w:rPr>
          <w:rFonts w:ascii="Bookman Old Style" w:eastAsia="Calibri" w:hAnsi="Bookman Old Style" w:cs="Times New Roman"/>
          <w:bCs/>
          <w:sz w:val="19"/>
          <w:szCs w:val="19"/>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7413068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10.22.4.</w:t>
      </w:r>
      <w:r>
        <w:rPr>
          <w:rFonts w:ascii="Bookman Old Style" w:eastAsia="Calibri" w:hAnsi="Bookman Old Style" w:cs="Times New Roman"/>
          <w:bCs/>
          <w:sz w:val="19"/>
          <w:szCs w:val="19"/>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18EE1481"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09559D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w:t>
      </w:r>
      <w:r>
        <w:rPr>
          <w:rFonts w:ascii="Bookman Old Style" w:eastAsia="Calibri" w:hAnsi="Bookman Old Style" w:cs="Times New Roman"/>
          <w:bCs/>
          <w:sz w:val="19"/>
          <w:szCs w:val="19"/>
        </w:rPr>
        <w:t xml:space="preserve"> 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 </w:t>
      </w:r>
    </w:p>
    <w:p w14:paraId="7CA3DFFF"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5D52C8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10.23.1.</w:t>
      </w:r>
      <w:r>
        <w:rPr>
          <w:rFonts w:ascii="Bookman Old Style" w:eastAsia="Calibri" w:hAnsi="Bookman Old Style" w:cs="Times New Roman"/>
          <w:bCs/>
          <w:sz w:val="19"/>
          <w:szCs w:val="19"/>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E19216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10.23.2.</w:t>
      </w:r>
      <w:r>
        <w:rPr>
          <w:rFonts w:ascii="Bookman Old Style" w:eastAsia="Calibri" w:hAnsi="Bookman Old Style" w:cs="Times New Roman"/>
          <w:bCs/>
          <w:sz w:val="19"/>
          <w:szCs w:val="19"/>
        </w:rPr>
        <w:t xml:space="preserve"> A negociação será realizada por meio do sistema, podendo ser acompanhada pelos demais licitantes. </w:t>
      </w:r>
    </w:p>
    <w:p w14:paraId="35239D1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10.23.3.</w:t>
      </w:r>
      <w:r>
        <w:rPr>
          <w:rFonts w:ascii="Bookman Old Style" w:eastAsia="Calibri" w:hAnsi="Bookman Old Style" w:cs="Times New Roman"/>
          <w:bCs/>
          <w:sz w:val="19"/>
          <w:szCs w:val="19"/>
        </w:rPr>
        <w:t xml:space="preserve"> O resultado da negociação será divulgado a todos os licitantes e anexado aos autos do processo licitatório. </w:t>
      </w:r>
    </w:p>
    <w:p w14:paraId="324EADC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10.23.4.</w:t>
      </w:r>
      <w:r>
        <w:rPr>
          <w:rFonts w:ascii="Bookman Old Style" w:eastAsia="Calibri" w:hAnsi="Bookman Old Style" w:cs="Times New Roman"/>
          <w:bCs/>
          <w:sz w:val="19"/>
          <w:szCs w:val="19"/>
        </w:rPr>
        <w:t xml:space="preserve"> O (a) pregoeiro (a)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0F6CD7F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10.23.5.</w:t>
      </w:r>
      <w:r>
        <w:rPr>
          <w:rFonts w:ascii="Bookman Old Style" w:eastAsia="Calibri" w:hAnsi="Bookman Old Style" w:cs="Times New Roman"/>
          <w:bCs/>
          <w:sz w:val="19"/>
          <w:szCs w:val="19"/>
        </w:rPr>
        <w:t xml:space="preserve"> É facultado ao (à) pregoeiro (a) prorrogar o prazo estabelecido, a partir de solicitação fundamentada feita no chat pelo licitante, antes de findo o prazo. </w:t>
      </w:r>
    </w:p>
    <w:p w14:paraId="5DA645E5"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ED4453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10.24.</w:t>
      </w:r>
      <w:r>
        <w:rPr>
          <w:rFonts w:ascii="Bookman Old Style" w:eastAsia="Calibri" w:hAnsi="Bookman Old Style" w:cs="Times New Roman"/>
          <w:bCs/>
          <w:sz w:val="19"/>
          <w:szCs w:val="19"/>
        </w:rPr>
        <w:t xml:space="preserve"> Após a negociação do preço, o (a) Pregoeiro (a) iniciará a fase de aceitação e julgamento da proposta. </w:t>
      </w:r>
    </w:p>
    <w:p w14:paraId="407160AC"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89677B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10.25.</w:t>
      </w:r>
      <w:r>
        <w:rPr>
          <w:rFonts w:ascii="Bookman Old Style" w:eastAsia="Calibri" w:hAnsi="Bookman Old Style" w:cs="Times New Roman"/>
          <w:bCs/>
          <w:sz w:val="19"/>
          <w:szCs w:val="19"/>
        </w:rPr>
        <w:t xml:space="preserve"> Encerrada a etapa de negociação, o (a) pregoeiro (a) verificará se o licitante provisoriamente classificado em primeiro lugar atende às condições de participação no certame, conforme previsto no edital. </w:t>
      </w:r>
    </w:p>
    <w:p w14:paraId="1F7B30B3"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408039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10.26.</w:t>
      </w:r>
      <w:r>
        <w:rPr>
          <w:rFonts w:ascii="Bookman Old Style" w:eastAsia="Calibri" w:hAnsi="Bookman Old Style" w:cs="Times New Roman"/>
          <w:bCs/>
          <w:sz w:val="19"/>
          <w:szCs w:val="19"/>
        </w:rPr>
        <w:t xml:space="preserve"> Caso atendidas as condições de participação, será iniciado o procedimento de habilitação. </w:t>
      </w:r>
    </w:p>
    <w:p w14:paraId="527F8DE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273B80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10.27.</w:t>
      </w:r>
      <w:r>
        <w:rPr>
          <w:rFonts w:ascii="Bookman Old Style" w:eastAsia="Calibri" w:hAnsi="Bookman Old Style" w:cs="Times New Roman"/>
          <w:bCs/>
          <w:sz w:val="19"/>
          <w:szCs w:val="19"/>
        </w:rPr>
        <w:t xml:space="preserve"> Caso o licitante provisoriamente classificado em primeiro lugar tenha se utilizado de algum tratamento favorecido às ME/EPPs, o (a) pregoeiro (a) verificará se faz jus ao benefício. </w:t>
      </w:r>
    </w:p>
    <w:p w14:paraId="2C67A79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F95AE9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10.28.</w:t>
      </w:r>
      <w:r>
        <w:rPr>
          <w:rFonts w:ascii="Bookman Old Style" w:eastAsia="Calibri" w:hAnsi="Bookman Old Style" w:cs="Times New Roman"/>
          <w:bCs/>
          <w:sz w:val="19"/>
          <w:szCs w:val="19"/>
        </w:rPr>
        <w:t xml:space="preserve"> 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 </w:t>
      </w:r>
    </w:p>
    <w:p w14:paraId="4C57BA0F"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C89BE2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10.29.</w:t>
      </w:r>
      <w:r>
        <w:rPr>
          <w:rFonts w:ascii="Bookman Old Style" w:eastAsia="Calibri" w:hAnsi="Bookman Old Style" w:cs="Times New Roman"/>
          <w:bCs/>
          <w:sz w:val="19"/>
          <w:szCs w:val="19"/>
        </w:rPr>
        <w:t xml:space="preserve"> Será desclassificada a proposta vencedora que: </w:t>
      </w:r>
    </w:p>
    <w:p w14:paraId="2B5166F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contiver vícios insanáveis; </w:t>
      </w:r>
    </w:p>
    <w:p w14:paraId="6CE7E86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b)</w:t>
      </w:r>
      <w:r>
        <w:rPr>
          <w:rFonts w:ascii="Bookman Old Style" w:eastAsia="Calibri" w:hAnsi="Bookman Old Style" w:cs="Times New Roman"/>
          <w:bCs/>
          <w:sz w:val="19"/>
          <w:szCs w:val="19"/>
        </w:rPr>
        <w:t xml:space="preserve"> não obedecerem às especificações técnicas pormenorizadas no edital; </w:t>
      </w:r>
    </w:p>
    <w:p w14:paraId="17CC572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c)</w:t>
      </w:r>
      <w:r>
        <w:rPr>
          <w:rFonts w:ascii="Bookman Old Style" w:eastAsia="Calibri" w:hAnsi="Bookman Old Style" w:cs="Times New Roman"/>
          <w:bCs/>
          <w:sz w:val="19"/>
          <w:szCs w:val="19"/>
        </w:rPr>
        <w:t xml:space="preserve"> apresentarem preços inexequíveis ou permanecerem acima do orçamento estimado para a contratação; </w:t>
      </w:r>
    </w:p>
    <w:p w14:paraId="1537ED1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d)</w:t>
      </w:r>
      <w:r>
        <w:rPr>
          <w:rFonts w:ascii="Bookman Old Style" w:eastAsia="Calibri" w:hAnsi="Bookman Old Style" w:cs="Times New Roman"/>
          <w:bCs/>
          <w:sz w:val="19"/>
          <w:szCs w:val="19"/>
        </w:rPr>
        <w:t xml:space="preserve"> não tiverem sua exequibilidade demonstrada, quando exigido pela Administração; </w:t>
      </w:r>
    </w:p>
    <w:p w14:paraId="1D8FBCF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e)</w:t>
      </w:r>
      <w:r>
        <w:rPr>
          <w:rFonts w:ascii="Bookman Old Style" w:eastAsia="Calibri" w:hAnsi="Bookman Old Style" w:cs="Times New Roman"/>
          <w:bCs/>
          <w:sz w:val="19"/>
          <w:szCs w:val="19"/>
        </w:rPr>
        <w:t xml:space="preserve"> apresentar desconformidade com quaisquer outras exigências deste Edital ou seus anexos, desde que insanável. </w:t>
      </w:r>
    </w:p>
    <w:p w14:paraId="2E500966"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F85491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10.30.</w:t>
      </w:r>
      <w:r>
        <w:rPr>
          <w:rFonts w:ascii="Bookman Old Style" w:eastAsia="Calibri" w:hAnsi="Bookman Old Style" w:cs="Times New Roman"/>
          <w:bCs/>
          <w:sz w:val="19"/>
          <w:szCs w:val="19"/>
        </w:rPr>
        <w:t xml:space="preserve"> Se houver indícios de inexequibilidade da proposta de preço, ou em caso da necessidade de esclarecimentos complementares, poderão ser efetuadas diligências, para que a empresa comprove a exequibilidade da proposta. </w:t>
      </w:r>
    </w:p>
    <w:p w14:paraId="47522304" w14:textId="77777777" w:rsidR="00380AFB" w:rsidRDefault="00380AFB">
      <w:pPr>
        <w:spacing w:line="276" w:lineRule="auto"/>
        <w:contextualSpacing/>
        <w:jc w:val="both"/>
        <w:rPr>
          <w:rFonts w:ascii="Bookman Old Style" w:eastAsia="Calibri" w:hAnsi="Bookman Old Style" w:cs="Times New Roman"/>
          <w:b/>
          <w:bCs/>
          <w:color w:val="000000" w:themeColor="text1"/>
          <w:sz w:val="19"/>
          <w:szCs w:val="19"/>
        </w:rPr>
      </w:pPr>
    </w:p>
    <w:p w14:paraId="35162F9D" w14:textId="77777777" w:rsidR="00380AFB" w:rsidRDefault="00000000">
      <w:pPr>
        <w:spacing w:line="276" w:lineRule="auto"/>
        <w:contextualSpacing/>
        <w:jc w:val="both"/>
        <w:rPr>
          <w:rFonts w:ascii="Bookman Old Style" w:eastAsia="Calibri" w:hAnsi="Bookman Old Style" w:cs="Times New Roman"/>
          <w:bCs/>
          <w:color w:val="000000" w:themeColor="text1"/>
          <w:sz w:val="19"/>
          <w:szCs w:val="19"/>
        </w:rPr>
      </w:pPr>
      <w:r>
        <w:rPr>
          <w:rFonts w:ascii="Bookman Old Style" w:eastAsia="Calibri" w:hAnsi="Bookman Old Style" w:cs="Times New Roman"/>
          <w:b/>
          <w:bCs/>
          <w:color w:val="000000" w:themeColor="text1"/>
          <w:sz w:val="19"/>
          <w:szCs w:val="19"/>
        </w:rPr>
        <w:t>10.31.</w:t>
      </w:r>
      <w:r>
        <w:rPr>
          <w:rFonts w:ascii="Bookman Old Style" w:eastAsia="Calibri" w:hAnsi="Bookman Old Style" w:cs="Times New Roman"/>
          <w:bCs/>
          <w:color w:val="000000" w:themeColor="text1"/>
          <w:sz w:val="19"/>
          <w:szCs w:val="19"/>
        </w:rPr>
        <w:t xml:space="preserve">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2F2D67BD"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BF17EF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10.32.</w:t>
      </w:r>
      <w:r>
        <w:rPr>
          <w:rFonts w:ascii="Bookman Old Style" w:eastAsia="Calibri" w:hAnsi="Bookman Old Style" w:cs="Times New Roman"/>
          <w:bCs/>
          <w:sz w:val="19"/>
          <w:szCs w:val="19"/>
        </w:rPr>
        <w:t xml:space="preserve"> Erros no preenchimento da planilha </w:t>
      </w:r>
      <w:r>
        <w:rPr>
          <w:rFonts w:ascii="Bookman Old Style" w:eastAsia="Calibri" w:hAnsi="Bookman Old Style" w:cs="Times New Roman"/>
          <w:b/>
          <w:bCs/>
          <w:sz w:val="19"/>
          <w:szCs w:val="19"/>
          <w:u w:val="single"/>
        </w:rPr>
        <w:t>não constituem motivo para a desclassificação da proposta.</w:t>
      </w:r>
      <w:r>
        <w:rPr>
          <w:rFonts w:ascii="Bookman Old Style" w:eastAsia="Calibri" w:hAnsi="Bookman Old Style" w:cs="Times New Roman"/>
          <w:bCs/>
          <w:sz w:val="19"/>
          <w:szCs w:val="19"/>
        </w:rPr>
        <w:t xml:space="preserve"> A planilha poderá ser ajustada pelo fornecedor, no prazo indicado pelo sistema, desde que não haja majoração do preço e que se comprove que este é o bastante para arcar com todos os custos da contratação; </w:t>
      </w:r>
    </w:p>
    <w:p w14:paraId="7AA1E575"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FECBE3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10.32.1.</w:t>
      </w:r>
      <w:r>
        <w:rPr>
          <w:rFonts w:ascii="Bookman Old Style" w:eastAsia="Calibri" w:hAnsi="Bookman Old Style" w:cs="Times New Roman"/>
          <w:bCs/>
          <w:sz w:val="19"/>
          <w:szCs w:val="19"/>
        </w:rPr>
        <w:t xml:space="preserve"> O ajuste de que trata este dispositivo se limita a sanar erros ou falhas que não alterem a substância das propostas; </w:t>
      </w:r>
    </w:p>
    <w:p w14:paraId="28499EB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10.32.2.</w:t>
      </w:r>
      <w:r>
        <w:rPr>
          <w:rFonts w:ascii="Bookman Old Style" w:eastAsia="Calibri" w:hAnsi="Bookman Old Style" w:cs="Times New Roman"/>
          <w:bCs/>
          <w:sz w:val="19"/>
          <w:szCs w:val="19"/>
        </w:rPr>
        <w:t xml:space="preserve"> Considera-se erro no preenchimento da planilha passível de correção a indicação de recolhimento de impostos e contribuições na forma do Simples Nacional, quando não cabível esse regime. </w:t>
      </w:r>
    </w:p>
    <w:p w14:paraId="2B5BAE4D"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73A7A3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10.33.</w:t>
      </w:r>
      <w:r>
        <w:rPr>
          <w:rFonts w:ascii="Bookman Old Style" w:eastAsia="Calibri" w:hAnsi="Bookman Old Style" w:cs="Times New Roman"/>
          <w:bCs/>
          <w:sz w:val="19"/>
          <w:szCs w:val="19"/>
        </w:rPr>
        <w:t xml:space="preserve"> Para fins de análise da proposta quanto ao cumprimento das especificações do objeto, poderá ser colhida a manifestação escrita do setor requisitante ou da área especializada no objeto. </w:t>
      </w:r>
    </w:p>
    <w:p w14:paraId="196E88D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083535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10.34.</w:t>
      </w:r>
      <w:r>
        <w:rPr>
          <w:rFonts w:ascii="Bookman Old Style" w:eastAsia="Calibri" w:hAnsi="Bookman Old Style" w:cs="Times New Roman"/>
          <w:bCs/>
          <w:sz w:val="19"/>
          <w:szCs w:val="19"/>
        </w:rPr>
        <w:t xml:space="preserve"> O sistema gerará ata circunstanciada da sessão, na qual estarão registrados todos os atos do procedimento e as ocorrências relevantes, ficando a mesma disponível para consulta no site </w:t>
      </w:r>
      <w:hyperlink r:id="rId20" w:history="1">
        <w:r w:rsidR="00380AFB">
          <w:rPr>
            <w:rStyle w:val="Hyperlink"/>
            <w:rFonts w:ascii="Bookman Old Style" w:hAnsi="Bookman Old Style" w:cs="Times New Roman"/>
            <w:sz w:val="19"/>
            <w:szCs w:val="19"/>
          </w:rPr>
          <w:t>https://licitar.digital/</w:t>
        </w:r>
      </w:hyperlink>
      <w:r>
        <w:rPr>
          <w:rFonts w:ascii="Bookman Old Style" w:hAnsi="Bookman Old Style" w:cs="Times New Roman"/>
          <w:sz w:val="19"/>
          <w:szCs w:val="19"/>
        </w:rPr>
        <w:t>.</w:t>
      </w:r>
      <w:r>
        <w:rPr>
          <w:rFonts w:ascii="Bookman Old Style" w:eastAsia="Calibri" w:hAnsi="Bookman Old Style" w:cs="Times New Roman"/>
          <w:bCs/>
          <w:color w:val="FF0000"/>
          <w:sz w:val="19"/>
          <w:szCs w:val="19"/>
        </w:rPr>
        <w:t xml:space="preserve"> </w:t>
      </w:r>
    </w:p>
    <w:p w14:paraId="0920871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10.34.1.</w:t>
      </w:r>
      <w:r>
        <w:rPr>
          <w:rFonts w:ascii="Bookman Old Style" w:eastAsia="Calibri" w:hAnsi="Bookman Old Style" w:cs="Times New Roman"/>
          <w:bCs/>
          <w:sz w:val="19"/>
          <w:szCs w:val="19"/>
        </w:rPr>
        <w:t xml:space="preserve"> Quando necessário, o (a) Pregoeiro (a) e a Equipe de Apoio poderão complementar as informações da ata gerada pelo sistema de licitações. </w:t>
      </w:r>
    </w:p>
    <w:p w14:paraId="3FEB8BC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A5ED00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10.35.</w:t>
      </w:r>
      <w:r>
        <w:rPr>
          <w:rFonts w:ascii="Bookman Old Style" w:eastAsia="Calibri" w:hAnsi="Bookman Old Style" w:cs="Times New Roman"/>
          <w:bCs/>
          <w:sz w:val="19"/>
          <w:szCs w:val="19"/>
        </w:rPr>
        <w:t xml:space="preserve"> Caberá ao licitante acompanhar as operações no sistema eletrônico, ficando responsável pelo ônus decorrente da perda de negócios diante da não observância de quaisquer mensagens emitidas pelo sistema ou de sua desconexão.</w:t>
      </w:r>
    </w:p>
    <w:p w14:paraId="32604C61"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335EEDEB"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5BDA318D"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11. RECURSO ADMINISTRATIVO:</w:t>
      </w:r>
    </w:p>
    <w:p w14:paraId="5CABDE9D" w14:textId="77777777" w:rsidR="00380AFB" w:rsidRDefault="00380AFB">
      <w:pPr>
        <w:spacing w:line="276" w:lineRule="auto"/>
        <w:contextualSpacing/>
        <w:jc w:val="both"/>
        <w:rPr>
          <w:rFonts w:ascii="Bookman Old Style" w:eastAsia="Calibri" w:hAnsi="Bookman Old Style" w:cs="Times New Roman"/>
          <w:b/>
          <w:bCs/>
          <w:sz w:val="19"/>
          <w:szCs w:val="19"/>
        </w:rPr>
      </w:pPr>
    </w:p>
    <w:p w14:paraId="4888188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11.1.</w:t>
      </w:r>
      <w:r>
        <w:rPr>
          <w:rFonts w:ascii="Bookman Old Style" w:eastAsia="Calibri" w:hAnsi="Bookman Old Style" w:cs="Times New Roman"/>
          <w:bCs/>
          <w:sz w:val="19"/>
          <w:szCs w:val="19"/>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 </w:t>
      </w:r>
    </w:p>
    <w:p w14:paraId="2822F28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FBEF0F2" w14:textId="77777777" w:rsidR="00380AFB" w:rsidRDefault="00000000">
      <w:pPr>
        <w:spacing w:line="276" w:lineRule="auto"/>
        <w:contextualSpacing/>
        <w:jc w:val="both"/>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rPr>
        <w:t>11.1.1.</w:t>
      </w:r>
      <w:r>
        <w:rPr>
          <w:rFonts w:ascii="Bookman Old Style" w:eastAsia="Calibri" w:hAnsi="Bookman Old Style" w:cs="Times New Roman"/>
          <w:bCs/>
          <w:sz w:val="19"/>
          <w:szCs w:val="19"/>
        </w:rPr>
        <w:t xml:space="preserve"> O prazo para a manifestação da intenção de recorrer não será inferior a </w:t>
      </w:r>
      <w:r>
        <w:rPr>
          <w:rFonts w:ascii="Bookman Old Style" w:eastAsia="Calibri" w:hAnsi="Bookman Old Style" w:cs="Times New Roman"/>
          <w:b/>
          <w:bCs/>
          <w:sz w:val="19"/>
          <w:szCs w:val="19"/>
          <w:u w:val="single"/>
        </w:rPr>
        <w:t xml:space="preserve">30 (trinta) minutos. </w:t>
      </w:r>
    </w:p>
    <w:p w14:paraId="3B2E4DD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11.1.2.</w:t>
      </w:r>
      <w:r>
        <w:rPr>
          <w:rFonts w:ascii="Bookman Old Style" w:eastAsia="Calibri" w:hAnsi="Bookman Old Style" w:cs="Times New Roman"/>
          <w:bCs/>
          <w:sz w:val="19"/>
          <w:szCs w:val="19"/>
        </w:rPr>
        <w:t xml:space="preserve"> O recurso terá efeito suspensivo do ato ou da decisão recorrida até que sobrevenha decisão final da autoridade competente. </w:t>
      </w:r>
    </w:p>
    <w:p w14:paraId="7A6C96A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11.1.3.</w:t>
      </w:r>
      <w:r>
        <w:rPr>
          <w:rFonts w:ascii="Bookman Old Style" w:eastAsia="Calibri" w:hAnsi="Bookman Old Style" w:cs="Times New Roman"/>
          <w:bCs/>
          <w:sz w:val="19"/>
          <w:szCs w:val="19"/>
        </w:rPr>
        <w:t xml:space="preserve"> O prazo para apresentação de contrarrazões será o mesmo do recurso e terá início na data de intimação pessoal ou de divulgação da interposição do recurso. </w:t>
      </w:r>
    </w:p>
    <w:p w14:paraId="32DC804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11.1.4.</w:t>
      </w:r>
      <w:r>
        <w:rPr>
          <w:rFonts w:ascii="Bookman Old Style" w:eastAsia="Calibri" w:hAnsi="Bookman Old Style" w:cs="Times New Roman"/>
          <w:bCs/>
          <w:sz w:val="19"/>
          <w:szCs w:val="19"/>
        </w:rPr>
        <w:t xml:space="preserve"> No prazo das razões e contrarrazões, fica assegurada vista dos autos por meio de solicitação ao (à) pregoeiro (a). </w:t>
      </w:r>
    </w:p>
    <w:p w14:paraId="5032D8B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11.1.5</w:t>
      </w:r>
      <w:r>
        <w:rPr>
          <w:rFonts w:ascii="Bookman Old Style" w:eastAsia="Calibri" w:hAnsi="Bookman Old Style" w:cs="Times New Roman"/>
          <w:bCs/>
          <w:sz w:val="19"/>
          <w:szCs w:val="19"/>
        </w:rPr>
        <w:t xml:space="preserve">. A falta de manifestação imediata e motivada do licitante importará a decadência do direito de recurso. </w:t>
      </w:r>
    </w:p>
    <w:p w14:paraId="49B1076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774C35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w:t>
      </w:r>
      <w:r>
        <w:rPr>
          <w:rFonts w:ascii="Bookman Old Style" w:eastAsia="Calibri" w:hAnsi="Bookman Old Style" w:cs="Times New Roman"/>
          <w:bCs/>
          <w:sz w:val="19"/>
          <w:szCs w:val="19"/>
        </w:rPr>
        <w:t xml:space="preserve"> As razões e respectivas contrarrazões deverão obedecer aos seguintes requisitos, sob pena de não serem conhecidas: </w:t>
      </w:r>
    </w:p>
    <w:p w14:paraId="4577D0A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08C78E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11.2.1.</w:t>
      </w:r>
      <w:r>
        <w:rPr>
          <w:rFonts w:ascii="Bookman Old Style" w:eastAsia="Calibri" w:hAnsi="Bookman Old Style" w:cs="Times New Roman"/>
          <w:bCs/>
          <w:sz w:val="19"/>
          <w:szCs w:val="19"/>
        </w:rPr>
        <w:t xml:space="preserve"> Ser dirigidas a autoridade competente, aos cuidados do (a) Pregoeiro (a); </w:t>
      </w:r>
    </w:p>
    <w:p w14:paraId="4806EE6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11.2.2.</w:t>
      </w:r>
      <w:r>
        <w:rPr>
          <w:rFonts w:ascii="Bookman Old Style" w:eastAsia="Calibri" w:hAnsi="Bookman Old Style" w:cs="Times New Roman"/>
          <w:bCs/>
          <w:sz w:val="19"/>
          <w:szCs w:val="19"/>
        </w:rPr>
        <w:t xml:space="preserve"> Ser assinadas pelo representante legal ou pelo representante do licitante no pregão; caso assinada por representante diferente, deverá ser enviado para o e-mail </w:t>
      </w:r>
      <w:hyperlink r:id="rId21" w:history="1">
        <w:r w:rsidR="00380AFB">
          <w:rPr>
            <w:rStyle w:val="Hyperlink"/>
            <w:rFonts w:ascii="Bookman Old Style" w:eastAsia="Calibri" w:hAnsi="Bookman Old Style" w:cs="Times New Roman"/>
            <w:bCs/>
            <w:sz w:val="19"/>
            <w:szCs w:val="19"/>
          </w:rPr>
          <w:t>licitacao@maravilhas.g.gov.br</w:t>
        </w:r>
      </w:hyperlink>
      <w:r>
        <w:rPr>
          <w:rFonts w:ascii="Bookman Old Style" w:eastAsia="Calibri" w:hAnsi="Bookman Old Style" w:cs="Times New Roman"/>
          <w:bCs/>
          <w:color w:val="FF0000"/>
          <w:sz w:val="19"/>
          <w:szCs w:val="19"/>
        </w:rPr>
        <w:t xml:space="preserve"> </w:t>
      </w:r>
      <w:r>
        <w:rPr>
          <w:rFonts w:ascii="Bookman Old Style" w:eastAsia="Calibri" w:hAnsi="Bookman Old Style" w:cs="Times New Roman"/>
          <w:bCs/>
          <w:sz w:val="19"/>
          <w:szCs w:val="19"/>
        </w:rPr>
        <w:t xml:space="preserve">comprovante de seu poder de representação (documento de procuração e de identidade). </w:t>
      </w:r>
    </w:p>
    <w:p w14:paraId="4CF530B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11.2.3.</w:t>
      </w:r>
      <w:r>
        <w:rPr>
          <w:rFonts w:ascii="Bookman Old Style" w:eastAsia="Calibri" w:hAnsi="Bookman Old Style" w:cs="Times New Roman"/>
          <w:bCs/>
          <w:sz w:val="19"/>
          <w:szCs w:val="19"/>
        </w:rPr>
        <w:t xml:space="preserve"> Ser encaminhadas exclusivamente pelo Portal, em campo específico. </w:t>
      </w:r>
    </w:p>
    <w:p w14:paraId="755A14D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BDEB02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11.2.3.1.</w:t>
      </w:r>
      <w:r>
        <w:rPr>
          <w:rFonts w:ascii="Bookman Old Style" w:eastAsia="Calibri" w:hAnsi="Bookman Old Style" w:cs="Times New Roman"/>
          <w:bCs/>
          <w:sz w:val="19"/>
          <w:szCs w:val="19"/>
        </w:rPr>
        <w:t xml:space="preserve"> </w:t>
      </w:r>
      <w:r>
        <w:rPr>
          <w:rFonts w:ascii="Bookman Old Style" w:eastAsia="Calibri" w:hAnsi="Bookman Old Style" w:cs="Times New Roman"/>
          <w:b/>
          <w:bCs/>
          <w:sz w:val="19"/>
          <w:szCs w:val="19"/>
          <w:u w:val="single"/>
        </w:rPr>
        <w:t>Excepcionalmente,</w:t>
      </w:r>
      <w:r>
        <w:rPr>
          <w:rFonts w:ascii="Bookman Old Style" w:eastAsia="Calibri" w:hAnsi="Bookman Old Style" w:cs="Times New Roman"/>
          <w:bCs/>
          <w:sz w:val="19"/>
          <w:szCs w:val="19"/>
        </w:rPr>
        <w:t xml:space="preserve"> mediante motivação a ser apreciada pelo (a) pregoeiro (a), as petições ser encaminhadas para o endereço eletrônico </w:t>
      </w:r>
      <w:hyperlink r:id="rId22" w:history="1">
        <w:r w:rsidR="00380AFB">
          <w:rPr>
            <w:rStyle w:val="Hyperlink"/>
            <w:rFonts w:ascii="Bookman Old Style" w:hAnsi="Bookman Old Style" w:cs="Times New Roman"/>
            <w:sz w:val="19"/>
            <w:szCs w:val="19"/>
          </w:rPr>
          <w:t>https://licitar.digital/</w:t>
        </w:r>
      </w:hyperlink>
      <w:r>
        <w:rPr>
          <w:rFonts w:ascii="Bookman Old Style" w:eastAsia="Calibri" w:hAnsi="Bookman Old Style" w:cs="Times New Roman"/>
          <w:bCs/>
          <w:sz w:val="19"/>
          <w:szCs w:val="19"/>
        </w:rPr>
        <w:t>, com assinatura digital, ou ser protocolizadas na sede do Município, no endereço à fl. 01, assinadas pelo representante legal ou credenciado do licitante, acompanhadas de cópia do documento de identificação e CPF do signatário e comprovante do poder de representação.</w:t>
      </w:r>
    </w:p>
    <w:p w14:paraId="4918DAF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994961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11.3.</w:t>
      </w:r>
      <w:r>
        <w:rPr>
          <w:rFonts w:ascii="Bookman Old Style" w:eastAsia="Calibri" w:hAnsi="Bookman Old Style" w:cs="Times New Roman"/>
          <w:bCs/>
          <w:sz w:val="19"/>
          <w:szCs w:val="19"/>
        </w:rPr>
        <w:t xml:space="preserve"> O Pregoeiro não se responsabilizará por razões ou contrarrazões endereçadas por outras formas ou a outros endereços eletrônicos, e que, por isso, sejam intempestivas ou não sejam recebidas. </w:t>
      </w:r>
    </w:p>
    <w:p w14:paraId="344F975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C6E0FB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11.4.</w:t>
      </w:r>
      <w:r>
        <w:rPr>
          <w:rFonts w:ascii="Bookman Old Style" w:eastAsia="Calibri" w:hAnsi="Bookman Old Style" w:cs="Times New Roman"/>
          <w:bCs/>
          <w:sz w:val="19"/>
          <w:szCs w:val="19"/>
        </w:rPr>
        <w:t xml:space="preserve"> O acolhimento do recurso importará a invalidação apenas dos atos insuscetíveis de aproveitamento. </w:t>
      </w:r>
    </w:p>
    <w:p w14:paraId="555EC0C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F1609D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11.5.</w:t>
      </w:r>
      <w:r>
        <w:rPr>
          <w:rFonts w:ascii="Bookman Old Style" w:eastAsia="Calibri" w:hAnsi="Bookman Old Style" w:cs="Times New Roman"/>
          <w:bCs/>
          <w:sz w:val="19"/>
          <w:szCs w:val="19"/>
        </w:rPr>
        <w:t xml:space="preserve"> O Pregoeiro poderá reconsiderar o ato ou a decisão no prazo de 3 (três) dias úteis, do contrário encaminhará o recurso com a sua motivação à autoridade superior, a qual deverá proferir sua decisão no prazo máximo de 10 (dez) dias úteis, contado do recebimento dos autos. </w:t>
      </w:r>
    </w:p>
    <w:p w14:paraId="7B83CFB2"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AC3DD0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11.6.</w:t>
      </w:r>
      <w:r>
        <w:rPr>
          <w:rFonts w:ascii="Bookman Old Style" w:eastAsia="Calibri" w:hAnsi="Bookman Old Style" w:cs="Times New Roman"/>
          <w:bCs/>
          <w:sz w:val="19"/>
          <w:szCs w:val="19"/>
        </w:rPr>
        <w:t xml:space="preserve"> O acolhimento do recurso implicará invalidação apenas de ato insuscetível de aproveitamento. </w:t>
      </w:r>
    </w:p>
    <w:p w14:paraId="1702DE5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417603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11.7.</w:t>
      </w:r>
      <w:r>
        <w:rPr>
          <w:rFonts w:ascii="Bookman Old Style" w:eastAsia="Calibri" w:hAnsi="Bookman Old Style" w:cs="Times New Roman"/>
          <w:bCs/>
          <w:sz w:val="19"/>
          <w:szCs w:val="19"/>
        </w:rPr>
        <w:t xml:space="preserve"> A decisão relativa ao recurso será divulgada em sítio eletrônico oficial. </w:t>
      </w:r>
    </w:p>
    <w:p w14:paraId="6FD28D1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B7CBD1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11.8.</w:t>
      </w:r>
      <w:r>
        <w:rPr>
          <w:rFonts w:ascii="Bookman Old Style" w:eastAsia="Calibri" w:hAnsi="Bookman Old Style" w:cs="Times New Roman"/>
          <w:bCs/>
          <w:sz w:val="19"/>
          <w:szCs w:val="19"/>
        </w:rPr>
        <w:t xml:space="preserve"> Os recursos contra decisão de anulação ou revogação do certame devem ser dirigidos a autoridade superior, no prazo de 3 (três) dias úteis contados da intimação do ato, assinadas pelo representante legal ou credenciado do licitante, acompanhadas de cópia do documento de identificação e CPF do signatário e comprovante do poder de representação, enviados de forma </w:t>
      </w:r>
      <w:r>
        <w:rPr>
          <w:rFonts w:ascii="Bookman Old Style" w:eastAsia="Calibri" w:hAnsi="Bookman Old Style" w:cs="Times New Roman"/>
          <w:bCs/>
          <w:sz w:val="19"/>
          <w:szCs w:val="19"/>
        </w:rPr>
        <w:lastRenderedPageBreak/>
        <w:t xml:space="preserve">eletrônica para o e-mail </w:t>
      </w:r>
      <w:hyperlink r:id="rId23" w:history="1">
        <w:r w:rsidR="00380AFB">
          <w:rPr>
            <w:rStyle w:val="Hyperlink"/>
            <w:rFonts w:ascii="Bookman Old Style" w:eastAsia="Calibri" w:hAnsi="Bookman Old Style" w:cs="Times New Roman"/>
            <w:bCs/>
            <w:sz w:val="19"/>
            <w:szCs w:val="19"/>
          </w:rPr>
          <w:t>licitacao@maravilhas.mg.gov.br</w:t>
        </w:r>
      </w:hyperlink>
      <w:r>
        <w:rPr>
          <w:rFonts w:ascii="Bookman Old Style" w:eastAsia="Calibri" w:hAnsi="Bookman Old Style" w:cs="Times New Roman"/>
          <w:bCs/>
          <w:sz w:val="19"/>
          <w:szCs w:val="19"/>
        </w:rPr>
        <w:t>, ou entregues em mídia eletrônica (pendrive) ou física no endereço à fl. 01.</w:t>
      </w:r>
    </w:p>
    <w:p w14:paraId="7B702699"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1885C1C8"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5E67D56B"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12. DA ADJUDICAÇÃO E HOMOLOGAÇÃO:</w:t>
      </w:r>
    </w:p>
    <w:p w14:paraId="507359D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44968A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12.1.</w:t>
      </w:r>
      <w:r>
        <w:rPr>
          <w:rFonts w:ascii="Bookman Old Style" w:eastAsia="Calibri" w:hAnsi="Bookman Old Style" w:cs="Times New Roman"/>
          <w:bCs/>
          <w:sz w:val="19"/>
          <w:szCs w:val="19"/>
        </w:rPr>
        <w:t xml:space="preserve"> Inexistindo manifestação recursal, o (a) Pregoeiro (a) adjudicará o objeto ao licitante vencedor, competindo à autoridade competente homologar o procedimento licitatório. </w:t>
      </w:r>
    </w:p>
    <w:p w14:paraId="3F401A85"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94629F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12.2.</w:t>
      </w:r>
      <w:r>
        <w:rPr>
          <w:rFonts w:ascii="Bookman Old Style" w:eastAsia="Calibri" w:hAnsi="Bookman Old Style" w:cs="Times New Roman"/>
          <w:bCs/>
          <w:sz w:val="19"/>
          <w:szCs w:val="19"/>
        </w:rPr>
        <w:t xml:space="preserve"> Decididos os recursos porventura interpostos e constatada a regularidade dos atos procedimentais, a autoridade competente adjudicará o objeto ao licitante vencedor e homologará o procedimento licitatório.</w:t>
      </w:r>
    </w:p>
    <w:p w14:paraId="33C4FE23"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275665E6"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388FF296"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13. DA ATA DE REGISTRO DE PREÇOS – ARP</w:t>
      </w:r>
    </w:p>
    <w:p w14:paraId="055A29A8" w14:textId="77777777" w:rsidR="00380AFB" w:rsidRDefault="00380AFB">
      <w:pPr>
        <w:spacing w:line="276" w:lineRule="auto"/>
        <w:contextualSpacing/>
        <w:jc w:val="both"/>
        <w:rPr>
          <w:rFonts w:ascii="Bookman Old Style" w:hAnsi="Bookman Old Style" w:cs="Bookman Old Style"/>
          <w:b/>
          <w:bCs/>
          <w:color w:val="000000"/>
          <w:sz w:val="18"/>
          <w:szCs w:val="18"/>
        </w:rPr>
      </w:pPr>
    </w:p>
    <w:p w14:paraId="6EFCB83E" w14:textId="77777777" w:rsidR="00380AFB" w:rsidRDefault="00000000">
      <w:pPr>
        <w:spacing w:line="276" w:lineRule="auto"/>
        <w:contextualSpacing/>
        <w:jc w:val="both"/>
        <w:rPr>
          <w:rFonts w:ascii="Bookman Old Style" w:hAnsi="Bookman Old Style" w:cs="Bookman Old Style"/>
          <w:bCs/>
          <w:color w:val="000000"/>
          <w:sz w:val="19"/>
          <w:szCs w:val="19"/>
        </w:rPr>
      </w:pPr>
      <w:r>
        <w:rPr>
          <w:rFonts w:ascii="Bookman Old Style" w:hAnsi="Bookman Old Style" w:cs="Bookman Old Style"/>
          <w:b/>
          <w:bCs/>
          <w:color w:val="000000"/>
          <w:sz w:val="19"/>
          <w:szCs w:val="19"/>
        </w:rPr>
        <w:t>13.1.</w:t>
      </w:r>
      <w:r>
        <w:rPr>
          <w:rFonts w:ascii="Bookman Old Style" w:hAnsi="Bookman Old Style" w:cs="Bookman Old Style"/>
          <w:bCs/>
          <w:color w:val="000000"/>
          <w:sz w:val="19"/>
          <w:szCs w:val="19"/>
        </w:rPr>
        <w:t xml:space="preserve"> Homologado o resultado da licitação, o licitante mais bem classificado terá o prazo de 07 (sete) dias, contados a partir da data de sua convocação, para assinar a Ata de Registro de Preços, cujo prazo de validade encontra-se nela fixado, sob pena de decadência do direito à contratação, sem prejuízo das sanções previstas na Lei nº 14.133, de 2021. </w:t>
      </w:r>
    </w:p>
    <w:p w14:paraId="703514C9" w14:textId="77777777" w:rsidR="00380AFB" w:rsidRDefault="00380AFB">
      <w:pPr>
        <w:spacing w:line="276" w:lineRule="auto"/>
        <w:contextualSpacing/>
        <w:jc w:val="both"/>
        <w:rPr>
          <w:rFonts w:ascii="Bookman Old Style" w:hAnsi="Bookman Old Style" w:cs="Bookman Old Style"/>
          <w:bCs/>
          <w:color w:val="000000"/>
          <w:sz w:val="19"/>
          <w:szCs w:val="19"/>
        </w:rPr>
      </w:pPr>
    </w:p>
    <w:p w14:paraId="3F6B635F" w14:textId="77777777" w:rsidR="00380AFB" w:rsidRDefault="00000000">
      <w:pPr>
        <w:spacing w:line="276" w:lineRule="auto"/>
        <w:contextualSpacing/>
        <w:jc w:val="both"/>
        <w:rPr>
          <w:rFonts w:ascii="Bookman Old Style" w:hAnsi="Bookman Old Style" w:cs="Bookman Old Style"/>
          <w:bCs/>
          <w:color w:val="000000"/>
          <w:sz w:val="19"/>
          <w:szCs w:val="19"/>
        </w:rPr>
      </w:pPr>
      <w:r>
        <w:rPr>
          <w:rFonts w:ascii="Bookman Old Style" w:hAnsi="Bookman Old Style" w:cs="Bookman Old Style"/>
          <w:b/>
          <w:bCs/>
          <w:color w:val="000000"/>
          <w:sz w:val="19"/>
          <w:szCs w:val="19"/>
        </w:rPr>
        <w:t>13.2.</w:t>
      </w:r>
      <w:r>
        <w:rPr>
          <w:rFonts w:ascii="Bookman Old Style" w:hAnsi="Bookman Old Style" w:cs="Bookman Old Style"/>
          <w:bCs/>
          <w:color w:val="000000"/>
          <w:sz w:val="19"/>
          <w:szCs w:val="19"/>
        </w:rPr>
        <w:t xml:space="preserve"> O prazo de convocação poderá ser prorrogado uma vez, por igual período, mediante solicitação do licitante mais bem classificado ou do fornecedor convocado, desde que:</w:t>
      </w:r>
    </w:p>
    <w:p w14:paraId="15D01333" w14:textId="77777777" w:rsidR="00380AFB" w:rsidRDefault="00380AFB">
      <w:pPr>
        <w:spacing w:line="276" w:lineRule="auto"/>
        <w:contextualSpacing/>
        <w:jc w:val="both"/>
        <w:rPr>
          <w:rFonts w:ascii="Bookman Old Style" w:hAnsi="Bookman Old Style" w:cs="Bookman Old Style"/>
          <w:bCs/>
          <w:color w:val="000000"/>
          <w:sz w:val="19"/>
          <w:szCs w:val="19"/>
        </w:rPr>
      </w:pPr>
    </w:p>
    <w:p w14:paraId="6A7D3D47" w14:textId="77777777" w:rsidR="00380AFB" w:rsidRDefault="00000000">
      <w:pPr>
        <w:spacing w:line="276" w:lineRule="auto"/>
        <w:contextualSpacing/>
        <w:jc w:val="both"/>
        <w:rPr>
          <w:rFonts w:ascii="Bookman Old Style" w:hAnsi="Bookman Old Style" w:cs="Bookman Old Style"/>
          <w:bCs/>
          <w:color w:val="000000"/>
          <w:sz w:val="19"/>
          <w:szCs w:val="19"/>
        </w:rPr>
      </w:pPr>
      <w:r>
        <w:rPr>
          <w:rFonts w:ascii="Bookman Old Style" w:hAnsi="Bookman Old Style" w:cs="Bookman Old Style"/>
          <w:bCs/>
          <w:color w:val="000000"/>
          <w:sz w:val="19"/>
          <w:szCs w:val="19"/>
        </w:rPr>
        <w:t>(a) a solicitação seja devidamente justificada e apresentada dentro do prazo; e</w:t>
      </w:r>
    </w:p>
    <w:p w14:paraId="61A4BE02" w14:textId="77777777" w:rsidR="00380AFB" w:rsidRDefault="00000000">
      <w:pPr>
        <w:spacing w:line="276" w:lineRule="auto"/>
        <w:contextualSpacing/>
        <w:jc w:val="both"/>
        <w:rPr>
          <w:rFonts w:ascii="Bookman Old Style" w:hAnsi="Bookman Old Style" w:cs="Bookman Old Style"/>
          <w:bCs/>
          <w:color w:val="000000"/>
          <w:sz w:val="19"/>
          <w:szCs w:val="19"/>
        </w:rPr>
      </w:pPr>
      <w:r>
        <w:rPr>
          <w:rFonts w:ascii="Bookman Old Style" w:hAnsi="Bookman Old Style" w:cs="Bookman Old Style"/>
          <w:bCs/>
          <w:color w:val="000000"/>
          <w:sz w:val="19"/>
          <w:szCs w:val="19"/>
        </w:rPr>
        <w:t>(b) a justificativa apresentada seja aceita pela Administração.</w:t>
      </w:r>
    </w:p>
    <w:p w14:paraId="081A3E2D"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71D009F4"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551ACC07"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 xml:space="preserve">14. DA CONTRATAÇÃO </w:t>
      </w:r>
    </w:p>
    <w:p w14:paraId="00120216" w14:textId="77777777" w:rsidR="00380AFB" w:rsidRDefault="00380AFB">
      <w:pPr>
        <w:spacing w:after="0" w:line="276" w:lineRule="auto"/>
        <w:contextualSpacing/>
        <w:jc w:val="both"/>
        <w:rPr>
          <w:rFonts w:ascii="Bookman Old Style" w:hAnsi="Bookman Old Style" w:cs="Bookman Old Style"/>
          <w:b/>
          <w:bCs/>
          <w:color w:val="000000"/>
          <w:sz w:val="18"/>
          <w:szCs w:val="18"/>
        </w:rPr>
      </w:pPr>
    </w:p>
    <w:p w14:paraId="4DE6BBCA" w14:textId="77777777" w:rsidR="00380AFB" w:rsidRDefault="00000000">
      <w:pPr>
        <w:spacing w:after="0" w:line="240" w:lineRule="auto"/>
        <w:contextualSpacing/>
        <w:jc w:val="both"/>
        <w:rPr>
          <w:rFonts w:ascii="Bookman Old Style" w:hAnsi="Bookman Old Style"/>
          <w:sz w:val="19"/>
          <w:szCs w:val="19"/>
        </w:rPr>
      </w:pPr>
      <w:r>
        <w:rPr>
          <w:rFonts w:ascii="Bookman Old Style" w:hAnsi="Bookman Old Style" w:cs="Bookman Old Style"/>
          <w:b/>
          <w:bCs/>
          <w:color w:val="000000"/>
          <w:sz w:val="19"/>
          <w:szCs w:val="19"/>
        </w:rPr>
        <w:t>14.1.</w:t>
      </w:r>
      <w:r>
        <w:rPr>
          <w:rFonts w:ascii="Bookman Old Style" w:hAnsi="Bookman Old Style" w:cs="Bookman Old Style"/>
          <w:color w:val="000000"/>
          <w:sz w:val="19"/>
          <w:szCs w:val="19"/>
        </w:rPr>
        <w:t xml:space="preserve"> A contratação será realizada mediante nota de empenho de despesa ou autorização de compra, no termos do art. 95, inciso II, da Lei 14.133/2021. </w:t>
      </w:r>
    </w:p>
    <w:p w14:paraId="27BF1E42" w14:textId="77777777" w:rsidR="00380AFB" w:rsidRDefault="00380AFB">
      <w:pPr>
        <w:spacing w:after="0" w:line="240" w:lineRule="auto"/>
        <w:contextualSpacing/>
        <w:jc w:val="both"/>
        <w:rPr>
          <w:rFonts w:ascii="Bookman Old Style" w:hAnsi="Bookman Old Style" w:cs="Bookman Old Style"/>
          <w:color w:val="000000"/>
          <w:sz w:val="19"/>
          <w:szCs w:val="19"/>
        </w:rPr>
      </w:pPr>
    </w:p>
    <w:p w14:paraId="69F8A456" w14:textId="77777777" w:rsidR="00380AFB" w:rsidRDefault="00000000">
      <w:pPr>
        <w:spacing w:line="240" w:lineRule="auto"/>
        <w:contextualSpacing/>
        <w:jc w:val="both"/>
        <w:rPr>
          <w:rFonts w:ascii="Bookman Old Style" w:hAnsi="Bookman Old Style"/>
          <w:sz w:val="19"/>
          <w:szCs w:val="19"/>
        </w:rPr>
      </w:pPr>
      <w:r>
        <w:rPr>
          <w:rFonts w:ascii="Bookman Old Style" w:hAnsi="Bookman Old Style" w:cs="Bookman Old Style"/>
          <w:b/>
          <w:bCs/>
          <w:color w:val="000000"/>
          <w:sz w:val="19"/>
          <w:szCs w:val="19"/>
        </w:rPr>
        <w:t>14.2</w:t>
      </w:r>
      <w:r>
        <w:rPr>
          <w:rFonts w:ascii="Bookman Old Style" w:hAnsi="Bookman Old Style" w:cs="Bookman Old Style"/>
          <w:color w:val="000000"/>
          <w:sz w:val="19"/>
          <w:szCs w:val="19"/>
        </w:rPr>
        <w:t xml:space="preserve">. A (s) proponente (s) adjudicatária (s) deverá assinar o contrato ou instrumento equivalente no prazo máximo de 05 (cinco) dias úteis, a contar da data de sua convocação. </w:t>
      </w:r>
    </w:p>
    <w:p w14:paraId="02C579B2" w14:textId="77777777" w:rsidR="00380AFB" w:rsidRDefault="00380AFB">
      <w:pPr>
        <w:spacing w:line="240" w:lineRule="auto"/>
        <w:contextualSpacing/>
        <w:jc w:val="both"/>
        <w:rPr>
          <w:rFonts w:ascii="Bookman Old Style" w:hAnsi="Bookman Old Style" w:cs="Bookman Old Style"/>
          <w:color w:val="000000"/>
          <w:sz w:val="19"/>
          <w:szCs w:val="19"/>
        </w:rPr>
      </w:pPr>
    </w:p>
    <w:p w14:paraId="6CDA5E34" w14:textId="77777777" w:rsidR="00380AFB" w:rsidRDefault="00000000">
      <w:pPr>
        <w:spacing w:line="240" w:lineRule="auto"/>
        <w:ind w:left="567"/>
        <w:contextualSpacing/>
        <w:jc w:val="both"/>
        <w:rPr>
          <w:rFonts w:ascii="Bookman Old Style" w:hAnsi="Bookman Old Style" w:cs="Bookman Old Style"/>
          <w:color w:val="000000"/>
          <w:sz w:val="19"/>
          <w:szCs w:val="19"/>
        </w:rPr>
      </w:pPr>
      <w:r>
        <w:rPr>
          <w:rFonts w:ascii="Bookman Old Style" w:hAnsi="Bookman Old Style" w:cs="Bookman Old Style"/>
          <w:color w:val="000000"/>
          <w:sz w:val="19"/>
          <w:szCs w:val="19"/>
        </w:rPr>
        <w:t xml:space="preserve">14.2.1. O prazo supramencionado poderá ser prorrogado uma vez, por igual período, quando solicitado, durante seu transcurso, desde que ocorra motivo justificado, aceito pelo Contratante. </w:t>
      </w:r>
    </w:p>
    <w:p w14:paraId="105CE81B" w14:textId="77777777" w:rsidR="00380AFB" w:rsidRDefault="00380AFB">
      <w:pPr>
        <w:spacing w:line="240" w:lineRule="auto"/>
        <w:ind w:left="567"/>
        <w:contextualSpacing/>
        <w:jc w:val="both"/>
        <w:rPr>
          <w:rFonts w:ascii="Bookman Old Style" w:hAnsi="Bookman Old Style" w:cs="Bookman Old Style"/>
          <w:color w:val="000000"/>
          <w:sz w:val="19"/>
          <w:szCs w:val="19"/>
        </w:rPr>
      </w:pPr>
    </w:p>
    <w:p w14:paraId="57411DE9" w14:textId="77777777" w:rsidR="00380AFB" w:rsidRDefault="00380AFB">
      <w:pPr>
        <w:spacing w:line="240" w:lineRule="auto"/>
        <w:ind w:left="567"/>
        <w:contextualSpacing/>
        <w:jc w:val="both"/>
        <w:rPr>
          <w:rFonts w:ascii="Bookman Old Style" w:hAnsi="Bookman Old Style" w:cs="Bookman Old Style"/>
          <w:color w:val="000000"/>
          <w:sz w:val="19"/>
          <w:szCs w:val="19"/>
        </w:rPr>
      </w:pPr>
    </w:p>
    <w:p w14:paraId="78256622" w14:textId="77777777" w:rsidR="00380AFB" w:rsidRDefault="00380AFB">
      <w:pPr>
        <w:spacing w:line="240" w:lineRule="auto"/>
        <w:ind w:left="567"/>
        <w:contextualSpacing/>
        <w:jc w:val="both"/>
        <w:rPr>
          <w:rFonts w:ascii="Bookman Old Style" w:hAnsi="Bookman Old Style" w:cs="Bookman Old Style"/>
          <w:color w:val="000000"/>
          <w:sz w:val="19"/>
          <w:szCs w:val="19"/>
        </w:rPr>
      </w:pPr>
    </w:p>
    <w:p w14:paraId="4DCC152C" w14:textId="77777777" w:rsidR="00380AFB" w:rsidRDefault="00380AFB">
      <w:pPr>
        <w:spacing w:line="276" w:lineRule="auto"/>
        <w:contextualSpacing/>
        <w:jc w:val="both"/>
        <w:rPr>
          <w:rFonts w:ascii="Bookman Old Style" w:eastAsia="Calibri" w:hAnsi="Bookman Old Style" w:cs="Times New Roman"/>
          <w:bCs/>
          <w:sz w:val="19"/>
          <w:szCs w:val="19"/>
        </w:rPr>
      </w:pPr>
    </w:p>
    <w:p w14:paraId="29550557"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3DBA919A"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3970A739"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15. DAS INFRAÇÕES ADMINISTRATIVAS:</w:t>
      </w:r>
    </w:p>
    <w:p w14:paraId="31CC0D39"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C24238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15.1. </w:t>
      </w:r>
      <w:r>
        <w:rPr>
          <w:rFonts w:ascii="Bookman Old Style" w:eastAsia="Calibri" w:hAnsi="Bookman Old Style" w:cs="Times New Roman"/>
          <w:bCs/>
          <w:sz w:val="19"/>
          <w:szCs w:val="19"/>
        </w:rPr>
        <w:t>Comete infração administrativa, nos termos da Lei nº 14.133, de 2021, o contratado que:</w:t>
      </w:r>
    </w:p>
    <w:p w14:paraId="11744B30" w14:textId="77777777" w:rsidR="00380AFB" w:rsidRDefault="00380AFB">
      <w:pPr>
        <w:spacing w:line="276" w:lineRule="auto"/>
        <w:contextualSpacing/>
        <w:jc w:val="both"/>
        <w:rPr>
          <w:rFonts w:ascii="Bookman Old Style" w:eastAsia="Calibri" w:hAnsi="Bookman Old Style" w:cs="Times New Roman"/>
          <w:bCs/>
          <w:sz w:val="19"/>
          <w:szCs w:val="19"/>
        </w:rPr>
      </w:pPr>
    </w:p>
    <w:p w14:paraId="3575333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der causa à inexecução parcial do contrato; </w:t>
      </w:r>
    </w:p>
    <w:p w14:paraId="6C39FF4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b)</w:t>
      </w:r>
      <w:r>
        <w:rPr>
          <w:rFonts w:ascii="Bookman Old Style" w:eastAsia="Calibri" w:hAnsi="Bookman Old Style" w:cs="Times New Roman"/>
          <w:bCs/>
          <w:sz w:val="19"/>
          <w:szCs w:val="19"/>
        </w:rPr>
        <w:t xml:space="preserve"> der causa à inexecução parcial do contrato que cause grave dano à Administração ou ao funcionamento dos serviços públicos ou ao interesse coletivo; </w:t>
      </w:r>
    </w:p>
    <w:p w14:paraId="0803E34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c)</w:t>
      </w:r>
      <w:r>
        <w:rPr>
          <w:rFonts w:ascii="Bookman Old Style" w:eastAsia="Calibri" w:hAnsi="Bookman Old Style" w:cs="Times New Roman"/>
          <w:bCs/>
          <w:sz w:val="19"/>
          <w:szCs w:val="19"/>
        </w:rPr>
        <w:t xml:space="preserve"> der causa à inexecução total do contrato; </w:t>
      </w:r>
    </w:p>
    <w:p w14:paraId="1833A89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d)</w:t>
      </w:r>
      <w:r>
        <w:rPr>
          <w:rFonts w:ascii="Bookman Old Style" w:eastAsia="Calibri" w:hAnsi="Bookman Old Style" w:cs="Times New Roman"/>
          <w:bCs/>
          <w:sz w:val="19"/>
          <w:szCs w:val="19"/>
        </w:rPr>
        <w:t xml:space="preserve"> ensejar o retardamento da execução ou da entrega do objeto da contratação sem motivo justificado; </w:t>
      </w:r>
    </w:p>
    <w:p w14:paraId="10D845E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e)</w:t>
      </w:r>
      <w:r>
        <w:rPr>
          <w:rFonts w:ascii="Bookman Old Style" w:eastAsia="Calibri" w:hAnsi="Bookman Old Style" w:cs="Times New Roman"/>
          <w:bCs/>
          <w:sz w:val="19"/>
          <w:szCs w:val="19"/>
        </w:rPr>
        <w:t xml:space="preserve"> apresentar documentação falsa ou prestar declaração falsa durante a execução do contrato; </w:t>
      </w:r>
    </w:p>
    <w:p w14:paraId="53FDC77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f)</w:t>
      </w:r>
      <w:r>
        <w:rPr>
          <w:rFonts w:ascii="Bookman Old Style" w:eastAsia="Calibri" w:hAnsi="Bookman Old Style" w:cs="Times New Roman"/>
          <w:bCs/>
          <w:sz w:val="19"/>
          <w:szCs w:val="19"/>
        </w:rPr>
        <w:t xml:space="preserve"> praticar ato fraudulento na execução do contrato; </w:t>
      </w:r>
    </w:p>
    <w:p w14:paraId="49D919C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g)</w:t>
      </w:r>
      <w:r>
        <w:rPr>
          <w:rFonts w:ascii="Bookman Old Style" w:eastAsia="Calibri" w:hAnsi="Bookman Old Style" w:cs="Times New Roman"/>
          <w:bCs/>
          <w:sz w:val="19"/>
          <w:szCs w:val="19"/>
        </w:rPr>
        <w:t xml:space="preserve"> comportar-se de modo inidôneo ou cometer fraude de qualquer natureza; </w:t>
      </w:r>
    </w:p>
    <w:p w14:paraId="28BFF94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h)</w:t>
      </w:r>
      <w:r>
        <w:rPr>
          <w:rFonts w:ascii="Bookman Old Style" w:eastAsia="Calibri" w:hAnsi="Bookman Old Style" w:cs="Times New Roman"/>
          <w:bCs/>
          <w:sz w:val="19"/>
          <w:szCs w:val="19"/>
        </w:rPr>
        <w:t xml:space="preserve"> praticar ato lesivo previsto no art. 5º da Lei nº 12.846, de 1º de agosto de 2013. </w:t>
      </w:r>
    </w:p>
    <w:p w14:paraId="67CB2C4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86D7F1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15.2.</w:t>
      </w:r>
      <w:r>
        <w:rPr>
          <w:rFonts w:ascii="Bookman Old Style" w:eastAsia="Calibri" w:hAnsi="Bookman Old Style" w:cs="Times New Roman"/>
          <w:bCs/>
          <w:sz w:val="19"/>
          <w:szCs w:val="19"/>
        </w:rPr>
        <w:t xml:space="preserve"> Serão aplicadas ao contratado que incorrer nas infrações acima descritas as seguintes sanções: </w:t>
      </w:r>
    </w:p>
    <w:p w14:paraId="1BB0BDF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w:t>
      </w:r>
      <w:r>
        <w:rPr>
          <w:rFonts w:ascii="Bookman Old Style" w:eastAsia="Calibri" w:hAnsi="Bookman Old Style" w:cs="Times New Roman"/>
          <w:bCs/>
          <w:sz w:val="19"/>
          <w:szCs w:val="19"/>
        </w:rPr>
        <w:t xml:space="preserve"> Advertência, quando o contratado der causa à inexecução parcial do contrato, sempre que não se justificar a imposição de penalidade mais grave (art. 156, §2º, da Lei nº 14.133, de 2021); </w:t>
      </w:r>
    </w:p>
    <w:p w14:paraId="667574D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ii)</w:t>
      </w:r>
      <w:r>
        <w:rPr>
          <w:rFonts w:ascii="Bookman Old Style" w:eastAsia="Calibri" w:hAnsi="Bookman Old Style" w:cs="Times New Roman"/>
          <w:bCs/>
          <w:sz w:val="19"/>
          <w:szCs w:val="19"/>
        </w:rPr>
        <w:t xml:space="preserve"> Impedimento de licitar e contratar, quando praticadas as condutas descritas nas alíneas “b”, “c” e “d” do subitem acima deste Contrato, sempre que não se justificar a imposição de penalidade mais grave (art. 156, § 4º, da Lei nº 14.133, de 2021); </w:t>
      </w:r>
    </w:p>
    <w:p w14:paraId="4310457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iii)</w:t>
      </w:r>
      <w:r>
        <w:rPr>
          <w:rFonts w:ascii="Bookman Old Style" w:eastAsia="Calibri" w:hAnsi="Bookman Old Style" w:cs="Times New Roman"/>
          <w:bCs/>
          <w:sz w:val="19"/>
          <w:szCs w:val="19"/>
        </w:rPr>
        <w:t xml:space="preserve">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2455BD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iv)</w:t>
      </w:r>
      <w:r>
        <w:rPr>
          <w:rFonts w:ascii="Bookman Old Style" w:eastAsia="Calibri" w:hAnsi="Bookman Old Style" w:cs="Times New Roman"/>
          <w:bCs/>
          <w:sz w:val="19"/>
          <w:szCs w:val="19"/>
        </w:rPr>
        <w:t xml:space="preserve"> Multa:</w:t>
      </w:r>
    </w:p>
    <w:p w14:paraId="19E0314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w:t>
      </w:r>
      <w:r>
        <w:rPr>
          <w:rFonts w:ascii="Bookman Old Style" w:eastAsia="Calibri" w:hAnsi="Bookman Old Style" w:cs="Times New Roman"/>
          <w:bCs/>
          <w:sz w:val="19"/>
          <w:szCs w:val="19"/>
        </w:rPr>
        <w:t xml:space="preserve"> Moratória de 0,5% (cinco décimos por cento) por dia de atraso injustificado sobre o valor da parcela inadimplida, até o limite de 30 (trinta) dias;</w:t>
      </w:r>
    </w:p>
    <w:p w14:paraId="48CE334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(2)</w:t>
      </w:r>
      <w:r>
        <w:rPr>
          <w:rFonts w:ascii="Bookman Old Style" w:eastAsia="Calibri" w:hAnsi="Bookman Old Style" w:cs="Times New Roman"/>
          <w:bCs/>
          <w:sz w:val="19"/>
          <w:szCs w:val="19"/>
        </w:rPr>
        <w:t xml:space="preserve"> Compensatória, para as infrações descritas nas alíneas “e” e “h” do subitem 15.1, de 20% (vinte por cento) do valor do Contrato. </w:t>
      </w:r>
    </w:p>
    <w:p w14:paraId="2992DCA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(3)</w:t>
      </w:r>
      <w:r>
        <w:rPr>
          <w:rFonts w:ascii="Bookman Old Style" w:eastAsia="Calibri" w:hAnsi="Bookman Old Style" w:cs="Times New Roman"/>
          <w:bCs/>
          <w:sz w:val="19"/>
          <w:szCs w:val="19"/>
        </w:rPr>
        <w:t xml:space="preserve"> Compensat</w:t>
      </w:r>
      <w:r>
        <w:rPr>
          <w:rFonts w:ascii="Bookman Old Style" w:eastAsia="Calibri" w:hAnsi="Bookman Old Style" w:cs="Bookman Old Style"/>
          <w:bCs/>
          <w:sz w:val="19"/>
          <w:szCs w:val="19"/>
        </w:rPr>
        <w:t>ó</w:t>
      </w:r>
      <w:r>
        <w:rPr>
          <w:rFonts w:ascii="Bookman Old Style" w:eastAsia="Calibri" w:hAnsi="Bookman Old Style" w:cs="Times New Roman"/>
          <w:bCs/>
          <w:sz w:val="19"/>
          <w:szCs w:val="19"/>
        </w:rPr>
        <w:t>ria, para a inexecu</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total do contrato prevista na al</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 xml:space="preserve">nea “c” do subitem 15.1, de 30% (trinta por cento) do valor do Contrato. </w:t>
      </w:r>
    </w:p>
    <w:p w14:paraId="0227B7A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w:t>
      </w:r>
      <w:r>
        <w:rPr>
          <w:rFonts w:ascii="Bookman Old Style" w:eastAsia="Calibri" w:hAnsi="Bookman Old Style" w:cs="Times New Roman"/>
          <w:bCs/>
          <w:sz w:val="19"/>
          <w:szCs w:val="19"/>
        </w:rPr>
        <w:t xml:space="preserve"> Para infração descrita na alínea “b” do subitem 15.1,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10% a 20% do valor do contrato do valor do Contrato. </w:t>
      </w:r>
    </w:p>
    <w:p w14:paraId="48BE4CD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w:t>
      </w:r>
      <w:r>
        <w:rPr>
          <w:rFonts w:ascii="Bookman Old Style" w:eastAsia="Calibri" w:hAnsi="Bookman Old Style" w:cs="Times New Roman"/>
          <w:bCs/>
          <w:sz w:val="19"/>
          <w:szCs w:val="19"/>
        </w:rPr>
        <w:t xml:space="preserve"> Para infra</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es descritas na al</w:t>
      </w:r>
      <w:r>
        <w:rPr>
          <w:rFonts w:ascii="Bookman Old Style" w:eastAsia="Calibri" w:hAnsi="Bookman Old Style" w:cs="Bookman Old Style"/>
          <w:bCs/>
          <w:sz w:val="19"/>
          <w:szCs w:val="19"/>
        </w:rPr>
        <w:t>í</w:t>
      </w:r>
      <w:r>
        <w:rPr>
          <w:rFonts w:ascii="Bookman Old Style" w:eastAsia="Calibri" w:hAnsi="Bookman Old Style" w:cs="Times New Roman"/>
          <w:bCs/>
          <w:sz w:val="19"/>
          <w:szCs w:val="19"/>
        </w:rPr>
        <w:t xml:space="preserve">nea </w:t>
      </w:r>
      <w:r>
        <w:rPr>
          <w:rFonts w:ascii="Bookman Old Style" w:eastAsia="Calibri" w:hAnsi="Bookman Old Style" w:cs="Bookman Old Style"/>
          <w:bCs/>
          <w:sz w:val="19"/>
          <w:szCs w:val="19"/>
        </w:rPr>
        <w:t>“d”</w:t>
      </w:r>
      <w:r>
        <w:rPr>
          <w:rFonts w:ascii="Bookman Old Style" w:eastAsia="Calibri" w:hAnsi="Bookman Old Style" w:cs="Times New Roman"/>
          <w:bCs/>
          <w:sz w:val="19"/>
          <w:szCs w:val="19"/>
        </w:rPr>
        <w:t xml:space="preserve"> do subitem 15.1,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5% a 10% do valor do Contrato. </w:t>
      </w:r>
    </w:p>
    <w:p w14:paraId="47971B5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w:t>
      </w:r>
      <w:r>
        <w:rPr>
          <w:rFonts w:ascii="Bookman Old Style" w:eastAsia="Calibri" w:hAnsi="Bookman Old Style" w:cs="Times New Roman"/>
          <w:bCs/>
          <w:sz w:val="19"/>
          <w:szCs w:val="19"/>
        </w:rPr>
        <w:t xml:space="preserve"> Para a infração descrita na alínea “a” do subitem 15.1, a multa ser</w:t>
      </w:r>
      <w:r>
        <w:rPr>
          <w:rFonts w:ascii="Bookman Old Style" w:eastAsia="Calibri" w:hAnsi="Bookman Old Style" w:cs="Bookman Old Style"/>
          <w:bCs/>
          <w:sz w:val="19"/>
          <w:szCs w:val="19"/>
        </w:rPr>
        <w:t>á</w:t>
      </w:r>
      <w:r>
        <w:rPr>
          <w:rFonts w:ascii="Bookman Old Style" w:eastAsia="Calibri" w:hAnsi="Bookman Old Style" w:cs="Times New Roman"/>
          <w:bCs/>
          <w:sz w:val="19"/>
          <w:szCs w:val="19"/>
        </w:rPr>
        <w:t xml:space="preserve"> de 15% a 20% do valor do Contrato, ressalvadas as seguintes infra</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 xml:space="preserve">es: </w:t>
      </w:r>
    </w:p>
    <w:p w14:paraId="0B00C8C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8232A8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15.3.</w:t>
      </w:r>
      <w:r>
        <w:rPr>
          <w:rFonts w:ascii="Bookman Old Style" w:eastAsia="Calibri" w:hAnsi="Bookman Old Style" w:cs="Times New Roman"/>
          <w:bCs/>
          <w:sz w:val="19"/>
          <w:szCs w:val="19"/>
        </w:rPr>
        <w:t xml:space="preserve"> A aplica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das san</w:t>
      </w:r>
      <w:r>
        <w:rPr>
          <w:rFonts w:ascii="Bookman Old Style" w:eastAsia="Calibri" w:hAnsi="Bookman Old Style" w:cs="Bookman Old Style"/>
          <w:bCs/>
          <w:sz w:val="19"/>
          <w:szCs w:val="19"/>
        </w:rPr>
        <w:t>çõ</w:t>
      </w:r>
      <w:r>
        <w:rPr>
          <w:rFonts w:ascii="Bookman Old Style" w:eastAsia="Calibri" w:hAnsi="Bookman Old Style" w:cs="Times New Roman"/>
          <w:bCs/>
          <w:sz w:val="19"/>
          <w:szCs w:val="19"/>
        </w:rPr>
        <w:t>es previstas neste Contrato n</w:t>
      </w:r>
      <w:r>
        <w:rPr>
          <w:rFonts w:ascii="Bookman Old Style" w:eastAsia="Calibri" w:hAnsi="Bookman Old Style" w:cs="Bookman Old Style"/>
          <w:bCs/>
          <w:sz w:val="19"/>
          <w:szCs w:val="19"/>
        </w:rPr>
        <w:t>ã</w:t>
      </w:r>
      <w:r>
        <w:rPr>
          <w:rFonts w:ascii="Bookman Old Style" w:eastAsia="Calibri" w:hAnsi="Bookman Old Style" w:cs="Times New Roman"/>
          <w:bCs/>
          <w:sz w:val="19"/>
          <w:szCs w:val="19"/>
        </w:rPr>
        <w:t>o exclui, em hip</w:t>
      </w:r>
      <w:r>
        <w:rPr>
          <w:rFonts w:ascii="Bookman Old Style" w:eastAsia="Calibri" w:hAnsi="Bookman Old Style" w:cs="Bookman Old Style"/>
          <w:bCs/>
          <w:sz w:val="19"/>
          <w:szCs w:val="19"/>
        </w:rPr>
        <w:t>ó</w:t>
      </w:r>
      <w:r>
        <w:rPr>
          <w:rFonts w:ascii="Bookman Old Style" w:eastAsia="Calibri" w:hAnsi="Bookman Old Style" w:cs="Times New Roman"/>
          <w:bCs/>
          <w:sz w:val="19"/>
          <w:szCs w:val="19"/>
        </w:rPr>
        <w:t>tese alguma, a obriga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de repara</w:t>
      </w:r>
      <w:r>
        <w:rPr>
          <w:rFonts w:ascii="Bookman Old Style" w:eastAsia="Calibri" w:hAnsi="Bookman Old Style" w:cs="Bookman Old Style"/>
          <w:bCs/>
          <w:sz w:val="19"/>
          <w:szCs w:val="19"/>
        </w:rPr>
        <w:t>çã</w:t>
      </w:r>
      <w:r>
        <w:rPr>
          <w:rFonts w:ascii="Bookman Old Style" w:eastAsia="Calibri" w:hAnsi="Bookman Old Style" w:cs="Times New Roman"/>
          <w:bCs/>
          <w:sz w:val="19"/>
          <w:szCs w:val="19"/>
        </w:rPr>
        <w:t>o integral do dano causado ao Contratante (art. 156, §9º, da Lei nº 14.133, de 2021).</w:t>
      </w:r>
    </w:p>
    <w:p w14:paraId="382415CD"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B65244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15.4.</w:t>
      </w:r>
      <w:r>
        <w:rPr>
          <w:rFonts w:ascii="Bookman Old Style" w:eastAsia="Calibri" w:hAnsi="Bookman Old Style" w:cs="Times New Roman"/>
          <w:bCs/>
          <w:sz w:val="19"/>
          <w:szCs w:val="19"/>
        </w:rPr>
        <w:t xml:space="preserve"> Todas as sanções previstas neste Contrato poderão ser aplicadas cumulativamente com a multa (art. 156, §7º, da Lei nº 14.133, de 2021). </w:t>
      </w:r>
    </w:p>
    <w:p w14:paraId="522C8FBA"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292C2A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15.4.1.</w:t>
      </w:r>
      <w:r>
        <w:rPr>
          <w:rFonts w:ascii="Bookman Old Style" w:eastAsia="Calibri" w:hAnsi="Bookman Old Style" w:cs="Times New Roman"/>
          <w:bCs/>
          <w:sz w:val="19"/>
          <w:szCs w:val="19"/>
        </w:rPr>
        <w:t xml:space="preserve"> Antes da aplicação da multa será facultada a defesa do interessado no prazo de 15 (quinze) dias úteis, contado da data de sua intimação (art. 157, da Lei nº 14.133, de 2021) </w:t>
      </w:r>
    </w:p>
    <w:p w14:paraId="2342C36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15.5.</w:t>
      </w:r>
      <w:r>
        <w:rPr>
          <w:rFonts w:ascii="Bookman Old Style" w:eastAsia="Calibri" w:hAnsi="Bookman Old Style" w:cs="Times New Roman"/>
          <w:bCs/>
          <w:sz w:val="19"/>
          <w:szCs w:val="19"/>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34F49D7"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3D0ADE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15.6.</w:t>
      </w:r>
      <w:r>
        <w:rPr>
          <w:rFonts w:ascii="Bookman Old Style" w:eastAsia="Calibri" w:hAnsi="Bookman Old Style" w:cs="Times New Roman"/>
          <w:bCs/>
          <w:sz w:val="19"/>
          <w:szCs w:val="19"/>
        </w:rPr>
        <w:t xml:space="preserve"> Previamente ao encaminhamento à cobrança judicial, a multa poderá ser recolhida administrativamente no prazo máximo de 15 (quinze) dias úteis, a contar da data do recebimento da comunicação enviada pela autoridade competente. </w:t>
      </w:r>
    </w:p>
    <w:p w14:paraId="17AB2C0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CC44D6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15.7</w:t>
      </w:r>
      <w:r>
        <w:rPr>
          <w:rFonts w:ascii="Bookman Old Style" w:eastAsia="Calibri" w:hAnsi="Bookman Old Style" w:cs="Times New Roman"/>
          <w:bCs/>
          <w:sz w:val="19"/>
          <w:szCs w:val="19"/>
        </w:rPr>
        <w:t xml:space="preserve">. A aplicação das sanções realizar-se-á em processo administrativo que assegure o contraditório e a ampla defesa ao Contratado, observando-se o procedimento previsto no caput e </w:t>
      </w:r>
      <w:r>
        <w:rPr>
          <w:rFonts w:ascii="Bookman Old Style" w:eastAsia="Calibri" w:hAnsi="Bookman Old Style" w:cs="Times New Roman"/>
          <w:bCs/>
          <w:sz w:val="19"/>
          <w:szCs w:val="19"/>
        </w:rPr>
        <w:lastRenderedPageBreak/>
        <w:t xml:space="preserve">parágrafos do art. 158 da Lei nº 14.133, de 2021, para as penalidades de impedimento de licitar e contratar e de declaração de inidoneidade para licitar ou contratar. </w:t>
      </w:r>
    </w:p>
    <w:p w14:paraId="31DB1C6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DDC572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15.8.</w:t>
      </w:r>
      <w:r>
        <w:rPr>
          <w:rFonts w:ascii="Bookman Old Style" w:eastAsia="Calibri" w:hAnsi="Bookman Old Style" w:cs="Times New Roman"/>
          <w:bCs/>
          <w:sz w:val="19"/>
          <w:szCs w:val="19"/>
        </w:rPr>
        <w:t xml:space="preserve"> Na aplicação das sanções serão considerados (art. 156, §1º, da Lei nº 14.133, de 2021): </w:t>
      </w:r>
    </w:p>
    <w:p w14:paraId="4909646A" w14:textId="77777777" w:rsidR="00380AFB" w:rsidRDefault="00380AFB">
      <w:pPr>
        <w:spacing w:line="276" w:lineRule="auto"/>
        <w:contextualSpacing/>
        <w:jc w:val="both"/>
        <w:rPr>
          <w:rFonts w:ascii="Bookman Old Style" w:eastAsia="Calibri" w:hAnsi="Bookman Old Style" w:cs="Times New Roman"/>
          <w:bCs/>
          <w:sz w:val="19"/>
          <w:szCs w:val="19"/>
        </w:rPr>
      </w:pPr>
    </w:p>
    <w:p w14:paraId="085E152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a)</w:t>
      </w:r>
      <w:r>
        <w:rPr>
          <w:rFonts w:ascii="Bookman Old Style" w:eastAsia="Calibri" w:hAnsi="Bookman Old Style" w:cs="Times New Roman"/>
          <w:bCs/>
          <w:sz w:val="19"/>
          <w:szCs w:val="19"/>
        </w:rPr>
        <w:t xml:space="preserve"> a natureza e a gravidade da infração cometida; </w:t>
      </w:r>
    </w:p>
    <w:p w14:paraId="1C5DEFB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b)</w:t>
      </w:r>
      <w:r>
        <w:rPr>
          <w:rFonts w:ascii="Bookman Old Style" w:eastAsia="Calibri" w:hAnsi="Bookman Old Style" w:cs="Times New Roman"/>
          <w:bCs/>
          <w:sz w:val="19"/>
          <w:szCs w:val="19"/>
        </w:rPr>
        <w:t xml:space="preserve"> as peculiaridades do caso concreto; </w:t>
      </w:r>
    </w:p>
    <w:p w14:paraId="5AC290C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c)</w:t>
      </w:r>
      <w:r>
        <w:rPr>
          <w:rFonts w:ascii="Bookman Old Style" w:eastAsia="Calibri" w:hAnsi="Bookman Old Style" w:cs="Times New Roman"/>
          <w:bCs/>
          <w:sz w:val="19"/>
          <w:szCs w:val="19"/>
        </w:rPr>
        <w:t xml:space="preserve"> as circunstâncias agravantes ou atenuantes; </w:t>
      </w:r>
    </w:p>
    <w:p w14:paraId="7538225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d)</w:t>
      </w:r>
      <w:r>
        <w:rPr>
          <w:rFonts w:ascii="Bookman Old Style" w:eastAsia="Calibri" w:hAnsi="Bookman Old Style" w:cs="Times New Roman"/>
          <w:bCs/>
          <w:sz w:val="19"/>
          <w:szCs w:val="19"/>
        </w:rPr>
        <w:t xml:space="preserve"> os danos que dela provierem para o Contratante; </w:t>
      </w:r>
    </w:p>
    <w:p w14:paraId="05894DF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e)</w:t>
      </w:r>
      <w:r>
        <w:rPr>
          <w:rFonts w:ascii="Bookman Old Style" w:eastAsia="Calibri" w:hAnsi="Bookman Old Style" w:cs="Times New Roman"/>
          <w:bCs/>
          <w:sz w:val="19"/>
          <w:szCs w:val="19"/>
        </w:rPr>
        <w:t xml:space="preserve"> a implantação ou o aperfeiçoamento de programa de integridade, conforme normas e orientações dos órgãos de controle. </w:t>
      </w:r>
    </w:p>
    <w:p w14:paraId="7F812D7C" w14:textId="77777777" w:rsidR="00380AFB" w:rsidRDefault="00380AFB">
      <w:pPr>
        <w:spacing w:line="276" w:lineRule="auto"/>
        <w:contextualSpacing/>
        <w:jc w:val="both"/>
        <w:rPr>
          <w:rFonts w:ascii="Bookman Old Style" w:eastAsia="Calibri" w:hAnsi="Bookman Old Style" w:cs="Times New Roman"/>
          <w:bCs/>
          <w:sz w:val="19"/>
          <w:szCs w:val="19"/>
        </w:rPr>
      </w:pPr>
    </w:p>
    <w:p w14:paraId="19BADAB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15.9.</w:t>
      </w:r>
      <w:r>
        <w:rPr>
          <w:rFonts w:ascii="Bookman Old Style" w:eastAsia="Calibri" w:hAnsi="Bookman Old Style" w:cs="Times New Roman"/>
          <w:bCs/>
          <w:sz w:val="19"/>
          <w:szCs w:val="19"/>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3064A0D4" w14:textId="77777777" w:rsidR="00380AFB" w:rsidRDefault="00380AFB">
      <w:pPr>
        <w:spacing w:line="276" w:lineRule="auto"/>
        <w:contextualSpacing/>
        <w:jc w:val="both"/>
        <w:rPr>
          <w:rFonts w:ascii="Bookman Old Style" w:eastAsia="Calibri" w:hAnsi="Bookman Old Style" w:cs="Times New Roman"/>
          <w:bCs/>
          <w:sz w:val="19"/>
          <w:szCs w:val="19"/>
        </w:rPr>
      </w:pPr>
    </w:p>
    <w:p w14:paraId="1F7AA76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15.10.</w:t>
      </w:r>
      <w:r>
        <w:rPr>
          <w:rFonts w:ascii="Bookman Old Style" w:eastAsia="Calibri" w:hAnsi="Bookman Old Style" w:cs="Times New Roman"/>
          <w:bCs/>
          <w:sz w:val="19"/>
          <w:szCs w:val="19"/>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3F74F1B6" w14:textId="77777777" w:rsidR="00380AFB" w:rsidRDefault="00380AFB">
      <w:pPr>
        <w:spacing w:line="276" w:lineRule="auto"/>
        <w:contextualSpacing/>
        <w:jc w:val="both"/>
        <w:rPr>
          <w:rFonts w:ascii="Bookman Old Style" w:eastAsia="Calibri" w:hAnsi="Bookman Old Style" w:cs="Times New Roman"/>
          <w:bCs/>
          <w:sz w:val="19"/>
          <w:szCs w:val="19"/>
        </w:rPr>
      </w:pPr>
    </w:p>
    <w:p w14:paraId="04699E0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15.11.</w:t>
      </w:r>
      <w:r>
        <w:rPr>
          <w:rFonts w:ascii="Bookman Old Style" w:eastAsia="Calibri" w:hAnsi="Bookman Old Style" w:cs="Times New Roman"/>
          <w:bCs/>
          <w:sz w:val="19"/>
          <w:szCs w:val="19"/>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2E0FE69" w14:textId="77777777" w:rsidR="00380AFB" w:rsidRDefault="00380AFB">
      <w:pPr>
        <w:spacing w:line="276" w:lineRule="auto"/>
        <w:contextualSpacing/>
        <w:jc w:val="both"/>
        <w:rPr>
          <w:rFonts w:ascii="Bookman Old Style" w:eastAsia="Calibri" w:hAnsi="Bookman Old Style" w:cs="Times New Roman"/>
          <w:bCs/>
          <w:sz w:val="19"/>
          <w:szCs w:val="19"/>
        </w:rPr>
      </w:pPr>
    </w:p>
    <w:p w14:paraId="6C8CE9F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15.12.</w:t>
      </w:r>
      <w:r>
        <w:rPr>
          <w:rFonts w:ascii="Bookman Old Style" w:eastAsia="Calibri" w:hAnsi="Bookman Old Style" w:cs="Times New Roman"/>
          <w:bCs/>
          <w:sz w:val="19"/>
          <w:szCs w:val="19"/>
        </w:rPr>
        <w:t xml:space="preserve"> As sanções de impedimento de licitar e contratar e declaração de inidoneidade para licitar ou contratar são passíveis de reabilitação na forma do art. 163 da Lei nº 14.133/21.</w:t>
      </w:r>
    </w:p>
    <w:p w14:paraId="74F9AC08" w14:textId="77777777" w:rsidR="00380AFB" w:rsidRDefault="00380AFB">
      <w:pPr>
        <w:spacing w:line="276" w:lineRule="auto"/>
        <w:contextualSpacing/>
        <w:jc w:val="both"/>
        <w:rPr>
          <w:rFonts w:ascii="Bookman Old Style" w:eastAsia="Calibri" w:hAnsi="Bookman Old Style" w:cs="Times New Roman"/>
          <w:bCs/>
          <w:sz w:val="19"/>
          <w:szCs w:val="19"/>
        </w:rPr>
      </w:pPr>
    </w:p>
    <w:p w14:paraId="2949AB5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15.13.</w:t>
      </w:r>
      <w:r>
        <w:rPr>
          <w:rFonts w:ascii="Bookman Old Style" w:eastAsia="Calibri" w:hAnsi="Bookman Old Style" w:cs="Times New Roman"/>
          <w:bCs/>
          <w:sz w:val="19"/>
          <w:szCs w:val="19"/>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A3FDD63" w14:textId="77777777" w:rsidR="00380AFB" w:rsidRDefault="00380AFB">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4F1CE732" w14:textId="77777777" w:rsidR="00380AFB" w:rsidRDefault="00380AFB">
      <w:pP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p>
    <w:p w14:paraId="22DE46E7" w14:textId="77777777" w:rsidR="00380AFB" w:rsidRDefault="00000000">
      <w:pPr>
        <w:pBdr>
          <w:bottom w:val="single" w:sz="12" w:space="1" w:color="auto"/>
        </w:pBdr>
        <w:autoSpaceDE w:val="0"/>
        <w:autoSpaceDN w:val="0"/>
        <w:adjustRightInd w:val="0"/>
        <w:spacing w:after="0" w:line="276" w:lineRule="auto"/>
        <w:contextualSpacing/>
        <w:jc w:val="both"/>
        <w:rPr>
          <w:rFonts w:ascii="Bookman Old Style" w:eastAsia="Calibri" w:hAnsi="Bookman Old Style" w:cs="Times New Roman"/>
          <w:b/>
          <w:bCs/>
          <w:color w:val="000000"/>
          <w:sz w:val="19"/>
          <w:szCs w:val="19"/>
        </w:rPr>
      </w:pPr>
      <w:r>
        <w:rPr>
          <w:rFonts w:ascii="Bookman Old Style" w:eastAsia="Calibri" w:hAnsi="Bookman Old Style" w:cs="Times New Roman"/>
          <w:b/>
          <w:bCs/>
          <w:color w:val="000000"/>
          <w:sz w:val="19"/>
          <w:szCs w:val="19"/>
        </w:rPr>
        <w:t>16. DAS DISPOSIÇÕES GERAIS</w:t>
      </w:r>
    </w:p>
    <w:p w14:paraId="4452C84F"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6DB67F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w:t>
      </w:r>
      <w:r>
        <w:rPr>
          <w:rFonts w:ascii="Bookman Old Style" w:eastAsia="Calibri" w:hAnsi="Bookman Old Style" w:cs="Times New Roman"/>
          <w:bCs/>
          <w:sz w:val="19"/>
          <w:szCs w:val="19"/>
        </w:rPr>
        <w:t xml:space="preserve">. Constituem anexos deste Edital, dele fazendo parte integrante: </w:t>
      </w:r>
    </w:p>
    <w:p w14:paraId="1A309D2B" w14:textId="77777777" w:rsidR="00380AFB" w:rsidRDefault="00380AFB">
      <w:pPr>
        <w:spacing w:line="276" w:lineRule="auto"/>
        <w:contextualSpacing/>
        <w:jc w:val="both"/>
        <w:rPr>
          <w:rFonts w:ascii="Bookman Old Style" w:eastAsia="Calibri" w:hAnsi="Bookman Old Style" w:cs="Times New Roman"/>
          <w:bCs/>
          <w:sz w:val="19"/>
          <w:szCs w:val="19"/>
        </w:rPr>
      </w:pPr>
    </w:p>
    <w:p w14:paraId="560A28B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16.1.1</w:t>
      </w:r>
      <w:r>
        <w:rPr>
          <w:rFonts w:ascii="Bookman Old Style" w:eastAsia="Calibri" w:hAnsi="Bookman Old Style" w:cs="Times New Roman"/>
          <w:bCs/>
          <w:sz w:val="19"/>
          <w:szCs w:val="19"/>
        </w:rPr>
        <w:t xml:space="preserve">. Anexo I – Termo de Referência; </w:t>
      </w:r>
    </w:p>
    <w:p w14:paraId="5EC8501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16.1.2.</w:t>
      </w:r>
      <w:r>
        <w:rPr>
          <w:rFonts w:ascii="Bookman Old Style" w:eastAsia="Calibri" w:hAnsi="Bookman Old Style" w:cs="Times New Roman"/>
          <w:bCs/>
          <w:sz w:val="19"/>
          <w:szCs w:val="19"/>
        </w:rPr>
        <w:t xml:space="preserve"> Anexo II – Modelo de Carta de Credenciamento; </w:t>
      </w:r>
    </w:p>
    <w:p w14:paraId="45B46B6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16.1.3.</w:t>
      </w:r>
      <w:r>
        <w:rPr>
          <w:rFonts w:ascii="Bookman Old Style" w:eastAsia="Calibri" w:hAnsi="Bookman Old Style" w:cs="Times New Roman"/>
          <w:bCs/>
          <w:sz w:val="19"/>
          <w:szCs w:val="19"/>
        </w:rPr>
        <w:t xml:space="preserve"> Anexo III – Modelo de Enquadramento de Microempresas (ME) e empresas de pequeno porte (EPP); </w:t>
      </w:r>
    </w:p>
    <w:p w14:paraId="35881B7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16.1.4.</w:t>
      </w:r>
      <w:r>
        <w:rPr>
          <w:rFonts w:ascii="Bookman Old Style" w:eastAsia="Calibri" w:hAnsi="Bookman Old Style" w:cs="Times New Roman"/>
          <w:bCs/>
          <w:sz w:val="19"/>
          <w:szCs w:val="19"/>
        </w:rPr>
        <w:t xml:space="preserve"> Anexo IV– Modelo de Carta de Apresentação da Proposta de Preço; </w:t>
      </w:r>
    </w:p>
    <w:p w14:paraId="41936D8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16.1.5.</w:t>
      </w:r>
      <w:r>
        <w:rPr>
          <w:rFonts w:ascii="Bookman Old Style" w:eastAsia="Calibri" w:hAnsi="Bookman Old Style" w:cs="Times New Roman"/>
          <w:bCs/>
          <w:sz w:val="19"/>
          <w:szCs w:val="19"/>
        </w:rPr>
        <w:t xml:space="preserve"> Anexo V – Declaração de Opção pelo ―Simples Nacional</w:t>
      </w:r>
      <w:r>
        <w:rPr>
          <w:rFonts w:ascii="Times New Roman" w:eastAsia="Calibri" w:hAnsi="Times New Roman" w:cs="Times New Roman"/>
          <w:bCs/>
          <w:sz w:val="19"/>
          <w:szCs w:val="19"/>
        </w:rPr>
        <w:t>‖</w:t>
      </w:r>
      <w:r>
        <w:rPr>
          <w:rFonts w:ascii="Bookman Old Style" w:eastAsia="Calibri" w:hAnsi="Bookman Old Style" w:cs="Times New Roman"/>
          <w:bCs/>
          <w:sz w:val="19"/>
          <w:szCs w:val="19"/>
        </w:rPr>
        <w:t xml:space="preserve">; </w:t>
      </w:r>
    </w:p>
    <w:p w14:paraId="4FDE2CE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16.1.6.</w:t>
      </w:r>
      <w:r>
        <w:rPr>
          <w:rFonts w:ascii="Bookman Old Style" w:eastAsia="Calibri" w:hAnsi="Bookman Old Style" w:cs="Times New Roman"/>
          <w:bCs/>
          <w:sz w:val="19"/>
          <w:szCs w:val="19"/>
        </w:rPr>
        <w:t xml:space="preserve"> Anexo VI </w:t>
      </w:r>
      <w:r>
        <w:rPr>
          <w:rFonts w:ascii="Bookman Old Style" w:eastAsia="Calibri" w:hAnsi="Bookman Old Style" w:cs="Bookman Old Style"/>
          <w:bCs/>
          <w:sz w:val="19"/>
          <w:szCs w:val="19"/>
        </w:rPr>
        <w:t>–</w:t>
      </w:r>
      <w:r>
        <w:rPr>
          <w:rFonts w:ascii="Bookman Old Style" w:eastAsia="Calibri" w:hAnsi="Bookman Old Style" w:cs="Times New Roman"/>
          <w:bCs/>
          <w:sz w:val="19"/>
          <w:szCs w:val="19"/>
        </w:rPr>
        <w:t xml:space="preserve"> Minuta da Ata de Registro de Pre</w:t>
      </w:r>
      <w:r>
        <w:rPr>
          <w:rFonts w:ascii="Bookman Old Style" w:eastAsia="Calibri" w:hAnsi="Bookman Old Style" w:cs="Bookman Old Style"/>
          <w:bCs/>
          <w:sz w:val="19"/>
          <w:szCs w:val="19"/>
        </w:rPr>
        <w:t>ç</w:t>
      </w:r>
      <w:r>
        <w:rPr>
          <w:rFonts w:ascii="Bookman Old Style" w:eastAsia="Calibri" w:hAnsi="Bookman Old Style" w:cs="Times New Roman"/>
          <w:bCs/>
          <w:sz w:val="19"/>
          <w:szCs w:val="19"/>
        </w:rPr>
        <w:t>os.</w:t>
      </w:r>
    </w:p>
    <w:p w14:paraId="196CCD92" w14:textId="77777777" w:rsidR="00380AFB" w:rsidRDefault="00380AFB">
      <w:pPr>
        <w:spacing w:line="276" w:lineRule="auto"/>
        <w:contextualSpacing/>
        <w:jc w:val="both"/>
        <w:rPr>
          <w:rFonts w:ascii="Bookman Old Style" w:eastAsia="Calibri" w:hAnsi="Bookman Old Style" w:cs="Times New Roman"/>
          <w:b/>
          <w:bCs/>
          <w:sz w:val="19"/>
          <w:szCs w:val="19"/>
        </w:rPr>
      </w:pPr>
    </w:p>
    <w:p w14:paraId="7E1709F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16.2.</w:t>
      </w:r>
      <w:r>
        <w:rPr>
          <w:rFonts w:ascii="Bookman Old Style" w:eastAsia="Calibri" w:hAnsi="Bookman Old Style" w:cs="Times New Roman"/>
          <w:bCs/>
          <w:sz w:val="19"/>
          <w:szCs w:val="19"/>
        </w:rPr>
        <w:t xml:space="preserve"> Se o licitante vencedor, convocado dentro do prazo de validade de sua proposta, deixar de assinar o Contrato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 </w:t>
      </w:r>
    </w:p>
    <w:p w14:paraId="54E738B4" w14:textId="77777777" w:rsidR="00380AFB" w:rsidRDefault="00380AFB">
      <w:pPr>
        <w:spacing w:line="276" w:lineRule="auto"/>
        <w:contextualSpacing/>
        <w:jc w:val="both"/>
        <w:rPr>
          <w:rFonts w:ascii="Bookman Old Style" w:eastAsia="Calibri" w:hAnsi="Bookman Old Style" w:cs="Times New Roman"/>
          <w:bCs/>
          <w:sz w:val="19"/>
          <w:szCs w:val="19"/>
        </w:rPr>
      </w:pPr>
    </w:p>
    <w:p w14:paraId="45772CB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16.3.</w:t>
      </w:r>
      <w:r>
        <w:rPr>
          <w:rFonts w:ascii="Bookman Old Style" w:eastAsia="Calibri" w:hAnsi="Bookman Old Style" w:cs="Times New Roman"/>
          <w:bCs/>
          <w:sz w:val="19"/>
          <w:szCs w:val="19"/>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07FBC586" w14:textId="77777777" w:rsidR="00380AFB" w:rsidRDefault="00380AFB">
      <w:pPr>
        <w:spacing w:line="276" w:lineRule="auto"/>
        <w:contextualSpacing/>
        <w:jc w:val="both"/>
        <w:rPr>
          <w:rFonts w:ascii="Bookman Old Style" w:eastAsia="Calibri" w:hAnsi="Bookman Old Style" w:cs="Times New Roman"/>
          <w:bCs/>
          <w:sz w:val="19"/>
          <w:szCs w:val="19"/>
        </w:rPr>
      </w:pPr>
    </w:p>
    <w:p w14:paraId="60D5530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16.4.</w:t>
      </w:r>
      <w:r>
        <w:rPr>
          <w:rFonts w:ascii="Bookman Old Style" w:eastAsia="Calibri" w:hAnsi="Bookman Old Style" w:cs="Times New Roman"/>
          <w:bCs/>
          <w:sz w:val="19"/>
          <w:szCs w:val="19"/>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 </w:t>
      </w:r>
    </w:p>
    <w:p w14:paraId="72DE6FCE" w14:textId="77777777" w:rsidR="00380AFB" w:rsidRDefault="00380AFB">
      <w:pPr>
        <w:spacing w:line="276" w:lineRule="auto"/>
        <w:contextualSpacing/>
        <w:jc w:val="both"/>
        <w:rPr>
          <w:rFonts w:ascii="Bookman Old Style" w:eastAsia="Calibri" w:hAnsi="Bookman Old Style" w:cs="Times New Roman"/>
          <w:bCs/>
          <w:sz w:val="19"/>
          <w:szCs w:val="19"/>
        </w:rPr>
      </w:pPr>
    </w:p>
    <w:p w14:paraId="5A742A3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16.5.</w:t>
      </w:r>
      <w:r>
        <w:rPr>
          <w:rFonts w:ascii="Bookman Old Style" w:eastAsia="Calibri" w:hAnsi="Bookman Old Style" w:cs="Times New Roman"/>
          <w:bCs/>
          <w:sz w:val="19"/>
          <w:szCs w:val="19"/>
        </w:rPr>
        <w:t xml:space="preserve"> Na análise da documentação e no julgamento das Propostas Comerciais, o (a) Pregoeiro (a) poderá, a seu critério, solicitar o assessoramento técnico de órgãos ou de profissionais especializados.</w:t>
      </w:r>
    </w:p>
    <w:p w14:paraId="358588D5" w14:textId="77777777" w:rsidR="00380AFB" w:rsidRDefault="00380AFB">
      <w:pPr>
        <w:spacing w:line="276" w:lineRule="auto"/>
        <w:contextualSpacing/>
        <w:jc w:val="both"/>
        <w:rPr>
          <w:rFonts w:ascii="Bookman Old Style" w:eastAsia="Calibri" w:hAnsi="Bookman Old Style" w:cs="Times New Roman"/>
          <w:bCs/>
          <w:sz w:val="19"/>
          <w:szCs w:val="19"/>
        </w:rPr>
      </w:pPr>
    </w:p>
    <w:p w14:paraId="5EDF13F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16.6.</w:t>
      </w:r>
      <w:r>
        <w:rPr>
          <w:rFonts w:ascii="Bookman Old Style" w:eastAsia="Calibri" w:hAnsi="Bookman Old Style" w:cs="Times New Roman"/>
          <w:bCs/>
          <w:sz w:val="19"/>
          <w:szCs w:val="19"/>
        </w:rPr>
        <w:t xml:space="preserve"> Toda a documentação apresentada neste Edital e seus anexos são complementares entre si, de modo que qualquer detalhe que se mencione em um documento e se omita em outro será considerado especificado e válido. </w:t>
      </w:r>
    </w:p>
    <w:p w14:paraId="2F0DDA9A" w14:textId="77777777" w:rsidR="00380AFB" w:rsidRDefault="00380AFB">
      <w:pPr>
        <w:spacing w:line="276" w:lineRule="auto"/>
        <w:contextualSpacing/>
        <w:jc w:val="both"/>
        <w:rPr>
          <w:rFonts w:ascii="Bookman Old Style" w:eastAsia="Calibri" w:hAnsi="Bookman Old Style" w:cs="Times New Roman"/>
          <w:bCs/>
          <w:sz w:val="19"/>
          <w:szCs w:val="19"/>
        </w:rPr>
      </w:pPr>
    </w:p>
    <w:p w14:paraId="418800B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16.7.</w:t>
      </w:r>
      <w:r>
        <w:rPr>
          <w:rFonts w:ascii="Bookman Old Style" w:eastAsia="Calibri" w:hAnsi="Bookman Old Style" w:cs="Times New Roman"/>
          <w:bCs/>
          <w:sz w:val="19"/>
          <w:szCs w:val="19"/>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 </w:t>
      </w:r>
    </w:p>
    <w:p w14:paraId="198F495D" w14:textId="77777777" w:rsidR="00380AFB" w:rsidRDefault="00380AFB">
      <w:pPr>
        <w:spacing w:line="276" w:lineRule="auto"/>
        <w:contextualSpacing/>
        <w:jc w:val="both"/>
        <w:rPr>
          <w:rFonts w:ascii="Bookman Old Style" w:eastAsia="Calibri" w:hAnsi="Bookman Old Style" w:cs="Times New Roman"/>
          <w:bCs/>
          <w:sz w:val="19"/>
          <w:szCs w:val="19"/>
        </w:rPr>
      </w:pPr>
    </w:p>
    <w:p w14:paraId="28FE3E1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16.7.1</w:t>
      </w:r>
      <w:r>
        <w:rPr>
          <w:rFonts w:ascii="Bookman Old Style" w:eastAsia="Calibri" w:hAnsi="Bookman Old Style" w:cs="Times New Roman"/>
          <w:bCs/>
          <w:sz w:val="19"/>
          <w:szCs w:val="19"/>
        </w:rPr>
        <w:t xml:space="preserve">. Se houver solicitação de documentos, estes deverão ser apresentados em original ou em cópia autenticada por cartório, sendo possível, ainda, a autenticação dos mesmos pelo (a) Pregoeiro (a) ou Equipe de Apoio. </w:t>
      </w:r>
    </w:p>
    <w:p w14:paraId="3C9FDE61" w14:textId="77777777" w:rsidR="00380AFB" w:rsidRDefault="00380AFB">
      <w:pPr>
        <w:spacing w:line="276" w:lineRule="auto"/>
        <w:contextualSpacing/>
        <w:jc w:val="both"/>
        <w:rPr>
          <w:rFonts w:ascii="Bookman Old Style" w:eastAsia="Calibri" w:hAnsi="Bookman Old Style" w:cs="Times New Roman"/>
          <w:bCs/>
          <w:sz w:val="19"/>
          <w:szCs w:val="19"/>
        </w:rPr>
      </w:pPr>
    </w:p>
    <w:p w14:paraId="5C22FEA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16.7.2.</w:t>
      </w:r>
      <w:r>
        <w:rPr>
          <w:rFonts w:ascii="Bookman Old Style" w:eastAsia="Calibri" w:hAnsi="Bookman Old Style" w:cs="Times New Roman"/>
          <w:bCs/>
          <w:sz w:val="19"/>
          <w:szCs w:val="19"/>
        </w:rPr>
        <w:t xml:space="preserve"> O não cumprimento da diligência poderá ensejar a desclassificação da proposta ou inabilitação do licitante. </w:t>
      </w:r>
    </w:p>
    <w:p w14:paraId="459087E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16.8.</w:t>
      </w:r>
      <w:r>
        <w:rPr>
          <w:rFonts w:ascii="Bookman Old Style" w:eastAsia="Calibri" w:hAnsi="Bookman Old Style" w:cs="Times New Roman"/>
          <w:bCs/>
          <w:sz w:val="19"/>
          <w:szCs w:val="19"/>
        </w:rPr>
        <w:t xml:space="preserve"> A participação do licitante nesta licitação implica o conhecimento integral dos termos e condições inseridas neste Edital, bem como das demais normas legais que disciplinam a matéria. </w:t>
      </w:r>
    </w:p>
    <w:p w14:paraId="54BAF2C6" w14:textId="77777777" w:rsidR="00380AFB" w:rsidRDefault="00380AFB">
      <w:pPr>
        <w:spacing w:line="276" w:lineRule="auto"/>
        <w:contextualSpacing/>
        <w:jc w:val="both"/>
        <w:rPr>
          <w:rFonts w:ascii="Bookman Old Style" w:eastAsia="Calibri" w:hAnsi="Bookman Old Style" w:cs="Times New Roman"/>
          <w:bCs/>
          <w:sz w:val="19"/>
          <w:szCs w:val="19"/>
        </w:rPr>
      </w:pPr>
    </w:p>
    <w:p w14:paraId="23007CC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16.9.</w:t>
      </w:r>
      <w:r>
        <w:rPr>
          <w:rFonts w:ascii="Bookman Old Style" w:eastAsia="Calibri" w:hAnsi="Bookman Old Style" w:cs="Times New Roman"/>
          <w:bCs/>
          <w:sz w:val="19"/>
          <w:szCs w:val="19"/>
        </w:rPr>
        <w:t xml:space="preserve"> A presente licitação não importa, necessariamente, em contratação, podendo a Administração revogá-la, no todo ou em parte, por razões de interesse público, derivadas de fatos supervenientes comprovados ou anulá-la por ilegalidade, de ofício ou por provocação, mediante ato escrito e fundamentado, disponibilizado no sistema para conhecimento dos licitantes. </w:t>
      </w:r>
    </w:p>
    <w:p w14:paraId="64C0D3BC"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487B88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16.10.</w:t>
      </w:r>
      <w:r>
        <w:rPr>
          <w:rFonts w:ascii="Bookman Old Style" w:eastAsia="Calibri" w:hAnsi="Bookman Old Style" w:cs="Times New Roman"/>
          <w:bCs/>
          <w:sz w:val="19"/>
          <w:szCs w:val="19"/>
        </w:rPr>
        <w:t xml:space="preserve"> Para atender a seus interesses, a Administração poderá alterar quantitativos, sem que isto implique alteração dos preços unitários ofertados, obedecidos os limites estabelecidos no art. 125, da Lei Federal n° 14.133/2021. </w:t>
      </w:r>
    </w:p>
    <w:p w14:paraId="75BED5BA"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51A33B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16.11.</w:t>
      </w:r>
      <w:r>
        <w:rPr>
          <w:rFonts w:ascii="Bookman Old Style" w:eastAsia="Calibri" w:hAnsi="Bookman Old Style" w:cs="Times New Roman"/>
          <w:bCs/>
          <w:sz w:val="19"/>
          <w:szCs w:val="19"/>
        </w:rPr>
        <w:t xml:space="preserve"> A Administração poderá prorrogar, por conveniência exclusiva, a qualquer tempo, os prazos para recebimento das propostas ou para sua abertura. </w:t>
      </w:r>
    </w:p>
    <w:p w14:paraId="493F942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7247D3B"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16.12.</w:t>
      </w:r>
      <w:r>
        <w:rPr>
          <w:rFonts w:ascii="Bookman Old Style" w:eastAsia="Calibri" w:hAnsi="Bookman Old Style" w:cs="Times New Roman"/>
          <w:bCs/>
          <w:sz w:val="19"/>
          <w:szCs w:val="19"/>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r>
        <w:rPr>
          <w:rFonts w:ascii="Bookman Old Style" w:eastAsia="Calibri" w:hAnsi="Bookman Old Style" w:cs="Times New Roman"/>
          <w:b/>
          <w:bCs/>
          <w:sz w:val="19"/>
          <w:szCs w:val="19"/>
        </w:rPr>
        <w:t xml:space="preserve"> </w:t>
      </w:r>
    </w:p>
    <w:p w14:paraId="3DE5161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188CC85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16.13.</w:t>
      </w:r>
      <w:r>
        <w:rPr>
          <w:rFonts w:ascii="Bookman Old Style" w:eastAsia="Calibri" w:hAnsi="Bookman Old Style" w:cs="Times New Roman"/>
          <w:bCs/>
          <w:sz w:val="19"/>
          <w:szCs w:val="19"/>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BEEB1F5"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F2DE39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16.14.</w:t>
      </w:r>
      <w:r>
        <w:rPr>
          <w:rFonts w:ascii="Bookman Old Style" w:eastAsia="Calibri" w:hAnsi="Bookman Old Style" w:cs="Times New Roman"/>
          <w:bCs/>
          <w:sz w:val="19"/>
          <w:szCs w:val="19"/>
        </w:rPr>
        <w:t xml:space="preserve"> Na contagem dos prazos estabelecidos neste Edital e seus Anexos, excluir-se-á o dia do início e incluir-se-á o do vencimento. Só se iniciam e vencem os prazos em dias de expediente na Administração. </w:t>
      </w:r>
    </w:p>
    <w:p w14:paraId="5E81CF2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4F60D0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16.15.</w:t>
      </w:r>
      <w:r>
        <w:rPr>
          <w:rFonts w:ascii="Bookman Old Style" w:eastAsia="Calibri" w:hAnsi="Bookman Old Style" w:cs="Times New Roman"/>
          <w:bCs/>
          <w:sz w:val="19"/>
          <w:szCs w:val="19"/>
        </w:rPr>
        <w:t xml:space="preserve"> O desatendimento de exigências formais não essenciais não importará o afastamento do licitante, desde que seja possível o aproveitamento do ato, observados os princípios da isonomia e do interesse público. </w:t>
      </w:r>
    </w:p>
    <w:p w14:paraId="5E5F706E"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E691B7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16.16.</w:t>
      </w:r>
      <w:r>
        <w:rPr>
          <w:rFonts w:ascii="Bookman Old Style" w:eastAsia="Calibri" w:hAnsi="Bookman Old Style" w:cs="Times New Roman"/>
          <w:bCs/>
          <w:sz w:val="19"/>
          <w:szCs w:val="19"/>
        </w:rPr>
        <w:t xml:space="preserve"> Em caso de divergência entre disposições deste Edital e de seus anexos ou demais peças que compõem o processo, prevalecerá as deste Edital. </w:t>
      </w:r>
    </w:p>
    <w:p w14:paraId="714F15C4" w14:textId="77777777" w:rsidR="00380AFB" w:rsidRDefault="00380AFB">
      <w:pPr>
        <w:spacing w:line="276" w:lineRule="auto"/>
        <w:contextualSpacing/>
        <w:jc w:val="both"/>
        <w:rPr>
          <w:rFonts w:ascii="Bookman Old Style" w:eastAsia="Calibri" w:hAnsi="Bookman Old Style" w:cs="Times New Roman"/>
          <w:b/>
          <w:bCs/>
          <w:sz w:val="19"/>
          <w:szCs w:val="19"/>
        </w:rPr>
      </w:pPr>
    </w:p>
    <w:p w14:paraId="0202FE3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16.17.</w:t>
      </w:r>
      <w:r>
        <w:rPr>
          <w:rFonts w:ascii="Bookman Old Style" w:eastAsia="Calibri" w:hAnsi="Bookman Old Style" w:cs="Times New Roman"/>
          <w:bCs/>
          <w:sz w:val="19"/>
          <w:szCs w:val="19"/>
        </w:rPr>
        <w:t xml:space="preserve"> Fica eleito o foro da Comarca de Pitangui, Estado de Minas Gerais, para dirimir eventuais conflitos de interesses decorrentes desta licitação, valendo esta cláusula como renúncia expressa a qualquer outro foro, por mais privilegiado que seja ou venha a ser.</w:t>
      </w:r>
    </w:p>
    <w:p w14:paraId="47E00B5A" w14:textId="77777777" w:rsidR="00380AFB" w:rsidRDefault="00380AFB">
      <w:pPr>
        <w:spacing w:line="276" w:lineRule="auto"/>
        <w:contextualSpacing/>
        <w:jc w:val="both"/>
        <w:rPr>
          <w:rFonts w:ascii="Bookman Old Style" w:eastAsia="Calibri" w:hAnsi="Bookman Old Style" w:cs="Times New Roman"/>
          <w:bCs/>
          <w:sz w:val="19"/>
          <w:szCs w:val="19"/>
        </w:rPr>
      </w:pPr>
    </w:p>
    <w:p w14:paraId="79206771" w14:textId="77777777" w:rsidR="00380AFB" w:rsidRDefault="00000000">
      <w:pPr>
        <w:spacing w:line="276" w:lineRule="auto"/>
        <w:contextualSpacing/>
        <w:jc w:val="both"/>
        <w:rPr>
          <w:rFonts w:ascii="Bookman Old Style" w:eastAsia="Calibri" w:hAnsi="Bookman Old Style" w:cs="Times New Roman"/>
          <w:bCs/>
          <w:color w:val="FF0000"/>
          <w:sz w:val="19"/>
          <w:szCs w:val="19"/>
        </w:rPr>
      </w:pPr>
      <w:r>
        <w:rPr>
          <w:rFonts w:ascii="Bookman Old Style" w:eastAsia="Calibri" w:hAnsi="Bookman Old Style" w:cs="Times New Roman"/>
          <w:bCs/>
          <w:sz w:val="19"/>
          <w:szCs w:val="19"/>
        </w:rPr>
        <w:t>Maravilhas/MG, 18 de junho de 2025.</w:t>
      </w:r>
    </w:p>
    <w:p w14:paraId="6B2D5288" w14:textId="77777777" w:rsidR="00380AFB" w:rsidRDefault="00380AFB">
      <w:pPr>
        <w:pStyle w:val="SemEspaamento"/>
        <w:spacing w:line="276" w:lineRule="auto"/>
        <w:contextualSpacing/>
        <w:jc w:val="center"/>
        <w:rPr>
          <w:rFonts w:ascii="Bookman Old Style" w:hAnsi="Bookman Old Style"/>
          <w:sz w:val="19"/>
          <w:szCs w:val="19"/>
        </w:rPr>
      </w:pPr>
    </w:p>
    <w:p w14:paraId="44C42E9B" w14:textId="77777777" w:rsidR="00380AFB" w:rsidRDefault="00000000">
      <w:pPr>
        <w:pStyle w:val="SemEspaamento"/>
        <w:spacing w:line="276" w:lineRule="auto"/>
        <w:contextualSpacing/>
        <w:jc w:val="center"/>
        <w:rPr>
          <w:rFonts w:ascii="Bookman Old Style" w:hAnsi="Bookman Old Style"/>
          <w:b/>
          <w:sz w:val="19"/>
          <w:szCs w:val="19"/>
        </w:rPr>
      </w:pPr>
      <w:r>
        <w:rPr>
          <w:rFonts w:ascii="Bookman Old Style" w:hAnsi="Bookman Old Style"/>
          <w:b/>
          <w:sz w:val="19"/>
          <w:szCs w:val="19"/>
        </w:rPr>
        <w:t>Rolando Alberto Sacchetto Fonseca</w:t>
      </w:r>
    </w:p>
    <w:p w14:paraId="353CCC3F" w14:textId="77777777" w:rsidR="00380AFB" w:rsidRDefault="00000000">
      <w:pPr>
        <w:pStyle w:val="SemEspaamento"/>
        <w:spacing w:line="276" w:lineRule="auto"/>
        <w:contextualSpacing/>
        <w:jc w:val="center"/>
        <w:rPr>
          <w:rFonts w:ascii="Bookman Old Style" w:hAnsi="Bookman Old Style"/>
          <w:b/>
          <w:sz w:val="19"/>
          <w:szCs w:val="19"/>
        </w:rPr>
      </w:pPr>
      <w:r>
        <w:rPr>
          <w:rFonts w:ascii="Bookman Old Style" w:hAnsi="Bookman Old Style"/>
          <w:b/>
          <w:sz w:val="19"/>
          <w:szCs w:val="19"/>
        </w:rPr>
        <w:t>Secretário Municipal de Governo</w:t>
      </w:r>
    </w:p>
    <w:p w14:paraId="787461DA" w14:textId="77777777" w:rsidR="00380AFB" w:rsidRDefault="00000000">
      <w:pPr>
        <w:spacing w:line="276" w:lineRule="auto"/>
        <w:contextualSpacing/>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br w:type="page"/>
      </w:r>
    </w:p>
    <w:p w14:paraId="23DAE7A6" w14:textId="77777777" w:rsidR="00380AFB" w:rsidRDefault="00000000">
      <w:pPr>
        <w:tabs>
          <w:tab w:val="left" w:pos="413"/>
          <w:tab w:val="left" w:pos="9072"/>
        </w:tabs>
        <w:spacing w:line="276" w:lineRule="auto"/>
        <w:contextualSpacing/>
        <w:jc w:val="center"/>
        <w:rPr>
          <w:rFonts w:ascii="Bookman Old Style" w:eastAsia="Arial" w:hAnsi="Bookman Old Style"/>
          <w:b/>
          <w:color w:val="000000"/>
          <w:sz w:val="19"/>
          <w:szCs w:val="19"/>
          <w:u w:val="single"/>
        </w:rPr>
      </w:pPr>
      <w:r>
        <w:rPr>
          <w:rFonts w:ascii="Bookman Old Style" w:eastAsia="Arial" w:hAnsi="Bookman Old Style"/>
          <w:b/>
          <w:color w:val="000000"/>
          <w:sz w:val="19"/>
          <w:szCs w:val="19"/>
          <w:u w:val="single"/>
        </w:rPr>
        <w:lastRenderedPageBreak/>
        <w:t>ANEXO I- TERMO DE REFERÊNCIA</w:t>
      </w:r>
    </w:p>
    <w:p w14:paraId="1FF5A419" w14:textId="77777777" w:rsidR="00380AFB" w:rsidRDefault="00000000">
      <w:pPr>
        <w:pStyle w:val="Default"/>
        <w:spacing w:line="276" w:lineRule="auto"/>
        <w:contextualSpacing/>
        <w:jc w:val="center"/>
        <w:rPr>
          <w:rFonts w:ascii="Bookman Old Style" w:hAnsi="Bookman Old Style" w:cs="Times New Roman"/>
          <w:color w:val="000000" w:themeColor="text1"/>
          <w:sz w:val="19"/>
          <w:szCs w:val="19"/>
        </w:rPr>
      </w:pPr>
      <w:r>
        <w:rPr>
          <w:rFonts w:ascii="Bookman Old Style" w:hAnsi="Bookman Old Style" w:cs="Times New Roman"/>
          <w:b/>
          <w:bCs/>
          <w:color w:val="000000" w:themeColor="text1"/>
          <w:sz w:val="19"/>
          <w:szCs w:val="19"/>
        </w:rPr>
        <w:t>PROCESSO LICITATÓRIO Nº 120/2025</w:t>
      </w:r>
    </w:p>
    <w:p w14:paraId="2DA50FED" w14:textId="77777777" w:rsidR="00380AFB" w:rsidRDefault="00000000">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MODALIDADE: PREGÃO ELETRÔNICO Nº 21/2025</w:t>
      </w:r>
    </w:p>
    <w:p w14:paraId="3060BD75" w14:textId="77777777" w:rsidR="00380AFB" w:rsidRDefault="00000000">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 xml:space="preserve">REGISTRO DE PREÇOS </w:t>
      </w:r>
    </w:p>
    <w:p w14:paraId="0A50FA7D" w14:textId="77777777" w:rsidR="00380AFB" w:rsidRDefault="00000000">
      <w:pPr>
        <w:pStyle w:val="Default"/>
        <w:spacing w:line="276" w:lineRule="auto"/>
        <w:contextualSpacing/>
        <w:jc w:val="center"/>
        <w:rPr>
          <w:rFonts w:ascii="Bookman Old Style" w:hAnsi="Bookman Old Style" w:cs="Times New Roman"/>
          <w:b/>
          <w:bCs/>
          <w:color w:val="000000" w:themeColor="text1"/>
          <w:sz w:val="19"/>
          <w:szCs w:val="19"/>
        </w:rPr>
      </w:pPr>
      <w:r>
        <w:rPr>
          <w:rFonts w:ascii="Bookman Old Style" w:hAnsi="Bookman Old Style" w:cs="Times New Roman"/>
          <w:b/>
          <w:bCs/>
          <w:color w:val="000000" w:themeColor="text1"/>
          <w:sz w:val="19"/>
          <w:szCs w:val="19"/>
        </w:rPr>
        <w:t>TIPO: MENOR PREÇO- ITEM</w:t>
      </w:r>
    </w:p>
    <w:p w14:paraId="5FA63DBD" w14:textId="77777777" w:rsidR="00380AFB" w:rsidRDefault="00380AFB">
      <w:pPr>
        <w:tabs>
          <w:tab w:val="left" w:pos="413"/>
          <w:tab w:val="left" w:pos="9072"/>
        </w:tabs>
        <w:spacing w:line="276" w:lineRule="auto"/>
        <w:contextualSpacing/>
        <w:jc w:val="center"/>
        <w:rPr>
          <w:rFonts w:ascii="Bookman Old Style" w:eastAsia="Times New Roman" w:hAnsi="Bookman Old Style" w:cs="Times New Roman"/>
          <w:b/>
          <w:color w:val="000000"/>
          <w:sz w:val="19"/>
          <w:szCs w:val="19"/>
          <w:u w:val="single"/>
        </w:rPr>
      </w:pPr>
    </w:p>
    <w:p w14:paraId="079B5B92" w14:textId="77777777" w:rsidR="00380AFB" w:rsidRDefault="00000000">
      <w:pPr>
        <w:keepNext/>
        <w:keepLines/>
        <w:numPr>
          <w:ilvl w:val="0"/>
          <w:numId w:val="5"/>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CONDIÇÕES GERAIS DA CONTRATAÇÃO</w:t>
      </w:r>
    </w:p>
    <w:p w14:paraId="6E14B6B2"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2BB1AF85"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Cs/>
          <w:color w:val="000000"/>
          <w:sz w:val="19"/>
          <w:szCs w:val="19"/>
        </w:rPr>
      </w:pPr>
      <w:r>
        <w:rPr>
          <w:rFonts w:ascii="Bookman Old Style" w:eastAsia="Arial" w:hAnsi="Bookman Old Style"/>
          <w:color w:val="000000"/>
          <w:sz w:val="19"/>
          <w:szCs w:val="19"/>
        </w:rPr>
        <w:t xml:space="preserve">1.1. </w:t>
      </w:r>
      <w:r>
        <w:rPr>
          <w:rFonts w:ascii="Bookman Old Style" w:hAnsi="Bookman Old Style" w:cs="Times New Roman"/>
          <w:bCs/>
          <w:sz w:val="20"/>
          <w:szCs w:val="20"/>
        </w:rPr>
        <w:t>Registro de Preços para</w:t>
      </w:r>
      <w:r>
        <w:rPr>
          <w:rFonts w:ascii="Bookman Old Style" w:hAnsi="Bookman Old Style" w:cs="Times New Roman"/>
          <w:b/>
          <w:bCs/>
          <w:sz w:val="20"/>
          <w:szCs w:val="20"/>
        </w:rPr>
        <w:t xml:space="preserve"> </w:t>
      </w:r>
      <w:r>
        <w:rPr>
          <w:rFonts w:ascii="Bookman Old Style" w:hAnsi="Bookman Old Style" w:cs="Times New Roman"/>
          <w:bCs/>
          <w:sz w:val="20"/>
          <w:szCs w:val="20"/>
        </w:rPr>
        <w:t>aquisição de cartucho e toner para atendimento das demandas da Secretaria Municipal de Governo do Município de Maravilhas/MG</w:t>
      </w:r>
      <w:r>
        <w:rPr>
          <w:rFonts w:ascii="Bookman Old Style" w:eastAsia="Arial" w:hAnsi="Bookman Old Style"/>
          <w:bCs/>
          <w:color w:val="000000"/>
          <w:sz w:val="19"/>
          <w:szCs w:val="19"/>
        </w:rPr>
        <w:t>.</w:t>
      </w:r>
    </w:p>
    <w:p w14:paraId="5AA747AC"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Cs/>
          <w:color w:val="000000"/>
          <w:sz w:val="19"/>
          <w:szCs w:val="19"/>
        </w:rPr>
      </w:pPr>
    </w:p>
    <w:p w14:paraId="5E7580D4"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1.2. O objeto desta contratação é caracterizado como comum.</w:t>
      </w:r>
    </w:p>
    <w:p w14:paraId="5CDC1BB5"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031FCEAB"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r>
        <w:rPr>
          <w:rFonts w:ascii="Bookman Old Style" w:eastAsia="Arial" w:hAnsi="Bookman Old Style"/>
          <w:sz w:val="19"/>
          <w:szCs w:val="19"/>
        </w:rPr>
        <w:t>1.3. O prazo de vigência da ata de registro de preços será de 1 (um) ano e poderá ser prorrogado, por igual período, desde que comprovado o preço vantajoso.</w:t>
      </w:r>
    </w:p>
    <w:p w14:paraId="7648166A"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p>
    <w:p w14:paraId="4690C55D"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sz w:val="19"/>
          <w:szCs w:val="19"/>
        </w:rPr>
        <w:t>1.4. Forma de fornecimento: parcelado.</w:t>
      </w:r>
    </w:p>
    <w:p w14:paraId="3AF05E12" w14:textId="77777777" w:rsidR="00380AFB" w:rsidRDefault="00380AFB">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3255B7D9" w14:textId="77777777" w:rsidR="00380AFB" w:rsidRDefault="00380AFB">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1D7ADB79" w14:textId="77777777" w:rsidR="00380AFB" w:rsidRDefault="00000000">
      <w:pPr>
        <w:keepNext/>
        <w:keepLines/>
        <w:numPr>
          <w:ilvl w:val="0"/>
          <w:numId w:val="5"/>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FUNDAMENTAÇÃO E DESCRIÇÃO DA NECESSIDADE DA CONTRATAÇÃO</w:t>
      </w:r>
    </w:p>
    <w:p w14:paraId="0D426A0E" w14:textId="77777777" w:rsidR="00380AFB" w:rsidRDefault="00000000">
      <w:pPr>
        <w:pStyle w:val="Standard"/>
        <w:spacing w:after="113" w:line="276" w:lineRule="auto"/>
        <w:contextualSpacing/>
        <w:jc w:val="both"/>
        <w:rPr>
          <w:rFonts w:ascii="Bookman Old Style" w:hAnsi="Bookman Old Style"/>
          <w:b/>
          <w:color w:val="000000" w:themeColor="text1"/>
          <w:sz w:val="19"/>
          <w:szCs w:val="19"/>
        </w:rPr>
      </w:pPr>
      <w:r>
        <w:rPr>
          <w:rFonts w:ascii="Bookman Old Style" w:hAnsi="Bookman Old Style"/>
          <w:b/>
          <w:color w:val="000000" w:themeColor="text1"/>
          <w:sz w:val="19"/>
          <w:szCs w:val="19"/>
        </w:rPr>
        <w:t>2.1. Justificativa da necessidade:</w:t>
      </w:r>
    </w:p>
    <w:p w14:paraId="47EB5E4C" w14:textId="77777777" w:rsidR="00380AFB" w:rsidRDefault="00380AFB">
      <w:pPr>
        <w:pStyle w:val="Standard"/>
        <w:spacing w:after="113" w:line="276" w:lineRule="auto"/>
        <w:contextualSpacing/>
        <w:jc w:val="both"/>
        <w:rPr>
          <w:rFonts w:ascii="Bookman Old Style" w:hAnsi="Bookman Old Style"/>
          <w:color w:val="000000" w:themeColor="text1"/>
          <w:sz w:val="19"/>
          <w:szCs w:val="19"/>
        </w:rPr>
      </w:pPr>
    </w:p>
    <w:p w14:paraId="2B8D60D4" w14:textId="77777777" w:rsidR="00380AFB" w:rsidRDefault="00000000">
      <w:pPr>
        <w:pStyle w:val="Standard"/>
        <w:spacing w:after="113" w:line="276" w:lineRule="auto"/>
        <w:contextualSpacing/>
        <w:jc w:val="both"/>
        <w:rPr>
          <w:rFonts w:ascii="Bookman Old Style" w:hAnsi="Bookman Old Style"/>
          <w:color w:val="000000" w:themeColor="text1"/>
          <w:sz w:val="19"/>
          <w:szCs w:val="19"/>
        </w:rPr>
      </w:pPr>
      <w:r>
        <w:rPr>
          <w:rFonts w:ascii="Bookman Old Style" w:hAnsi="Bookman Old Style"/>
          <w:color w:val="000000" w:themeColor="text1"/>
          <w:sz w:val="19"/>
          <w:szCs w:val="19"/>
        </w:rPr>
        <w:tab/>
        <w:t>A presente justificativa visa fundamentar a necessidade da aquisição de cartuchos e toners para suprir as demandas operacionais da Secretaria Municipal de Governo do Município de Maravilhas/MG, considerando a relevância estratégica de suas atribuições institucionais e o papel essencial dos insumos de impressão no cumprimento das atividades administrativas.</w:t>
      </w:r>
    </w:p>
    <w:p w14:paraId="69C868F9" w14:textId="77777777" w:rsidR="00380AFB" w:rsidRDefault="00380AFB">
      <w:pPr>
        <w:pStyle w:val="Standard"/>
        <w:spacing w:after="113" w:line="276" w:lineRule="auto"/>
        <w:contextualSpacing/>
        <w:jc w:val="both"/>
        <w:rPr>
          <w:rFonts w:ascii="Bookman Old Style" w:hAnsi="Bookman Old Style"/>
          <w:color w:val="000000" w:themeColor="text1"/>
          <w:sz w:val="19"/>
          <w:szCs w:val="19"/>
        </w:rPr>
      </w:pPr>
    </w:p>
    <w:p w14:paraId="48700EFE" w14:textId="77777777" w:rsidR="00380AFB" w:rsidRDefault="00000000">
      <w:pPr>
        <w:pStyle w:val="Standard"/>
        <w:spacing w:after="113" w:line="276" w:lineRule="auto"/>
        <w:contextualSpacing/>
        <w:jc w:val="both"/>
        <w:rPr>
          <w:rFonts w:ascii="Bookman Old Style" w:hAnsi="Bookman Old Style"/>
          <w:color w:val="000000" w:themeColor="text1"/>
          <w:sz w:val="19"/>
          <w:szCs w:val="19"/>
        </w:rPr>
      </w:pPr>
      <w:r>
        <w:rPr>
          <w:rFonts w:ascii="Bookman Old Style" w:hAnsi="Bookman Old Style"/>
          <w:color w:val="000000" w:themeColor="text1"/>
          <w:sz w:val="19"/>
          <w:szCs w:val="19"/>
        </w:rPr>
        <w:tab/>
        <w:t>A Secretaria de Governo exerce função central na articulação entre os diversos órgãos da administração pública municipal, sendo responsável pela coordenação de atos normativos, comunicação institucional, gestão de processos administrativos internos, elaboração de ofícios, memorandos, relatórios e atendimento às solicitações do Poder Executivo. Tais atividades demandam, de forma contínua, a produção e reprodução de documentos físicos, especialmente em contextos que envolvem prestações de contas, encaminhamentos oficiais, processos administrativos e comunicação formal entre os setores da Prefeitura e demais entes da federação.</w:t>
      </w:r>
    </w:p>
    <w:p w14:paraId="0DFC0DC1" w14:textId="77777777" w:rsidR="00380AFB" w:rsidRDefault="00380AFB">
      <w:pPr>
        <w:pStyle w:val="Standard"/>
        <w:spacing w:after="113" w:line="276" w:lineRule="auto"/>
        <w:contextualSpacing/>
        <w:jc w:val="both"/>
        <w:rPr>
          <w:rFonts w:ascii="Bookman Old Style" w:hAnsi="Bookman Old Style"/>
          <w:color w:val="000000" w:themeColor="text1"/>
          <w:sz w:val="19"/>
          <w:szCs w:val="19"/>
        </w:rPr>
      </w:pPr>
    </w:p>
    <w:p w14:paraId="19A852AC" w14:textId="77777777" w:rsidR="00380AFB" w:rsidRDefault="00000000">
      <w:pPr>
        <w:pStyle w:val="Standard"/>
        <w:spacing w:after="113" w:line="276" w:lineRule="auto"/>
        <w:contextualSpacing/>
        <w:jc w:val="both"/>
        <w:rPr>
          <w:rFonts w:ascii="Bookman Old Style" w:hAnsi="Bookman Old Style"/>
          <w:color w:val="000000" w:themeColor="text1"/>
          <w:sz w:val="19"/>
          <w:szCs w:val="19"/>
        </w:rPr>
      </w:pPr>
      <w:r>
        <w:rPr>
          <w:rFonts w:ascii="Bookman Old Style" w:hAnsi="Bookman Old Style"/>
          <w:color w:val="000000" w:themeColor="text1"/>
          <w:sz w:val="19"/>
          <w:szCs w:val="19"/>
        </w:rPr>
        <w:tab/>
        <w:t>Cabe destacar que a demanda por impressão de documentos na Secretaria de Governo é recorrente e crescente, acompanhando o fluxo natural das obrigações administrativas e das exigências legais impostas à gestão pública. A ausência ou a escassez de cartuchos e toners compromete diretamente o andamento dos trabalhos, podendo gerar atrasos no atendimento de prazos legais, falhas na comunicação interna e externa e, consequentemente, prejuízos à eficiência e à imagem institucional do Município.</w:t>
      </w:r>
    </w:p>
    <w:p w14:paraId="697854BE" w14:textId="77777777" w:rsidR="00380AFB" w:rsidRDefault="00380AFB">
      <w:pPr>
        <w:pStyle w:val="Standard"/>
        <w:spacing w:after="113" w:line="276" w:lineRule="auto"/>
        <w:contextualSpacing/>
        <w:jc w:val="both"/>
        <w:rPr>
          <w:rFonts w:ascii="Bookman Old Style" w:hAnsi="Bookman Old Style"/>
          <w:color w:val="000000" w:themeColor="text1"/>
          <w:sz w:val="19"/>
          <w:szCs w:val="19"/>
        </w:rPr>
      </w:pPr>
    </w:p>
    <w:p w14:paraId="4857E912" w14:textId="77777777" w:rsidR="00380AFB" w:rsidRDefault="00000000">
      <w:pPr>
        <w:pStyle w:val="Standard"/>
        <w:spacing w:after="113" w:line="276" w:lineRule="auto"/>
        <w:contextualSpacing/>
        <w:jc w:val="both"/>
        <w:rPr>
          <w:rFonts w:ascii="Bookman Old Style" w:hAnsi="Bookman Old Style"/>
          <w:color w:val="000000" w:themeColor="text1"/>
          <w:sz w:val="19"/>
          <w:szCs w:val="19"/>
        </w:rPr>
      </w:pPr>
      <w:r>
        <w:rPr>
          <w:rFonts w:ascii="Bookman Old Style" w:hAnsi="Bookman Old Style"/>
          <w:color w:val="000000" w:themeColor="text1"/>
          <w:sz w:val="19"/>
          <w:szCs w:val="19"/>
        </w:rPr>
        <w:tab/>
        <w:t>Ademais, ressalta-se que a aquisição dos referidos insumos será realizada considerando critérios de compatibilidade com os equipamentos atualmente em uso, bem como levando em conta aspectos de qualidade, durabilidade e economicidade, buscando garantir o melhor custo-benefício à administração pública.</w:t>
      </w:r>
    </w:p>
    <w:p w14:paraId="6F952E87" w14:textId="77777777" w:rsidR="00380AFB" w:rsidRDefault="00380AFB">
      <w:pPr>
        <w:pStyle w:val="Standard"/>
        <w:spacing w:after="113" w:line="276" w:lineRule="auto"/>
        <w:contextualSpacing/>
        <w:jc w:val="both"/>
        <w:rPr>
          <w:rFonts w:ascii="Bookman Old Style" w:hAnsi="Bookman Old Style"/>
          <w:color w:val="000000" w:themeColor="text1"/>
          <w:sz w:val="19"/>
          <w:szCs w:val="19"/>
        </w:rPr>
      </w:pPr>
    </w:p>
    <w:p w14:paraId="4926ECD3" w14:textId="77777777" w:rsidR="00380AFB" w:rsidRDefault="00000000">
      <w:pPr>
        <w:pStyle w:val="Standard"/>
        <w:spacing w:after="113" w:line="276" w:lineRule="auto"/>
        <w:contextualSpacing/>
        <w:jc w:val="both"/>
        <w:rPr>
          <w:rFonts w:ascii="Bookman Old Style" w:hAnsi="Bookman Old Style"/>
          <w:color w:val="000000" w:themeColor="text1"/>
          <w:sz w:val="19"/>
          <w:szCs w:val="19"/>
        </w:rPr>
      </w:pPr>
      <w:r>
        <w:rPr>
          <w:rFonts w:ascii="Bookman Old Style" w:hAnsi="Bookman Old Style"/>
          <w:color w:val="000000" w:themeColor="text1"/>
          <w:sz w:val="19"/>
          <w:szCs w:val="19"/>
        </w:rPr>
        <w:tab/>
        <w:t xml:space="preserve">Portanto, justifica-se plenamente a aquisição de cartuchos e toners como medida indispensável à manutenção da regularidade e continuidade dos serviços prestados pela Secretaria Municipal de Governo, assegurando que o Município de Maravilhas/MG possa cumprir com </w:t>
      </w:r>
      <w:r>
        <w:rPr>
          <w:rFonts w:ascii="Bookman Old Style" w:hAnsi="Bookman Old Style"/>
          <w:color w:val="000000" w:themeColor="text1"/>
          <w:sz w:val="19"/>
          <w:szCs w:val="19"/>
        </w:rPr>
        <w:lastRenderedPageBreak/>
        <w:t>eficiência suas funções administrativas e legais perante a população e os órgãos de controle.</w:t>
      </w:r>
    </w:p>
    <w:p w14:paraId="75583730" w14:textId="77777777" w:rsidR="00380AFB" w:rsidRDefault="00380AFB">
      <w:pPr>
        <w:pStyle w:val="Corpodetexto"/>
        <w:spacing w:line="276" w:lineRule="auto"/>
        <w:contextualSpacing/>
        <w:rPr>
          <w:rFonts w:ascii="Bookman Old Style" w:eastAsia="Arial" w:hAnsi="Bookman Old Style"/>
          <w:sz w:val="19"/>
          <w:szCs w:val="19"/>
          <w:lang w:val="pt-BR"/>
        </w:rPr>
      </w:pPr>
    </w:p>
    <w:p w14:paraId="544A12CA" w14:textId="77777777" w:rsidR="00380AFB" w:rsidRDefault="00000000">
      <w:pPr>
        <w:spacing w:line="276" w:lineRule="auto"/>
        <w:contextualSpacing/>
        <w:jc w:val="both"/>
        <w:rPr>
          <w:rFonts w:ascii="Bookman Old Style" w:eastAsia="LiberationSerif-Bold" w:hAnsi="Bookman Old Style"/>
          <w:b/>
          <w:sz w:val="19"/>
          <w:szCs w:val="19"/>
          <w:lang w:eastAsia="zh-CN" w:bidi="ar"/>
        </w:rPr>
      </w:pPr>
      <w:r>
        <w:rPr>
          <w:rFonts w:ascii="Bookman Old Style" w:eastAsia="LiberationSerif-Bold" w:hAnsi="Bookman Old Style"/>
          <w:b/>
          <w:sz w:val="19"/>
          <w:szCs w:val="19"/>
          <w:lang w:eastAsia="zh-CN" w:bidi="ar"/>
        </w:rPr>
        <w:t xml:space="preserve">2.2. Justificativa para o parcelamento da solução: </w:t>
      </w:r>
    </w:p>
    <w:p w14:paraId="38BFAE05" w14:textId="77777777" w:rsidR="00380AFB" w:rsidRDefault="00380AFB">
      <w:pPr>
        <w:spacing w:line="276" w:lineRule="auto"/>
        <w:contextualSpacing/>
        <w:jc w:val="both"/>
        <w:rPr>
          <w:rFonts w:ascii="Bookman Old Style" w:hAnsi="Bookman Old Style"/>
          <w:b/>
          <w:i/>
          <w:iCs/>
          <w:color w:val="FF0000"/>
          <w:sz w:val="19"/>
          <w:szCs w:val="19"/>
        </w:rPr>
      </w:pPr>
    </w:p>
    <w:p w14:paraId="2C83B91B" w14:textId="77777777" w:rsidR="00380AFB" w:rsidRDefault="00000000">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t>Deverá ser adotado o parcelamento da solução, tendo em vista não haver prejuízo para o conjunto da solução ou perda de economia de escala.</w:t>
      </w:r>
    </w:p>
    <w:p w14:paraId="5460F8A1" w14:textId="77777777" w:rsidR="00380AFB" w:rsidRDefault="00380AFB">
      <w:pPr>
        <w:spacing w:line="276" w:lineRule="auto"/>
        <w:contextualSpacing/>
        <w:jc w:val="both"/>
        <w:rPr>
          <w:rFonts w:ascii="Bookman Old Style" w:hAnsi="Bookman Old Style"/>
          <w:bCs/>
          <w:iCs/>
          <w:sz w:val="19"/>
          <w:szCs w:val="19"/>
        </w:rPr>
      </w:pPr>
    </w:p>
    <w:p w14:paraId="272F1EB1" w14:textId="77777777" w:rsidR="00380AFB" w:rsidRDefault="00000000">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t xml:space="preserve">Ademais, a adoção do parcelamento da solução está fundamentada em diretrizes previstas na Lei nº 14.133/2021, que incentiva a ampliação da competitividade e a eficiência nas contratações públicas. </w:t>
      </w:r>
    </w:p>
    <w:p w14:paraId="55B93CD9" w14:textId="77777777" w:rsidR="00380AFB" w:rsidRDefault="00380AFB">
      <w:pPr>
        <w:spacing w:line="276" w:lineRule="auto"/>
        <w:contextualSpacing/>
        <w:jc w:val="both"/>
        <w:rPr>
          <w:rFonts w:ascii="Bookman Old Style" w:hAnsi="Bookman Old Style"/>
          <w:bCs/>
          <w:iCs/>
          <w:sz w:val="19"/>
          <w:szCs w:val="19"/>
        </w:rPr>
      </w:pPr>
    </w:p>
    <w:p w14:paraId="3E6034C9" w14:textId="77777777" w:rsidR="00380AFB" w:rsidRDefault="00000000">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t>O parcelamento permite a participação de um número maior de fornecedores, especialmente os de pequeno e médio porte. Isso fomenta a competitividade no processo licitatório, democratizando o acesso ao mercado público e promovendo a inclusão econômica.</w:t>
      </w:r>
    </w:p>
    <w:p w14:paraId="0BD5E8B3" w14:textId="77777777" w:rsidR="00380AFB" w:rsidRDefault="00380AFB">
      <w:pPr>
        <w:spacing w:line="276" w:lineRule="auto"/>
        <w:contextualSpacing/>
        <w:jc w:val="both"/>
        <w:rPr>
          <w:rFonts w:ascii="Bookman Old Style" w:hAnsi="Bookman Old Style"/>
          <w:bCs/>
          <w:iCs/>
          <w:sz w:val="19"/>
          <w:szCs w:val="19"/>
        </w:rPr>
      </w:pPr>
    </w:p>
    <w:p w14:paraId="284CE129" w14:textId="77777777" w:rsidR="00380AFB" w:rsidRDefault="00000000">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t>Ao dividir o objeto em diversos itens é possível contratar fornecedores distintos, o que reduz a dependência de um único fornecedor. Essa diversificação é estratégica para garantir maior flexibilidade e sustentabilidade no fornecimento.</w:t>
      </w:r>
    </w:p>
    <w:p w14:paraId="2866BC56" w14:textId="77777777" w:rsidR="00380AFB" w:rsidRDefault="00380AFB">
      <w:pPr>
        <w:spacing w:line="276" w:lineRule="auto"/>
        <w:contextualSpacing/>
        <w:jc w:val="both"/>
        <w:rPr>
          <w:rFonts w:ascii="Bookman Old Style" w:hAnsi="Bookman Old Style"/>
          <w:bCs/>
          <w:iCs/>
          <w:sz w:val="19"/>
          <w:szCs w:val="19"/>
        </w:rPr>
      </w:pPr>
    </w:p>
    <w:p w14:paraId="0853EBF0" w14:textId="77777777" w:rsidR="00380AFB" w:rsidRDefault="00000000">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t>O parcelamento possibilita, ainda, a contratação de fornecedores especializados em determinados itens. Dessa forma, a administração pública pode contar com serviços e produtos de maior qualidade, adequados às suas necessidades específicas.</w:t>
      </w:r>
    </w:p>
    <w:p w14:paraId="168F0E9D" w14:textId="77777777" w:rsidR="00380AFB" w:rsidRDefault="00380AFB">
      <w:pPr>
        <w:spacing w:line="276" w:lineRule="auto"/>
        <w:contextualSpacing/>
        <w:jc w:val="both"/>
        <w:rPr>
          <w:rFonts w:ascii="Bookman Old Style" w:hAnsi="Bookman Old Style"/>
          <w:bCs/>
          <w:iCs/>
          <w:sz w:val="19"/>
          <w:szCs w:val="19"/>
        </w:rPr>
      </w:pPr>
    </w:p>
    <w:p w14:paraId="093047E6" w14:textId="77777777" w:rsidR="00380AFB" w:rsidRDefault="00000000">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t>Com a contratação de diversos fornecedores, os riscos são distribuídos entre contratos diferentes. Esse método reduz a possibilidade de falhas críticas que poderiam comprometer o fornecimento integral, promovendo maior segurança e continuidade operacional.</w:t>
      </w:r>
    </w:p>
    <w:p w14:paraId="1C42F223" w14:textId="77777777" w:rsidR="00380AFB" w:rsidRDefault="00380AFB">
      <w:pPr>
        <w:spacing w:line="276" w:lineRule="auto"/>
        <w:contextualSpacing/>
        <w:jc w:val="both"/>
        <w:rPr>
          <w:rFonts w:ascii="Bookman Old Style" w:hAnsi="Bookman Old Style"/>
          <w:bCs/>
          <w:iCs/>
          <w:sz w:val="19"/>
          <w:szCs w:val="19"/>
        </w:rPr>
      </w:pPr>
    </w:p>
    <w:p w14:paraId="4F4FE94D" w14:textId="77777777" w:rsidR="00380AFB" w:rsidRDefault="00000000">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t>É relevante destacar que o parcelamento facilita a gestão de imprevistos, pois problemas que ocorram em um contrato específico tendem a ter impacto limitado, sem comprometer todo o processo. Essa característica contribui para uma administração pública mais resiliente e adaptável.</w:t>
      </w:r>
    </w:p>
    <w:p w14:paraId="47B61ED7" w14:textId="77777777" w:rsidR="00380AFB" w:rsidRDefault="00380AFB">
      <w:pPr>
        <w:spacing w:line="276" w:lineRule="auto"/>
        <w:contextualSpacing/>
        <w:jc w:val="both"/>
        <w:rPr>
          <w:rFonts w:ascii="Bookman Old Style" w:hAnsi="Bookman Old Style"/>
          <w:bCs/>
          <w:iCs/>
          <w:sz w:val="19"/>
          <w:szCs w:val="19"/>
        </w:rPr>
      </w:pPr>
    </w:p>
    <w:p w14:paraId="30C9FF37" w14:textId="77777777" w:rsidR="00380AFB" w:rsidRDefault="00000000">
      <w:pPr>
        <w:spacing w:line="276" w:lineRule="auto"/>
        <w:contextualSpacing/>
        <w:jc w:val="both"/>
        <w:rPr>
          <w:rFonts w:ascii="Bookman Old Style" w:hAnsi="Bookman Old Style"/>
          <w:bCs/>
          <w:iCs/>
          <w:sz w:val="19"/>
          <w:szCs w:val="19"/>
        </w:rPr>
      </w:pPr>
      <w:r>
        <w:rPr>
          <w:rFonts w:ascii="Bookman Old Style" w:hAnsi="Bookman Old Style"/>
          <w:bCs/>
          <w:iCs/>
          <w:sz w:val="19"/>
          <w:szCs w:val="19"/>
        </w:rPr>
        <w:tab/>
        <w:t xml:space="preserve">Portanto, a adoção do parcelamento neste caso reflete uma estratégia que equilibra eficiência, inclusão econômica, e gestão de riscos, alinhada aos princípios da nova legislação de licitações e contratos administrativos. </w:t>
      </w:r>
    </w:p>
    <w:p w14:paraId="5050A40A" w14:textId="77777777" w:rsidR="00380AFB" w:rsidRDefault="00380AFB">
      <w:pPr>
        <w:pStyle w:val="Corpodetexto"/>
        <w:spacing w:line="276" w:lineRule="auto"/>
        <w:contextualSpacing/>
        <w:rPr>
          <w:rFonts w:ascii="Bookman Old Style" w:eastAsia="Arial" w:hAnsi="Bookman Old Style"/>
          <w:sz w:val="19"/>
          <w:szCs w:val="19"/>
          <w:lang w:val="pt-BR"/>
        </w:rPr>
      </w:pPr>
    </w:p>
    <w:p w14:paraId="40B20347" w14:textId="77777777" w:rsidR="00380AFB" w:rsidRDefault="00000000">
      <w:pPr>
        <w:pStyle w:val="Corpodetexto"/>
        <w:spacing w:line="276" w:lineRule="auto"/>
        <w:contextualSpacing/>
        <w:rPr>
          <w:rFonts w:ascii="Bookman Old Style" w:hAnsi="Bookman Old Style"/>
          <w:b/>
          <w:sz w:val="19"/>
          <w:szCs w:val="19"/>
          <w:lang w:val="pt-PT"/>
        </w:rPr>
      </w:pPr>
      <w:r>
        <w:rPr>
          <w:rFonts w:ascii="Bookman Old Style" w:hAnsi="Bookman Old Style"/>
          <w:b/>
          <w:sz w:val="19"/>
          <w:szCs w:val="19"/>
          <w:lang w:val="pt-PT"/>
        </w:rPr>
        <w:t>2.3. Da justificativa da utilização do sistema de registro de preços</w:t>
      </w:r>
    </w:p>
    <w:p w14:paraId="08348700" w14:textId="77777777" w:rsidR="00380AFB" w:rsidRDefault="00380AFB">
      <w:pPr>
        <w:pStyle w:val="Corpodetexto"/>
        <w:spacing w:line="276" w:lineRule="auto"/>
        <w:contextualSpacing/>
        <w:rPr>
          <w:rFonts w:ascii="Bookman Old Style" w:hAnsi="Bookman Old Style"/>
          <w:b/>
          <w:sz w:val="19"/>
          <w:szCs w:val="19"/>
          <w:lang w:val="pt-PT"/>
        </w:rPr>
      </w:pPr>
    </w:p>
    <w:p w14:paraId="622BB40F" w14:textId="77777777" w:rsidR="00380AFB" w:rsidRDefault="00000000">
      <w:pPr>
        <w:spacing w:line="276" w:lineRule="auto"/>
        <w:contextualSpacing/>
        <w:jc w:val="both"/>
        <w:rPr>
          <w:rFonts w:ascii="Bookman Old Style" w:hAnsi="Bookman Old Style"/>
          <w:iCs/>
          <w:sz w:val="19"/>
          <w:szCs w:val="19"/>
        </w:rPr>
      </w:pPr>
      <w:r>
        <w:rPr>
          <w:rFonts w:ascii="Bookman Old Style" w:hAnsi="Bookman Old Style"/>
          <w:iCs/>
          <w:sz w:val="19"/>
          <w:szCs w:val="19"/>
        </w:rPr>
        <w:tab/>
        <w:t>A utilização do Sistema de Registro de Preços (SRP) configura-se como uma solução comprovadamente eficaz na busca por melhores preços e no controle eficiente do gasto público. Essa ferramenta permite o registro de preços previamente negociados, possibilitando contratações futuras de forma ágil, conforme a necessidade da Secretaria requisitante e a disponibilidade de recursos orçamentários.</w:t>
      </w:r>
    </w:p>
    <w:p w14:paraId="41A791F8" w14:textId="77777777" w:rsidR="00380AFB" w:rsidRDefault="00380AFB">
      <w:pPr>
        <w:spacing w:line="276" w:lineRule="auto"/>
        <w:contextualSpacing/>
        <w:jc w:val="both"/>
        <w:rPr>
          <w:rFonts w:ascii="Bookman Old Style" w:hAnsi="Bookman Old Style"/>
          <w:iCs/>
          <w:sz w:val="19"/>
          <w:szCs w:val="19"/>
        </w:rPr>
      </w:pPr>
    </w:p>
    <w:p w14:paraId="5497ADDC" w14:textId="77777777" w:rsidR="00380AFB" w:rsidRDefault="00000000">
      <w:pPr>
        <w:spacing w:line="276" w:lineRule="auto"/>
        <w:contextualSpacing/>
        <w:jc w:val="both"/>
        <w:rPr>
          <w:rFonts w:ascii="Bookman Old Style" w:hAnsi="Bookman Old Style"/>
          <w:iCs/>
          <w:sz w:val="19"/>
          <w:szCs w:val="19"/>
        </w:rPr>
      </w:pPr>
      <w:r>
        <w:rPr>
          <w:rFonts w:ascii="Bookman Old Style" w:hAnsi="Bookman Old Style"/>
          <w:iCs/>
          <w:sz w:val="19"/>
          <w:szCs w:val="19"/>
        </w:rPr>
        <w:tab/>
        <w:t>Além de garantir economicidade, o SRP promove significativa economia processual, ao centralizar esforços em um único processo licitatório. Dessa forma, os produtos ou serviços ficam disponíveis para aquisição conforme a demanda, eliminando a necessidade de repetidas licitações, otimizando tempo e recursos operacionais.</w:t>
      </w:r>
    </w:p>
    <w:p w14:paraId="59F5B7CC" w14:textId="77777777" w:rsidR="00380AFB" w:rsidRDefault="00380AFB">
      <w:pPr>
        <w:spacing w:line="276" w:lineRule="auto"/>
        <w:contextualSpacing/>
        <w:jc w:val="both"/>
        <w:rPr>
          <w:rFonts w:ascii="Bookman Old Style" w:hAnsi="Bookman Old Style"/>
          <w:iCs/>
          <w:sz w:val="19"/>
          <w:szCs w:val="19"/>
        </w:rPr>
      </w:pPr>
    </w:p>
    <w:p w14:paraId="4298F602" w14:textId="77777777" w:rsidR="00380AFB" w:rsidRDefault="00000000">
      <w:pPr>
        <w:spacing w:line="276" w:lineRule="auto"/>
        <w:contextualSpacing/>
        <w:jc w:val="both"/>
        <w:rPr>
          <w:rFonts w:ascii="Bookman Old Style" w:hAnsi="Bookman Old Style"/>
          <w:iCs/>
          <w:sz w:val="19"/>
          <w:szCs w:val="19"/>
        </w:rPr>
      </w:pPr>
      <w:r>
        <w:rPr>
          <w:rFonts w:ascii="Bookman Old Style" w:hAnsi="Bookman Old Style"/>
          <w:iCs/>
          <w:sz w:val="19"/>
          <w:szCs w:val="19"/>
        </w:rPr>
        <w:lastRenderedPageBreak/>
        <w:tab/>
        <w:t>Outro fator que justifica a adoção do SRP é a imprevisibilidade dos quantitativos a serem demandados pelos setores municipais ao longo de um período de 01 (um) ano. Essa característica torna inviável a realização de licitações convencionais que exigem definição exata de volumes previamente.</w:t>
      </w:r>
    </w:p>
    <w:p w14:paraId="01228FF5" w14:textId="77777777" w:rsidR="00380AFB" w:rsidRDefault="00380AFB">
      <w:pPr>
        <w:spacing w:line="276" w:lineRule="auto"/>
        <w:contextualSpacing/>
        <w:jc w:val="both"/>
        <w:rPr>
          <w:rFonts w:ascii="Bookman Old Style" w:hAnsi="Bookman Old Style"/>
          <w:iCs/>
          <w:sz w:val="19"/>
          <w:szCs w:val="19"/>
        </w:rPr>
      </w:pPr>
    </w:p>
    <w:p w14:paraId="25F96CB1" w14:textId="77777777" w:rsidR="00380AFB" w:rsidRDefault="00000000">
      <w:pPr>
        <w:spacing w:line="276" w:lineRule="auto"/>
        <w:contextualSpacing/>
        <w:jc w:val="both"/>
        <w:rPr>
          <w:rFonts w:ascii="Bookman Old Style" w:hAnsi="Bookman Old Style"/>
          <w:iCs/>
          <w:sz w:val="19"/>
          <w:szCs w:val="19"/>
        </w:rPr>
      </w:pPr>
      <w:r>
        <w:rPr>
          <w:rFonts w:ascii="Bookman Old Style" w:hAnsi="Bookman Old Style"/>
          <w:iCs/>
          <w:sz w:val="19"/>
          <w:szCs w:val="19"/>
        </w:rPr>
        <w:tab/>
        <w:t>Nesse contexto, o Registro de Preços é a solução mais adequada, pois proporciona flexibilidade para atender demandas frequentes e variáveis, além de permitir o acompanhamento da execução orçamentária em tempo real. O empenho dos itens ocorre apenas quando há condições orçamentárias e financeiras favoráveis, garantindo maior controle e racionalização das despesas públicas.</w:t>
      </w:r>
    </w:p>
    <w:p w14:paraId="6CCB8F1A" w14:textId="77777777" w:rsidR="00380AFB" w:rsidRDefault="00380AFB">
      <w:pPr>
        <w:spacing w:line="276" w:lineRule="auto"/>
        <w:contextualSpacing/>
        <w:jc w:val="both"/>
        <w:rPr>
          <w:rFonts w:ascii="Bookman Old Style" w:hAnsi="Bookman Old Style"/>
          <w:iCs/>
          <w:sz w:val="19"/>
          <w:szCs w:val="19"/>
        </w:rPr>
      </w:pPr>
    </w:p>
    <w:p w14:paraId="583DC4C1" w14:textId="77777777" w:rsidR="00380AFB" w:rsidRDefault="00000000">
      <w:pPr>
        <w:spacing w:line="276" w:lineRule="auto"/>
        <w:contextualSpacing/>
        <w:jc w:val="both"/>
        <w:rPr>
          <w:rFonts w:ascii="Bookman Old Style" w:hAnsi="Bookman Old Style"/>
          <w:iCs/>
          <w:sz w:val="19"/>
          <w:szCs w:val="19"/>
        </w:rPr>
      </w:pPr>
      <w:r>
        <w:rPr>
          <w:rFonts w:ascii="Bookman Old Style" w:hAnsi="Bookman Old Style"/>
          <w:iCs/>
          <w:sz w:val="19"/>
          <w:szCs w:val="19"/>
        </w:rPr>
        <w:tab/>
        <w:t>Por fim, os SRP deverá ser utilizado tendo em vista a verificação dos seguintes fatores:</w:t>
      </w:r>
    </w:p>
    <w:p w14:paraId="54B1FC59" w14:textId="77777777" w:rsidR="00380AFB" w:rsidRDefault="00380AFB">
      <w:pPr>
        <w:spacing w:line="276" w:lineRule="auto"/>
        <w:contextualSpacing/>
        <w:jc w:val="both"/>
        <w:rPr>
          <w:rFonts w:ascii="Bookman Old Style" w:hAnsi="Bookman Old Style"/>
          <w:iCs/>
          <w:sz w:val="19"/>
          <w:szCs w:val="19"/>
        </w:rPr>
      </w:pPr>
    </w:p>
    <w:p w14:paraId="4B2AD32C" w14:textId="77777777" w:rsidR="00380AFB" w:rsidRDefault="00000000">
      <w:pPr>
        <w:spacing w:line="276" w:lineRule="auto"/>
        <w:contextualSpacing/>
        <w:jc w:val="both"/>
        <w:rPr>
          <w:rFonts w:ascii="Bookman Old Style" w:hAnsi="Bookman Old Style"/>
          <w:iCs/>
          <w:sz w:val="19"/>
          <w:szCs w:val="19"/>
        </w:rPr>
      </w:pPr>
      <w:r>
        <w:rPr>
          <w:rFonts w:ascii="Bookman Old Style" w:hAnsi="Bookman Old Style"/>
          <w:iCs/>
          <w:sz w:val="19"/>
          <w:szCs w:val="19"/>
        </w:rPr>
        <w:tab/>
        <w:t>1- Trata-se de itens com necessidade de aquisições frequentes;</w:t>
      </w:r>
    </w:p>
    <w:p w14:paraId="44F42DF4" w14:textId="77777777" w:rsidR="00380AFB" w:rsidRDefault="00380AFB">
      <w:pPr>
        <w:spacing w:line="276" w:lineRule="auto"/>
        <w:contextualSpacing/>
        <w:jc w:val="both"/>
        <w:rPr>
          <w:rFonts w:ascii="Bookman Old Style" w:hAnsi="Bookman Old Style"/>
          <w:iCs/>
          <w:sz w:val="19"/>
          <w:szCs w:val="19"/>
        </w:rPr>
      </w:pPr>
    </w:p>
    <w:p w14:paraId="6693C3DA" w14:textId="77777777" w:rsidR="00380AFB" w:rsidRDefault="00000000">
      <w:pPr>
        <w:spacing w:line="276" w:lineRule="auto"/>
        <w:contextualSpacing/>
        <w:jc w:val="both"/>
        <w:rPr>
          <w:rFonts w:ascii="Bookman Old Style" w:hAnsi="Bookman Old Style"/>
          <w:iCs/>
          <w:sz w:val="19"/>
          <w:szCs w:val="19"/>
        </w:rPr>
      </w:pPr>
      <w:r>
        <w:rPr>
          <w:rFonts w:ascii="Bookman Old Style" w:hAnsi="Bookman Old Style"/>
          <w:iCs/>
          <w:sz w:val="19"/>
          <w:szCs w:val="19"/>
        </w:rPr>
        <w:tab/>
        <w:t>2- Embora a demanda seja rotineira, não é possível definir previamente o quantitativo a ser demandado pela Administração, tendo em vista a natureza dos itens;</w:t>
      </w:r>
    </w:p>
    <w:p w14:paraId="4DCD76B5" w14:textId="77777777" w:rsidR="00380AFB" w:rsidRDefault="00380AFB">
      <w:pPr>
        <w:spacing w:line="276" w:lineRule="auto"/>
        <w:contextualSpacing/>
        <w:jc w:val="both"/>
        <w:rPr>
          <w:rFonts w:ascii="Bookman Old Style" w:hAnsi="Bookman Old Style"/>
          <w:iCs/>
          <w:sz w:val="19"/>
          <w:szCs w:val="19"/>
        </w:rPr>
      </w:pPr>
    </w:p>
    <w:p w14:paraId="5E4FE8E6" w14:textId="77777777" w:rsidR="00380AFB" w:rsidRDefault="00000000">
      <w:pPr>
        <w:spacing w:line="276" w:lineRule="auto"/>
        <w:contextualSpacing/>
        <w:jc w:val="both"/>
        <w:rPr>
          <w:rFonts w:ascii="Bookman Old Style" w:hAnsi="Bookman Old Style"/>
          <w:iCs/>
          <w:sz w:val="19"/>
          <w:szCs w:val="19"/>
        </w:rPr>
      </w:pPr>
      <w:r>
        <w:rPr>
          <w:rFonts w:ascii="Bookman Old Style" w:hAnsi="Bookman Old Style"/>
          <w:iCs/>
          <w:sz w:val="19"/>
          <w:szCs w:val="19"/>
        </w:rPr>
        <w:tab/>
        <w:t xml:space="preserve">3- O objeto é divisível e passível de fracionamento sem perda de qualidade ou de suas características essenciais, podendo ser contratado de forma parcelada, de acordo com as necessidades da Secretaria. </w:t>
      </w:r>
    </w:p>
    <w:p w14:paraId="3AA6B604" w14:textId="77777777" w:rsidR="00380AFB" w:rsidRDefault="00380AFB">
      <w:pPr>
        <w:spacing w:line="276" w:lineRule="auto"/>
        <w:contextualSpacing/>
        <w:jc w:val="both"/>
        <w:rPr>
          <w:rFonts w:ascii="Bookman Old Style" w:hAnsi="Bookman Old Style"/>
          <w:iCs/>
          <w:sz w:val="19"/>
          <w:szCs w:val="19"/>
          <w:highlight w:val="yellow"/>
        </w:rPr>
      </w:pPr>
    </w:p>
    <w:p w14:paraId="28A197F6" w14:textId="77777777" w:rsidR="00380AFB" w:rsidRDefault="00000000">
      <w:pPr>
        <w:keepNext/>
        <w:keepLines/>
        <w:numPr>
          <w:ilvl w:val="0"/>
          <w:numId w:val="5"/>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 xml:space="preserve">DESCRIÇÃO DA SOLUÇÃO COMO UM TODO </w:t>
      </w:r>
    </w:p>
    <w:p w14:paraId="5A4F9068" w14:textId="77777777" w:rsidR="00380AFB" w:rsidRDefault="00000000">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r>
        <w:rPr>
          <w:rFonts w:ascii="Bookman Old Style" w:eastAsia="Arial" w:hAnsi="Bookman Old Style"/>
          <w:b/>
          <w:color w:val="000000"/>
          <w:sz w:val="19"/>
          <w:szCs w:val="19"/>
        </w:rPr>
        <w:t>3.1. Dos descritivos e dos quantitativos estimados:</w:t>
      </w:r>
    </w:p>
    <w:tbl>
      <w:tblPr>
        <w:tblW w:w="900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3"/>
        <w:gridCol w:w="1105"/>
        <w:gridCol w:w="5780"/>
        <w:gridCol w:w="1417"/>
      </w:tblGrid>
      <w:tr w:rsidR="00380AFB" w14:paraId="73D4F663" w14:textId="77777777">
        <w:trPr>
          <w:trHeight w:val="315"/>
        </w:trPr>
        <w:tc>
          <w:tcPr>
            <w:tcW w:w="703" w:type="dxa"/>
            <w:shd w:val="clear" w:color="auto" w:fill="D9D9D9" w:themeFill="background1" w:themeFillShade="D9"/>
            <w:vAlign w:val="center"/>
          </w:tcPr>
          <w:p w14:paraId="3963D008"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ITEM</w:t>
            </w:r>
          </w:p>
        </w:tc>
        <w:tc>
          <w:tcPr>
            <w:tcW w:w="1105" w:type="dxa"/>
            <w:shd w:val="clear" w:color="auto" w:fill="D9D9D9" w:themeFill="background1" w:themeFillShade="D9"/>
            <w:vAlign w:val="center"/>
          </w:tcPr>
          <w:p w14:paraId="45308C1C"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UNID.</w:t>
            </w:r>
          </w:p>
        </w:tc>
        <w:tc>
          <w:tcPr>
            <w:tcW w:w="5780" w:type="dxa"/>
            <w:shd w:val="clear" w:color="auto" w:fill="D9D9D9" w:themeFill="background1" w:themeFillShade="D9"/>
            <w:vAlign w:val="center"/>
          </w:tcPr>
          <w:p w14:paraId="727BF9C4"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DESCRIÇÃO</w:t>
            </w:r>
          </w:p>
        </w:tc>
        <w:tc>
          <w:tcPr>
            <w:tcW w:w="1417" w:type="dxa"/>
            <w:shd w:val="clear" w:color="auto" w:fill="D9D9D9" w:themeFill="background1" w:themeFillShade="D9"/>
            <w:vAlign w:val="center"/>
          </w:tcPr>
          <w:p w14:paraId="1929CE1D"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QUANT. ESTIMADA</w:t>
            </w:r>
          </w:p>
        </w:tc>
      </w:tr>
      <w:tr w:rsidR="00380AFB" w14:paraId="43B51CBD" w14:textId="77777777">
        <w:trPr>
          <w:trHeight w:val="1200"/>
        </w:trPr>
        <w:tc>
          <w:tcPr>
            <w:tcW w:w="703" w:type="dxa"/>
            <w:shd w:val="clear" w:color="auto" w:fill="auto"/>
            <w:vAlign w:val="center"/>
          </w:tcPr>
          <w:p w14:paraId="4BFD3B96"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01</w:t>
            </w:r>
          </w:p>
        </w:tc>
        <w:tc>
          <w:tcPr>
            <w:tcW w:w="1105" w:type="dxa"/>
            <w:shd w:val="clear" w:color="auto" w:fill="auto"/>
            <w:vAlign w:val="center"/>
          </w:tcPr>
          <w:p w14:paraId="4CE3BAA4"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577BF48D"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CARTUCHO DE TONER ORIGINAL (S-D11 NEW CHIP/ 1.8K LASER TONER CARTRIDGE) - COM GARANTIA DE 3 MESES PARA DEFEITO DE FABRICAÇÃO)</w:t>
            </w:r>
          </w:p>
        </w:tc>
        <w:tc>
          <w:tcPr>
            <w:tcW w:w="1417" w:type="dxa"/>
            <w:shd w:val="clear" w:color="auto" w:fill="auto"/>
            <w:vAlign w:val="center"/>
          </w:tcPr>
          <w:p w14:paraId="4961B04C"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20</w:t>
            </w:r>
          </w:p>
        </w:tc>
      </w:tr>
      <w:tr w:rsidR="00380AFB" w14:paraId="1F8D3456" w14:textId="77777777">
        <w:trPr>
          <w:trHeight w:val="1200"/>
        </w:trPr>
        <w:tc>
          <w:tcPr>
            <w:tcW w:w="703" w:type="dxa"/>
            <w:shd w:val="clear" w:color="auto" w:fill="auto"/>
            <w:vAlign w:val="center"/>
          </w:tcPr>
          <w:p w14:paraId="161C634B"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02</w:t>
            </w:r>
          </w:p>
        </w:tc>
        <w:tc>
          <w:tcPr>
            <w:tcW w:w="1105" w:type="dxa"/>
            <w:shd w:val="clear" w:color="auto" w:fill="auto"/>
            <w:vAlign w:val="center"/>
          </w:tcPr>
          <w:p w14:paraId="5A19E58C"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2E8819A1"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PARA IMPRESSORA LASER JET PROFISSIONAL M1132-ORIGINAL COM GARANTIA DE 3 MESES PARA DEFEITO DE FABRICAÇÃO</w:t>
            </w:r>
          </w:p>
        </w:tc>
        <w:tc>
          <w:tcPr>
            <w:tcW w:w="1417" w:type="dxa"/>
            <w:shd w:val="clear" w:color="auto" w:fill="auto"/>
            <w:vAlign w:val="center"/>
          </w:tcPr>
          <w:p w14:paraId="364C134D"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12</w:t>
            </w:r>
          </w:p>
        </w:tc>
      </w:tr>
      <w:tr w:rsidR="00380AFB" w14:paraId="27A48FA3" w14:textId="77777777">
        <w:trPr>
          <w:trHeight w:val="900"/>
        </w:trPr>
        <w:tc>
          <w:tcPr>
            <w:tcW w:w="703" w:type="dxa"/>
            <w:shd w:val="clear" w:color="auto" w:fill="auto"/>
            <w:vAlign w:val="center"/>
          </w:tcPr>
          <w:p w14:paraId="071D8609"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03</w:t>
            </w:r>
          </w:p>
        </w:tc>
        <w:tc>
          <w:tcPr>
            <w:tcW w:w="1105" w:type="dxa"/>
            <w:shd w:val="clear" w:color="auto" w:fill="auto"/>
            <w:vAlign w:val="center"/>
          </w:tcPr>
          <w:p w14:paraId="12ABC2FE"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626434D5"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PARA HP LASER JET 1018, PRODUTO ORIGINAL COM GARANTIA DE 3 MESES PARA DEFEITO DE FABRICAÇÃO</w:t>
            </w:r>
          </w:p>
        </w:tc>
        <w:tc>
          <w:tcPr>
            <w:tcW w:w="1417" w:type="dxa"/>
            <w:shd w:val="clear" w:color="auto" w:fill="auto"/>
            <w:vAlign w:val="center"/>
          </w:tcPr>
          <w:p w14:paraId="394BAFD0"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10</w:t>
            </w:r>
          </w:p>
        </w:tc>
      </w:tr>
      <w:tr w:rsidR="00380AFB" w14:paraId="16EE1C4F" w14:textId="77777777">
        <w:trPr>
          <w:trHeight w:val="900"/>
        </w:trPr>
        <w:tc>
          <w:tcPr>
            <w:tcW w:w="703" w:type="dxa"/>
            <w:shd w:val="clear" w:color="auto" w:fill="auto"/>
            <w:vAlign w:val="center"/>
          </w:tcPr>
          <w:p w14:paraId="6F272838"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04</w:t>
            </w:r>
          </w:p>
        </w:tc>
        <w:tc>
          <w:tcPr>
            <w:tcW w:w="1105" w:type="dxa"/>
            <w:shd w:val="clear" w:color="auto" w:fill="auto"/>
            <w:vAlign w:val="center"/>
          </w:tcPr>
          <w:p w14:paraId="4C3EDB89"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227905E4"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PARA BROTHER DCP-L5652 DN, PRODUTO ORIGINAL COM GARANTIA DE 3 MESES PARA DEFEITO DE FABRICAÇÃO</w:t>
            </w:r>
          </w:p>
        </w:tc>
        <w:tc>
          <w:tcPr>
            <w:tcW w:w="1417" w:type="dxa"/>
            <w:shd w:val="clear" w:color="auto" w:fill="auto"/>
            <w:vAlign w:val="center"/>
          </w:tcPr>
          <w:p w14:paraId="17E3BD9E"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10</w:t>
            </w:r>
          </w:p>
        </w:tc>
      </w:tr>
      <w:tr w:rsidR="00380AFB" w14:paraId="0F7FE45E" w14:textId="77777777">
        <w:trPr>
          <w:trHeight w:val="1200"/>
        </w:trPr>
        <w:tc>
          <w:tcPr>
            <w:tcW w:w="703" w:type="dxa"/>
            <w:shd w:val="clear" w:color="auto" w:fill="auto"/>
            <w:vAlign w:val="center"/>
          </w:tcPr>
          <w:p w14:paraId="47C0C83C"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05</w:t>
            </w:r>
          </w:p>
        </w:tc>
        <w:tc>
          <w:tcPr>
            <w:tcW w:w="1105" w:type="dxa"/>
            <w:shd w:val="clear" w:color="auto" w:fill="auto"/>
            <w:vAlign w:val="center"/>
          </w:tcPr>
          <w:p w14:paraId="49CE6EDA"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0F7F7EDC"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CARTULHO TONER-LASER JET-TN850/TN3442- PRETO - EVOLUT - ORIGINAL COM GARANTIA DE 3 MESES PARA DEFEITO DE FABRICAÇÃO</w:t>
            </w:r>
          </w:p>
        </w:tc>
        <w:tc>
          <w:tcPr>
            <w:tcW w:w="1417" w:type="dxa"/>
            <w:shd w:val="clear" w:color="auto" w:fill="auto"/>
            <w:vAlign w:val="center"/>
          </w:tcPr>
          <w:p w14:paraId="29327359"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08</w:t>
            </w:r>
          </w:p>
        </w:tc>
      </w:tr>
      <w:tr w:rsidR="00380AFB" w14:paraId="5FFC7F39" w14:textId="77777777">
        <w:trPr>
          <w:trHeight w:val="900"/>
        </w:trPr>
        <w:tc>
          <w:tcPr>
            <w:tcW w:w="703" w:type="dxa"/>
            <w:shd w:val="clear" w:color="auto" w:fill="auto"/>
            <w:vAlign w:val="center"/>
          </w:tcPr>
          <w:p w14:paraId="3868A51E"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lastRenderedPageBreak/>
              <w:t>06</w:t>
            </w:r>
          </w:p>
        </w:tc>
        <w:tc>
          <w:tcPr>
            <w:tcW w:w="1105" w:type="dxa"/>
            <w:shd w:val="clear" w:color="auto" w:fill="auto"/>
            <w:vAlign w:val="center"/>
          </w:tcPr>
          <w:p w14:paraId="219347DE"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2A38CC91"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CARTUCHO HP DESKJET - SERIE 3550 - COLORIDO - ORIGINAL COM GARANTIA DE 3 MESES PARA DEFEITO DE FABRICAÇÃO</w:t>
            </w:r>
          </w:p>
        </w:tc>
        <w:tc>
          <w:tcPr>
            <w:tcW w:w="1417" w:type="dxa"/>
            <w:shd w:val="clear" w:color="auto" w:fill="auto"/>
            <w:vAlign w:val="center"/>
          </w:tcPr>
          <w:p w14:paraId="600CA400"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06</w:t>
            </w:r>
          </w:p>
        </w:tc>
      </w:tr>
      <w:tr w:rsidR="00380AFB" w14:paraId="64CC953B" w14:textId="77777777">
        <w:trPr>
          <w:trHeight w:val="900"/>
        </w:trPr>
        <w:tc>
          <w:tcPr>
            <w:tcW w:w="703" w:type="dxa"/>
            <w:shd w:val="clear" w:color="auto" w:fill="auto"/>
            <w:vAlign w:val="center"/>
          </w:tcPr>
          <w:p w14:paraId="74A984C5"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07</w:t>
            </w:r>
          </w:p>
        </w:tc>
        <w:tc>
          <w:tcPr>
            <w:tcW w:w="1105" w:type="dxa"/>
            <w:shd w:val="clear" w:color="auto" w:fill="auto"/>
            <w:vAlign w:val="center"/>
          </w:tcPr>
          <w:p w14:paraId="26577C51"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054907EC"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TN 3472 BROTHER - 12.000 PAGINAS - ORIGINAL COM GARANTIA DE 3 MESES PARA DEFEITO DE FABRICAÇÃO</w:t>
            </w:r>
          </w:p>
        </w:tc>
        <w:tc>
          <w:tcPr>
            <w:tcW w:w="1417" w:type="dxa"/>
            <w:shd w:val="clear" w:color="auto" w:fill="auto"/>
            <w:vAlign w:val="center"/>
          </w:tcPr>
          <w:p w14:paraId="5DC189B4"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10</w:t>
            </w:r>
          </w:p>
        </w:tc>
      </w:tr>
      <w:tr w:rsidR="00380AFB" w14:paraId="11AFC35F" w14:textId="77777777">
        <w:trPr>
          <w:trHeight w:val="900"/>
        </w:trPr>
        <w:tc>
          <w:tcPr>
            <w:tcW w:w="703" w:type="dxa"/>
            <w:shd w:val="clear" w:color="auto" w:fill="auto"/>
            <w:vAlign w:val="center"/>
          </w:tcPr>
          <w:p w14:paraId="1785E648"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08</w:t>
            </w:r>
          </w:p>
        </w:tc>
        <w:tc>
          <w:tcPr>
            <w:tcW w:w="1105" w:type="dxa"/>
            <w:shd w:val="clear" w:color="auto" w:fill="auto"/>
            <w:vAlign w:val="center"/>
          </w:tcPr>
          <w:p w14:paraId="06E01693"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5DCEC4A4"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TN 580 BROTHER - 8.000 PAGINAS - ORIGINAL COM GARANTIA DE 3 MESES PARA DEFEITO DE FABRICAÇÃO</w:t>
            </w:r>
          </w:p>
        </w:tc>
        <w:tc>
          <w:tcPr>
            <w:tcW w:w="1417" w:type="dxa"/>
            <w:shd w:val="clear" w:color="auto" w:fill="auto"/>
            <w:vAlign w:val="center"/>
          </w:tcPr>
          <w:p w14:paraId="605AAD1B"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05</w:t>
            </w:r>
          </w:p>
        </w:tc>
      </w:tr>
      <w:tr w:rsidR="00380AFB" w14:paraId="590FD3CA" w14:textId="77777777">
        <w:trPr>
          <w:trHeight w:val="900"/>
        </w:trPr>
        <w:tc>
          <w:tcPr>
            <w:tcW w:w="703" w:type="dxa"/>
            <w:shd w:val="clear" w:color="auto" w:fill="auto"/>
            <w:vAlign w:val="center"/>
          </w:tcPr>
          <w:p w14:paraId="1EE6CFD5"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09</w:t>
            </w:r>
          </w:p>
        </w:tc>
        <w:tc>
          <w:tcPr>
            <w:tcW w:w="1105" w:type="dxa"/>
            <w:shd w:val="clear" w:color="auto" w:fill="auto"/>
            <w:vAlign w:val="center"/>
          </w:tcPr>
          <w:p w14:paraId="17BFDA53"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3627619E"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HP 435/436/85 A - 2.000 PAGINAS - ORIGINAL COM GARANTIA DE 3 MESES PARA DEFEITO DE FABRICAÇÃO</w:t>
            </w:r>
          </w:p>
        </w:tc>
        <w:tc>
          <w:tcPr>
            <w:tcW w:w="1417" w:type="dxa"/>
            <w:shd w:val="clear" w:color="auto" w:fill="auto"/>
            <w:vAlign w:val="center"/>
          </w:tcPr>
          <w:p w14:paraId="1FD8BE78"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05</w:t>
            </w:r>
          </w:p>
        </w:tc>
      </w:tr>
      <w:tr w:rsidR="00380AFB" w14:paraId="71E8B60C" w14:textId="77777777">
        <w:trPr>
          <w:trHeight w:val="900"/>
        </w:trPr>
        <w:tc>
          <w:tcPr>
            <w:tcW w:w="703" w:type="dxa"/>
            <w:shd w:val="clear" w:color="auto" w:fill="auto"/>
            <w:vAlign w:val="center"/>
          </w:tcPr>
          <w:p w14:paraId="4F3CD030"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10</w:t>
            </w:r>
          </w:p>
        </w:tc>
        <w:tc>
          <w:tcPr>
            <w:tcW w:w="1105" w:type="dxa"/>
            <w:shd w:val="clear" w:color="auto" w:fill="auto"/>
            <w:vAlign w:val="center"/>
          </w:tcPr>
          <w:p w14:paraId="6B0B992D"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37004816"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PARA IMPRESSORA HP LASER JET 1020 - ORIGINAL COM GARANTIA DE 3 MESES PARA DEFEITO DE FABRICAÇÃO</w:t>
            </w:r>
          </w:p>
        </w:tc>
        <w:tc>
          <w:tcPr>
            <w:tcW w:w="1417" w:type="dxa"/>
            <w:shd w:val="clear" w:color="auto" w:fill="auto"/>
            <w:vAlign w:val="center"/>
          </w:tcPr>
          <w:p w14:paraId="20DA4DD5"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10</w:t>
            </w:r>
          </w:p>
        </w:tc>
      </w:tr>
      <w:tr w:rsidR="00380AFB" w14:paraId="6F57023F" w14:textId="77777777">
        <w:trPr>
          <w:trHeight w:val="1500"/>
        </w:trPr>
        <w:tc>
          <w:tcPr>
            <w:tcW w:w="703" w:type="dxa"/>
            <w:shd w:val="clear" w:color="auto" w:fill="auto"/>
            <w:vAlign w:val="center"/>
          </w:tcPr>
          <w:p w14:paraId="079CEA1E"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11</w:t>
            </w:r>
          </w:p>
        </w:tc>
        <w:tc>
          <w:tcPr>
            <w:tcW w:w="1105" w:type="dxa"/>
            <w:shd w:val="clear" w:color="auto" w:fill="auto"/>
            <w:vAlign w:val="center"/>
          </w:tcPr>
          <w:p w14:paraId="29CE28D6"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65016C76"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4 CARTUCHOS DE TINTAS HP 712 DESIGNJET T250 - PRETRO, CIANO, AMARELO, MAGENTA - ORIGINAL COM GARANTIA DE 3 MESES PARA DEFEITO DE FABRICAÇÃO</w:t>
            </w:r>
          </w:p>
        </w:tc>
        <w:tc>
          <w:tcPr>
            <w:tcW w:w="1417" w:type="dxa"/>
            <w:shd w:val="clear" w:color="auto" w:fill="auto"/>
            <w:vAlign w:val="center"/>
          </w:tcPr>
          <w:p w14:paraId="02AAD917"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04</w:t>
            </w:r>
          </w:p>
        </w:tc>
      </w:tr>
      <w:tr w:rsidR="00380AFB" w14:paraId="4535F005" w14:textId="77777777">
        <w:trPr>
          <w:trHeight w:val="1200"/>
        </w:trPr>
        <w:tc>
          <w:tcPr>
            <w:tcW w:w="703" w:type="dxa"/>
            <w:shd w:val="clear" w:color="auto" w:fill="auto"/>
            <w:vAlign w:val="center"/>
          </w:tcPr>
          <w:p w14:paraId="77FE223F"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12</w:t>
            </w:r>
          </w:p>
        </w:tc>
        <w:tc>
          <w:tcPr>
            <w:tcW w:w="1105" w:type="dxa"/>
            <w:shd w:val="clear" w:color="auto" w:fill="auto"/>
            <w:vAlign w:val="center"/>
          </w:tcPr>
          <w:p w14:paraId="6B74C94A"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7A5B0634"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4 GARRAFAS DE TINTA EPSON-PRETO, CIANO, MAGENTA, AMARELO - T544520-4P - ORIGINAL COM GARANTIA DE 3 MESES PARA DEFEITO DE FABRICAÇÃO</w:t>
            </w:r>
          </w:p>
        </w:tc>
        <w:tc>
          <w:tcPr>
            <w:tcW w:w="1417" w:type="dxa"/>
            <w:shd w:val="clear" w:color="auto" w:fill="auto"/>
            <w:vAlign w:val="center"/>
          </w:tcPr>
          <w:p w14:paraId="1109EF81"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04</w:t>
            </w:r>
          </w:p>
        </w:tc>
      </w:tr>
      <w:tr w:rsidR="00380AFB" w14:paraId="37AE0ABA" w14:textId="77777777">
        <w:trPr>
          <w:trHeight w:val="900"/>
        </w:trPr>
        <w:tc>
          <w:tcPr>
            <w:tcW w:w="703" w:type="dxa"/>
            <w:shd w:val="clear" w:color="auto" w:fill="auto"/>
            <w:vAlign w:val="center"/>
          </w:tcPr>
          <w:p w14:paraId="4145C695"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13</w:t>
            </w:r>
          </w:p>
        </w:tc>
        <w:tc>
          <w:tcPr>
            <w:tcW w:w="1105" w:type="dxa"/>
            <w:shd w:val="clear" w:color="auto" w:fill="auto"/>
            <w:vAlign w:val="center"/>
          </w:tcPr>
          <w:p w14:paraId="2CE02902"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2E91F444"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LEXMARK MS317DN - ORIGINAL COM GARANTIA DE 3 MESES PARA DEFEITO DE FABRICAÇÃO</w:t>
            </w:r>
          </w:p>
        </w:tc>
        <w:tc>
          <w:tcPr>
            <w:tcW w:w="1417" w:type="dxa"/>
            <w:shd w:val="clear" w:color="auto" w:fill="auto"/>
            <w:vAlign w:val="center"/>
          </w:tcPr>
          <w:p w14:paraId="30549392"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02</w:t>
            </w:r>
          </w:p>
        </w:tc>
      </w:tr>
      <w:tr w:rsidR="00380AFB" w14:paraId="0EF1CC5E" w14:textId="77777777">
        <w:trPr>
          <w:trHeight w:val="900"/>
        </w:trPr>
        <w:tc>
          <w:tcPr>
            <w:tcW w:w="703" w:type="dxa"/>
            <w:shd w:val="clear" w:color="auto" w:fill="auto"/>
            <w:vAlign w:val="center"/>
          </w:tcPr>
          <w:p w14:paraId="2ADE4E60"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14</w:t>
            </w:r>
          </w:p>
        </w:tc>
        <w:tc>
          <w:tcPr>
            <w:tcW w:w="1105" w:type="dxa"/>
            <w:shd w:val="clear" w:color="auto" w:fill="auto"/>
            <w:vAlign w:val="center"/>
          </w:tcPr>
          <w:p w14:paraId="2D717352"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7461DE56"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TONET LHW1330X PARA IMPRESSORA HP MFP 432 FDN - ORIGINAL COM GARANTIA DE 3 MESES PARA DEFEITO DE FABRICAÇÃO</w:t>
            </w:r>
          </w:p>
        </w:tc>
        <w:tc>
          <w:tcPr>
            <w:tcW w:w="1417" w:type="dxa"/>
            <w:shd w:val="clear" w:color="auto" w:fill="auto"/>
            <w:vAlign w:val="center"/>
          </w:tcPr>
          <w:p w14:paraId="699B895E"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20</w:t>
            </w:r>
          </w:p>
        </w:tc>
      </w:tr>
      <w:tr w:rsidR="00380AFB" w14:paraId="1FE843EE" w14:textId="77777777">
        <w:trPr>
          <w:trHeight w:val="1200"/>
        </w:trPr>
        <w:tc>
          <w:tcPr>
            <w:tcW w:w="703" w:type="dxa"/>
            <w:shd w:val="clear" w:color="auto" w:fill="auto"/>
            <w:vAlign w:val="center"/>
          </w:tcPr>
          <w:p w14:paraId="6D39F73B"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15</w:t>
            </w:r>
          </w:p>
        </w:tc>
        <w:tc>
          <w:tcPr>
            <w:tcW w:w="1105" w:type="dxa"/>
            <w:shd w:val="clear" w:color="auto" w:fill="auto"/>
            <w:vAlign w:val="center"/>
          </w:tcPr>
          <w:p w14:paraId="63CE7E67"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03D42BE2"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TONET TN 1000/1060/1075 PARA IMPRESSORA BROTHER HL 1212W- ORIGINAL COM GARANTIA DE 3 MESES PARA DEFEITO DE FABRICAÇÃO</w:t>
            </w:r>
          </w:p>
        </w:tc>
        <w:tc>
          <w:tcPr>
            <w:tcW w:w="1417" w:type="dxa"/>
            <w:shd w:val="clear" w:color="auto" w:fill="auto"/>
            <w:vAlign w:val="center"/>
          </w:tcPr>
          <w:p w14:paraId="7DA4373E"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05</w:t>
            </w:r>
          </w:p>
        </w:tc>
      </w:tr>
      <w:tr w:rsidR="00380AFB" w14:paraId="560FABD0" w14:textId="77777777">
        <w:trPr>
          <w:trHeight w:val="900"/>
        </w:trPr>
        <w:tc>
          <w:tcPr>
            <w:tcW w:w="703" w:type="dxa"/>
            <w:shd w:val="clear" w:color="auto" w:fill="auto"/>
            <w:vAlign w:val="center"/>
          </w:tcPr>
          <w:p w14:paraId="2C82C56C" w14:textId="77777777" w:rsidR="00380AFB" w:rsidRDefault="00000000">
            <w:pPr>
              <w:spacing w:after="0" w:line="240" w:lineRule="auto"/>
              <w:contextualSpacing/>
              <w:jc w:val="center"/>
              <w:rPr>
                <w:rFonts w:ascii="Bookman Old Style" w:eastAsia="Times New Roman" w:hAnsi="Bookman Old Style" w:cs="Times New Roman"/>
                <w:b/>
                <w:sz w:val="19"/>
                <w:szCs w:val="19"/>
                <w:lang w:eastAsia="pt-BR"/>
              </w:rPr>
            </w:pPr>
            <w:r>
              <w:rPr>
                <w:rFonts w:ascii="Bookman Old Style" w:eastAsia="Times New Roman" w:hAnsi="Bookman Old Style" w:cs="Times New Roman"/>
                <w:b/>
                <w:sz w:val="19"/>
                <w:szCs w:val="19"/>
                <w:lang w:eastAsia="pt-BR"/>
              </w:rPr>
              <w:t>16</w:t>
            </w:r>
          </w:p>
        </w:tc>
        <w:tc>
          <w:tcPr>
            <w:tcW w:w="1105" w:type="dxa"/>
            <w:shd w:val="clear" w:color="auto" w:fill="auto"/>
            <w:vAlign w:val="center"/>
          </w:tcPr>
          <w:p w14:paraId="2FDC9069"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UNIDADE</w:t>
            </w:r>
          </w:p>
        </w:tc>
        <w:tc>
          <w:tcPr>
            <w:tcW w:w="5780" w:type="dxa"/>
            <w:shd w:val="clear" w:color="auto" w:fill="auto"/>
            <w:vAlign w:val="center"/>
          </w:tcPr>
          <w:p w14:paraId="3B9CCD42" w14:textId="77777777" w:rsidR="00380AFB" w:rsidRDefault="00000000">
            <w:pPr>
              <w:spacing w:after="0" w:line="240" w:lineRule="auto"/>
              <w:contextualSpacing/>
              <w:jc w:val="both"/>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TONER IMPRESSORA SAMSUNG XPRESS M2020W - ORIGINAL COM GARANTIA DE 3 MESES PARA DEFEITO DE FABRICAÇÃO</w:t>
            </w:r>
          </w:p>
        </w:tc>
        <w:tc>
          <w:tcPr>
            <w:tcW w:w="1417" w:type="dxa"/>
            <w:shd w:val="clear" w:color="auto" w:fill="auto"/>
            <w:vAlign w:val="center"/>
          </w:tcPr>
          <w:p w14:paraId="097B30E6" w14:textId="77777777" w:rsidR="00380AFB" w:rsidRDefault="00000000">
            <w:pPr>
              <w:spacing w:after="0" w:line="240" w:lineRule="auto"/>
              <w:contextualSpacing/>
              <w:jc w:val="center"/>
              <w:rPr>
                <w:rFonts w:ascii="Bookman Old Style" w:eastAsia="Times New Roman" w:hAnsi="Bookman Old Style" w:cs="Times New Roman"/>
                <w:sz w:val="19"/>
                <w:szCs w:val="19"/>
                <w:lang w:eastAsia="pt-BR"/>
              </w:rPr>
            </w:pPr>
            <w:r>
              <w:rPr>
                <w:rFonts w:ascii="Bookman Old Style" w:eastAsia="Times New Roman" w:hAnsi="Bookman Old Style" w:cs="Times New Roman"/>
                <w:sz w:val="19"/>
                <w:szCs w:val="19"/>
                <w:lang w:eastAsia="pt-BR"/>
              </w:rPr>
              <w:t>10</w:t>
            </w:r>
          </w:p>
        </w:tc>
      </w:tr>
    </w:tbl>
    <w:p w14:paraId="323F369C"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color w:val="000000"/>
          <w:sz w:val="19"/>
          <w:szCs w:val="19"/>
        </w:rPr>
      </w:pPr>
    </w:p>
    <w:p w14:paraId="3E1ED5AA" w14:textId="77777777" w:rsidR="00380AFB" w:rsidRDefault="00000000">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r>
        <w:rPr>
          <w:rFonts w:ascii="Bookman Old Style" w:eastAsia="Arial" w:hAnsi="Bookman Old Style"/>
          <w:b/>
          <w:color w:val="000000"/>
          <w:sz w:val="19"/>
          <w:szCs w:val="19"/>
        </w:rPr>
        <w:t>3.2. Subcontratação</w:t>
      </w:r>
    </w:p>
    <w:p w14:paraId="3FF7B02D"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p>
    <w:p w14:paraId="1C2E8AE3" w14:textId="77777777" w:rsidR="00380AFB" w:rsidRDefault="00000000">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r>
        <w:rPr>
          <w:rFonts w:ascii="Bookman Old Style" w:eastAsia="Arial" w:hAnsi="Bookman Old Style"/>
          <w:sz w:val="19"/>
          <w:szCs w:val="19"/>
        </w:rPr>
        <w:t xml:space="preserve">Não é admitida a subcontratação do objeto contratual, salvo se expressamente autorizado pela Administração. </w:t>
      </w:r>
    </w:p>
    <w:p w14:paraId="4092E674"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p>
    <w:p w14:paraId="5E9FCEA0"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p>
    <w:p w14:paraId="33C6ABD7"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p>
    <w:p w14:paraId="67BB172B" w14:textId="77777777" w:rsidR="00380AFB" w:rsidRDefault="00000000">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r>
        <w:rPr>
          <w:rFonts w:ascii="Bookman Old Style" w:eastAsia="Arial" w:hAnsi="Bookman Old Style"/>
          <w:b/>
          <w:color w:val="000000"/>
          <w:sz w:val="19"/>
          <w:szCs w:val="19"/>
        </w:rPr>
        <w:t>3.3. Garantia da contratação</w:t>
      </w:r>
    </w:p>
    <w:p w14:paraId="0F74B214"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p>
    <w:p w14:paraId="0AE05A7F" w14:textId="77777777" w:rsidR="00380AFB" w:rsidRDefault="00000000">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r>
        <w:rPr>
          <w:rFonts w:ascii="Bookman Old Style" w:eastAsia="Arial" w:hAnsi="Bookman Old Style"/>
          <w:sz w:val="19"/>
          <w:szCs w:val="19"/>
        </w:rPr>
        <w:t xml:space="preserve">Não haverá exigência da garantia da contratação dos </w:t>
      </w:r>
      <w:hyperlink r:id="rId24" w:anchor="art96">
        <w:r w:rsidR="00380AFB">
          <w:rPr>
            <w:rFonts w:ascii="Bookman Old Style" w:eastAsia="Arial" w:hAnsi="Bookman Old Style"/>
            <w:sz w:val="19"/>
            <w:szCs w:val="19"/>
          </w:rPr>
          <w:t>artigos 96 e seguintes da Lei nº 14.133, de 2021</w:t>
        </w:r>
      </w:hyperlink>
      <w:r>
        <w:rPr>
          <w:rFonts w:ascii="Bookman Old Style" w:eastAsia="Arial" w:hAnsi="Bookman Old Style"/>
          <w:sz w:val="19"/>
          <w:szCs w:val="19"/>
        </w:rPr>
        <w:t>.</w:t>
      </w:r>
    </w:p>
    <w:p w14:paraId="5BFC7A93"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sz w:val="19"/>
          <w:szCs w:val="19"/>
        </w:rPr>
      </w:pPr>
    </w:p>
    <w:p w14:paraId="7FF73B54" w14:textId="77777777" w:rsidR="00380AFB" w:rsidRDefault="00000000">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r>
        <w:rPr>
          <w:rFonts w:ascii="Bookman Old Style" w:eastAsia="Arial" w:hAnsi="Bookman Old Style"/>
          <w:b/>
          <w:color w:val="000000"/>
          <w:sz w:val="19"/>
          <w:szCs w:val="19"/>
        </w:rPr>
        <w:t>3.4. Vistoria:</w:t>
      </w:r>
    </w:p>
    <w:p w14:paraId="4AAC153A"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b/>
          <w:color w:val="000000"/>
          <w:sz w:val="19"/>
          <w:szCs w:val="19"/>
        </w:rPr>
      </w:pPr>
    </w:p>
    <w:p w14:paraId="46B73AE5" w14:textId="77777777" w:rsidR="00380AFB" w:rsidRDefault="00000000">
      <w:pPr>
        <w:pStyle w:val="PargrafodaLista"/>
        <w:pBdr>
          <w:top w:val="nil"/>
          <w:left w:val="nil"/>
          <w:bottom w:val="nil"/>
          <w:right w:val="nil"/>
          <w:between w:val="nil"/>
        </w:pBdr>
        <w:spacing w:before="120" w:after="288" w:line="276" w:lineRule="auto"/>
        <w:ind w:left="0"/>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Não se aplica. </w:t>
      </w:r>
    </w:p>
    <w:p w14:paraId="7E5B4173"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3.5. Da contratação:</w:t>
      </w:r>
    </w:p>
    <w:p w14:paraId="0DEAC5F4"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b/>
          <w:color w:val="000000"/>
          <w:sz w:val="19"/>
          <w:szCs w:val="19"/>
        </w:rPr>
      </w:pPr>
    </w:p>
    <w:p w14:paraId="02B8C7C8"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color w:val="000000"/>
          <w:sz w:val="19"/>
          <w:szCs w:val="19"/>
        </w:rPr>
        <w:t>3.5.1.</w:t>
      </w:r>
      <w:r>
        <w:rPr>
          <w:rFonts w:ascii="Bookman Old Style" w:eastAsia="Arial" w:hAnsi="Bookman Old Style"/>
          <w:b/>
          <w:bCs/>
          <w:color w:val="000000"/>
          <w:sz w:val="19"/>
          <w:szCs w:val="19"/>
        </w:rPr>
        <w:t xml:space="preserve"> </w:t>
      </w:r>
      <w:r>
        <w:rPr>
          <w:rFonts w:ascii="Bookman Old Style" w:eastAsia="Arial" w:hAnsi="Bookman Old Style"/>
          <w:bCs/>
          <w:color w:val="000000"/>
          <w:sz w:val="19"/>
          <w:szCs w:val="19"/>
        </w:rPr>
        <w:t>A contratação se dará por meio de Pregão Eletrônico, com critério de julgamento de menor preço-item</w:t>
      </w:r>
      <w:r>
        <w:rPr>
          <w:rFonts w:ascii="Bookman Old Style" w:eastAsia="Arial" w:hAnsi="Bookman Old Style"/>
          <w:color w:val="000000"/>
          <w:sz w:val="19"/>
          <w:szCs w:val="19"/>
        </w:rPr>
        <w:t>.</w:t>
      </w:r>
      <w:r>
        <w:rPr>
          <w:rFonts w:ascii="Bookman Old Style" w:eastAsia="Arial" w:hAnsi="Bookman Old Style"/>
          <w:color w:val="000000"/>
          <w:sz w:val="19"/>
          <w:szCs w:val="19"/>
        </w:rPr>
        <w:tab/>
      </w:r>
    </w:p>
    <w:p w14:paraId="05D50898" w14:textId="77777777" w:rsidR="00380AFB" w:rsidRDefault="00380AFB">
      <w:pPr>
        <w:pBdr>
          <w:top w:val="nil"/>
          <w:left w:val="nil"/>
          <w:bottom w:val="nil"/>
          <w:right w:val="nil"/>
          <w:between w:val="nil"/>
        </w:pBdr>
        <w:spacing w:before="120" w:after="288" w:line="276" w:lineRule="auto"/>
        <w:ind w:left="1708"/>
        <w:contextualSpacing/>
        <w:jc w:val="both"/>
        <w:rPr>
          <w:rFonts w:ascii="Bookman Old Style" w:eastAsia="Arial" w:hAnsi="Bookman Old Style"/>
          <w:i/>
          <w:iCs/>
          <w:color w:val="FF0000"/>
          <w:sz w:val="19"/>
          <w:szCs w:val="19"/>
        </w:rPr>
      </w:pPr>
    </w:p>
    <w:p w14:paraId="58B766E4" w14:textId="77777777" w:rsidR="00380AFB" w:rsidRDefault="00000000">
      <w:pPr>
        <w:keepNext/>
        <w:keepLines/>
        <w:numPr>
          <w:ilvl w:val="0"/>
          <w:numId w:val="5"/>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REQUISITOS DA CONTRATAÇÃO</w:t>
      </w:r>
    </w:p>
    <w:p w14:paraId="0EF32817" w14:textId="77777777" w:rsidR="00380AFB" w:rsidRDefault="00380AFB">
      <w:pPr>
        <w:spacing w:line="276" w:lineRule="auto"/>
        <w:contextualSpacing/>
        <w:jc w:val="both"/>
        <w:rPr>
          <w:rFonts w:ascii="Bookman Old Style" w:hAnsi="Bookman Old Style"/>
          <w:sz w:val="19"/>
          <w:szCs w:val="19"/>
        </w:rPr>
      </w:pPr>
    </w:p>
    <w:p w14:paraId="2155BACC" w14:textId="77777777" w:rsidR="00380AFB" w:rsidRDefault="00000000">
      <w:pPr>
        <w:spacing w:line="276" w:lineRule="auto"/>
        <w:contextualSpacing/>
        <w:jc w:val="both"/>
        <w:rPr>
          <w:rFonts w:ascii="Bookman Old Style" w:hAnsi="Bookman Old Style"/>
          <w:sz w:val="19"/>
          <w:szCs w:val="19"/>
        </w:rPr>
      </w:pPr>
      <w:r>
        <w:rPr>
          <w:rFonts w:ascii="Bookman Old Style" w:hAnsi="Bookman Old Style"/>
          <w:sz w:val="19"/>
          <w:szCs w:val="19"/>
        </w:rPr>
        <w:t>A empresa deverá possuir ramo de atividade compatível com o objeto da contratação, e não poderá ter registro de sanção que impeçam sua contratação.</w:t>
      </w:r>
    </w:p>
    <w:p w14:paraId="70EBDFAD" w14:textId="77777777" w:rsidR="00380AFB" w:rsidRDefault="00000000">
      <w:pPr>
        <w:spacing w:line="276" w:lineRule="auto"/>
        <w:contextualSpacing/>
        <w:jc w:val="both"/>
        <w:rPr>
          <w:rFonts w:ascii="Bookman Old Style" w:hAnsi="Bookman Old Style"/>
          <w:sz w:val="19"/>
          <w:szCs w:val="19"/>
        </w:rPr>
      </w:pPr>
      <w:r>
        <w:rPr>
          <w:rFonts w:ascii="Bookman Old Style" w:hAnsi="Bookman Old Style"/>
          <w:sz w:val="19"/>
          <w:szCs w:val="19"/>
        </w:rPr>
        <w:t xml:space="preserve"> </w:t>
      </w:r>
    </w:p>
    <w:p w14:paraId="23F0D933" w14:textId="77777777" w:rsidR="00380AFB" w:rsidRDefault="00000000">
      <w:pPr>
        <w:spacing w:line="276" w:lineRule="auto"/>
        <w:contextualSpacing/>
        <w:jc w:val="both"/>
        <w:rPr>
          <w:rFonts w:ascii="Bookman Old Style" w:hAnsi="Bookman Old Style"/>
          <w:sz w:val="19"/>
          <w:szCs w:val="19"/>
        </w:rPr>
      </w:pPr>
      <w:r>
        <w:rPr>
          <w:rFonts w:ascii="Bookman Old Style" w:hAnsi="Bookman Old Style"/>
          <w:sz w:val="19"/>
          <w:szCs w:val="19"/>
        </w:rPr>
        <w:t>A empresa a ser contratada deverá manter durante todo o período de vigência da Ata de Registro de Preços e do(s) contrato(s) dela decorrente(s), todas as condições que ensejaram a sua habilitação para contratação.</w:t>
      </w:r>
    </w:p>
    <w:p w14:paraId="69C93BFD" w14:textId="77777777" w:rsidR="00380AFB" w:rsidRDefault="00380AFB">
      <w:pPr>
        <w:spacing w:line="276" w:lineRule="auto"/>
        <w:contextualSpacing/>
        <w:jc w:val="both"/>
        <w:rPr>
          <w:rFonts w:ascii="Bookman Old Style" w:hAnsi="Bookman Old Style"/>
          <w:sz w:val="19"/>
          <w:szCs w:val="19"/>
        </w:rPr>
      </w:pPr>
    </w:p>
    <w:p w14:paraId="680F372B" w14:textId="77777777" w:rsidR="00380AFB" w:rsidRDefault="00000000">
      <w:pPr>
        <w:spacing w:line="276" w:lineRule="auto"/>
        <w:contextualSpacing/>
        <w:jc w:val="both"/>
        <w:rPr>
          <w:rFonts w:ascii="Bookman Old Style" w:hAnsi="Bookman Old Style"/>
          <w:sz w:val="19"/>
          <w:szCs w:val="19"/>
        </w:rPr>
      </w:pPr>
      <w:r>
        <w:rPr>
          <w:rFonts w:ascii="Bookman Old Style" w:hAnsi="Bookman Old Style"/>
          <w:sz w:val="19"/>
          <w:szCs w:val="19"/>
        </w:rPr>
        <w:t>A empresa não poderá possuir inscrição no cadastro de empregadores flagrados explorando trabalhadores em condições análogas às de escravo, instituído pela Portaria Interministerial MTPS/MMIRDH nº 4, de11 de maio de 2016.</w:t>
      </w:r>
    </w:p>
    <w:p w14:paraId="2AC459CB" w14:textId="77777777" w:rsidR="00380AFB" w:rsidRDefault="00380AFB">
      <w:pPr>
        <w:spacing w:line="276" w:lineRule="auto"/>
        <w:contextualSpacing/>
        <w:jc w:val="both"/>
        <w:rPr>
          <w:rFonts w:ascii="Bookman Old Style" w:hAnsi="Bookman Old Style"/>
          <w:sz w:val="19"/>
          <w:szCs w:val="19"/>
        </w:rPr>
      </w:pPr>
    </w:p>
    <w:p w14:paraId="49B58D2C" w14:textId="77777777" w:rsidR="00380AFB" w:rsidRDefault="00000000">
      <w:pPr>
        <w:spacing w:line="276" w:lineRule="auto"/>
        <w:contextualSpacing/>
        <w:jc w:val="both"/>
        <w:rPr>
          <w:rFonts w:ascii="Bookman Old Style" w:hAnsi="Bookman Old Style"/>
          <w:sz w:val="19"/>
          <w:szCs w:val="19"/>
        </w:rPr>
      </w:pPr>
      <w:r>
        <w:rPr>
          <w:rFonts w:ascii="Bookman Old Style" w:hAnsi="Bookman Old Style"/>
          <w:sz w:val="19"/>
          <w:szCs w:val="19"/>
        </w:rPr>
        <w:t>A empresa ou seus dirigentes, não poderão ter sido condenados por infringir as leis de combate à discriminação de raça ou de gênero, ao trabalho infantil e ao trabalho escravo, em afronta à previsão aos artigos 1° e 170 da Constituição Federal de 1988; do artigo 149 do Código Penal Brasileiro; do Decreto n° 5.017, de 12 de março de 2004 (promulga o Protocolo de Palermo) e das Convenções da OIT nºs 29 e 105.</w:t>
      </w:r>
    </w:p>
    <w:p w14:paraId="54F5B550" w14:textId="77777777" w:rsidR="00380AFB" w:rsidRDefault="00380AFB">
      <w:pPr>
        <w:spacing w:line="276" w:lineRule="auto"/>
        <w:contextualSpacing/>
        <w:jc w:val="both"/>
        <w:rPr>
          <w:rFonts w:ascii="Bookman Old Style" w:hAnsi="Bookman Old Style"/>
          <w:bCs/>
          <w:sz w:val="19"/>
          <w:szCs w:val="19"/>
        </w:rPr>
      </w:pPr>
    </w:p>
    <w:p w14:paraId="7139A037" w14:textId="77777777" w:rsidR="00380AFB" w:rsidRDefault="00380AFB">
      <w:pPr>
        <w:keepNext/>
        <w:keepLines/>
        <w:pBdr>
          <w:top w:val="nil"/>
          <w:left w:val="nil"/>
          <w:bottom w:val="nil"/>
          <w:right w:val="nil"/>
          <w:between w:val="nil"/>
        </w:pBdr>
        <w:tabs>
          <w:tab w:val="left" w:pos="567"/>
        </w:tabs>
        <w:spacing w:before="120" w:after="288" w:line="276" w:lineRule="auto"/>
        <w:ind w:left="360"/>
        <w:contextualSpacing/>
        <w:jc w:val="both"/>
        <w:rPr>
          <w:rFonts w:ascii="Bookman Old Style" w:hAnsi="Bookman Old Style"/>
          <w:sz w:val="19"/>
          <w:szCs w:val="19"/>
        </w:rPr>
      </w:pPr>
    </w:p>
    <w:p w14:paraId="4AC45C3C" w14:textId="77777777" w:rsidR="00380AFB" w:rsidRDefault="00000000">
      <w:pPr>
        <w:keepNext/>
        <w:keepLines/>
        <w:numPr>
          <w:ilvl w:val="0"/>
          <w:numId w:val="5"/>
        </w:numPr>
        <w:pBdr>
          <w:top w:val="nil"/>
          <w:left w:val="nil"/>
          <w:bottom w:val="nil"/>
          <w:right w:val="nil"/>
          <w:between w:val="nil"/>
        </w:pBdr>
        <w:tabs>
          <w:tab w:val="left" w:pos="567"/>
        </w:tabs>
        <w:spacing w:before="120" w:after="288" w:line="276" w:lineRule="auto"/>
        <w:contextualSpacing/>
        <w:jc w:val="both"/>
        <w:rPr>
          <w:rFonts w:ascii="Bookman Old Style" w:hAnsi="Bookman Old Style"/>
          <w:sz w:val="19"/>
          <w:szCs w:val="19"/>
        </w:rPr>
      </w:pPr>
      <w:r>
        <w:rPr>
          <w:rFonts w:ascii="Bookman Old Style" w:eastAsia="Arial" w:hAnsi="Bookman Old Style"/>
          <w:b/>
          <w:color w:val="000000"/>
          <w:sz w:val="19"/>
          <w:szCs w:val="19"/>
        </w:rPr>
        <w:t>MODELO DE EXECUÇÃO DO OBJETO</w:t>
      </w:r>
    </w:p>
    <w:p w14:paraId="6A13462E" w14:textId="77777777" w:rsidR="00380AFB" w:rsidRDefault="00380AFB">
      <w:pPr>
        <w:spacing w:line="276" w:lineRule="auto"/>
        <w:contextualSpacing/>
        <w:jc w:val="both"/>
        <w:rPr>
          <w:rFonts w:ascii="Bookman Old Style" w:hAnsi="Bookman Old Style"/>
          <w:b/>
          <w:sz w:val="19"/>
          <w:szCs w:val="19"/>
        </w:rPr>
      </w:pPr>
    </w:p>
    <w:p w14:paraId="0078517E" w14:textId="77777777" w:rsidR="00380AFB" w:rsidRDefault="00000000">
      <w:pPr>
        <w:contextualSpacing/>
        <w:jc w:val="both"/>
        <w:rPr>
          <w:rFonts w:ascii="Bookman Old Style" w:hAnsi="Bookman Old Style"/>
          <w:bCs/>
          <w:sz w:val="19"/>
          <w:szCs w:val="19"/>
        </w:rPr>
      </w:pPr>
      <w:r>
        <w:rPr>
          <w:rFonts w:ascii="Bookman Old Style" w:hAnsi="Bookman Old Style"/>
          <w:bCs/>
          <w:sz w:val="19"/>
          <w:szCs w:val="19"/>
        </w:rPr>
        <w:t xml:space="preserve">5.1. As entregas deverão ser realizadas pela Contratada no prazo máximo de 07 (sete) dias úteis, contados da data de recebimento da Nota de Autorização de Fornecimento. </w:t>
      </w:r>
    </w:p>
    <w:p w14:paraId="22DB0F24" w14:textId="77777777" w:rsidR="00380AFB" w:rsidRDefault="00380AFB">
      <w:pPr>
        <w:contextualSpacing/>
        <w:jc w:val="both"/>
        <w:rPr>
          <w:rFonts w:ascii="Bookman Old Style" w:hAnsi="Bookman Old Style"/>
          <w:bCs/>
          <w:sz w:val="19"/>
          <w:szCs w:val="19"/>
        </w:rPr>
      </w:pPr>
    </w:p>
    <w:p w14:paraId="48E08CAE" w14:textId="77777777" w:rsidR="00380AFB" w:rsidRDefault="00000000">
      <w:pPr>
        <w:contextualSpacing/>
        <w:jc w:val="both"/>
        <w:rPr>
          <w:rFonts w:ascii="Bookman Old Style" w:hAnsi="Bookman Old Style"/>
          <w:bCs/>
          <w:sz w:val="19"/>
          <w:szCs w:val="19"/>
        </w:rPr>
      </w:pPr>
      <w:r>
        <w:rPr>
          <w:rFonts w:ascii="Bookman Old Style" w:hAnsi="Bookman Old Style"/>
          <w:bCs/>
          <w:sz w:val="19"/>
          <w:szCs w:val="19"/>
        </w:rPr>
        <w:t xml:space="preserve">5.1.1. 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14:paraId="6981C1D1" w14:textId="77777777" w:rsidR="00380AFB" w:rsidRDefault="00380AFB">
      <w:pPr>
        <w:contextualSpacing/>
        <w:jc w:val="both"/>
        <w:rPr>
          <w:rFonts w:ascii="Bookman Old Style" w:hAnsi="Bookman Old Style"/>
          <w:bCs/>
          <w:sz w:val="19"/>
          <w:szCs w:val="19"/>
        </w:rPr>
      </w:pPr>
    </w:p>
    <w:p w14:paraId="31F565EA" w14:textId="77777777" w:rsidR="00380AFB" w:rsidRDefault="00000000">
      <w:pPr>
        <w:contextualSpacing/>
        <w:jc w:val="both"/>
        <w:rPr>
          <w:rFonts w:ascii="Bookman Old Style" w:hAnsi="Bookman Old Style"/>
          <w:bCs/>
          <w:sz w:val="19"/>
          <w:szCs w:val="19"/>
        </w:rPr>
      </w:pPr>
      <w:r>
        <w:rPr>
          <w:rFonts w:ascii="Bookman Old Style" w:hAnsi="Bookman Old Style"/>
          <w:bCs/>
          <w:sz w:val="19"/>
          <w:szCs w:val="19"/>
        </w:rPr>
        <w:t xml:space="preserve">5.1.2. A entrega deverá ocorrer diretamente na sede da Prefeitura Municipal de Maravilhas, no endereço Avenida Brasil, n°. 33, bairro Centro, CEP 35.666-000, Maravilhas/MG, de segunda à sexta-feira, nos seguintes horários: de 7h às 11h00 e de 13h00 às 16h. </w:t>
      </w:r>
    </w:p>
    <w:p w14:paraId="2E538692" w14:textId="77777777" w:rsidR="00380AFB" w:rsidRDefault="00380AFB">
      <w:pPr>
        <w:contextualSpacing/>
        <w:jc w:val="both"/>
        <w:rPr>
          <w:rFonts w:ascii="Bookman Old Style" w:hAnsi="Bookman Old Style"/>
          <w:bCs/>
          <w:sz w:val="19"/>
          <w:szCs w:val="19"/>
        </w:rPr>
      </w:pPr>
    </w:p>
    <w:p w14:paraId="555E4A3B" w14:textId="77777777" w:rsidR="00380AFB" w:rsidRDefault="00000000">
      <w:pPr>
        <w:contextualSpacing/>
        <w:jc w:val="both"/>
        <w:rPr>
          <w:rFonts w:ascii="Bookman Old Style" w:hAnsi="Bookman Old Style"/>
          <w:bCs/>
          <w:sz w:val="19"/>
          <w:szCs w:val="19"/>
        </w:rPr>
      </w:pPr>
      <w:r>
        <w:rPr>
          <w:rFonts w:ascii="Bookman Old Style" w:hAnsi="Bookman Old Style"/>
          <w:bCs/>
          <w:sz w:val="19"/>
          <w:szCs w:val="19"/>
        </w:rPr>
        <w:t>5.1.3. Os itens, após recebimento, ficam sujeitos à substituição pela</w:t>
      </w:r>
    </w:p>
    <w:p w14:paraId="1D52A64F" w14:textId="77777777" w:rsidR="00380AFB" w:rsidRDefault="00000000">
      <w:pPr>
        <w:contextualSpacing/>
        <w:jc w:val="both"/>
        <w:rPr>
          <w:rFonts w:ascii="Bookman Old Style" w:hAnsi="Bookman Old Style"/>
          <w:bCs/>
          <w:sz w:val="19"/>
          <w:szCs w:val="19"/>
        </w:rPr>
      </w:pPr>
      <w:r>
        <w:rPr>
          <w:rFonts w:ascii="Bookman Old Style" w:hAnsi="Bookman Old Style"/>
          <w:bCs/>
          <w:sz w:val="19"/>
          <w:szCs w:val="19"/>
        </w:rPr>
        <w:t xml:space="preserve"> empresa fornecedora, desde que comprovada à existência de deterioração, defeito, não atendimento da especificação do Edital, constatação de qualidade inferior ao especificado no Edital, cuja verificação só tenha sido possível no decorrer de suas utilizações.</w:t>
      </w:r>
    </w:p>
    <w:p w14:paraId="06C2D542" w14:textId="77777777" w:rsidR="00380AFB" w:rsidRDefault="00380AFB">
      <w:pPr>
        <w:contextualSpacing/>
        <w:jc w:val="both"/>
        <w:rPr>
          <w:rFonts w:ascii="Bookman Old Style" w:hAnsi="Bookman Old Style"/>
          <w:bCs/>
          <w:sz w:val="19"/>
          <w:szCs w:val="19"/>
        </w:rPr>
      </w:pPr>
    </w:p>
    <w:p w14:paraId="7B7BED0F" w14:textId="77777777" w:rsidR="00380AFB" w:rsidRDefault="00000000">
      <w:pPr>
        <w:contextualSpacing/>
        <w:jc w:val="both"/>
        <w:rPr>
          <w:rFonts w:ascii="Bookman Old Style" w:hAnsi="Bookman Old Style"/>
          <w:bCs/>
          <w:sz w:val="19"/>
          <w:szCs w:val="19"/>
        </w:rPr>
      </w:pPr>
      <w:r>
        <w:rPr>
          <w:rFonts w:ascii="Bookman Old Style" w:hAnsi="Bookman Old Style"/>
          <w:bCs/>
          <w:sz w:val="19"/>
          <w:szCs w:val="19"/>
        </w:rPr>
        <w:t xml:space="preserve">5.1.3.1. Na hipótese de ocorrência da necessidade de substituição, a empresa deverá realizar a troca no prazo máximo de 05 (cinco) dias corridos.  </w:t>
      </w:r>
    </w:p>
    <w:p w14:paraId="5C425F78" w14:textId="77777777" w:rsidR="00380AFB" w:rsidRDefault="00380AFB">
      <w:pPr>
        <w:contextualSpacing/>
        <w:jc w:val="both"/>
        <w:rPr>
          <w:rFonts w:ascii="Bookman Old Style" w:hAnsi="Bookman Old Style"/>
          <w:bCs/>
          <w:sz w:val="19"/>
          <w:szCs w:val="19"/>
        </w:rPr>
      </w:pPr>
    </w:p>
    <w:p w14:paraId="795564B8" w14:textId="77777777" w:rsidR="00380AFB" w:rsidRDefault="00000000">
      <w:pPr>
        <w:contextualSpacing/>
        <w:jc w:val="both"/>
        <w:rPr>
          <w:rFonts w:ascii="Bookman Old Style" w:hAnsi="Bookman Old Style"/>
          <w:bCs/>
          <w:sz w:val="19"/>
          <w:szCs w:val="19"/>
        </w:rPr>
      </w:pPr>
      <w:r>
        <w:rPr>
          <w:rFonts w:ascii="Bookman Old Style" w:hAnsi="Bookman Old Style"/>
          <w:bCs/>
          <w:sz w:val="19"/>
          <w:szCs w:val="19"/>
        </w:rPr>
        <w:t>5.1.3.2. Caso a empresa se recuse a proceder à substituição a que se refere o item 5.1.3.1 acima, a Administração poderá aplicar quaisquer das sanções previstas no contrato ou no edital de licitação.</w:t>
      </w:r>
    </w:p>
    <w:p w14:paraId="5C05D6C9" w14:textId="77777777" w:rsidR="00380AFB" w:rsidRDefault="00380AFB">
      <w:pPr>
        <w:contextualSpacing/>
        <w:jc w:val="both"/>
        <w:rPr>
          <w:rFonts w:ascii="Bookman Old Style" w:hAnsi="Bookman Old Style"/>
          <w:bCs/>
          <w:sz w:val="19"/>
          <w:szCs w:val="19"/>
        </w:rPr>
      </w:pPr>
    </w:p>
    <w:p w14:paraId="670DC53E" w14:textId="77777777" w:rsidR="00380AFB" w:rsidRDefault="00000000">
      <w:pPr>
        <w:contextualSpacing/>
        <w:jc w:val="both"/>
        <w:rPr>
          <w:rFonts w:ascii="Bookman Old Style" w:hAnsi="Bookman Old Style"/>
          <w:bCs/>
          <w:sz w:val="19"/>
          <w:szCs w:val="19"/>
        </w:rPr>
      </w:pPr>
      <w:r>
        <w:rPr>
          <w:rFonts w:ascii="Bookman Old Style" w:hAnsi="Bookman Old Style"/>
          <w:bCs/>
          <w:sz w:val="19"/>
          <w:szCs w:val="19"/>
        </w:rPr>
        <w:t xml:space="preserve">5.1.4. Será de responsabilidade da Contratada a descarga da mercadoria no local indicado pelo responsável pelo recebimento. </w:t>
      </w:r>
    </w:p>
    <w:p w14:paraId="1654CEC4" w14:textId="77777777" w:rsidR="00380AFB" w:rsidRDefault="00380AFB">
      <w:pPr>
        <w:contextualSpacing/>
        <w:jc w:val="both"/>
        <w:rPr>
          <w:rFonts w:ascii="Bookman Old Style" w:hAnsi="Bookman Old Style"/>
          <w:bCs/>
          <w:sz w:val="19"/>
          <w:szCs w:val="19"/>
        </w:rPr>
      </w:pPr>
    </w:p>
    <w:p w14:paraId="4E8CF69D" w14:textId="77777777" w:rsidR="00380AFB" w:rsidRDefault="00000000">
      <w:pPr>
        <w:spacing w:line="240" w:lineRule="auto"/>
        <w:contextualSpacing/>
        <w:jc w:val="both"/>
        <w:rPr>
          <w:rFonts w:ascii="Bookman Old Style" w:hAnsi="Bookman Old Style"/>
          <w:bCs/>
          <w:sz w:val="19"/>
          <w:szCs w:val="19"/>
        </w:rPr>
      </w:pPr>
      <w:r>
        <w:rPr>
          <w:rFonts w:ascii="Bookman Old Style" w:hAnsi="Bookman Old Style"/>
          <w:bCs/>
          <w:sz w:val="19"/>
          <w:szCs w:val="19"/>
        </w:rPr>
        <w:t xml:space="preserve">5.1.5. Os produtos deverão ser entregues devidamente acondicionados em suas embalagens originais, com descrição da composição, registros e validade, quando houver. </w:t>
      </w:r>
    </w:p>
    <w:p w14:paraId="10DDD4D5" w14:textId="77777777" w:rsidR="00380AFB" w:rsidRDefault="00380AFB">
      <w:pPr>
        <w:spacing w:line="240" w:lineRule="auto"/>
        <w:contextualSpacing/>
        <w:jc w:val="both"/>
        <w:rPr>
          <w:rFonts w:ascii="Bookman Old Style" w:hAnsi="Bookman Old Style"/>
          <w:bCs/>
          <w:sz w:val="19"/>
          <w:szCs w:val="19"/>
        </w:rPr>
      </w:pPr>
    </w:p>
    <w:p w14:paraId="293AA328" w14:textId="77777777" w:rsidR="00380AFB" w:rsidRDefault="00000000">
      <w:pPr>
        <w:spacing w:line="240" w:lineRule="auto"/>
        <w:contextualSpacing/>
        <w:jc w:val="both"/>
        <w:rPr>
          <w:rFonts w:ascii="Bookman Old Style" w:hAnsi="Bookman Old Style"/>
          <w:bCs/>
          <w:sz w:val="19"/>
          <w:szCs w:val="19"/>
        </w:rPr>
      </w:pPr>
      <w:r>
        <w:rPr>
          <w:rFonts w:ascii="Bookman Old Style" w:hAnsi="Bookman Old Style"/>
          <w:bCs/>
          <w:sz w:val="19"/>
          <w:szCs w:val="19"/>
        </w:rPr>
        <w:t xml:space="preserve">5.1.6. Não serão aceitos produtos remanufaturado. </w:t>
      </w:r>
    </w:p>
    <w:p w14:paraId="4991FCB6" w14:textId="77777777" w:rsidR="00380AFB" w:rsidRDefault="00380AFB">
      <w:pPr>
        <w:spacing w:line="276" w:lineRule="auto"/>
        <w:contextualSpacing/>
        <w:jc w:val="both"/>
        <w:rPr>
          <w:rFonts w:ascii="Bookman Old Style" w:hAnsi="Bookman Old Style"/>
          <w:bCs/>
          <w:sz w:val="19"/>
          <w:szCs w:val="19"/>
        </w:rPr>
      </w:pPr>
    </w:p>
    <w:p w14:paraId="0098C164" w14:textId="77777777" w:rsidR="00380AFB" w:rsidRDefault="00000000">
      <w:pPr>
        <w:spacing w:line="276" w:lineRule="auto"/>
        <w:contextualSpacing/>
        <w:jc w:val="both"/>
        <w:rPr>
          <w:rFonts w:ascii="Bookman Old Style" w:eastAsia="Arial" w:hAnsi="Bookman Old Style"/>
          <w:b/>
          <w:color w:val="000000"/>
          <w:sz w:val="19"/>
          <w:szCs w:val="19"/>
        </w:rPr>
      </w:pPr>
      <w:r>
        <w:rPr>
          <w:rFonts w:ascii="Bookman Old Style" w:hAnsi="Bookman Old Style"/>
          <w:b/>
          <w:bCs/>
          <w:sz w:val="19"/>
          <w:szCs w:val="19"/>
        </w:rPr>
        <w:t>6.</w:t>
      </w:r>
      <w:r>
        <w:rPr>
          <w:rFonts w:ascii="Bookman Old Style" w:hAnsi="Bookman Old Style"/>
          <w:bCs/>
          <w:sz w:val="19"/>
          <w:szCs w:val="19"/>
        </w:rPr>
        <w:t xml:space="preserve"> </w:t>
      </w:r>
      <w:r>
        <w:rPr>
          <w:rFonts w:ascii="Bookman Old Style" w:eastAsia="Arial" w:hAnsi="Bookman Old Style"/>
          <w:b/>
          <w:color w:val="000000"/>
          <w:sz w:val="19"/>
          <w:szCs w:val="19"/>
        </w:rPr>
        <w:t>MODELO DE GESTÃO DO CONTRATO</w:t>
      </w:r>
    </w:p>
    <w:p w14:paraId="7F3FC2AF"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4C1CBDF8"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6.1.</w:t>
      </w:r>
      <w:r>
        <w:rPr>
          <w:rFonts w:ascii="Bookman Old Style" w:eastAsia="Arial" w:hAnsi="Bookman Old Style"/>
          <w:b/>
          <w:color w:val="000000"/>
          <w:sz w:val="19"/>
          <w:szCs w:val="19"/>
        </w:rPr>
        <w:t xml:space="preserve"> </w:t>
      </w:r>
      <w:r>
        <w:rPr>
          <w:rFonts w:ascii="Bookman Old Style" w:eastAsia="Arial" w:hAnsi="Bookman Old Style"/>
          <w:color w:val="000000"/>
          <w:sz w:val="19"/>
          <w:szCs w:val="19"/>
        </w:rPr>
        <w:t>O contrato deverá ser executado fielmente pelas partes, de acordo com as cláusulas avençadas e as normas da Lei nº 14.133, de 2021, e cada parte responderá pelas consequências de sua inexecução total ou parcial.</w:t>
      </w:r>
    </w:p>
    <w:p w14:paraId="05B0A4FF" w14:textId="77777777" w:rsidR="00380AFB" w:rsidRDefault="00380AFB">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64B66C34"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hAnsi="Bookman Old Style"/>
          <w:sz w:val="19"/>
          <w:szCs w:val="19"/>
        </w:rPr>
        <w:t xml:space="preserve">6.2. </w:t>
      </w:r>
      <w:r>
        <w:rPr>
          <w:rFonts w:ascii="Bookman Old Style" w:eastAsia="Arial" w:hAnsi="Bookman Old Style"/>
          <w:color w:val="000000"/>
          <w:sz w:val="19"/>
          <w:szCs w:val="19"/>
        </w:rPr>
        <w:t>Em caso de impedimento, ordem de paralisação ou suspensão do contrato, o cronograma de entrega/execução será prorrogado automaticamente pelo tempo correspondente, anotadas tais circunstâncias mediante simples apostila.</w:t>
      </w:r>
    </w:p>
    <w:p w14:paraId="4561EF1E"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591F1EC6"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6.3. As comunicações entre a Prefeitura e a contratada devem ser realizadas por escrito sempre que o ato exigir tal formalidade, admitindo-se o uso de mensagem eletrônica para esse fim.</w:t>
      </w:r>
    </w:p>
    <w:p w14:paraId="19EC79B5"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2005DE30"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6.4. O Contratante poderá convocar representante da empresa para adoção de providências que devam ser cumpridas de imediato.</w:t>
      </w:r>
    </w:p>
    <w:p w14:paraId="1C298B37"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p>
    <w:p w14:paraId="00CE842B"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r>
        <w:rPr>
          <w:rFonts w:ascii="Bookman Old Style" w:eastAsia="Arial" w:hAnsi="Bookman Old Style"/>
          <w:sz w:val="19"/>
          <w:szCs w:val="19"/>
        </w:rPr>
        <w:t>6.5. Após a assinatura do contrato ou instrumento equivalente, a Prefeitura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DB1082B" w14:textId="77777777" w:rsidR="00380AFB" w:rsidRDefault="00380AFB">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5B9302FB"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hAnsi="Bookman Old Style"/>
          <w:sz w:val="19"/>
          <w:szCs w:val="19"/>
        </w:rPr>
        <w:t xml:space="preserve">6.6. </w:t>
      </w:r>
      <w:r>
        <w:rPr>
          <w:rFonts w:ascii="Bookman Old Style" w:eastAsia="Arial" w:hAnsi="Bookman Old Style"/>
          <w:color w:val="000000"/>
          <w:sz w:val="19"/>
          <w:szCs w:val="19"/>
        </w:rPr>
        <w:t xml:space="preserve">A execução do contrato deverá ser acompanhada e fiscalizada pelo(s) fiscal(is) do contrato, ou pelos respectivos substitutos </w:t>
      </w:r>
      <w:hyperlink r:id="rId25" w:anchor="art117">
        <w:r w:rsidR="00380AFB">
          <w:rPr>
            <w:rFonts w:ascii="Bookman Old Style" w:eastAsia="Arial" w:hAnsi="Bookman Old Style"/>
            <w:color w:val="000080"/>
            <w:sz w:val="19"/>
            <w:szCs w:val="19"/>
            <w:u w:val="single"/>
          </w:rPr>
          <w:t>(Lei nº 14.133, de 2021, art. 117, caput</w:t>
        </w:r>
      </w:hyperlink>
      <w:r>
        <w:rPr>
          <w:rFonts w:ascii="Bookman Old Style" w:eastAsia="Arial" w:hAnsi="Bookman Old Style"/>
          <w:color w:val="000000"/>
          <w:sz w:val="19"/>
          <w:szCs w:val="19"/>
        </w:rPr>
        <w:t>).</w:t>
      </w:r>
    </w:p>
    <w:p w14:paraId="31E646B7" w14:textId="77777777" w:rsidR="00380AFB" w:rsidRDefault="00380AFB">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6A33AF72"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hAnsi="Bookman Old Style"/>
          <w:sz w:val="19"/>
          <w:szCs w:val="19"/>
        </w:rPr>
        <w:t xml:space="preserve">6.7. </w:t>
      </w:r>
      <w:r>
        <w:rPr>
          <w:rFonts w:ascii="Bookman Old Style" w:eastAsia="Arial" w:hAnsi="Bookman Old Style"/>
          <w:color w:val="000000"/>
          <w:sz w:val="19"/>
          <w:szCs w:val="19"/>
        </w:rPr>
        <w:t xml:space="preserve">O fiscal técnico do contrato acompanhará a execução do contrato, para que sejam cumpridas todas as condições estabelecidas no contrato, de modo a assegurar os melhores resultados para a Administração. </w:t>
      </w:r>
    </w:p>
    <w:p w14:paraId="5BDEA7DE" w14:textId="77777777" w:rsidR="00380AFB" w:rsidRDefault="00380AFB">
      <w:pPr>
        <w:pBdr>
          <w:top w:val="nil"/>
          <w:left w:val="nil"/>
          <w:bottom w:val="nil"/>
          <w:right w:val="nil"/>
          <w:between w:val="nil"/>
        </w:pBdr>
        <w:spacing w:before="120" w:after="288" w:line="276" w:lineRule="auto"/>
        <w:ind w:left="2695"/>
        <w:contextualSpacing/>
        <w:jc w:val="both"/>
        <w:rPr>
          <w:rFonts w:ascii="Bookman Old Style" w:eastAsia="Arial" w:hAnsi="Bookman Old Style"/>
          <w:color w:val="000000"/>
          <w:sz w:val="19"/>
          <w:szCs w:val="19"/>
        </w:rPr>
      </w:pPr>
    </w:p>
    <w:p w14:paraId="07DAC85E"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26" w:anchor="art117%C2%A71">
        <w:r w:rsidR="00380AFB">
          <w:rPr>
            <w:rFonts w:ascii="Bookman Old Style" w:eastAsia="Arial" w:hAnsi="Bookman Old Style"/>
            <w:color w:val="000080"/>
            <w:sz w:val="19"/>
            <w:szCs w:val="19"/>
            <w:u w:val="single"/>
          </w:rPr>
          <w:t>Lei nº 14.133, de 2021, art. 117, §1º</w:t>
        </w:r>
      </w:hyperlink>
      <w:r>
        <w:rPr>
          <w:rFonts w:ascii="Bookman Old Style" w:eastAsia="Arial" w:hAnsi="Bookman Old Style"/>
          <w:color w:val="000000"/>
          <w:sz w:val="19"/>
          <w:szCs w:val="19"/>
        </w:rPr>
        <w:t>);</w:t>
      </w:r>
    </w:p>
    <w:p w14:paraId="6F457405"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 xml:space="preserve">6.7.2. Identificada qualquer inexatidão ou irregularidade, o fiscal técnico do contrato emitirá notificações para a correção da execução do contrato, determinando prazo para a correção. </w:t>
      </w:r>
    </w:p>
    <w:p w14:paraId="5680D4A8"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76B2027"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 xml:space="preserve">6.7.4. No caso de ocorrências que possam inviabilizar a execução do contrato nas datas aprazadas, o fiscal técnico do contrato comunicará o fato imediatamente ao gestor do contrato. </w:t>
      </w:r>
    </w:p>
    <w:p w14:paraId="53BD39F4"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6.7.5. O fiscal técnico do contrato comunicará ao gestor do contrato, em tempo hábil, o término do contrato sob sua responsabilidade, com vistas à tempestiva renovação ou à prorrogação contratual.</w:t>
      </w:r>
    </w:p>
    <w:p w14:paraId="1D6531EA"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6.7.7. O gestor do contrato acompanhará os registros realizados pelos fiscais do contrato, de todas as ocorrências relacionadas à execução do contrato e as medidas adotadas, informando, se for o caso, à autoridade superior àquelas que ultrapassarem a sua competência</w:t>
      </w:r>
      <w:r>
        <w:rPr>
          <w:rFonts w:ascii="Bookman Old Style" w:eastAsia="Arial" w:hAnsi="Bookman Old Style"/>
          <w:sz w:val="19"/>
          <w:szCs w:val="19"/>
        </w:rPr>
        <w:t>.</w:t>
      </w:r>
    </w:p>
    <w:p w14:paraId="4E38A38A"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6DE6D48C"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r>
        <w:rPr>
          <w:rFonts w:ascii="Bookman Old Style" w:eastAsia="Arial" w:hAnsi="Bookman Old Style"/>
          <w:color w:val="000000"/>
          <w:sz w:val="19"/>
          <w:szCs w:val="19"/>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Pr>
          <w:rFonts w:ascii="Bookman Old Style" w:eastAsia="Arial" w:hAnsi="Bookman Old Style"/>
          <w:sz w:val="19"/>
          <w:szCs w:val="19"/>
        </w:rPr>
        <w:t>.</w:t>
      </w:r>
    </w:p>
    <w:p w14:paraId="4B7502E2" w14:textId="77777777" w:rsidR="00380AFB" w:rsidRDefault="00380AFB">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62FC7409"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6.8.1. 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Bookman Old Style" w:eastAsia="Arial" w:hAnsi="Bookman Old Style"/>
          <w:sz w:val="19"/>
          <w:szCs w:val="19"/>
        </w:rPr>
        <w:t>.</w:t>
      </w:r>
    </w:p>
    <w:p w14:paraId="09FC789B"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35AB8509"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Pr>
          <w:rFonts w:ascii="Bookman Old Style" w:eastAsia="Arial" w:hAnsi="Bookman Old Style"/>
          <w:color w:val="FF0000"/>
          <w:sz w:val="19"/>
          <w:szCs w:val="19"/>
        </w:rPr>
        <w:t xml:space="preserve"> </w:t>
      </w:r>
    </w:p>
    <w:p w14:paraId="101B82FD"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0A7CD9CA"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6.9.1. O gestor do contrato acompanhará a manutenção das condições de habilitação da contratada, para fins de empenho de despesa e pagamento, e anotará os problemas que obstem o fluxo normal da liquidação e do pagamento da despesa no relatório de riscos eventuais.</w:t>
      </w:r>
      <w:r>
        <w:rPr>
          <w:rFonts w:ascii="Bookman Old Style" w:eastAsia="Arial" w:hAnsi="Bookman Old Style"/>
          <w:color w:val="FF0000"/>
          <w:sz w:val="19"/>
          <w:szCs w:val="19"/>
        </w:rPr>
        <w:t xml:space="preserve"> </w:t>
      </w:r>
    </w:p>
    <w:p w14:paraId="72BBBE7F"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 xml:space="preserve">6.9.2.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787FD1B"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 xml:space="preserve">6.9.3. O gestor do contrato tomará providências para a formalização de processo administrativo de responsabilização para fins de aplicação de sanções, a ser conduzido pela comissão de que trata o </w:t>
      </w:r>
      <w:hyperlink r:id="rId27" w:anchor="art158">
        <w:r w:rsidR="00380AFB">
          <w:rPr>
            <w:rFonts w:ascii="Bookman Old Style" w:eastAsia="Arial" w:hAnsi="Bookman Old Style"/>
            <w:color w:val="000080"/>
            <w:sz w:val="19"/>
            <w:szCs w:val="19"/>
            <w:u w:val="single"/>
          </w:rPr>
          <w:t>art. 158 da Lei nº 14.133, de 2021</w:t>
        </w:r>
      </w:hyperlink>
      <w:r>
        <w:rPr>
          <w:rFonts w:ascii="Bookman Old Style" w:eastAsia="Arial" w:hAnsi="Bookman Old Style"/>
          <w:color w:val="000000"/>
          <w:sz w:val="19"/>
          <w:szCs w:val="19"/>
        </w:rPr>
        <w:t>, ou pelo agente ou pelo setor com competência para tal, conforme o caso.</w:t>
      </w:r>
      <w:r>
        <w:rPr>
          <w:rFonts w:ascii="Bookman Old Style" w:eastAsia="Arial" w:hAnsi="Bookman Old Style"/>
          <w:color w:val="FF0000"/>
          <w:sz w:val="19"/>
          <w:szCs w:val="19"/>
        </w:rPr>
        <w:t xml:space="preserve"> </w:t>
      </w:r>
    </w:p>
    <w:p w14:paraId="2705CF19" w14:textId="77777777" w:rsidR="00380AFB" w:rsidRDefault="00380AFB">
      <w:pPr>
        <w:pBdr>
          <w:top w:val="nil"/>
          <w:left w:val="nil"/>
          <w:bottom w:val="nil"/>
          <w:right w:val="nil"/>
          <w:between w:val="nil"/>
        </w:pBdr>
        <w:spacing w:before="120" w:after="288" w:line="276" w:lineRule="auto"/>
        <w:ind w:left="142"/>
        <w:contextualSpacing/>
        <w:jc w:val="both"/>
        <w:rPr>
          <w:rFonts w:ascii="Bookman Old Style" w:eastAsia="Arial" w:hAnsi="Bookman Old Style"/>
          <w:color w:val="000000"/>
          <w:sz w:val="19"/>
          <w:szCs w:val="19"/>
        </w:rPr>
      </w:pPr>
    </w:p>
    <w:p w14:paraId="24E6C734"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6.10. O fiscal administrativo do contrato comunicará ao gestor do contrato, em tempo hábil, o término do contrato sob sua responsabilidade, com vistas à tempestiva renovação ou prorrogação contratual.</w:t>
      </w:r>
      <w:r>
        <w:rPr>
          <w:rFonts w:ascii="Bookman Old Style" w:eastAsia="Arial" w:hAnsi="Bookman Old Style"/>
          <w:color w:val="FF0000"/>
          <w:sz w:val="19"/>
          <w:szCs w:val="19"/>
        </w:rPr>
        <w:t xml:space="preserve"> </w:t>
      </w:r>
    </w:p>
    <w:p w14:paraId="4474D68E"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r>
        <w:rPr>
          <w:rFonts w:ascii="Bookman Old Style" w:eastAsia="Arial" w:hAnsi="Bookman Old Style"/>
          <w:color w:val="000000"/>
          <w:sz w:val="19"/>
          <w:szCs w:val="19"/>
        </w:rPr>
        <w:t>6.11. O gestor do contrato deverá elaborar relatório final com informações sobre a consecução dos objetivos que tenham justificado a contratação e eventuais condutas a serem adotadas para o aprimoramento das atividades da Administração.</w:t>
      </w:r>
      <w:r>
        <w:rPr>
          <w:rFonts w:ascii="Bookman Old Style" w:eastAsia="Arial" w:hAnsi="Bookman Old Style"/>
          <w:color w:val="FF0000"/>
          <w:sz w:val="19"/>
          <w:szCs w:val="19"/>
        </w:rPr>
        <w:t xml:space="preserve"> </w:t>
      </w:r>
    </w:p>
    <w:p w14:paraId="5157D60F"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sz w:val="19"/>
          <w:szCs w:val="19"/>
        </w:rPr>
      </w:pPr>
      <w:r>
        <w:rPr>
          <w:rFonts w:ascii="Bookman Old Style" w:eastAsia="Arial" w:hAnsi="Bookman Old Style"/>
          <w:color w:val="000000"/>
          <w:sz w:val="19"/>
          <w:szCs w:val="19"/>
        </w:rPr>
        <w:t>6.12. O gestor do contrato deverá enviar a documentação pertinente ao setor de contratos para a formalização dos procedimentos de liquidação e pagamento, no valor dimensionado pela fiscalização e gestão nos termos do contrato.</w:t>
      </w:r>
    </w:p>
    <w:p w14:paraId="31BBDA70" w14:textId="77777777" w:rsidR="00380AFB" w:rsidRDefault="00380AFB">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0EB7BE20"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lastRenderedPageBreak/>
        <w:t>7. CRITÉRIOS DE MEDIÇÃO E DE PAGAMENTO</w:t>
      </w:r>
    </w:p>
    <w:p w14:paraId="3A059762"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038D6891"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iCs/>
          <w:sz w:val="19"/>
          <w:szCs w:val="19"/>
        </w:rPr>
      </w:pPr>
      <w:r>
        <w:rPr>
          <w:rFonts w:ascii="Bookman Old Style" w:eastAsia="Arial" w:hAnsi="Bookman Old Style"/>
          <w:color w:val="000000"/>
          <w:sz w:val="19"/>
          <w:szCs w:val="19"/>
        </w:rPr>
        <w:t>7.1.</w:t>
      </w:r>
      <w:r>
        <w:rPr>
          <w:rFonts w:ascii="Bookman Old Style" w:eastAsia="Arial" w:hAnsi="Bookman Old Style"/>
          <w:b/>
          <w:color w:val="000000"/>
          <w:sz w:val="19"/>
          <w:szCs w:val="19"/>
        </w:rPr>
        <w:t xml:space="preserve"> </w:t>
      </w:r>
      <w:r>
        <w:rPr>
          <w:rFonts w:ascii="Bookman Old Style" w:eastAsia="Arial" w:hAnsi="Bookman Old Style"/>
          <w:iCs/>
          <w:sz w:val="19"/>
          <w:szCs w:val="19"/>
        </w:rPr>
        <w:t>Será</w:t>
      </w:r>
      <w:r>
        <w:rPr>
          <w:rFonts w:ascii="Bookman Old Style" w:eastAsia="Arial" w:hAnsi="Bookman Old Style"/>
          <w:i/>
          <w:sz w:val="19"/>
          <w:szCs w:val="19"/>
        </w:rPr>
        <w:t xml:space="preserve"> </w:t>
      </w:r>
      <w:r>
        <w:rPr>
          <w:rFonts w:ascii="Bookman Old Style" w:eastAsia="Arial" w:hAnsi="Bookman Old Style"/>
          <w:iCs/>
          <w:sz w:val="19"/>
          <w:szCs w:val="19"/>
        </w:rPr>
        <w:t>indicada a retenção ou glosa no pagamento, proporcional à irregularidade verificada, sem prejuízo das sanções cabíveis, caso se constate que a Contratada:</w:t>
      </w:r>
    </w:p>
    <w:p w14:paraId="62F12D9C"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596F9695"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r>
        <w:rPr>
          <w:rFonts w:ascii="Bookman Old Style" w:eastAsia="Arial" w:hAnsi="Bookman Old Style"/>
          <w:iCs/>
          <w:sz w:val="19"/>
          <w:szCs w:val="19"/>
        </w:rPr>
        <w:t>7.1.1. não produzir os resultados acordados,</w:t>
      </w:r>
    </w:p>
    <w:p w14:paraId="28F0B4F6"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iCs/>
          <w:color w:val="FF0000"/>
          <w:sz w:val="19"/>
          <w:szCs w:val="19"/>
        </w:rPr>
      </w:pPr>
      <w:r>
        <w:rPr>
          <w:rFonts w:ascii="Bookman Old Style" w:eastAsia="Arial" w:hAnsi="Bookman Old Style"/>
          <w:iCs/>
          <w:sz w:val="19"/>
          <w:szCs w:val="19"/>
        </w:rPr>
        <w:t>7.1.2. deixar de executar, ou não executar com a qualidade mínima exigida as atividades contratadas; ou</w:t>
      </w:r>
    </w:p>
    <w:p w14:paraId="355B0B3F"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r>
        <w:rPr>
          <w:rFonts w:ascii="Bookman Old Style" w:eastAsia="Arial" w:hAnsi="Bookman Old Style"/>
          <w:iCs/>
          <w:sz w:val="19"/>
          <w:szCs w:val="19"/>
        </w:rPr>
        <w:t>7.1.3. deixar de utilizar materiais e recursos humanos exigidos para a execução do serviço, ou utilizá-los com qualidade ou quantidade inferior à demandada.</w:t>
      </w:r>
    </w:p>
    <w:p w14:paraId="00CB4D7A"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iCs/>
          <w:color w:val="FF0000"/>
          <w:sz w:val="19"/>
          <w:szCs w:val="19"/>
        </w:rPr>
      </w:pPr>
    </w:p>
    <w:p w14:paraId="1267EFC7"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Do recebimento</w:t>
      </w:r>
    </w:p>
    <w:p w14:paraId="38667073" w14:textId="77777777" w:rsidR="00380AFB" w:rsidRDefault="00380AFB">
      <w:pPr>
        <w:keepNext/>
        <w:keepLines/>
        <w:pBdr>
          <w:top w:val="nil"/>
          <w:left w:val="nil"/>
          <w:bottom w:val="nil"/>
          <w:right w:val="nil"/>
          <w:between w:val="nil"/>
        </w:pBdr>
        <w:tabs>
          <w:tab w:val="left" w:pos="567"/>
        </w:tabs>
        <w:spacing w:before="120" w:after="288" w:line="276" w:lineRule="auto"/>
        <w:ind w:firstLine="284"/>
        <w:contextualSpacing/>
        <w:jc w:val="both"/>
        <w:rPr>
          <w:rFonts w:ascii="Bookman Old Style" w:eastAsia="Arial" w:hAnsi="Bookman Old Style"/>
          <w:b/>
          <w:color w:val="000000"/>
          <w:sz w:val="19"/>
          <w:szCs w:val="19"/>
        </w:rPr>
      </w:pPr>
    </w:p>
    <w:p w14:paraId="4CF4B1DF" w14:textId="77777777" w:rsidR="00380AFB" w:rsidRDefault="00000000">
      <w:pPr>
        <w:spacing w:line="240" w:lineRule="auto"/>
        <w:contextualSpacing/>
        <w:jc w:val="both"/>
        <w:rPr>
          <w:rFonts w:ascii="Bookman Old Style" w:hAnsi="Bookman Old Style" w:cs="Times New Roman"/>
          <w:sz w:val="20"/>
          <w:szCs w:val="20"/>
        </w:rPr>
      </w:pPr>
      <w:r>
        <w:rPr>
          <w:rFonts w:ascii="Bookman Old Style" w:hAnsi="Bookman Old Style" w:cs="Times New Roman"/>
          <w:sz w:val="20"/>
          <w:szCs w:val="20"/>
        </w:rPr>
        <w:t>7.2.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258A21C" w14:textId="77777777" w:rsidR="00380AFB" w:rsidRDefault="00380AFB">
      <w:pPr>
        <w:spacing w:line="240" w:lineRule="auto"/>
        <w:contextualSpacing/>
        <w:jc w:val="both"/>
        <w:rPr>
          <w:rFonts w:ascii="Bookman Old Style" w:hAnsi="Bookman Old Style" w:cs="Times New Roman"/>
          <w:sz w:val="20"/>
          <w:szCs w:val="20"/>
        </w:rPr>
      </w:pPr>
    </w:p>
    <w:p w14:paraId="7D4FEDCD" w14:textId="77777777" w:rsidR="00380AFB" w:rsidRDefault="00000000">
      <w:pPr>
        <w:spacing w:line="240" w:lineRule="auto"/>
        <w:contextualSpacing/>
        <w:jc w:val="both"/>
        <w:rPr>
          <w:rFonts w:ascii="Bookman Old Style" w:hAnsi="Bookman Old Style" w:cs="Times New Roman"/>
          <w:sz w:val="20"/>
          <w:szCs w:val="20"/>
        </w:rPr>
      </w:pPr>
      <w:r>
        <w:rPr>
          <w:rFonts w:ascii="Bookman Old Style" w:hAnsi="Bookman Old Style" w:cs="Times New Roman"/>
          <w:sz w:val="20"/>
          <w:szCs w:val="20"/>
        </w:rPr>
        <w:t>7.2.1. Os bens poderão ser rejeitados, no todo ou em parte, inclusive antes do recebimento provisório, quando em desacordo com as especificações constantes no Termo de Referência e na proposta, devendo ser substituídos no prazo de 5 dias, a contar da notificação da contratada, ás suas custas, sem prejuízo da aplicação das penalidades.</w:t>
      </w:r>
    </w:p>
    <w:p w14:paraId="7E62C54F" w14:textId="77777777" w:rsidR="00380AFB" w:rsidRDefault="00380AFB">
      <w:pPr>
        <w:spacing w:line="240" w:lineRule="auto"/>
        <w:contextualSpacing/>
        <w:jc w:val="both"/>
        <w:rPr>
          <w:rFonts w:ascii="Bookman Old Style" w:hAnsi="Bookman Old Style" w:cs="Times New Roman"/>
          <w:sz w:val="20"/>
          <w:szCs w:val="20"/>
        </w:rPr>
      </w:pPr>
    </w:p>
    <w:p w14:paraId="2E386102" w14:textId="77777777" w:rsidR="00380AFB" w:rsidRDefault="00000000">
      <w:pPr>
        <w:spacing w:line="240" w:lineRule="auto"/>
        <w:contextualSpacing/>
        <w:jc w:val="both"/>
        <w:rPr>
          <w:rFonts w:ascii="Bookman Old Style" w:hAnsi="Bookman Old Style" w:cs="Times New Roman"/>
          <w:sz w:val="20"/>
          <w:szCs w:val="20"/>
        </w:rPr>
      </w:pPr>
      <w:r>
        <w:rPr>
          <w:rFonts w:ascii="Bookman Old Style" w:hAnsi="Bookman Old Style" w:cs="Times New Roman"/>
          <w:sz w:val="20"/>
          <w:szCs w:val="20"/>
        </w:rPr>
        <w:t>7.2.2. O recebimento definitivo ocorrerá no prazo de cinco dias úteis a contar do recebimento da nota fiscal ou instrumento de cobrança equivalente pela Administração, após a verificação da qualidade e quantidade do material e consequente aceitação mediante termo detalhado.</w:t>
      </w:r>
    </w:p>
    <w:p w14:paraId="43EE6690" w14:textId="77777777" w:rsidR="00380AFB" w:rsidRDefault="00380AFB">
      <w:pPr>
        <w:spacing w:line="240" w:lineRule="auto"/>
        <w:contextualSpacing/>
        <w:jc w:val="both"/>
        <w:rPr>
          <w:rFonts w:ascii="Bookman Old Style" w:hAnsi="Bookman Old Style" w:cs="Times New Roman"/>
          <w:sz w:val="20"/>
          <w:szCs w:val="20"/>
        </w:rPr>
      </w:pPr>
    </w:p>
    <w:p w14:paraId="2BE17E2D" w14:textId="77777777" w:rsidR="00380AFB" w:rsidRDefault="00000000">
      <w:pPr>
        <w:spacing w:line="240" w:lineRule="auto"/>
        <w:contextualSpacing/>
        <w:jc w:val="both"/>
        <w:rPr>
          <w:rFonts w:ascii="Bookman Old Style" w:hAnsi="Bookman Old Style" w:cs="Times New Roman"/>
          <w:sz w:val="20"/>
          <w:szCs w:val="20"/>
        </w:rPr>
      </w:pPr>
      <w:r>
        <w:rPr>
          <w:rFonts w:ascii="Bookman Old Style" w:hAnsi="Bookman Old Style" w:cs="Times New Roman"/>
          <w:sz w:val="20"/>
          <w:szCs w:val="20"/>
        </w:rPr>
        <w:t>7.2.3. O prazo para recebimento definitivo poderá ser excepcionalmente prorrogado, de forma justificada, por igual período, quando houver necessidade de diligências para a aferição do atendimento das exigências contratuais.</w:t>
      </w:r>
    </w:p>
    <w:p w14:paraId="04B2525A" w14:textId="77777777" w:rsidR="00380AFB" w:rsidRDefault="00380AFB">
      <w:pPr>
        <w:spacing w:line="240" w:lineRule="auto"/>
        <w:contextualSpacing/>
        <w:jc w:val="both"/>
        <w:rPr>
          <w:rFonts w:ascii="Bookman Old Style" w:hAnsi="Bookman Old Style" w:cs="Times New Roman"/>
          <w:sz w:val="20"/>
          <w:szCs w:val="20"/>
        </w:rPr>
      </w:pPr>
    </w:p>
    <w:p w14:paraId="480DFD8B" w14:textId="77777777" w:rsidR="00380AFB" w:rsidRDefault="00000000">
      <w:pPr>
        <w:spacing w:line="240" w:lineRule="auto"/>
        <w:contextualSpacing/>
        <w:jc w:val="both"/>
        <w:rPr>
          <w:rFonts w:ascii="Bookman Old Style" w:hAnsi="Bookman Old Style" w:cs="Times New Roman"/>
          <w:sz w:val="20"/>
          <w:szCs w:val="20"/>
        </w:rPr>
      </w:pPr>
      <w:r>
        <w:rPr>
          <w:rFonts w:ascii="Bookman Old Style" w:hAnsi="Bookman Old Style" w:cs="Times New Roman"/>
          <w:sz w:val="20"/>
          <w:szCs w:val="20"/>
        </w:rPr>
        <w:t xml:space="preserve">7.2.4. No caso de controvérsia sobre a execução do objeto, quanto à dimensão, qualidade e quantidade, deverá ser observado o teor </w:t>
      </w:r>
      <w:r>
        <w:rPr>
          <w:rFonts w:ascii="Bookman Old Style" w:hAnsi="Bookman Old Style" w:cs="Times New Roman"/>
          <w:sz w:val="20"/>
          <w:szCs w:val="20"/>
          <w:u w:val="single"/>
        </w:rPr>
        <w:t>do art. 143 da Lei n° 14.133, de 2021</w:t>
      </w:r>
      <w:r>
        <w:rPr>
          <w:rFonts w:ascii="Bookman Old Style" w:hAnsi="Bookman Old Style" w:cs="Times New Roman"/>
          <w:sz w:val="20"/>
          <w:szCs w:val="20"/>
        </w:rPr>
        <w:t>, comunicando-se à empresa para emissão de Nota Fiscal no que pertine à parcela incontroversa da execução do objeto, para efeito de liquidação e pagamento.</w:t>
      </w:r>
    </w:p>
    <w:p w14:paraId="5BC495D6" w14:textId="77777777" w:rsidR="00380AFB" w:rsidRDefault="00380AFB">
      <w:pPr>
        <w:spacing w:line="240" w:lineRule="auto"/>
        <w:contextualSpacing/>
        <w:jc w:val="both"/>
        <w:rPr>
          <w:rFonts w:ascii="Bookman Old Style" w:hAnsi="Bookman Old Style" w:cs="Times New Roman"/>
          <w:sz w:val="20"/>
          <w:szCs w:val="20"/>
        </w:rPr>
      </w:pPr>
    </w:p>
    <w:p w14:paraId="1FB51281" w14:textId="77777777" w:rsidR="00380AFB" w:rsidRDefault="00000000">
      <w:pPr>
        <w:spacing w:line="240" w:lineRule="auto"/>
        <w:contextualSpacing/>
        <w:jc w:val="both"/>
        <w:rPr>
          <w:rFonts w:ascii="Bookman Old Style" w:hAnsi="Bookman Old Style" w:cs="Times New Roman"/>
          <w:sz w:val="20"/>
          <w:szCs w:val="20"/>
        </w:rPr>
      </w:pPr>
      <w:r>
        <w:rPr>
          <w:rFonts w:ascii="Bookman Old Style" w:hAnsi="Bookman Old Style" w:cs="Times New Roman"/>
          <w:sz w:val="20"/>
          <w:szCs w:val="20"/>
        </w:rPr>
        <w:t>7.2.5.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939797" w14:textId="77777777" w:rsidR="00380AFB" w:rsidRDefault="00380AFB">
      <w:pPr>
        <w:spacing w:line="240" w:lineRule="auto"/>
        <w:contextualSpacing/>
        <w:jc w:val="both"/>
        <w:rPr>
          <w:rFonts w:ascii="Bookman Old Style" w:hAnsi="Bookman Old Style" w:cs="Times New Roman"/>
          <w:sz w:val="20"/>
          <w:szCs w:val="20"/>
        </w:rPr>
      </w:pPr>
    </w:p>
    <w:p w14:paraId="392B1C3A" w14:textId="77777777" w:rsidR="00380AFB" w:rsidRDefault="00000000">
      <w:pPr>
        <w:spacing w:line="240" w:lineRule="auto"/>
        <w:contextualSpacing/>
        <w:jc w:val="both"/>
        <w:rPr>
          <w:rFonts w:ascii="Bookman Old Style" w:hAnsi="Bookman Old Style" w:cs="Times New Roman"/>
          <w:sz w:val="20"/>
          <w:szCs w:val="20"/>
        </w:rPr>
      </w:pPr>
      <w:r>
        <w:rPr>
          <w:rFonts w:ascii="Bookman Old Style" w:hAnsi="Bookman Old Style" w:cs="Times New Roman"/>
          <w:sz w:val="20"/>
          <w:szCs w:val="20"/>
        </w:rPr>
        <w:t>7.2.6. O recebimento provisório ou definitivo não excluirá a responsabilidade civil pela solidez e pela segurança do serviço nem a responsabilidade ético-profissional pela perfeita execução do contrato.</w:t>
      </w:r>
    </w:p>
    <w:p w14:paraId="45E6A288"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highlight w:val="yellow"/>
        </w:rPr>
      </w:pPr>
    </w:p>
    <w:p w14:paraId="3BF608F5"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68C278C4"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Liquidação</w:t>
      </w:r>
    </w:p>
    <w:p w14:paraId="079FE846"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1C9E7C94"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7.3. Recebida a Nota Fiscal ou documento de cobrança equivalente, ocorrerá a liquidação.</w:t>
      </w:r>
    </w:p>
    <w:p w14:paraId="071E079F"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261707AD"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r>
        <w:rPr>
          <w:rFonts w:ascii="Bookman Old Style" w:eastAsia="Arial" w:hAnsi="Bookman Old Style"/>
          <w:color w:val="000000"/>
          <w:sz w:val="19"/>
          <w:szCs w:val="19"/>
        </w:rPr>
        <w:t xml:space="preserve">7.3.1. Para fins de liquidação, o setor competente deverá verificar se a nota fiscal ou instrumento de cobrança equivalente apresentado expressa os elementos necessários e essenciais do documento, tais como: </w:t>
      </w:r>
    </w:p>
    <w:p w14:paraId="5C8E3211"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p>
    <w:p w14:paraId="5623952F" w14:textId="77777777" w:rsidR="00380AFB" w:rsidRDefault="00000000">
      <w:pPr>
        <w:numPr>
          <w:ilvl w:val="0"/>
          <w:numId w:val="6"/>
        </w:numPr>
        <w:spacing w:before="120"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lastRenderedPageBreak/>
        <w:t>o prazo de validade;</w:t>
      </w:r>
    </w:p>
    <w:p w14:paraId="2E1F1234" w14:textId="77777777" w:rsidR="00380AFB" w:rsidRDefault="00000000">
      <w:pPr>
        <w:numPr>
          <w:ilvl w:val="0"/>
          <w:numId w:val="6"/>
        </w:numPr>
        <w:spacing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a data da emissão; </w:t>
      </w:r>
    </w:p>
    <w:p w14:paraId="790A1E78" w14:textId="77777777" w:rsidR="00380AFB" w:rsidRDefault="00000000">
      <w:pPr>
        <w:numPr>
          <w:ilvl w:val="0"/>
          <w:numId w:val="6"/>
        </w:numPr>
        <w:spacing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os dados do contrato e do órgão contratante; </w:t>
      </w:r>
    </w:p>
    <w:p w14:paraId="143FC9AC" w14:textId="77777777" w:rsidR="00380AFB" w:rsidRDefault="00000000">
      <w:pPr>
        <w:numPr>
          <w:ilvl w:val="0"/>
          <w:numId w:val="6"/>
        </w:numPr>
        <w:spacing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 período respectivo de execução do contrato; </w:t>
      </w:r>
    </w:p>
    <w:p w14:paraId="6E288A7F" w14:textId="77777777" w:rsidR="00380AFB" w:rsidRDefault="00000000">
      <w:pPr>
        <w:numPr>
          <w:ilvl w:val="0"/>
          <w:numId w:val="6"/>
        </w:numPr>
        <w:spacing w:after="0"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 valor a pagar; e </w:t>
      </w:r>
    </w:p>
    <w:p w14:paraId="24562120" w14:textId="77777777" w:rsidR="00380AFB" w:rsidRDefault="00000000">
      <w:pPr>
        <w:numPr>
          <w:ilvl w:val="0"/>
          <w:numId w:val="6"/>
        </w:numPr>
        <w:spacing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eventual destaque do valor de retenções tributárias cabíveis.</w:t>
      </w:r>
    </w:p>
    <w:p w14:paraId="17418D30" w14:textId="77777777" w:rsidR="00380AFB" w:rsidRDefault="00380AFB">
      <w:pPr>
        <w:spacing w:after="288" w:line="276" w:lineRule="auto"/>
        <w:contextualSpacing/>
        <w:jc w:val="both"/>
        <w:rPr>
          <w:rFonts w:ascii="Bookman Old Style" w:eastAsia="Arial" w:hAnsi="Bookman Old Style"/>
          <w:color w:val="000000"/>
          <w:sz w:val="19"/>
          <w:szCs w:val="19"/>
        </w:rPr>
      </w:pPr>
    </w:p>
    <w:p w14:paraId="48D225A1"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r>
        <w:rPr>
          <w:rFonts w:ascii="Bookman Old Style" w:eastAsia="Arial" w:hAnsi="Bookman Old Style"/>
          <w:color w:val="000000"/>
          <w:sz w:val="19"/>
          <w:szCs w:val="19"/>
        </w:rPr>
        <w:t>7.3.2.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0FA7E5C"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p>
    <w:p w14:paraId="64CE6656"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r>
        <w:rPr>
          <w:rFonts w:ascii="Bookman Old Style" w:eastAsia="Arial" w:hAnsi="Bookman Old Style"/>
          <w:sz w:val="19"/>
          <w:szCs w:val="19"/>
        </w:rPr>
        <w:t xml:space="preserve">7.3.3. </w:t>
      </w:r>
      <w:r>
        <w:rPr>
          <w:rFonts w:ascii="Bookman Old Style" w:eastAsia="Arial" w:hAnsi="Bookman Old Style"/>
          <w:color w:val="000000"/>
          <w:sz w:val="19"/>
          <w:szCs w:val="19"/>
        </w:rPr>
        <w:t xml:space="preserve">A nota fiscal ou instrumento de cobrança equivalente deverá ser obrigatoriamente acompanhado da comprovação da regularidade fiscal, constatada mediante consulta aos sítios eletrônicos oficiais ou à documentação mencionada no </w:t>
      </w:r>
      <w:hyperlink r:id="rId28" w:anchor="art68">
        <w:r w:rsidR="00380AFB">
          <w:rPr>
            <w:rFonts w:ascii="Bookman Old Style" w:eastAsia="Arial" w:hAnsi="Bookman Old Style"/>
            <w:color w:val="000080"/>
            <w:sz w:val="19"/>
            <w:szCs w:val="19"/>
            <w:u w:val="single"/>
          </w:rPr>
          <w:t xml:space="preserve">art. 68 da Lei nº 14.133, de 2021.  </w:t>
        </w:r>
      </w:hyperlink>
      <w:r>
        <w:rPr>
          <w:rFonts w:ascii="Bookman Old Style" w:eastAsia="Arial" w:hAnsi="Bookman Old Style"/>
          <w:color w:val="000000"/>
          <w:sz w:val="19"/>
          <w:szCs w:val="19"/>
        </w:rPr>
        <w:t xml:space="preserve"> </w:t>
      </w:r>
    </w:p>
    <w:p w14:paraId="5D38E60E"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sz w:val="19"/>
          <w:szCs w:val="19"/>
        </w:rPr>
      </w:pPr>
    </w:p>
    <w:p w14:paraId="6ADE87BE"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sz w:val="19"/>
          <w:szCs w:val="19"/>
        </w:rPr>
        <w:t xml:space="preserve">7.3.4. </w:t>
      </w:r>
      <w:r>
        <w:rPr>
          <w:rFonts w:ascii="Bookman Old Style" w:eastAsia="Arial" w:hAnsi="Bookman Old Style"/>
          <w:color w:val="000000"/>
          <w:sz w:val="19"/>
          <w:szCs w:val="19"/>
        </w:rPr>
        <w:t>A Administração deverá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760A69FF"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08916416"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7.3.5.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CB94AA0"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7B70C386"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7.3.6.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09DEFF"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05BCA519"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7.3.7. Persistindo a irregularidade, o contratante deverá adotar as medidas necessárias à rescisão contratual nos autos do processo administrativo correspondente, assegurada ao contratado a ampla defesa. </w:t>
      </w:r>
    </w:p>
    <w:p w14:paraId="311655FF"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40EDEE08"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7.3.8. Havendo a efetiva execução do objeto, os pagamentos serão realizados normalmente, até que se decida pela rescisão do contrato, caso o contratado não regularize sua situação.</w:t>
      </w:r>
    </w:p>
    <w:p w14:paraId="02D16CF2"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374D30B1"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Prazo de pagamento</w:t>
      </w:r>
    </w:p>
    <w:p w14:paraId="2751D9A9"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0A17ED55"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7.4.</w:t>
      </w:r>
      <w:r>
        <w:rPr>
          <w:rFonts w:ascii="Bookman Old Style" w:eastAsia="Arial" w:hAnsi="Bookman Old Style"/>
          <w:b/>
          <w:color w:val="000000"/>
          <w:sz w:val="19"/>
          <w:szCs w:val="19"/>
        </w:rPr>
        <w:t xml:space="preserve"> </w:t>
      </w:r>
      <w:r>
        <w:rPr>
          <w:rFonts w:ascii="Bookman Old Style" w:eastAsia="Arial" w:hAnsi="Bookman Old Style"/>
          <w:color w:val="000000"/>
          <w:sz w:val="19"/>
          <w:szCs w:val="19"/>
        </w:rPr>
        <w:t xml:space="preserve">O pagamento será efetuado no prazo de até 30 (trinta) dias contados da finalização da liquidação da despesa. </w:t>
      </w:r>
    </w:p>
    <w:p w14:paraId="52F88D8D"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245B327D"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7.5. No caso de atraso pelo Contratante, os valores devidos ao contratado serão atualizados monetariamente entre o termo final do prazo de pagamento até a data de sua efetiva realização, mediante aplicação do índice INPC de correção monetária.</w:t>
      </w:r>
    </w:p>
    <w:p w14:paraId="59ACBE33"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53098DBB"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lastRenderedPageBreak/>
        <w:t>Forma de pagamento</w:t>
      </w:r>
    </w:p>
    <w:p w14:paraId="308F2BA8"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7F8A9502"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7.6.</w:t>
      </w:r>
      <w:r>
        <w:rPr>
          <w:rFonts w:ascii="Bookman Old Style" w:eastAsia="Arial" w:hAnsi="Bookman Old Style"/>
          <w:b/>
          <w:color w:val="000000"/>
          <w:sz w:val="19"/>
          <w:szCs w:val="19"/>
        </w:rPr>
        <w:t xml:space="preserve"> </w:t>
      </w:r>
      <w:r>
        <w:rPr>
          <w:rFonts w:ascii="Bookman Old Style" w:eastAsia="Arial" w:hAnsi="Bookman Old Style"/>
          <w:color w:val="000000"/>
          <w:sz w:val="19"/>
          <w:szCs w:val="19"/>
        </w:rPr>
        <w:t>O pagamento será realizado por meio de ordem bancária, para crédito em banco, agência e conta corrente indicados pelo contratado.</w:t>
      </w:r>
    </w:p>
    <w:p w14:paraId="02836AC9"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06A45AA5"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7.7. Será considerada data do pagamento o dia em que constar como emitida a ordem bancária para pagamento.</w:t>
      </w:r>
    </w:p>
    <w:p w14:paraId="6A361334"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378BA99E"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7.8. Quando do pagamento, será efetuada a retenção tributária prevista na legislação aplicável.</w:t>
      </w:r>
    </w:p>
    <w:p w14:paraId="03F6E6FF"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p>
    <w:p w14:paraId="32087AE3"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iCs/>
          <w:sz w:val="19"/>
          <w:szCs w:val="19"/>
        </w:rPr>
      </w:pPr>
      <w:r>
        <w:rPr>
          <w:rFonts w:ascii="Bookman Old Style" w:eastAsia="Arial" w:hAnsi="Bookman Old Style"/>
          <w:iCs/>
          <w:sz w:val="19"/>
          <w:szCs w:val="19"/>
        </w:rPr>
        <w:t>7.8.1. Independentemente do percentual de tributo inserido na planilha, quando houver, serão retidos na fonte, quando da realização do pagamento, os percentuais estabelecidos na legislação vigente.</w:t>
      </w:r>
    </w:p>
    <w:p w14:paraId="0A5F1D6D"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7.8.2. O contratado regularmente optante pelo Simples Nacional, nos termos da </w:t>
      </w:r>
      <w:hyperlink r:id="rId29">
        <w:r w:rsidR="00380AFB">
          <w:rPr>
            <w:rFonts w:ascii="Bookman Old Style" w:eastAsia="Arial" w:hAnsi="Bookman Old Style"/>
            <w:color w:val="000080"/>
            <w:sz w:val="19"/>
            <w:szCs w:val="19"/>
            <w:u w:val="single"/>
          </w:rPr>
          <w:t>Lei Complementar nº 123, de 2006</w:t>
        </w:r>
      </w:hyperlink>
      <w:r>
        <w:rPr>
          <w:rFonts w:ascii="Bookman Old Style" w:eastAsia="Arial" w:hAnsi="Bookman Old Style"/>
          <w:color w:val="000000"/>
          <w:sz w:val="19"/>
          <w:szCs w:val="19"/>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F89298"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i/>
          <w:iCs/>
          <w:color w:val="FF0000"/>
          <w:sz w:val="19"/>
          <w:szCs w:val="19"/>
        </w:rPr>
      </w:pPr>
    </w:p>
    <w:p w14:paraId="441CD3AB" w14:textId="77777777" w:rsidR="00380AFB" w:rsidRDefault="00000000">
      <w:pPr>
        <w:pStyle w:val="PargrafodaLista"/>
        <w:keepNext/>
        <w:keepLines/>
        <w:numPr>
          <w:ilvl w:val="0"/>
          <w:numId w:val="7"/>
        </w:numPr>
        <w:pBdr>
          <w:top w:val="nil"/>
          <w:left w:val="nil"/>
          <w:bottom w:val="nil"/>
          <w:right w:val="nil"/>
          <w:between w:val="nil"/>
        </w:pBdr>
        <w:tabs>
          <w:tab w:val="left" w:pos="567"/>
        </w:tabs>
        <w:spacing w:before="120" w:after="288" w:line="276" w:lineRule="auto"/>
        <w:jc w:val="both"/>
        <w:rPr>
          <w:rFonts w:ascii="Bookman Old Style" w:eastAsia="Arial" w:hAnsi="Bookman Old Style"/>
          <w:b/>
          <w:color w:val="000000"/>
          <w:sz w:val="19"/>
          <w:szCs w:val="19"/>
        </w:rPr>
      </w:pPr>
      <w:r>
        <w:rPr>
          <w:rFonts w:ascii="Bookman Old Style" w:eastAsia="Arial" w:hAnsi="Bookman Old Style"/>
          <w:b/>
          <w:color w:val="000000"/>
          <w:sz w:val="19"/>
          <w:szCs w:val="19"/>
        </w:rPr>
        <w:t>CRITÉRIOS DE SELEÇÃO DO FORNECEDOR</w:t>
      </w:r>
    </w:p>
    <w:p w14:paraId="20F12A1B"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8.1. Critério de julgamento da proposta</w:t>
      </w:r>
    </w:p>
    <w:p w14:paraId="5EE8FF42"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2B9582AF"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Cs/>
          <w:iCs/>
          <w:sz w:val="19"/>
          <w:szCs w:val="19"/>
        </w:rPr>
      </w:pPr>
      <w:r>
        <w:rPr>
          <w:rFonts w:ascii="Bookman Old Style" w:eastAsia="Arial" w:hAnsi="Bookman Old Style"/>
          <w:bCs/>
          <w:iCs/>
          <w:sz w:val="19"/>
          <w:szCs w:val="19"/>
        </w:rPr>
        <w:t>O critério de julgamento será o de menor preço, representado pelo menor preço por item.</w:t>
      </w:r>
    </w:p>
    <w:p w14:paraId="21C34925"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highlight w:val="yellow"/>
        </w:rPr>
      </w:pPr>
    </w:p>
    <w:p w14:paraId="5BD9D48D"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8.2. Exigências de habilitação</w:t>
      </w:r>
    </w:p>
    <w:p w14:paraId="4EBC0355" w14:textId="77777777" w:rsidR="00380AFB" w:rsidRDefault="00000000">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r>
        <w:rPr>
          <w:rFonts w:ascii="Bookman Old Style" w:eastAsia="Arial" w:hAnsi="Bookman Old Style"/>
          <w:iCs/>
          <w:sz w:val="19"/>
          <w:szCs w:val="19"/>
        </w:rPr>
        <w:t>8.2.1. Para fins de habilitação, deverá o interessado comprovar os seguintes requisitos:</w:t>
      </w:r>
    </w:p>
    <w:p w14:paraId="1DD8B31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REGULARIDADE JURÍDICA:</w:t>
      </w:r>
      <w:r>
        <w:rPr>
          <w:rFonts w:ascii="Bookman Old Style" w:eastAsia="Calibri" w:hAnsi="Bookman Old Style" w:cs="Times New Roman"/>
          <w:bCs/>
          <w:sz w:val="19"/>
          <w:szCs w:val="19"/>
        </w:rPr>
        <w:t xml:space="preserve"> </w:t>
      </w:r>
    </w:p>
    <w:p w14:paraId="1D5C3435" w14:textId="77777777" w:rsidR="00380AFB" w:rsidRDefault="00380AFB">
      <w:pPr>
        <w:spacing w:line="276" w:lineRule="auto"/>
        <w:contextualSpacing/>
        <w:jc w:val="both"/>
        <w:rPr>
          <w:rFonts w:ascii="Bookman Old Style" w:eastAsia="Calibri" w:hAnsi="Bookman Old Style" w:cs="Times New Roman"/>
          <w:bCs/>
          <w:sz w:val="19"/>
          <w:szCs w:val="19"/>
        </w:rPr>
      </w:pPr>
    </w:p>
    <w:p w14:paraId="754B927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8.2.1.1. </w:t>
      </w:r>
      <w:r>
        <w:rPr>
          <w:rFonts w:ascii="Bookman Old Style" w:eastAsia="Calibri" w:hAnsi="Bookman Old Style" w:cs="Times New Roman"/>
          <w:bCs/>
          <w:sz w:val="19"/>
          <w:szCs w:val="19"/>
        </w:rPr>
        <w:t xml:space="preserve">Registro comercial, no caso de empresa individual; </w:t>
      </w:r>
    </w:p>
    <w:p w14:paraId="6F3EEEC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8.2.1.2. </w:t>
      </w:r>
      <w:r>
        <w:rPr>
          <w:rFonts w:ascii="Bookman Old Style" w:eastAsia="Calibri" w:hAnsi="Bookman Old Style" w:cs="Times New Roman"/>
          <w:bCs/>
          <w:sz w:val="19"/>
          <w:szCs w:val="19"/>
        </w:rPr>
        <w:t>Ato constitutivo, estatuto ou contrato social em vigor</w:t>
      </w:r>
      <w:r>
        <w:rPr>
          <w:rStyle w:val="Refdenotaderodap"/>
          <w:rFonts w:ascii="Bookman Old Style" w:eastAsia="Calibri" w:hAnsi="Bookman Old Style" w:cs="Times New Roman"/>
          <w:bCs/>
          <w:sz w:val="19"/>
          <w:szCs w:val="19"/>
        </w:rPr>
        <w:footnoteReference w:id="2"/>
      </w:r>
      <w:r>
        <w:rPr>
          <w:rFonts w:ascii="Bookman Old Style" w:eastAsia="Calibri" w:hAnsi="Bookman Old Style" w:cs="Times New Roman"/>
          <w:bCs/>
          <w:sz w:val="19"/>
          <w:szCs w:val="19"/>
        </w:rPr>
        <w:t xml:space="preserve">, devidamente registrado, em se tratando de sociedade comercial e, no caso de sociedade por ações, acompanhado do documento de eleição de seus administradores; </w:t>
      </w:r>
    </w:p>
    <w:p w14:paraId="5C5BBC7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8.2.1.3. </w:t>
      </w:r>
      <w:r>
        <w:rPr>
          <w:rFonts w:ascii="Bookman Old Style" w:eastAsia="Calibri" w:hAnsi="Bookman Old Style" w:cs="Times New Roman"/>
          <w:bCs/>
          <w:sz w:val="19"/>
          <w:szCs w:val="19"/>
        </w:rPr>
        <w:t xml:space="preserve">Inscrição do ato constitutivo, no caso de sociedade civil, acompanhada de prova da diretoria em exercício; </w:t>
      </w:r>
    </w:p>
    <w:p w14:paraId="465AB9B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8.2.1.4. </w:t>
      </w:r>
      <w:r>
        <w:rPr>
          <w:rFonts w:ascii="Bookman Old Style" w:eastAsia="Calibri" w:hAnsi="Bookman Old Style" w:cs="Times New Roman"/>
          <w:bCs/>
          <w:sz w:val="19"/>
          <w:szCs w:val="19"/>
        </w:rPr>
        <w:t xml:space="preserve">Decreto de autorização, em se tratando de empresa ou sociedade estrangeira em funcionamento no país e ato de registro ou autorização para funcionamento expedido pelo Órgão competente, quando a atividade assim o exigir. </w:t>
      </w:r>
    </w:p>
    <w:p w14:paraId="21926A35" w14:textId="77777777" w:rsidR="00380AFB" w:rsidRDefault="00380AFB">
      <w:pPr>
        <w:spacing w:line="276" w:lineRule="auto"/>
        <w:contextualSpacing/>
        <w:jc w:val="both"/>
        <w:rPr>
          <w:rFonts w:ascii="Bookman Old Style" w:eastAsia="Calibri" w:hAnsi="Bookman Old Style" w:cs="Times New Roman"/>
          <w:bCs/>
          <w:sz w:val="19"/>
          <w:szCs w:val="19"/>
        </w:rPr>
      </w:pPr>
    </w:p>
    <w:p w14:paraId="090141D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REGULARIDADE FISCAL E TRABALHISTA:</w:t>
      </w:r>
      <w:r>
        <w:rPr>
          <w:rFonts w:ascii="Bookman Old Style" w:eastAsia="Calibri" w:hAnsi="Bookman Old Style" w:cs="Times New Roman"/>
          <w:bCs/>
          <w:sz w:val="19"/>
          <w:szCs w:val="19"/>
        </w:rPr>
        <w:t xml:space="preserve"> </w:t>
      </w:r>
    </w:p>
    <w:p w14:paraId="104836C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D6AC11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8.2.1.5. </w:t>
      </w:r>
      <w:r>
        <w:rPr>
          <w:rFonts w:ascii="Bookman Old Style" w:eastAsia="Calibri" w:hAnsi="Bookman Old Style" w:cs="Times New Roman"/>
          <w:bCs/>
          <w:sz w:val="19"/>
          <w:szCs w:val="19"/>
        </w:rPr>
        <w:t xml:space="preserve">Prova de Inscrição no Cadastro Nacional de Pessoas Jurídicas – CNPJ em situação ativa. </w:t>
      </w:r>
    </w:p>
    <w:p w14:paraId="437F7EA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lastRenderedPageBreak/>
        <w:t xml:space="preserve">8.2.1.6. </w:t>
      </w:r>
      <w:r>
        <w:rPr>
          <w:rFonts w:ascii="Bookman Old Style" w:eastAsia="Calibri" w:hAnsi="Bookman Old Style" w:cs="Times New Roman"/>
          <w:bCs/>
          <w:sz w:val="19"/>
          <w:szCs w:val="19"/>
        </w:rPr>
        <w:t xml:space="preserve">Prova de regularidade para com a Fazenda Federal, mediante apresentação de Certidão Conjunta de Débitos Relativos a Tributos Federais e à Dívida Ativa da União, fornecida pela Secretaria da Receita Federal ou pela Procuradoria-Geral da Fazenda Nacional. </w:t>
      </w:r>
    </w:p>
    <w:p w14:paraId="0D2AB5F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8.2.1.7. </w:t>
      </w:r>
      <w:r>
        <w:rPr>
          <w:rFonts w:ascii="Bookman Old Style" w:eastAsia="Calibri" w:hAnsi="Bookman Old Style" w:cs="Times New Roman"/>
          <w:bCs/>
          <w:sz w:val="19"/>
          <w:szCs w:val="19"/>
        </w:rPr>
        <w:t xml:space="preserve">Prova de regularidade para com a Fazenda Estadual do domicílio ou sede do licitante, mediante apresentação de certidão emitida pela Secretaria competente do Estado. </w:t>
      </w:r>
    </w:p>
    <w:p w14:paraId="3A92C04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8.2.1.8. </w:t>
      </w:r>
      <w:r>
        <w:rPr>
          <w:rFonts w:ascii="Bookman Old Style" w:eastAsia="Calibri" w:hAnsi="Bookman Old Style" w:cs="Times New Roman"/>
          <w:bCs/>
          <w:sz w:val="19"/>
          <w:szCs w:val="19"/>
        </w:rPr>
        <w:t xml:space="preserve">Prova de regularidade para com a Fazenda Municipal do domicílio ou sede do licitante, mediante apresentação de certidão emitida pela Secretaria competente de seu Município. </w:t>
      </w:r>
    </w:p>
    <w:p w14:paraId="2AE6786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8.2.1.9. </w:t>
      </w:r>
      <w:r>
        <w:rPr>
          <w:rFonts w:ascii="Bookman Old Style" w:eastAsia="Calibri" w:hAnsi="Bookman Old Style" w:cs="Times New Roman"/>
          <w:bCs/>
          <w:sz w:val="19"/>
          <w:szCs w:val="19"/>
        </w:rPr>
        <w:t xml:space="preserve">Prova de regularidade relativa ao Fundo de Garantia por Tempo de Serviço - FGTS, emitida pela Caixa Econômica Federal. </w:t>
      </w:r>
    </w:p>
    <w:p w14:paraId="66A695E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8.2.1.10. </w:t>
      </w:r>
      <w:r>
        <w:rPr>
          <w:rFonts w:ascii="Bookman Old Style" w:eastAsia="Calibri" w:hAnsi="Bookman Old Style" w:cs="Times New Roman"/>
          <w:bCs/>
          <w:sz w:val="19"/>
          <w:szCs w:val="19"/>
        </w:rPr>
        <w:t xml:space="preserve">Prova de inexistência de débitos inadimplidos perante a Justiça do Trabalho, mediante a apresentação de certidão negativa. </w:t>
      </w:r>
    </w:p>
    <w:p w14:paraId="1FD1DAD9" w14:textId="77777777" w:rsidR="00380AFB" w:rsidRDefault="00380AFB">
      <w:pPr>
        <w:spacing w:line="276" w:lineRule="auto"/>
        <w:contextualSpacing/>
        <w:jc w:val="both"/>
        <w:rPr>
          <w:rFonts w:ascii="Bookman Old Style" w:eastAsia="Calibri" w:hAnsi="Bookman Old Style" w:cs="Times New Roman"/>
          <w:bCs/>
          <w:sz w:val="19"/>
          <w:szCs w:val="19"/>
        </w:rPr>
      </w:pPr>
    </w:p>
    <w:p w14:paraId="50C56A15" w14:textId="77777777" w:rsidR="00380AFB" w:rsidRDefault="00380AFB">
      <w:pPr>
        <w:spacing w:line="276" w:lineRule="auto"/>
        <w:contextualSpacing/>
        <w:jc w:val="both"/>
        <w:rPr>
          <w:rFonts w:ascii="Bookman Old Style" w:eastAsia="Calibri" w:hAnsi="Bookman Old Style" w:cs="Times New Roman"/>
          <w:bCs/>
          <w:sz w:val="19"/>
          <w:szCs w:val="19"/>
        </w:rPr>
      </w:pPr>
    </w:p>
    <w:p w14:paraId="40838AC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QUALIFICAÇÃO ECONÔMICO-FINANCEIRA:</w:t>
      </w:r>
      <w:r>
        <w:rPr>
          <w:rFonts w:ascii="Bookman Old Style" w:eastAsia="Calibri" w:hAnsi="Bookman Old Style" w:cs="Times New Roman"/>
          <w:bCs/>
          <w:sz w:val="19"/>
          <w:szCs w:val="19"/>
        </w:rPr>
        <w:t xml:space="preserve"> </w:t>
      </w:r>
    </w:p>
    <w:p w14:paraId="116F1A3B" w14:textId="77777777" w:rsidR="00380AFB" w:rsidRDefault="00380AFB">
      <w:pPr>
        <w:spacing w:line="276" w:lineRule="auto"/>
        <w:contextualSpacing/>
        <w:jc w:val="both"/>
        <w:rPr>
          <w:rFonts w:ascii="Bookman Old Style" w:eastAsia="Calibri" w:hAnsi="Bookman Old Style" w:cs="Times New Roman"/>
          <w:b/>
          <w:bCs/>
          <w:sz w:val="19"/>
          <w:szCs w:val="19"/>
        </w:rPr>
      </w:pPr>
    </w:p>
    <w:p w14:paraId="6E4E1688" w14:textId="77777777" w:rsidR="00380AFB" w:rsidRDefault="00000000">
      <w:pPr>
        <w:spacing w:line="276" w:lineRule="auto"/>
        <w:contextualSpacing/>
        <w:jc w:val="both"/>
        <w:rPr>
          <w:rFonts w:ascii="Bookman Old Style" w:eastAsia="Calibri" w:hAnsi="Bookman Old Style" w:cs="Times New Roman"/>
          <w:bCs/>
          <w:sz w:val="19"/>
          <w:szCs w:val="19"/>
          <w:highlight w:val="yellow"/>
        </w:rPr>
      </w:pPr>
      <w:r>
        <w:rPr>
          <w:rFonts w:ascii="Bookman Old Style" w:eastAsia="Arial" w:hAnsi="Bookman Old Style"/>
          <w:iCs/>
          <w:sz w:val="19"/>
          <w:szCs w:val="19"/>
        </w:rPr>
        <w:t xml:space="preserve">8.2.1.11. </w:t>
      </w:r>
      <w:r>
        <w:rPr>
          <w:rFonts w:ascii="Bookman Old Style" w:eastAsia="Calibri" w:hAnsi="Bookman Old Style" w:cs="Times New Roman"/>
          <w:bCs/>
          <w:sz w:val="19"/>
          <w:szCs w:val="19"/>
        </w:rPr>
        <w:t>Certidão negativa de falência expedida pelo cartório distribuidor da sede da pessoa jurídica.</w:t>
      </w:r>
    </w:p>
    <w:p w14:paraId="44C35C16" w14:textId="77777777" w:rsidR="00380AFB" w:rsidRDefault="00380AFB">
      <w:pPr>
        <w:spacing w:line="276" w:lineRule="auto"/>
        <w:contextualSpacing/>
        <w:jc w:val="both"/>
        <w:rPr>
          <w:rFonts w:ascii="Bookman Old Style" w:eastAsia="Calibri" w:hAnsi="Bookman Old Style" w:cs="Times New Roman"/>
          <w:bCs/>
          <w:sz w:val="19"/>
          <w:szCs w:val="19"/>
        </w:rPr>
      </w:pPr>
    </w:p>
    <w:p w14:paraId="15B09B6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 </w:t>
      </w:r>
      <w:r>
        <w:rPr>
          <w:rFonts w:ascii="Bookman Old Style" w:eastAsia="Calibri" w:hAnsi="Bookman Old Style" w:cs="Times New Roman"/>
          <w:b/>
          <w:bCs/>
          <w:sz w:val="19"/>
          <w:szCs w:val="19"/>
        </w:rPr>
        <w:t>QUALIFICAÇÃO TÉCNICA:</w:t>
      </w:r>
    </w:p>
    <w:p w14:paraId="3347598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5341401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Arial" w:hAnsi="Bookman Old Style"/>
          <w:iCs/>
          <w:sz w:val="19"/>
          <w:szCs w:val="19"/>
        </w:rPr>
        <w:t xml:space="preserve">8.2.1.12. </w:t>
      </w:r>
      <w:r>
        <w:rPr>
          <w:rFonts w:ascii="Bookman Old Style" w:eastAsia="Calibri" w:hAnsi="Bookman Old Style" w:cs="Times New Roman"/>
          <w:bCs/>
          <w:sz w:val="19"/>
          <w:szCs w:val="19"/>
        </w:rPr>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w:t>
      </w:r>
    </w:p>
    <w:p w14:paraId="094596B8" w14:textId="77777777" w:rsidR="00380AFB" w:rsidRDefault="00380AFB">
      <w:pPr>
        <w:spacing w:line="276" w:lineRule="auto"/>
        <w:contextualSpacing/>
        <w:jc w:val="both"/>
        <w:rPr>
          <w:rFonts w:ascii="Bookman Old Style" w:eastAsia="Calibri" w:hAnsi="Bookman Old Style" w:cs="Times New Roman"/>
          <w:bCs/>
          <w:sz w:val="19"/>
          <w:szCs w:val="19"/>
        </w:rPr>
      </w:pPr>
    </w:p>
    <w:p w14:paraId="4DB3BFD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 Os atestados de capacidade técnica poderão ser apresentados em nome da matriz ou da filial do fornecedor.</w:t>
      </w:r>
    </w:p>
    <w:p w14:paraId="03D2D73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b) O comprovante de aptidão deverá conter as seguintes informações:</w:t>
      </w:r>
    </w:p>
    <w:p w14:paraId="4A9769D1" w14:textId="77777777" w:rsidR="00380AFB" w:rsidRDefault="00000000">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Nome empresarial e dados de identificação da instituição emitente; </w:t>
      </w:r>
    </w:p>
    <w:p w14:paraId="2DC3550A" w14:textId="77777777" w:rsidR="00380AFB" w:rsidRDefault="00000000">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Local e data de emissão; </w:t>
      </w:r>
    </w:p>
    <w:p w14:paraId="39A21981" w14:textId="77777777" w:rsidR="00380AFB" w:rsidRDefault="00000000">
      <w:pPr>
        <w:pStyle w:val="PargrafodaLista"/>
        <w:numPr>
          <w:ilvl w:val="0"/>
          <w:numId w:val="2"/>
        </w:numPr>
        <w:spacing w:line="276" w:lineRule="auto"/>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Nome, cargo, telefone e assinatura do responsável pela veracidade das informações. </w:t>
      </w:r>
    </w:p>
    <w:p w14:paraId="1AB93E8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Quanto às </w:t>
      </w:r>
      <w:r>
        <w:rPr>
          <w:rFonts w:ascii="Bookman Old Style" w:eastAsia="Calibri" w:hAnsi="Bookman Old Style" w:cs="Times New Roman"/>
          <w:b/>
          <w:bCs/>
          <w:sz w:val="19"/>
          <w:szCs w:val="19"/>
        </w:rPr>
        <w:t>DECLARAÇÕES:</w:t>
      </w:r>
      <w:r>
        <w:rPr>
          <w:rFonts w:ascii="Bookman Old Style" w:eastAsia="Calibri" w:hAnsi="Bookman Old Style" w:cs="Times New Roman"/>
          <w:bCs/>
          <w:sz w:val="19"/>
          <w:szCs w:val="19"/>
        </w:rPr>
        <w:t xml:space="preserve"> </w:t>
      </w:r>
    </w:p>
    <w:p w14:paraId="4FA0CAFC" w14:textId="77777777" w:rsidR="00380AFB" w:rsidRDefault="00000000">
      <w:pPr>
        <w:pStyle w:val="WW-Padro"/>
        <w:tabs>
          <w:tab w:val="left" w:pos="0"/>
        </w:tabs>
        <w:spacing w:after="120" w:line="276" w:lineRule="auto"/>
        <w:contextualSpacing/>
        <w:jc w:val="both"/>
        <w:rPr>
          <w:rFonts w:ascii="Bookman Old Style" w:hAnsi="Bookman Old Style" w:cs="Bookman Old Style"/>
          <w:color w:val="000000"/>
          <w:sz w:val="19"/>
          <w:szCs w:val="19"/>
        </w:rPr>
      </w:pPr>
      <w:r>
        <w:rPr>
          <w:rFonts w:ascii="Bookman Old Style" w:eastAsia="Arial" w:hAnsi="Bookman Old Style"/>
          <w:iCs/>
          <w:sz w:val="19"/>
          <w:szCs w:val="19"/>
        </w:rPr>
        <w:t xml:space="preserve">8.2.1.13. </w:t>
      </w:r>
      <w:r>
        <w:rPr>
          <w:rFonts w:ascii="Bookman Old Style" w:hAnsi="Bookman Old Style" w:cs="Bookman Old Style"/>
          <w:color w:val="000000"/>
          <w:sz w:val="19"/>
          <w:szCs w:val="19"/>
        </w:rPr>
        <w:t xml:space="preserve">As declarações </w:t>
      </w:r>
      <w:r>
        <w:rPr>
          <w:rFonts w:ascii="Bookman Old Style" w:hAnsi="Bookman Old Style" w:cs="Bookman Old Style"/>
          <w:b/>
          <w:bCs/>
          <w:color w:val="000000"/>
          <w:sz w:val="19"/>
          <w:szCs w:val="19"/>
          <w:u w:val="single"/>
        </w:rPr>
        <w:t>poderão</w:t>
      </w:r>
      <w:r>
        <w:rPr>
          <w:rFonts w:ascii="Bookman Old Style" w:hAnsi="Bookman Old Style" w:cs="Bookman Old Style"/>
          <w:color w:val="000000"/>
          <w:sz w:val="19"/>
          <w:szCs w:val="19"/>
        </w:rPr>
        <w:t xml:space="preserve"> ser enviadas de forma unificada. Segue modelo: </w:t>
      </w:r>
    </w:p>
    <w:p w14:paraId="66980EBF" w14:textId="77777777" w:rsidR="00380AFB" w:rsidRDefault="00380AFB">
      <w:pPr>
        <w:pStyle w:val="WW-Padro"/>
        <w:tabs>
          <w:tab w:val="left" w:pos="0"/>
        </w:tabs>
        <w:spacing w:after="120" w:line="276" w:lineRule="auto"/>
        <w:contextualSpacing/>
        <w:jc w:val="both"/>
        <w:rPr>
          <w:rFonts w:ascii="Bookman Old Style" w:hAnsi="Bookman Old Style" w:cs="Bookman Old Style"/>
          <w:b/>
          <w:bCs/>
          <w:color w:val="000000"/>
          <w:sz w:val="19"/>
          <w:szCs w:val="19"/>
        </w:rPr>
      </w:pPr>
    </w:p>
    <w:p w14:paraId="727A901F"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cs="Bookman Old Style"/>
          <w:b/>
          <w:bCs/>
          <w:color w:val="000000"/>
          <w:sz w:val="18"/>
          <w:szCs w:val="18"/>
          <w:lang w:eastAsia="pt-BR"/>
        </w:rPr>
      </w:pPr>
      <w:r>
        <w:rPr>
          <w:rFonts w:ascii="Bookman Old Style" w:hAnsi="Bookman Old Style" w:cs="Bookman Old Style"/>
          <w:b/>
          <w:bCs/>
          <w:color w:val="000000"/>
          <w:sz w:val="18"/>
          <w:szCs w:val="18"/>
          <w:lang w:eastAsia="pt-BR"/>
        </w:rPr>
        <w:lastRenderedPageBreak/>
        <w:t xml:space="preserve">DECLARAÇÃO UNIFICADA </w:t>
      </w:r>
    </w:p>
    <w:p w14:paraId="62F7F430"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sz w:val="18"/>
          <w:szCs w:val="18"/>
        </w:rPr>
      </w:pPr>
    </w:p>
    <w:p w14:paraId="5D5FCA40"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 xml:space="preserve">PROCESSO LICITATÓRIO N° ----/2025. </w:t>
      </w:r>
    </w:p>
    <w:p w14:paraId="3EDED9E8"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PREGÃO ELETRÔNICO Nº ----/2025.</w:t>
      </w:r>
    </w:p>
    <w:p w14:paraId="065A7F43"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sz w:val="18"/>
          <w:szCs w:val="18"/>
        </w:rPr>
      </w:pPr>
      <w:r>
        <w:rPr>
          <w:rFonts w:ascii="Bookman Old Style" w:hAnsi="Bookman Old Style" w:cs="Bookman Old Style"/>
          <w:b/>
          <w:bCs/>
          <w:color w:val="000000"/>
          <w:sz w:val="18"/>
          <w:szCs w:val="18"/>
          <w:lang w:eastAsia="pt-BR"/>
        </w:rPr>
        <w:t>REGISTRO DE PREÇOS Nº ----/2025.</w:t>
      </w:r>
    </w:p>
    <w:p w14:paraId="58D0E8FB"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567"/>
        </w:tabs>
        <w:spacing w:after="120" w:line="276" w:lineRule="auto"/>
        <w:contextualSpacing/>
        <w:rPr>
          <w:rFonts w:ascii="Bookman Old Style" w:hAnsi="Bookman Old Style"/>
          <w:sz w:val="18"/>
          <w:szCs w:val="18"/>
        </w:rPr>
      </w:pPr>
    </w:p>
    <w:p w14:paraId="6186D580"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rPr>
          <w:rFonts w:ascii="Bookman Old Style" w:hAnsi="Bookman Old Style" w:cs="Bookman Old Style"/>
          <w:b/>
          <w:bCs/>
          <w:color w:val="000000"/>
          <w:sz w:val="18"/>
          <w:szCs w:val="18"/>
          <w:lang w:eastAsia="pt-BR"/>
        </w:rPr>
      </w:pPr>
    </w:p>
    <w:p w14:paraId="0CB9740F"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A pessoa jurídica .............................., com sede na Rua/Av.................., nº ...., bairro ..............., na cidade de ..................., Estado de ......., inscrita no CNPJ nº ................., por intermédio de seu representante legal o (a) Sr (a) .................., portador do Documento de Identidade nº ..................e inscrito no CPF sob o nº .................., declara, sob as penas da lei, que, até a presente data:</w:t>
      </w:r>
    </w:p>
    <w:p w14:paraId="41A60DC9"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1A6BA38D"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a) Não se acha declarada inidônea para licitar e contratar com o Poder Público ou suspensa do direito de licitar ou contratar com a Administração Pública e inexistem fatos impeditivos para sua habilitação, no presente processo licitatório, ciente da obrigatoriedade de declarar ocorrências posteriores;</w:t>
      </w:r>
    </w:p>
    <w:p w14:paraId="2E6E0F4C"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4F4D9D7E"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b) que na mesma não há realização de trabalho noturno, perigoso ou insalubre por menores de 18 anos ou a realização de qualquer trabalho por menores de 16 anos. (    ) salvo na condição de aprendiz, na forma da Lei;</w:t>
      </w:r>
    </w:p>
    <w:p w14:paraId="6F9FBE2B"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5E4F57D4"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cs="Bookman Old Style"/>
          <w:color w:val="000000"/>
          <w:sz w:val="18"/>
          <w:szCs w:val="18"/>
          <w:lang w:eastAsia="pt-BR"/>
        </w:rPr>
        <w:t>c) que cumpre plenamente os requisitos de habilitação e que sua proposta atende às exigências do edital;</w:t>
      </w:r>
    </w:p>
    <w:p w14:paraId="24E9428C"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p>
    <w:p w14:paraId="23AAC93B"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cs="Bookman Old Style"/>
          <w:color w:val="000000"/>
          <w:sz w:val="18"/>
          <w:szCs w:val="18"/>
          <w:lang w:eastAsia="pt-BR"/>
        </w:rPr>
        <w:t xml:space="preserve">d) </w:t>
      </w:r>
      <w:r>
        <w:rPr>
          <w:rFonts w:ascii="Bookman Old Style" w:hAnsi="Bookman Old Style"/>
          <w:sz w:val="18"/>
          <w:szCs w:val="18"/>
        </w:rPr>
        <w:t xml:space="preserve">que cumpre as exigências de reserva de cargos para pessoa com deficiência e para reabilitado da Previdência Social, previstas em lei e em outras normas específicas; </w:t>
      </w:r>
    </w:p>
    <w:p w14:paraId="69F6A423"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p>
    <w:p w14:paraId="3603CC66"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sz w:val="18"/>
          <w:szCs w:val="18"/>
        </w:rPr>
      </w:pPr>
      <w:r>
        <w:rPr>
          <w:rFonts w:ascii="Bookman Old Style" w:hAnsi="Bookman Old Style"/>
          <w:sz w:val="18"/>
          <w:szCs w:val="18"/>
        </w:rPr>
        <w:t>e) que não possui sócios, gerentes ou diretores, pessoa que seja cônjuge, companheiro ou parente em linha reta ou por afinidade, até o segundo grau, ou por adoção, do prefeito, vice prefeito e vereadores. Tal proibição subsistirá até seis meses após findas as respectivas funções.</w:t>
      </w:r>
    </w:p>
    <w:p w14:paraId="4AC53E4B"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both"/>
        <w:rPr>
          <w:rFonts w:ascii="Bookman Old Style" w:hAnsi="Bookman Old Style" w:cs="Bookman Old Style"/>
          <w:color w:val="000000"/>
          <w:sz w:val="18"/>
          <w:szCs w:val="18"/>
          <w:lang w:eastAsia="pt-BR"/>
        </w:rPr>
      </w:pPr>
    </w:p>
    <w:p w14:paraId="0BF3A9E7"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p>
    <w:p w14:paraId="1DC9B08D"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cs="Bookman Old Style"/>
          <w:color w:val="000000"/>
          <w:sz w:val="18"/>
          <w:szCs w:val="18"/>
          <w:lang w:eastAsia="pt-BR"/>
        </w:rPr>
      </w:pPr>
      <w:r>
        <w:rPr>
          <w:rFonts w:ascii="Bookman Old Style" w:hAnsi="Bookman Old Style" w:cs="Bookman Old Style"/>
          <w:color w:val="000000"/>
          <w:sz w:val="18"/>
          <w:szCs w:val="18"/>
          <w:lang w:eastAsia="pt-BR"/>
        </w:rPr>
        <w:t xml:space="preserve">______________________, ____ de _______________ de 2025.  </w:t>
      </w:r>
    </w:p>
    <w:p w14:paraId="5D86DC73" w14:textId="77777777" w:rsidR="00380AFB" w:rsidRDefault="00380AFB">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rPr>
          <w:rFonts w:ascii="Bookman Old Style" w:hAnsi="Bookman Old Style"/>
          <w:sz w:val="18"/>
          <w:szCs w:val="18"/>
        </w:rPr>
      </w:pPr>
    </w:p>
    <w:p w14:paraId="19C40FB5" w14:textId="77777777" w:rsidR="00380AFB" w:rsidRDefault="00000000">
      <w:pPr>
        <w:keepNext/>
        <w:keepLines/>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 w:val="center" w:pos="4419"/>
          <w:tab w:val="right" w:pos="8838"/>
        </w:tabs>
        <w:spacing w:after="120" w:line="276" w:lineRule="auto"/>
        <w:contextualSpacing/>
        <w:jc w:val="center"/>
        <w:rPr>
          <w:rFonts w:ascii="Bookman Old Style" w:hAnsi="Bookman Old Style"/>
          <w:sz w:val="18"/>
          <w:szCs w:val="18"/>
        </w:rPr>
      </w:pPr>
      <w:r>
        <w:rPr>
          <w:rFonts w:ascii="Bookman Old Style" w:hAnsi="Bookman Old Style" w:cs="Bookman Old Style"/>
          <w:color w:val="000000"/>
          <w:sz w:val="18"/>
          <w:szCs w:val="18"/>
        </w:rPr>
        <w:t>_____________________________________</w:t>
      </w:r>
    </w:p>
    <w:p w14:paraId="119B43C3" w14:textId="77777777" w:rsidR="00380AFB" w:rsidRDefault="00000000">
      <w:pPr>
        <w:pBdr>
          <w:top w:val="single" w:sz="4" w:space="1" w:color="000000" w:shadow="1"/>
          <w:left w:val="single" w:sz="4" w:space="4" w:color="000000" w:shadow="1"/>
          <w:bottom w:val="single" w:sz="4" w:space="1" w:color="000000" w:shadow="1"/>
          <w:right w:val="single" w:sz="4" w:space="4" w:color="000000" w:shadow="1"/>
        </w:pBdr>
        <w:tabs>
          <w:tab w:val="left" w:pos="-284"/>
          <w:tab w:val="left" w:pos="284"/>
          <w:tab w:val="left" w:pos="567"/>
        </w:tabs>
        <w:spacing w:after="120" w:line="276" w:lineRule="auto"/>
        <w:contextualSpacing/>
        <w:jc w:val="center"/>
        <w:rPr>
          <w:rFonts w:ascii="Bookman Old Style" w:hAnsi="Bookman Old Style"/>
          <w:sz w:val="18"/>
          <w:szCs w:val="18"/>
        </w:rPr>
      </w:pPr>
      <w:r>
        <w:rPr>
          <w:rFonts w:ascii="Bookman Old Style" w:hAnsi="Bookman Old Style" w:cs="Bookman Old Style"/>
          <w:color w:val="000000"/>
          <w:sz w:val="18"/>
          <w:szCs w:val="18"/>
          <w:lang w:eastAsia="pt-BR"/>
        </w:rPr>
        <w:t>(Assinatura do representante legal)</w:t>
      </w:r>
    </w:p>
    <w:p w14:paraId="0C833B60" w14:textId="77777777" w:rsidR="00380AFB" w:rsidRDefault="00380AFB">
      <w:pPr>
        <w:spacing w:line="276" w:lineRule="auto"/>
        <w:contextualSpacing/>
        <w:jc w:val="both"/>
        <w:rPr>
          <w:rFonts w:ascii="Bookman Old Style" w:eastAsia="Calibri" w:hAnsi="Bookman Old Style" w:cs="Times New Roman"/>
          <w:b/>
          <w:bCs/>
          <w:sz w:val="19"/>
          <w:szCs w:val="19"/>
        </w:rPr>
      </w:pPr>
    </w:p>
    <w:p w14:paraId="218999CF"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p>
    <w:p w14:paraId="36DE5C10" w14:textId="77777777" w:rsidR="00380AFB" w:rsidRDefault="00380AFB">
      <w:pPr>
        <w:pStyle w:val="PargrafodaLista"/>
        <w:pBdr>
          <w:top w:val="nil"/>
          <w:left w:val="nil"/>
          <w:bottom w:val="nil"/>
          <w:right w:val="nil"/>
          <w:between w:val="nil"/>
        </w:pBdr>
        <w:spacing w:before="120" w:after="288" w:line="276" w:lineRule="auto"/>
        <w:ind w:left="0"/>
        <w:jc w:val="both"/>
        <w:rPr>
          <w:rFonts w:ascii="Bookman Old Style" w:eastAsia="Arial" w:hAnsi="Bookman Old Style"/>
          <w:iCs/>
          <w:sz w:val="19"/>
          <w:szCs w:val="19"/>
        </w:rPr>
      </w:pPr>
    </w:p>
    <w:p w14:paraId="0B7E9EB1" w14:textId="77777777" w:rsidR="00380AFB" w:rsidRDefault="00000000">
      <w:pPr>
        <w:keepNext/>
        <w:keepLines/>
        <w:numPr>
          <w:ilvl w:val="0"/>
          <w:numId w:val="7"/>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lastRenderedPageBreak/>
        <w:t>DO VALOR ESTIMADO DA CONTRATAÇÃO</w:t>
      </w:r>
    </w:p>
    <w:p w14:paraId="139AADB7"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30070EE9"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O orçamento estimado para a presente contratação terá caráter sigiloso, conforme autoriza o art. 24, da Lei Federal nº 14.133/2021, com o objetivo de preservar o interesse público e garantir a obtenção da proposta mais vantajosa para a Administração.</w:t>
      </w:r>
    </w:p>
    <w:p w14:paraId="19D3DAC9"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6F7D1833"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O sigilo será restrito exclusivamente ao valor estimado da contratação, não implicando em ocultação das informações essenciais à elaboração das propostas pelos licitantes, uma vez que será assegurada a divulgação integral do detalhamento dos quantitativos, especificações técnicas e demais elementos indispensáveis à formulação adequada das ofertas.</w:t>
      </w:r>
    </w:p>
    <w:p w14:paraId="2D164BCC"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4B66A0E8"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A adoção do sigilo orçamentário visa mitigar riscos de conluio ou alinhamento artificial de preços entre os licitantes, prevenindo a chamada “ancoragem” nos valores previamente divulgados, o que comprometeria a competitividade do certame e poderia frustrar o interesse público ao gerar sobrepreço ou perda de economicidade. Nesse contexto, o sigilo atua como ferramenta legítima de proteção ao erário, estimulando propostas baseadas em critérios de mercado e livre concorrência.</w:t>
      </w:r>
    </w:p>
    <w:p w14:paraId="3B37CF48"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6717BF51"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Ressalte-se que o sigilo orçamentário não prevalecerá em relação aos órgãos de controle interno e externo, os quais terão acesso integral aos dados estimativos, em conformidade com os princípios da transparência, legalidade e controle institucional previstos na Constituição Federal e na própria Lei nº 14.133/2021.</w:t>
      </w:r>
    </w:p>
    <w:p w14:paraId="15136F2E"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p>
    <w:p w14:paraId="259CE8A4" w14:textId="77777777" w:rsidR="00380AFB" w:rsidRDefault="00000000">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b/>
        <w:t>Trata-se, portanto, de medida cautelar e estratégica, adotada com o intuito de assegurar a eficiência da contratação, resguardar o interesse público e otimizar os recursos públicos, conforme impõe o dever constitucional de boa administração.</w:t>
      </w:r>
    </w:p>
    <w:p w14:paraId="0F95A682"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7B219547" w14:textId="77777777" w:rsidR="00380AFB" w:rsidRDefault="00000000">
      <w:pPr>
        <w:keepNext/>
        <w:keepLines/>
        <w:numPr>
          <w:ilvl w:val="0"/>
          <w:numId w:val="7"/>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r>
        <w:rPr>
          <w:rFonts w:ascii="Bookman Old Style" w:eastAsia="Arial" w:hAnsi="Bookman Old Style"/>
          <w:b/>
          <w:color w:val="000000"/>
          <w:sz w:val="19"/>
          <w:szCs w:val="19"/>
        </w:rPr>
        <w:t>ADEQUAÇÃO ORÇAMENTÁRIA</w:t>
      </w:r>
    </w:p>
    <w:p w14:paraId="5268ACA5" w14:textId="77777777" w:rsidR="00380AFB" w:rsidRDefault="00000000">
      <w:pPr>
        <w:numPr>
          <w:ilvl w:val="1"/>
          <w:numId w:val="7"/>
        </w:numPr>
        <w:pBdr>
          <w:top w:val="nil"/>
          <w:left w:val="nil"/>
          <w:bottom w:val="nil"/>
          <w:right w:val="nil"/>
          <w:between w:val="nil"/>
        </w:pBdr>
        <w:spacing w:before="120" w:after="288" w:line="276" w:lineRule="auto"/>
        <w:ind w:left="0" w:firstLine="0"/>
        <w:contextualSpacing/>
        <w:jc w:val="both"/>
        <w:rPr>
          <w:rFonts w:ascii="Bookman Old Style" w:hAnsi="Bookman Old Style"/>
          <w:sz w:val="19"/>
          <w:szCs w:val="19"/>
        </w:rPr>
      </w:pPr>
      <w:r>
        <w:rPr>
          <w:rFonts w:ascii="Bookman Old Style" w:eastAsia="Arial" w:hAnsi="Bookman Old Style"/>
          <w:color w:val="000000"/>
          <w:sz w:val="19"/>
          <w:szCs w:val="19"/>
        </w:rPr>
        <w:t xml:space="preserve">As despesas decorrentes da presente contratação correrão à conta de recursos específicos consignados no Orçamento do Município de Maravilhas, que serão verificados na ocasião da contratação. </w:t>
      </w:r>
    </w:p>
    <w:p w14:paraId="14B4067E" w14:textId="77777777" w:rsidR="00380AFB" w:rsidRDefault="00380AFB">
      <w:pPr>
        <w:pBdr>
          <w:top w:val="nil"/>
          <w:left w:val="nil"/>
          <w:bottom w:val="nil"/>
          <w:right w:val="nil"/>
          <w:between w:val="nil"/>
        </w:pBdr>
        <w:spacing w:before="120" w:after="288" w:line="276" w:lineRule="auto"/>
        <w:contextualSpacing/>
        <w:jc w:val="both"/>
        <w:rPr>
          <w:rFonts w:ascii="Bookman Old Style" w:hAnsi="Bookman Old Style"/>
          <w:sz w:val="19"/>
          <w:szCs w:val="19"/>
        </w:rPr>
      </w:pPr>
    </w:p>
    <w:p w14:paraId="5969CD5D" w14:textId="77777777" w:rsidR="00380AFB" w:rsidRDefault="00000000">
      <w:pPr>
        <w:keepNext/>
        <w:keepLines/>
        <w:numPr>
          <w:ilvl w:val="0"/>
          <w:numId w:val="7"/>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bookmarkStart w:id="0" w:name="_Toc115335372"/>
      <w:r>
        <w:rPr>
          <w:rFonts w:ascii="Bookman Old Style" w:eastAsia="Arial" w:hAnsi="Bookman Old Style"/>
          <w:b/>
          <w:color w:val="000000"/>
          <w:sz w:val="19"/>
          <w:szCs w:val="19"/>
        </w:rPr>
        <w:t>DA PUBLICIDADE</w:t>
      </w:r>
      <w:bookmarkEnd w:id="0"/>
    </w:p>
    <w:p w14:paraId="4AF84E76"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32E6F15D" w14:textId="77777777" w:rsidR="00380AFB" w:rsidRDefault="00000000">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O extrato do contrato oriundo deste instrumento será publicado no </w:t>
      </w:r>
      <w:r>
        <w:rPr>
          <w:rFonts w:ascii="Bookman Old Style" w:eastAsia="Arial" w:hAnsi="Bookman Old Style"/>
          <w:i/>
          <w:color w:val="000000"/>
          <w:sz w:val="19"/>
          <w:szCs w:val="19"/>
        </w:rPr>
        <w:t>site</w:t>
      </w:r>
      <w:r>
        <w:rPr>
          <w:rFonts w:ascii="Bookman Old Style" w:eastAsia="Arial" w:hAnsi="Bookman Old Style"/>
          <w:color w:val="000000"/>
          <w:sz w:val="19"/>
          <w:szCs w:val="19"/>
        </w:rPr>
        <w:t xml:space="preserve"> oficial “ maravilhas.mg.gov.br”.</w:t>
      </w:r>
    </w:p>
    <w:p w14:paraId="60C65739" w14:textId="77777777" w:rsidR="00380AFB" w:rsidRDefault="00000000">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bookmarkStart w:id="1" w:name="_Hlk111536178"/>
      <w:r>
        <w:rPr>
          <w:rFonts w:ascii="Bookman Old Style" w:eastAsia="Arial" w:hAnsi="Bookman Old Style"/>
          <w:color w:val="000000"/>
          <w:sz w:val="19"/>
          <w:szCs w:val="19"/>
        </w:rPr>
        <w:t>A CONTRATADA deverá declarar para os devidos fins que está ciente que a íntegra do contrato, bem como de eventual Termo Aditivo, será publicada no Portal da Prefeitura Municipal e que tal publicação não fere nenhum dispositivo da Lei Federal nº 13.709/2018, Lei Geral de Proteção de Dados Pessoais (LGDP).</w:t>
      </w:r>
      <w:bookmarkEnd w:id="1"/>
    </w:p>
    <w:p w14:paraId="340D08C3"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7315FF9F" w14:textId="77777777" w:rsidR="00380AFB" w:rsidRDefault="00000000">
      <w:pPr>
        <w:keepNext/>
        <w:keepLines/>
        <w:numPr>
          <w:ilvl w:val="0"/>
          <w:numId w:val="7"/>
        </w:numPr>
        <w:pBdr>
          <w:top w:val="nil"/>
          <w:left w:val="nil"/>
          <w:bottom w:val="nil"/>
          <w:right w:val="nil"/>
          <w:between w:val="nil"/>
        </w:pBdr>
        <w:tabs>
          <w:tab w:val="left" w:pos="567"/>
        </w:tabs>
        <w:spacing w:before="120" w:after="288" w:line="276" w:lineRule="auto"/>
        <w:ind w:left="0" w:firstLine="0"/>
        <w:contextualSpacing/>
        <w:jc w:val="both"/>
        <w:rPr>
          <w:rFonts w:ascii="Bookman Old Style" w:eastAsia="Arial" w:hAnsi="Bookman Old Style"/>
          <w:b/>
          <w:color w:val="000000"/>
          <w:sz w:val="19"/>
          <w:szCs w:val="19"/>
        </w:rPr>
      </w:pPr>
      <w:bookmarkStart w:id="2" w:name="_Toc115335373"/>
      <w:r>
        <w:rPr>
          <w:rFonts w:ascii="Bookman Old Style" w:eastAsia="Arial" w:hAnsi="Bookman Old Style"/>
          <w:b/>
          <w:color w:val="000000"/>
          <w:sz w:val="19"/>
          <w:szCs w:val="19"/>
        </w:rPr>
        <w:t>DA LEI ANTICORRUPÇÃO</w:t>
      </w:r>
      <w:bookmarkEnd w:id="2"/>
    </w:p>
    <w:p w14:paraId="2DFC6E59" w14:textId="77777777" w:rsidR="00380AFB" w:rsidRDefault="00380AFB">
      <w:pPr>
        <w:keepNext/>
        <w:keepLines/>
        <w:pBdr>
          <w:top w:val="nil"/>
          <w:left w:val="nil"/>
          <w:bottom w:val="nil"/>
          <w:right w:val="nil"/>
          <w:between w:val="nil"/>
        </w:pBdr>
        <w:tabs>
          <w:tab w:val="left" w:pos="567"/>
        </w:tabs>
        <w:spacing w:before="120" w:after="288" w:line="276" w:lineRule="auto"/>
        <w:contextualSpacing/>
        <w:jc w:val="both"/>
        <w:rPr>
          <w:rFonts w:ascii="Bookman Old Style" w:eastAsia="Arial" w:hAnsi="Bookman Old Style"/>
          <w:b/>
          <w:color w:val="000000"/>
          <w:sz w:val="19"/>
          <w:szCs w:val="19"/>
        </w:rPr>
      </w:pPr>
    </w:p>
    <w:p w14:paraId="48222246" w14:textId="77777777" w:rsidR="00380AFB" w:rsidRDefault="00000000">
      <w:pPr>
        <w:numPr>
          <w:ilvl w:val="1"/>
          <w:numId w:val="7"/>
        </w:numPr>
        <w:pBdr>
          <w:top w:val="nil"/>
          <w:left w:val="nil"/>
          <w:bottom w:val="nil"/>
          <w:right w:val="nil"/>
          <w:between w:val="nil"/>
        </w:pBdr>
        <w:spacing w:before="120" w:after="288" w:line="276" w:lineRule="auto"/>
        <w:ind w:left="0" w:firstLine="0"/>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As partes deverão observar todas as disposições das regras anticorrupção em vigor no Brasil, em especial, as previsões da Lei Federal nº 12.846/2013 (Lei Anticorrupção).</w:t>
      </w:r>
    </w:p>
    <w:p w14:paraId="6089BE61"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12.1.1 As partes deverão se comprometer também a se absterem de praticar quaisquer atividades que constituam violação às disposições das normas anticorrupção e das demais disposições referentes à matéria.</w:t>
      </w:r>
    </w:p>
    <w:p w14:paraId="1F597F1C" w14:textId="77777777" w:rsidR="00380AFB" w:rsidRDefault="00000000">
      <w:pPr>
        <w:pBdr>
          <w:top w:val="nil"/>
          <w:left w:val="nil"/>
          <w:bottom w:val="nil"/>
          <w:right w:val="nil"/>
          <w:between w:val="nil"/>
        </w:pBdr>
        <w:spacing w:before="120" w:after="288" w:line="276" w:lineRule="auto"/>
        <w:contextualSpacing/>
        <w:jc w:val="both"/>
        <w:rPr>
          <w:rFonts w:ascii="Bookman Old Style" w:hAnsi="Bookman Old Style" w:cs="Times New Roman"/>
          <w:color w:val="000000" w:themeColor="text1"/>
          <w:sz w:val="19"/>
          <w:szCs w:val="19"/>
        </w:rPr>
      </w:pPr>
      <w:r>
        <w:rPr>
          <w:rFonts w:ascii="Bookman Old Style" w:eastAsia="Arial" w:hAnsi="Bookman Old Style"/>
          <w:color w:val="000000"/>
          <w:sz w:val="19"/>
          <w:szCs w:val="19"/>
        </w:rPr>
        <w:t xml:space="preserve">12.1.2. </w:t>
      </w:r>
      <w:r>
        <w:rPr>
          <w:rFonts w:ascii="Bookman Old Style" w:hAnsi="Bookman Old Style" w:cs="Times New Roman"/>
          <w:color w:val="000000" w:themeColor="text1"/>
          <w:sz w:val="19"/>
          <w:szCs w:val="19"/>
        </w:rPr>
        <w:t>As partes, por si e por seus administradores, diretores, funcionários e agentes, bem como por seus sócios, deverão conduzir suas práticas, durante a execução do contrato, de forma ética e em conformidade com os preceitos legais aplicáveis.</w:t>
      </w:r>
    </w:p>
    <w:p w14:paraId="476E0FEA"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12.1.3. Para a execução do contrato, nenhuma das partes poderá oferecer, dar ou se comprometer a dar a quem quer que seja, ou aceitar ou se comprometer a aceitar de quem quer que seja, tanto </w:t>
      </w:r>
      <w:r>
        <w:rPr>
          <w:rFonts w:ascii="Bookman Old Style" w:eastAsia="Arial" w:hAnsi="Bookman Old Style"/>
          <w:color w:val="000000"/>
          <w:sz w:val="19"/>
          <w:szCs w:val="19"/>
        </w:rPr>
        <w:lastRenderedPageBreak/>
        <w:t>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do contrato, ou de forma não relacionada ao mesmo ou direcionar negócios que violem as regras anticorrupção, devendo garantir, ainda, que seus prepostos e colaboradores ajam da mesma forma.</w:t>
      </w:r>
    </w:p>
    <w:p w14:paraId="64656D6E"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 xml:space="preserve">12.1.4. Na assinatura do contrato, as partes deverão declarar que: (a) não violaram, violam ou violarão as regras anticorrupção; (b) têm a ciência de que qualquer atividade que viole as regras anticorrupção é proibida; e (c) declaram conhecer as consequências possíveis de tal violação. </w:t>
      </w:r>
    </w:p>
    <w:p w14:paraId="2224049B" w14:textId="77777777" w:rsidR="00380AFB" w:rsidRDefault="00000000">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r>
        <w:rPr>
          <w:rFonts w:ascii="Bookman Old Style" w:eastAsia="Arial" w:hAnsi="Bookman Old Style"/>
          <w:color w:val="000000"/>
          <w:sz w:val="19"/>
          <w:szCs w:val="19"/>
        </w:rPr>
        <w:t>12.1.5. Qualquer descumprimento das regras de integridade mencionadas acima ensejará a resolução imediata do contrato, apenas por meio de notificação extrajudicial, sem prejuízo de eventual pagamento de indenização por perdas e danos.</w:t>
      </w:r>
    </w:p>
    <w:p w14:paraId="5AD17A82" w14:textId="77777777" w:rsidR="00380AFB" w:rsidRDefault="00380AFB">
      <w:pPr>
        <w:pBdr>
          <w:top w:val="nil"/>
          <w:left w:val="nil"/>
          <w:bottom w:val="nil"/>
          <w:right w:val="nil"/>
          <w:between w:val="nil"/>
        </w:pBdr>
        <w:spacing w:before="120" w:after="288" w:line="276" w:lineRule="auto"/>
        <w:contextualSpacing/>
        <w:jc w:val="both"/>
        <w:rPr>
          <w:rFonts w:ascii="Bookman Old Style" w:eastAsia="Arial" w:hAnsi="Bookman Old Style"/>
          <w:color w:val="000000"/>
          <w:sz w:val="19"/>
          <w:szCs w:val="19"/>
        </w:rPr>
      </w:pPr>
    </w:p>
    <w:p w14:paraId="3155C304" w14:textId="77777777" w:rsidR="00380AFB" w:rsidRDefault="00000000">
      <w:pPr>
        <w:spacing w:line="276" w:lineRule="auto"/>
        <w:contextualSpacing/>
        <w:jc w:val="both"/>
        <w:rPr>
          <w:rFonts w:ascii="Bookman Old Style" w:hAnsi="Bookman Old Style" w:cs="Times New Roman"/>
          <w:b/>
          <w:bCs/>
          <w:iCs/>
          <w:sz w:val="19"/>
          <w:szCs w:val="19"/>
        </w:rPr>
      </w:pPr>
      <w:r>
        <w:rPr>
          <w:rFonts w:ascii="Bookman Old Style" w:hAnsi="Bookman Old Style" w:cs="Times New Roman"/>
          <w:b/>
          <w:bCs/>
          <w:iCs/>
          <w:sz w:val="19"/>
          <w:szCs w:val="19"/>
        </w:rPr>
        <w:t>13. DAS OBRIGAÇÕES PERTINENTES À LGPD:</w:t>
      </w:r>
    </w:p>
    <w:p w14:paraId="4227389C" w14:textId="77777777" w:rsidR="00380AFB" w:rsidRDefault="00380AFB">
      <w:pPr>
        <w:spacing w:line="276" w:lineRule="auto"/>
        <w:contextualSpacing/>
        <w:jc w:val="both"/>
        <w:rPr>
          <w:rFonts w:ascii="Bookman Old Style" w:hAnsi="Bookman Old Style" w:cs="Times New Roman"/>
          <w:b/>
          <w:bCs/>
          <w:iCs/>
          <w:sz w:val="19"/>
          <w:szCs w:val="19"/>
        </w:rPr>
      </w:pPr>
    </w:p>
    <w:p w14:paraId="75B38F70"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92A291" w14:textId="77777777" w:rsidR="00380AFB" w:rsidRDefault="00380AFB">
      <w:pPr>
        <w:spacing w:line="276" w:lineRule="auto"/>
        <w:contextualSpacing/>
        <w:jc w:val="both"/>
        <w:rPr>
          <w:rFonts w:ascii="Bookman Old Style" w:hAnsi="Bookman Old Style" w:cs="Times New Roman"/>
          <w:bCs/>
          <w:iCs/>
          <w:sz w:val="19"/>
          <w:szCs w:val="19"/>
        </w:rPr>
      </w:pPr>
    </w:p>
    <w:p w14:paraId="0873574A"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13.2. Os dados obtidos somente poderão ser utilizados para as finalidades que justificaram seu acesso e de acordo com a boa-fé e com os princípios do art. 6º da LGPD. </w:t>
      </w:r>
    </w:p>
    <w:p w14:paraId="4BE877B7" w14:textId="77777777" w:rsidR="00380AFB" w:rsidRDefault="00380AFB">
      <w:pPr>
        <w:spacing w:line="276" w:lineRule="auto"/>
        <w:contextualSpacing/>
        <w:jc w:val="both"/>
        <w:rPr>
          <w:rFonts w:ascii="Bookman Old Style" w:hAnsi="Bookman Old Style" w:cs="Times New Roman"/>
          <w:bCs/>
          <w:iCs/>
          <w:sz w:val="19"/>
          <w:szCs w:val="19"/>
        </w:rPr>
      </w:pPr>
    </w:p>
    <w:p w14:paraId="30458C69"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13.3. É vedado o compartilhamento com terceiros dos dados obtidos fora das hipóteses permitidas em Lei.</w:t>
      </w:r>
    </w:p>
    <w:p w14:paraId="77286551" w14:textId="77777777" w:rsidR="00380AFB" w:rsidRDefault="00380AFB">
      <w:pPr>
        <w:spacing w:line="276" w:lineRule="auto"/>
        <w:contextualSpacing/>
        <w:jc w:val="both"/>
        <w:rPr>
          <w:rFonts w:ascii="Bookman Old Style" w:hAnsi="Bookman Old Style" w:cs="Times New Roman"/>
          <w:bCs/>
          <w:iCs/>
          <w:sz w:val="19"/>
          <w:szCs w:val="19"/>
        </w:rPr>
      </w:pPr>
    </w:p>
    <w:p w14:paraId="63C3D813"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13.4. A Administração deverá ser informada no prazo de 5 (cinco) dias úteis sobre todos os contratos de suboperação firmados ou que venham a ser celebrados pelo Contratado. </w:t>
      </w:r>
    </w:p>
    <w:p w14:paraId="6B453049" w14:textId="77777777" w:rsidR="00380AFB" w:rsidRDefault="00380AFB">
      <w:pPr>
        <w:spacing w:line="276" w:lineRule="auto"/>
        <w:contextualSpacing/>
        <w:jc w:val="both"/>
        <w:rPr>
          <w:rFonts w:ascii="Bookman Old Style" w:hAnsi="Bookman Old Style" w:cs="Times New Roman"/>
          <w:bCs/>
          <w:iCs/>
          <w:sz w:val="19"/>
          <w:szCs w:val="19"/>
        </w:rPr>
      </w:pPr>
    </w:p>
    <w:p w14:paraId="585A4320"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9CDFDF7" w14:textId="77777777" w:rsidR="00380AFB" w:rsidRDefault="00380AFB">
      <w:pPr>
        <w:spacing w:line="276" w:lineRule="auto"/>
        <w:contextualSpacing/>
        <w:jc w:val="both"/>
        <w:rPr>
          <w:rFonts w:ascii="Bookman Old Style" w:hAnsi="Bookman Old Style" w:cs="Times New Roman"/>
          <w:bCs/>
          <w:iCs/>
          <w:sz w:val="19"/>
          <w:szCs w:val="19"/>
        </w:rPr>
      </w:pPr>
    </w:p>
    <w:p w14:paraId="0E94B052"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13.6. É dever do contratado orientar e treinar seus empregados sobre os deveres, requisitos e responsabilidades decorrentes da LGPD. </w:t>
      </w:r>
    </w:p>
    <w:p w14:paraId="793CE71E" w14:textId="77777777" w:rsidR="00380AFB" w:rsidRDefault="00380AFB">
      <w:pPr>
        <w:spacing w:line="276" w:lineRule="auto"/>
        <w:contextualSpacing/>
        <w:jc w:val="both"/>
        <w:rPr>
          <w:rFonts w:ascii="Bookman Old Style" w:hAnsi="Bookman Old Style" w:cs="Times New Roman"/>
          <w:bCs/>
          <w:iCs/>
          <w:sz w:val="19"/>
          <w:szCs w:val="19"/>
        </w:rPr>
      </w:pPr>
    </w:p>
    <w:p w14:paraId="307B65FB"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13.7. O Contratado deverá exigir de suboperadores o cumprimento dos deveres da presente cláusula, permanecendo integralmente responsável por garantir sua observância.</w:t>
      </w:r>
    </w:p>
    <w:p w14:paraId="0904203C" w14:textId="77777777" w:rsidR="00380AFB" w:rsidRDefault="00380AFB">
      <w:pPr>
        <w:spacing w:line="276" w:lineRule="auto"/>
        <w:contextualSpacing/>
        <w:jc w:val="both"/>
        <w:rPr>
          <w:rFonts w:ascii="Bookman Old Style" w:hAnsi="Bookman Old Style" w:cs="Times New Roman"/>
          <w:bCs/>
          <w:iCs/>
          <w:sz w:val="19"/>
          <w:szCs w:val="19"/>
        </w:rPr>
      </w:pPr>
    </w:p>
    <w:p w14:paraId="7E554D4C"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13.8. O Contratante poderá realizar diligência para aferir o cumprimento dessa cláusula, devendo o Contratado atender prontamente eventuais pedidos de comprovação formulados. </w:t>
      </w:r>
    </w:p>
    <w:p w14:paraId="298362F5" w14:textId="77777777" w:rsidR="00380AFB" w:rsidRDefault="00380AFB">
      <w:pPr>
        <w:spacing w:line="276" w:lineRule="auto"/>
        <w:contextualSpacing/>
        <w:jc w:val="both"/>
        <w:rPr>
          <w:rFonts w:ascii="Bookman Old Style" w:hAnsi="Bookman Old Style" w:cs="Times New Roman"/>
          <w:bCs/>
          <w:iCs/>
          <w:sz w:val="19"/>
          <w:szCs w:val="19"/>
        </w:rPr>
      </w:pPr>
    </w:p>
    <w:p w14:paraId="30781EB5"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 xml:space="preserve">13.9. O Contratado deverá prestar, no prazo fixado pelo Contratante, prorrogável justificadamente, quaisquer informações acerca dos dados pessoais para cumprimento da LGPD, inclusive quanto a eventual descarte realizado. </w:t>
      </w:r>
    </w:p>
    <w:p w14:paraId="0B3EC718" w14:textId="77777777" w:rsidR="00380AFB" w:rsidRDefault="00380AFB">
      <w:pPr>
        <w:spacing w:line="276" w:lineRule="auto"/>
        <w:contextualSpacing/>
        <w:jc w:val="both"/>
        <w:rPr>
          <w:rFonts w:ascii="Bookman Old Style" w:hAnsi="Bookman Old Style" w:cs="Times New Roman"/>
          <w:bCs/>
          <w:iCs/>
          <w:sz w:val="19"/>
          <w:szCs w:val="19"/>
        </w:rPr>
      </w:pPr>
    </w:p>
    <w:p w14:paraId="0268A62F"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3BC10FA" w14:textId="77777777" w:rsidR="00380AFB" w:rsidRDefault="00380AFB">
      <w:pPr>
        <w:spacing w:line="276" w:lineRule="auto"/>
        <w:contextualSpacing/>
        <w:jc w:val="both"/>
        <w:rPr>
          <w:rFonts w:ascii="Bookman Old Style" w:hAnsi="Bookman Old Style" w:cs="Times New Roman"/>
          <w:bCs/>
          <w:iCs/>
          <w:sz w:val="19"/>
          <w:szCs w:val="19"/>
        </w:rPr>
      </w:pPr>
    </w:p>
    <w:p w14:paraId="60E3E744"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13.10.1.</w:t>
      </w:r>
      <w:r>
        <w:rPr>
          <w:rFonts w:ascii="Bookman Old Style" w:hAnsi="Bookman Old Style" w:cs="Times New Roman"/>
          <w:bCs/>
          <w:iCs/>
          <w:sz w:val="19"/>
          <w:szCs w:val="19"/>
        </w:rPr>
        <w:tab/>
        <w:t>Os referidos bancos de dados devem ser desenvolvidos em formato interoperável, a fim de garantir a reutilização desses dados pela Administração nas hipóteses previstas na LGPD.</w:t>
      </w:r>
    </w:p>
    <w:p w14:paraId="222BFF20" w14:textId="77777777" w:rsidR="00380AFB" w:rsidRDefault="00380AFB">
      <w:pPr>
        <w:spacing w:line="276" w:lineRule="auto"/>
        <w:contextualSpacing/>
        <w:jc w:val="both"/>
        <w:rPr>
          <w:rFonts w:ascii="Bookman Old Style" w:hAnsi="Bookman Old Style" w:cs="Times New Roman"/>
          <w:bCs/>
          <w:iCs/>
          <w:sz w:val="19"/>
          <w:szCs w:val="19"/>
        </w:rPr>
      </w:pPr>
    </w:p>
    <w:p w14:paraId="0CE73A9B"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13.11. O contrato está sujeito a ser alterado nos procedimentos pertinentes ao tratamento de dados pessoais, quando indicado pela autoridade competente, em especial a ANPD por meio de opiniões técnicas ou recomendações, editadas na forma da LGPD.</w:t>
      </w:r>
    </w:p>
    <w:p w14:paraId="1DC006D4" w14:textId="77777777" w:rsidR="00380AFB" w:rsidRDefault="00380AFB">
      <w:pPr>
        <w:spacing w:line="276" w:lineRule="auto"/>
        <w:contextualSpacing/>
        <w:jc w:val="both"/>
        <w:rPr>
          <w:rFonts w:ascii="Bookman Old Style" w:hAnsi="Bookman Old Style" w:cs="Times New Roman"/>
          <w:bCs/>
          <w:iCs/>
          <w:sz w:val="19"/>
          <w:szCs w:val="19"/>
        </w:rPr>
      </w:pPr>
    </w:p>
    <w:p w14:paraId="6AD2C788" w14:textId="77777777" w:rsidR="00380AFB" w:rsidRDefault="00000000">
      <w:pPr>
        <w:spacing w:line="276" w:lineRule="auto"/>
        <w:contextualSpacing/>
        <w:jc w:val="both"/>
        <w:rPr>
          <w:rFonts w:ascii="Bookman Old Style" w:hAnsi="Bookman Old Style" w:cs="Times New Roman"/>
          <w:bCs/>
          <w:iCs/>
          <w:sz w:val="19"/>
          <w:szCs w:val="19"/>
        </w:rPr>
      </w:pPr>
      <w:r>
        <w:rPr>
          <w:rFonts w:ascii="Bookman Old Style" w:hAnsi="Bookman Old Style" w:cs="Times New Roman"/>
          <w:bCs/>
          <w:iCs/>
          <w:sz w:val="19"/>
          <w:szCs w:val="19"/>
        </w:rPr>
        <w:t>13.12. Os contratos e convênios de que trata o § 1º do art. 26 da LGPD deverão ser comunicados à autoridade nacional.</w:t>
      </w:r>
    </w:p>
    <w:p w14:paraId="333DA86A" w14:textId="77777777" w:rsidR="00380AFB" w:rsidRDefault="00380AFB">
      <w:pPr>
        <w:spacing w:line="276" w:lineRule="auto"/>
        <w:contextualSpacing/>
        <w:jc w:val="both"/>
        <w:rPr>
          <w:rFonts w:ascii="Bookman Old Style" w:hAnsi="Bookman Old Style" w:cs="Times New Roman"/>
          <w:bCs/>
          <w:iCs/>
          <w:sz w:val="19"/>
          <w:szCs w:val="19"/>
        </w:rPr>
      </w:pPr>
    </w:p>
    <w:p w14:paraId="5F72B5A9" w14:textId="002546F1" w:rsidR="00380AFB" w:rsidRDefault="00000000">
      <w:pPr>
        <w:spacing w:line="276" w:lineRule="auto"/>
        <w:contextualSpacing/>
        <w:jc w:val="both"/>
        <w:rPr>
          <w:rFonts w:ascii="Bookman Old Style" w:hAnsi="Bookman Old Style"/>
          <w:sz w:val="19"/>
          <w:szCs w:val="19"/>
        </w:rPr>
      </w:pPr>
      <w:r>
        <w:rPr>
          <w:rFonts w:ascii="Bookman Old Style" w:hAnsi="Bookman Old Style"/>
          <w:sz w:val="19"/>
          <w:szCs w:val="19"/>
        </w:rPr>
        <w:t xml:space="preserve">Maravilhas/MG, </w:t>
      </w:r>
      <w:r w:rsidR="003E0265">
        <w:rPr>
          <w:rFonts w:ascii="Bookman Old Style" w:hAnsi="Bookman Old Style"/>
          <w:sz w:val="19"/>
          <w:szCs w:val="19"/>
        </w:rPr>
        <w:t>07</w:t>
      </w:r>
      <w:r>
        <w:rPr>
          <w:rFonts w:ascii="Bookman Old Style" w:hAnsi="Bookman Old Style"/>
          <w:sz w:val="19"/>
          <w:szCs w:val="19"/>
        </w:rPr>
        <w:t xml:space="preserve"> de </w:t>
      </w:r>
      <w:r w:rsidR="003E0265">
        <w:rPr>
          <w:rFonts w:ascii="Bookman Old Style" w:hAnsi="Bookman Old Style"/>
          <w:sz w:val="19"/>
          <w:szCs w:val="19"/>
        </w:rPr>
        <w:t>maio</w:t>
      </w:r>
      <w:r>
        <w:rPr>
          <w:rFonts w:ascii="Bookman Old Style" w:hAnsi="Bookman Old Style"/>
          <w:sz w:val="19"/>
          <w:szCs w:val="19"/>
        </w:rPr>
        <w:t xml:space="preserve"> de 2025.</w:t>
      </w:r>
    </w:p>
    <w:p w14:paraId="4EAFF55A" w14:textId="77777777" w:rsidR="00380AFB" w:rsidRDefault="00380AFB">
      <w:pPr>
        <w:spacing w:line="276" w:lineRule="auto"/>
        <w:contextualSpacing/>
        <w:jc w:val="right"/>
        <w:rPr>
          <w:rFonts w:ascii="Bookman Old Style" w:hAnsi="Bookman Old Style"/>
          <w:sz w:val="19"/>
          <w:szCs w:val="19"/>
        </w:rPr>
      </w:pPr>
    </w:p>
    <w:p w14:paraId="4F64592F" w14:textId="77777777" w:rsidR="00380AFB" w:rsidRDefault="00000000">
      <w:pPr>
        <w:spacing w:line="276" w:lineRule="auto"/>
        <w:contextualSpacing/>
        <w:jc w:val="center"/>
        <w:rPr>
          <w:rFonts w:ascii="Bookman Old Style" w:hAnsi="Bookman Old Style"/>
          <w:b/>
          <w:sz w:val="19"/>
          <w:szCs w:val="19"/>
        </w:rPr>
      </w:pPr>
      <w:r>
        <w:rPr>
          <w:rFonts w:ascii="Bookman Old Style" w:hAnsi="Bookman Old Style"/>
          <w:b/>
          <w:sz w:val="19"/>
          <w:szCs w:val="19"/>
        </w:rPr>
        <w:t>Rolando Alberto Sacchetto Fonseca</w:t>
      </w:r>
    </w:p>
    <w:p w14:paraId="57BE3198" w14:textId="77777777" w:rsidR="00380AFB" w:rsidRDefault="00000000">
      <w:pPr>
        <w:spacing w:line="276" w:lineRule="auto"/>
        <w:contextualSpacing/>
        <w:jc w:val="center"/>
        <w:rPr>
          <w:rFonts w:ascii="Bookman Old Style" w:hAnsi="Bookman Old Style"/>
          <w:sz w:val="19"/>
          <w:szCs w:val="19"/>
        </w:rPr>
      </w:pPr>
      <w:r>
        <w:rPr>
          <w:rFonts w:ascii="Bookman Old Style" w:hAnsi="Bookman Old Style"/>
          <w:sz w:val="19"/>
          <w:szCs w:val="19"/>
        </w:rPr>
        <w:t>Secretário Municipal de Governo</w:t>
      </w:r>
    </w:p>
    <w:p w14:paraId="36818609" w14:textId="77777777" w:rsidR="00380AFB" w:rsidRDefault="00000000">
      <w:pPr>
        <w:spacing w:line="276" w:lineRule="auto"/>
        <w:contextualSpacing/>
        <w:rPr>
          <w:rFonts w:ascii="Bookman Old Style" w:hAnsi="Bookman Old Style" w:cs="Times New Roman"/>
          <w:b/>
          <w:bCs/>
          <w:sz w:val="19"/>
          <w:szCs w:val="19"/>
          <w:u w:val="single"/>
        </w:rPr>
      </w:pPr>
      <w:r>
        <w:rPr>
          <w:rFonts w:ascii="Bookman Old Style" w:hAnsi="Bookman Old Style" w:cs="Times New Roman"/>
          <w:b/>
          <w:bCs/>
          <w:sz w:val="19"/>
          <w:szCs w:val="19"/>
          <w:u w:val="single"/>
        </w:rPr>
        <w:br w:type="page"/>
      </w:r>
    </w:p>
    <w:p w14:paraId="21FFDDBD" w14:textId="77777777" w:rsidR="00380AFB" w:rsidRDefault="00000000">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 xml:space="preserve">ANEXO II — MODELO DE CARTA DE CREDENCIAMENTO </w:t>
      </w:r>
    </w:p>
    <w:p w14:paraId="6FEA66A9" w14:textId="77777777" w:rsidR="00380AFB" w:rsidRDefault="00380AFB">
      <w:pPr>
        <w:spacing w:line="276" w:lineRule="auto"/>
        <w:contextualSpacing/>
        <w:jc w:val="center"/>
        <w:rPr>
          <w:rFonts w:ascii="Bookman Old Style" w:eastAsia="Calibri" w:hAnsi="Bookman Old Style" w:cs="Times New Roman"/>
          <w:bCs/>
          <w:sz w:val="19"/>
          <w:szCs w:val="19"/>
        </w:rPr>
      </w:pPr>
    </w:p>
    <w:p w14:paraId="0E715AC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A empresa ................................................................, inscrita no CNPJ sob nº , sediada na ............................................., cidade de .................................., estado , telefone(s)................................................, e-mail para contato , neste ato representada pelo (a) Sr(a) .................................., portador da cédula de identidade RG ................................., residente e domiciliado na ................................, inscrito no CPF sob o nº , detentor de amplos poderes para nomeação de representante para que lhe faça às vezes para fins licitatórios, confere-os à................................................., portador da cédula de identidade RG , e inscrito no CPF sob o nº ................................., com o fim específico de representar a outorgante perante o Município de Maravilhas/MG, no Pregão nº......., podendo assim retirar editais, propor seu credenciamento e oferta em lances verbais em nome da representada, e ainda assinar atas, contratos de fornecimento de materiais/produtos, bem como, recorrer ou desistir da faculdade de recurso, firmar compromissos, enfim, todos aqueles atos que se fizerem necessários para o bom e fiel cumprimento do presente mandato.  </w:t>
      </w:r>
    </w:p>
    <w:p w14:paraId="2DB46806" w14:textId="77777777" w:rsidR="00380AFB" w:rsidRDefault="00380AFB">
      <w:pPr>
        <w:spacing w:line="276" w:lineRule="auto"/>
        <w:contextualSpacing/>
        <w:jc w:val="both"/>
        <w:rPr>
          <w:rFonts w:ascii="Bookman Old Style" w:eastAsia="Calibri" w:hAnsi="Bookman Old Style" w:cs="Times New Roman"/>
          <w:bCs/>
          <w:sz w:val="19"/>
          <w:szCs w:val="19"/>
        </w:rPr>
      </w:pPr>
    </w:p>
    <w:p w14:paraId="7D077EF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(local e data)</w:t>
      </w:r>
    </w:p>
    <w:p w14:paraId="239E2924" w14:textId="77777777" w:rsidR="00380AFB" w:rsidRDefault="00380AFB">
      <w:pPr>
        <w:spacing w:line="276" w:lineRule="auto"/>
        <w:contextualSpacing/>
        <w:jc w:val="both"/>
        <w:rPr>
          <w:rFonts w:ascii="Bookman Old Style" w:eastAsia="Calibri" w:hAnsi="Bookman Old Style" w:cs="Times New Roman"/>
          <w:bCs/>
          <w:sz w:val="19"/>
          <w:szCs w:val="19"/>
        </w:rPr>
      </w:pPr>
    </w:p>
    <w:p w14:paraId="059CFD1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w:t>
      </w:r>
    </w:p>
    <w:p w14:paraId="72A6C30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Outorgante (reconhecer firma) </w:t>
      </w:r>
    </w:p>
    <w:p w14:paraId="0294FC07" w14:textId="77777777" w:rsidR="00380AFB" w:rsidRDefault="00380AFB">
      <w:pPr>
        <w:spacing w:line="276" w:lineRule="auto"/>
        <w:contextualSpacing/>
        <w:jc w:val="both"/>
        <w:rPr>
          <w:rFonts w:ascii="Bookman Old Style" w:eastAsia="Calibri" w:hAnsi="Bookman Old Style" w:cs="Times New Roman"/>
          <w:bCs/>
          <w:sz w:val="19"/>
          <w:szCs w:val="19"/>
        </w:rPr>
      </w:pPr>
    </w:p>
    <w:p w14:paraId="28953E3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w:t>
      </w:r>
    </w:p>
    <w:p w14:paraId="0081454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Outorgado</w:t>
      </w:r>
    </w:p>
    <w:p w14:paraId="7A4BE8EB" w14:textId="77777777" w:rsidR="00380AFB" w:rsidRDefault="00380AFB">
      <w:pPr>
        <w:spacing w:line="276" w:lineRule="auto"/>
        <w:contextualSpacing/>
        <w:jc w:val="both"/>
        <w:rPr>
          <w:rFonts w:ascii="Bookman Old Style" w:eastAsia="Calibri" w:hAnsi="Bookman Old Style" w:cs="Times New Roman"/>
          <w:bCs/>
          <w:sz w:val="19"/>
          <w:szCs w:val="19"/>
        </w:rPr>
      </w:pPr>
    </w:p>
    <w:p w14:paraId="4D3372B0" w14:textId="77777777" w:rsidR="00380AFB" w:rsidRDefault="00000000">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Declaração a ser emitida preferencialmente em papel timbrado da licitante, de forma que identifique a proponente.</w:t>
      </w:r>
    </w:p>
    <w:p w14:paraId="49C39DEF" w14:textId="77777777" w:rsidR="00380AFB" w:rsidRDefault="00000000">
      <w:pPr>
        <w:spacing w:line="276" w:lineRule="auto"/>
        <w:contextualSpacing/>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br w:type="page"/>
      </w:r>
    </w:p>
    <w:p w14:paraId="708EA50D" w14:textId="77777777" w:rsidR="00380AFB" w:rsidRDefault="00000000">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ANEXO III – MODELO DE ENQUADRAMENTO DE MICROEMPRESAS (ME) E EMPRESAS DE PEQUENO PORTE (EPP)</w:t>
      </w:r>
    </w:p>
    <w:p w14:paraId="2B5ECBA6" w14:textId="77777777" w:rsidR="00380AFB" w:rsidRDefault="00380AFB">
      <w:pPr>
        <w:spacing w:line="276" w:lineRule="auto"/>
        <w:contextualSpacing/>
        <w:jc w:val="both"/>
        <w:rPr>
          <w:rFonts w:ascii="Bookman Old Style" w:eastAsia="Calibri" w:hAnsi="Bookman Old Style" w:cs="Times New Roman"/>
          <w:bCs/>
          <w:sz w:val="19"/>
          <w:szCs w:val="19"/>
        </w:rPr>
      </w:pPr>
    </w:p>
    <w:p w14:paraId="6EB776B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_____________________________(Razão Social da empresa), inscrita no CNPJ nº ___________________, intermédio de seu representante legal, o(a) Sr. (a.)  , por portador(a) da Carteira de Identidade nº ______________. e do CPF nº _____________, DECLARA, para fins do disposto no Edital, do PREGÃO ELETRÔNICO nº _____  , sob as sanções administrativas cabíveis e sob as penas da lei, que esta empresa, na presente data, é considerada: </w:t>
      </w:r>
    </w:p>
    <w:p w14:paraId="0F53564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 MICROEMPRESA, conforme Inciso I do artigo 3º da Lei Complementar nº 123,de 04/12/2006; </w:t>
      </w:r>
    </w:p>
    <w:p w14:paraId="0B20BF9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 EMPRESA DE PEQUENO PORTE, conforme Inciso II do artigo 3º da Lei Complementar nº 123, de 14/12/2006. Declara ainda que a empresa está excluída das vedações constantes do parágrafo 4º do artigo 3º da Lei Complementar nº 123, de 14 de dezembro de 2006. </w:t>
      </w:r>
    </w:p>
    <w:p w14:paraId="02623A94" w14:textId="77777777" w:rsidR="00380AFB" w:rsidRDefault="00380AFB">
      <w:pPr>
        <w:spacing w:line="276" w:lineRule="auto"/>
        <w:contextualSpacing/>
        <w:jc w:val="both"/>
        <w:rPr>
          <w:rFonts w:ascii="Bookman Old Style" w:eastAsia="Calibri" w:hAnsi="Bookman Old Style" w:cs="Times New Roman"/>
          <w:bCs/>
          <w:sz w:val="19"/>
          <w:szCs w:val="19"/>
        </w:rPr>
      </w:pPr>
    </w:p>
    <w:p w14:paraId="0D6E00E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(local e data)</w:t>
      </w:r>
    </w:p>
    <w:p w14:paraId="50248BA9" w14:textId="77777777" w:rsidR="00380AFB" w:rsidRDefault="00380AFB">
      <w:pPr>
        <w:spacing w:line="276" w:lineRule="auto"/>
        <w:contextualSpacing/>
        <w:jc w:val="both"/>
        <w:rPr>
          <w:rFonts w:ascii="Bookman Old Style" w:eastAsia="Calibri" w:hAnsi="Bookman Old Style" w:cs="Times New Roman"/>
          <w:bCs/>
          <w:sz w:val="19"/>
          <w:szCs w:val="19"/>
        </w:rPr>
      </w:pPr>
    </w:p>
    <w:p w14:paraId="250EADA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(representante legal) </w:t>
      </w:r>
    </w:p>
    <w:p w14:paraId="3F28E903" w14:textId="77777777" w:rsidR="00380AFB" w:rsidRDefault="00380AFB">
      <w:pPr>
        <w:spacing w:line="276" w:lineRule="auto"/>
        <w:contextualSpacing/>
        <w:jc w:val="both"/>
        <w:rPr>
          <w:rFonts w:ascii="Bookman Old Style" w:eastAsia="Calibri" w:hAnsi="Bookman Old Style" w:cs="Times New Roman"/>
          <w:bCs/>
          <w:sz w:val="19"/>
          <w:szCs w:val="19"/>
        </w:rPr>
      </w:pPr>
    </w:p>
    <w:p w14:paraId="1F7FEFE8" w14:textId="77777777" w:rsidR="00380AFB" w:rsidRDefault="00000000">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 xml:space="preserve">Observações: </w:t>
      </w:r>
    </w:p>
    <w:p w14:paraId="0A236CA1" w14:textId="77777777" w:rsidR="00380AFB" w:rsidRDefault="00000000">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 xml:space="preserve">1) Assinalar com um “X” a condição da empresa; </w:t>
      </w:r>
    </w:p>
    <w:p w14:paraId="0C0B0BB2" w14:textId="77777777" w:rsidR="00380AFB" w:rsidRDefault="00000000">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 xml:space="preserve">2) A Declaração deverá ser apresentada, preferencialmente, em papel timbrado da licitante e estar assinada pelo representante legal da empresa; e </w:t>
      </w:r>
    </w:p>
    <w:p w14:paraId="1ECC6FC7" w14:textId="77777777" w:rsidR="00380AFB" w:rsidRDefault="00000000">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3) Esta declaração deverá ser entregue no ato do credenciamento/DOC. DE HABILITAÇÃO.</w:t>
      </w:r>
    </w:p>
    <w:p w14:paraId="23E8DD0B" w14:textId="77777777" w:rsidR="00380AFB" w:rsidRDefault="00000000">
      <w:pPr>
        <w:spacing w:line="276" w:lineRule="auto"/>
        <w:contextualSpacing/>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br w:type="page"/>
      </w:r>
    </w:p>
    <w:p w14:paraId="3774A7DE" w14:textId="77777777" w:rsidR="00380AFB" w:rsidRDefault="00000000">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ANEXO IV– MODELO DE CARTA DE APRESENTAÇÃO DA PROPOSTA DE PREÇO</w:t>
      </w:r>
    </w:p>
    <w:p w14:paraId="1158C452" w14:textId="77777777" w:rsidR="00380AFB" w:rsidRDefault="00380AFB">
      <w:pPr>
        <w:spacing w:line="276" w:lineRule="auto"/>
        <w:contextualSpacing/>
        <w:jc w:val="both"/>
        <w:rPr>
          <w:rFonts w:ascii="Bookman Old Style" w:eastAsia="Calibri" w:hAnsi="Bookman Old Style" w:cs="Times New Roman"/>
          <w:bCs/>
          <w:sz w:val="19"/>
          <w:szCs w:val="19"/>
        </w:rPr>
      </w:pPr>
    </w:p>
    <w:p w14:paraId="15703B0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À Prefeitura Municipal de Maravilhas/MG:</w:t>
      </w:r>
    </w:p>
    <w:p w14:paraId="0D947E91" w14:textId="77777777" w:rsidR="00380AFB" w:rsidRDefault="00380AFB">
      <w:pPr>
        <w:spacing w:line="276" w:lineRule="auto"/>
        <w:contextualSpacing/>
        <w:jc w:val="both"/>
        <w:rPr>
          <w:rFonts w:ascii="Bookman Old Style" w:eastAsia="Calibri" w:hAnsi="Bookman Old Style" w:cs="Times New Roman"/>
          <w:b/>
          <w:bCs/>
          <w:color w:val="000000" w:themeColor="text1"/>
          <w:sz w:val="19"/>
          <w:szCs w:val="19"/>
        </w:rPr>
      </w:pPr>
    </w:p>
    <w:p w14:paraId="14C8350E" w14:textId="77777777" w:rsidR="00380AFB" w:rsidRDefault="00000000">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 xml:space="preserve">PROCESSO LICITATÓRIO Nº 120/2025 </w:t>
      </w:r>
    </w:p>
    <w:p w14:paraId="5FA80C49" w14:textId="77777777" w:rsidR="00380AFB" w:rsidRDefault="00000000">
      <w:pPr>
        <w:spacing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 xml:space="preserve">MODALIDADE: PREGÃO ELETRÔNICO Nº 21/2025 </w:t>
      </w:r>
    </w:p>
    <w:p w14:paraId="4CEC412F" w14:textId="77777777" w:rsidR="00380AFB" w:rsidRDefault="00380AFB">
      <w:pPr>
        <w:pStyle w:val="Default"/>
        <w:spacing w:line="276" w:lineRule="auto"/>
        <w:contextualSpacing/>
        <w:jc w:val="both"/>
        <w:rPr>
          <w:rFonts w:ascii="Bookman Old Style" w:eastAsia="Calibri" w:hAnsi="Bookman Old Style" w:cs="Times New Roman"/>
          <w:b/>
          <w:bCs/>
          <w:color w:val="auto"/>
          <w:sz w:val="19"/>
          <w:szCs w:val="19"/>
        </w:rPr>
      </w:pPr>
    </w:p>
    <w:p w14:paraId="1E8D7ACC" w14:textId="77777777" w:rsidR="00380AFB" w:rsidRDefault="00000000">
      <w:pPr>
        <w:pStyle w:val="Default"/>
        <w:spacing w:line="276" w:lineRule="auto"/>
        <w:contextualSpacing/>
        <w:jc w:val="both"/>
        <w:rPr>
          <w:rFonts w:ascii="Bookman Old Style" w:hAnsi="Bookman Old Style" w:cs="Times New Roman"/>
          <w:bCs/>
          <w:color w:val="auto"/>
          <w:sz w:val="19"/>
          <w:szCs w:val="19"/>
        </w:rPr>
      </w:pPr>
      <w:r>
        <w:rPr>
          <w:rFonts w:ascii="Bookman Old Style" w:eastAsia="Calibri" w:hAnsi="Bookman Old Style" w:cs="Times New Roman"/>
          <w:b/>
          <w:bCs/>
          <w:color w:val="auto"/>
          <w:sz w:val="19"/>
          <w:szCs w:val="19"/>
        </w:rPr>
        <w:t>OBJETO</w:t>
      </w:r>
      <w:r>
        <w:rPr>
          <w:rFonts w:ascii="Bookman Old Style" w:eastAsia="Calibri" w:hAnsi="Bookman Old Style" w:cs="Times New Roman"/>
          <w:bCs/>
          <w:color w:val="auto"/>
          <w:sz w:val="19"/>
          <w:szCs w:val="19"/>
        </w:rPr>
        <w:t xml:space="preserve">: </w:t>
      </w:r>
      <w:r>
        <w:rPr>
          <w:rFonts w:ascii="Bookman Old Style" w:hAnsi="Bookman Old Style" w:cs="Times New Roman"/>
          <w:bCs/>
          <w:color w:val="auto"/>
          <w:sz w:val="19"/>
          <w:szCs w:val="19"/>
        </w:rPr>
        <w:t>Registro de Preços para</w:t>
      </w:r>
      <w:r>
        <w:rPr>
          <w:rFonts w:ascii="Bookman Old Style" w:hAnsi="Bookman Old Style" w:cs="Times New Roman"/>
          <w:b/>
          <w:bCs/>
          <w:color w:val="auto"/>
          <w:sz w:val="19"/>
          <w:szCs w:val="19"/>
        </w:rPr>
        <w:t xml:space="preserve"> </w:t>
      </w:r>
      <w:r>
        <w:rPr>
          <w:rFonts w:ascii="Bookman Old Style" w:hAnsi="Bookman Old Style" w:cs="Times New Roman"/>
          <w:bCs/>
          <w:color w:val="auto"/>
          <w:sz w:val="19"/>
          <w:szCs w:val="19"/>
        </w:rPr>
        <w:t>aquisição de cartucho e toner para atendimento das demandas da Secretaria Municipal de Governo do Município de Maravilhas/MG, conforme especificações constantes do Termo de Referência- Anexo I.</w:t>
      </w:r>
    </w:p>
    <w:p w14:paraId="34ACABF7" w14:textId="77777777" w:rsidR="00380AFB" w:rsidRDefault="00380AFB">
      <w:pPr>
        <w:spacing w:line="276" w:lineRule="auto"/>
        <w:contextualSpacing/>
        <w:jc w:val="both"/>
        <w:rPr>
          <w:rFonts w:ascii="Bookman Old Style" w:eastAsia="Calibri" w:hAnsi="Bookman Old Style" w:cs="Times New Roman"/>
          <w:bCs/>
          <w:sz w:val="19"/>
          <w:szCs w:val="19"/>
        </w:rPr>
      </w:pPr>
    </w:p>
    <w:p w14:paraId="5F4E03F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 …......................................................................, pessoa jurídica de direito privado, com sede na Rua/Av. .................n°. ......, Bairro ............., cidade de ..................../............., CEP................., inscrita no CNPJ sob nº........................................, Inscrição Estadual .............., com endereço de e-mail. telefone/fax................, neste ato, representada pelo(a), Sr.(a) ….........................................................., portador da Carteira de Identidade nº …......................... e do CPF nº, apresenta e submete à apreciação do (a) senhor (a) Pregoeiro (a), sua proposta de preços relativa à licitação em epígrafe, assumindo inteira responsabilidade por quaisquer erros ou omissões que venham a ser verificadas na sua preparação. Segue a proposta de preços:</w:t>
      </w:r>
    </w:p>
    <w:p w14:paraId="4EFBD1E8" w14:textId="77777777" w:rsidR="00380AFB" w:rsidRDefault="00380AFB">
      <w:pPr>
        <w:spacing w:line="276" w:lineRule="auto"/>
        <w:contextualSpacing/>
        <w:jc w:val="both"/>
        <w:rPr>
          <w:rFonts w:ascii="Bookman Old Style" w:eastAsia="Calibri" w:hAnsi="Bookman Old Style" w:cs="Times New Roman"/>
          <w:bCs/>
          <w:sz w:val="19"/>
          <w:szCs w:val="19"/>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972"/>
        <w:gridCol w:w="850"/>
        <w:gridCol w:w="1085"/>
        <w:gridCol w:w="1085"/>
        <w:gridCol w:w="1467"/>
        <w:gridCol w:w="1725"/>
      </w:tblGrid>
      <w:tr w:rsidR="00380AFB" w14:paraId="7886D088" w14:textId="77777777">
        <w:trPr>
          <w:trHeight w:val="722"/>
          <w:jc w:val="center"/>
        </w:trPr>
        <w:tc>
          <w:tcPr>
            <w:tcW w:w="1100" w:type="dxa"/>
            <w:shd w:val="clear" w:color="auto" w:fill="D9D9D9" w:themeFill="background1" w:themeFillShade="D9"/>
          </w:tcPr>
          <w:p w14:paraId="2DB098AF" w14:textId="77777777" w:rsidR="00380AFB" w:rsidRDefault="00380AFB">
            <w:pPr>
              <w:spacing w:line="276" w:lineRule="auto"/>
              <w:contextualSpacing/>
              <w:jc w:val="center"/>
              <w:rPr>
                <w:rFonts w:ascii="Bookman Old Style" w:hAnsi="Bookman Old Style" w:cs="Arial"/>
                <w:b/>
                <w:sz w:val="19"/>
                <w:szCs w:val="19"/>
              </w:rPr>
            </w:pPr>
          </w:p>
          <w:p w14:paraId="6ADE3E86"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ITEM</w:t>
            </w:r>
          </w:p>
        </w:tc>
        <w:tc>
          <w:tcPr>
            <w:tcW w:w="1972" w:type="dxa"/>
            <w:shd w:val="clear" w:color="auto" w:fill="D9D9D9" w:themeFill="background1" w:themeFillShade="D9"/>
          </w:tcPr>
          <w:p w14:paraId="6B11896C" w14:textId="77777777" w:rsidR="00380AFB" w:rsidRDefault="00380AFB">
            <w:pPr>
              <w:spacing w:line="276" w:lineRule="auto"/>
              <w:contextualSpacing/>
              <w:jc w:val="center"/>
              <w:rPr>
                <w:rFonts w:ascii="Bookman Old Style" w:hAnsi="Bookman Old Style" w:cs="Arial"/>
                <w:b/>
                <w:sz w:val="19"/>
                <w:szCs w:val="19"/>
              </w:rPr>
            </w:pPr>
          </w:p>
          <w:p w14:paraId="1AD1E00F"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DESCRIÇÃO/</w:t>
            </w:r>
          </w:p>
          <w:p w14:paraId="008D619D"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ESPEFICICAÇÃO</w:t>
            </w:r>
          </w:p>
        </w:tc>
        <w:tc>
          <w:tcPr>
            <w:tcW w:w="850" w:type="dxa"/>
            <w:shd w:val="clear" w:color="auto" w:fill="D9D9D9" w:themeFill="background1" w:themeFillShade="D9"/>
          </w:tcPr>
          <w:p w14:paraId="4AE6866C" w14:textId="77777777" w:rsidR="00380AFB" w:rsidRDefault="00380AFB">
            <w:pPr>
              <w:spacing w:line="276" w:lineRule="auto"/>
              <w:contextualSpacing/>
              <w:jc w:val="center"/>
              <w:rPr>
                <w:rFonts w:ascii="Bookman Old Style" w:hAnsi="Bookman Old Style" w:cs="Arial"/>
                <w:b/>
                <w:sz w:val="19"/>
                <w:szCs w:val="19"/>
              </w:rPr>
            </w:pPr>
          </w:p>
          <w:p w14:paraId="08BFB488" w14:textId="77777777" w:rsidR="00380AFB" w:rsidRDefault="00380AFB">
            <w:pPr>
              <w:spacing w:line="276" w:lineRule="auto"/>
              <w:contextualSpacing/>
              <w:jc w:val="center"/>
              <w:rPr>
                <w:rFonts w:ascii="Bookman Old Style" w:hAnsi="Bookman Old Style" w:cs="Arial"/>
                <w:b/>
                <w:sz w:val="19"/>
                <w:szCs w:val="19"/>
              </w:rPr>
            </w:pPr>
          </w:p>
          <w:p w14:paraId="3D7D7570" w14:textId="77777777" w:rsidR="00380AFB" w:rsidRDefault="00000000">
            <w:pPr>
              <w:spacing w:line="276" w:lineRule="auto"/>
              <w:contextualSpacing/>
              <w:jc w:val="center"/>
              <w:rPr>
                <w:rFonts w:ascii="Bookman Old Style" w:hAnsi="Bookman Old Style" w:cs="Arial"/>
                <w:sz w:val="19"/>
                <w:szCs w:val="19"/>
              </w:rPr>
            </w:pPr>
            <w:r>
              <w:rPr>
                <w:rFonts w:ascii="Bookman Old Style" w:hAnsi="Bookman Old Style" w:cs="Arial"/>
                <w:b/>
                <w:sz w:val="19"/>
                <w:szCs w:val="19"/>
              </w:rPr>
              <w:t>UNID.</w:t>
            </w:r>
          </w:p>
        </w:tc>
        <w:tc>
          <w:tcPr>
            <w:tcW w:w="1085" w:type="dxa"/>
            <w:shd w:val="clear" w:color="auto" w:fill="D9D9D9" w:themeFill="background1" w:themeFillShade="D9"/>
          </w:tcPr>
          <w:p w14:paraId="110F0DBA"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MARCA</w:t>
            </w:r>
          </w:p>
        </w:tc>
        <w:tc>
          <w:tcPr>
            <w:tcW w:w="1085" w:type="dxa"/>
            <w:shd w:val="clear" w:color="auto" w:fill="D9D9D9" w:themeFill="background1" w:themeFillShade="D9"/>
          </w:tcPr>
          <w:p w14:paraId="098E495A"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QUANT.</w:t>
            </w:r>
          </w:p>
        </w:tc>
        <w:tc>
          <w:tcPr>
            <w:tcW w:w="1467" w:type="dxa"/>
            <w:shd w:val="clear" w:color="auto" w:fill="D9D9D9" w:themeFill="background1" w:themeFillShade="D9"/>
          </w:tcPr>
          <w:p w14:paraId="32A0BEB0"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VALOR UNITÁRIO</w:t>
            </w:r>
          </w:p>
        </w:tc>
        <w:tc>
          <w:tcPr>
            <w:tcW w:w="1725" w:type="dxa"/>
            <w:shd w:val="clear" w:color="auto" w:fill="D9D9D9" w:themeFill="background1" w:themeFillShade="D9"/>
          </w:tcPr>
          <w:p w14:paraId="5BC03A3B"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VALOR TOTAL</w:t>
            </w:r>
          </w:p>
        </w:tc>
      </w:tr>
      <w:tr w:rsidR="00380AFB" w14:paraId="23809606" w14:textId="77777777">
        <w:trPr>
          <w:trHeight w:val="1234"/>
          <w:jc w:val="center"/>
        </w:trPr>
        <w:tc>
          <w:tcPr>
            <w:tcW w:w="1100" w:type="dxa"/>
            <w:shd w:val="clear" w:color="auto" w:fill="auto"/>
            <w:vAlign w:val="center"/>
          </w:tcPr>
          <w:p w14:paraId="66FAEF35" w14:textId="77777777" w:rsidR="00380AFB" w:rsidRDefault="00380AFB">
            <w:pPr>
              <w:spacing w:line="276" w:lineRule="auto"/>
              <w:contextualSpacing/>
              <w:jc w:val="center"/>
              <w:rPr>
                <w:rFonts w:ascii="Bookman Old Style" w:hAnsi="Bookman Old Style" w:cs="Arial"/>
                <w:sz w:val="19"/>
                <w:szCs w:val="19"/>
              </w:rPr>
            </w:pPr>
          </w:p>
        </w:tc>
        <w:tc>
          <w:tcPr>
            <w:tcW w:w="1972" w:type="dxa"/>
            <w:shd w:val="clear" w:color="auto" w:fill="auto"/>
            <w:vAlign w:val="center"/>
          </w:tcPr>
          <w:p w14:paraId="43B7C38F" w14:textId="77777777" w:rsidR="00380AFB" w:rsidRDefault="00380AFB">
            <w:pPr>
              <w:spacing w:line="276" w:lineRule="auto"/>
              <w:contextualSpacing/>
              <w:jc w:val="both"/>
              <w:rPr>
                <w:rFonts w:ascii="Bookman Old Style" w:hAnsi="Bookman Old Style" w:cs="Arial"/>
                <w:sz w:val="19"/>
                <w:szCs w:val="19"/>
              </w:rPr>
            </w:pPr>
          </w:p>
        </w:tc>
        <w:tc>
          <w:tcPr>
            <w:tcW w:w="850" w:type="dxa"/>
          </w:tcPr>
          <w:p w14:paraId="7BD60FB9" w14:textId="77777777" w:rsidR="00380AFB" w:rsidRDefault="00380AFB">
            <w:pPr>
              <w:spacing w:line="276" w:lineRule="auto"/>
              <w:contextualSpacing/>
              <w:jc w:val="center"/>
              <w:rPr>
                <w:rFonts w:ascii="Bookman Old Style" w:hAnsi="Bookman Old Style" w:cs="Arial"/>
                <w:color w:val="000000" w:themeColor="text1"/>
                <w:sz w:val="19"/>
                <w:szCs w:val="19"/>
              </w:rPr>
            </w:pPr>
          </w:p>
        </w:tc>
        <w:tc>
          <w:tcPr>
            <w:tcW w:w="1085" w:type="dxa"/>
          </w:tcPr>
          <w:p w14:paraId="5E26370C" w14:textId="77777777" w:rsidR="00380AFB" w:rsidRDefault="00380AFB">
            <w:pPr>
              <w:spacing w:line="276" w:lineRule="auto"/>
              <w:contextualSpacing/>
              <w:jc w:val="center"/>
              <w:rPr>
                <w:rFonts w:ascii="Bookman Old Style" w:hAnsi="Bookman Old Style" w:cs="Arial"/>
                <w:color w:val="FF0000"/>
                <w:sz w:val="19"/>
                <w:szCs w:val="19"/>
              </w:rPr>
            </w:pPr>
          </w:p>
        </w:tc>
        <w:tc>
          <w:tcPr>
            <w:tcW w:w="1085" w:type="dxa"/>
            <w:vAlign w:val="center"/>
          </w:tcPr>
          <w:p w14:paraId="7B1AB786" w14:textId="77777777" w:rsidR="00380AFB" w:rsidRDefault="00380AFB">
            <w:pPr>
              <w:spacing w:line="276" w:lineRule="auto"/>
              <w:contextualSpacing/>
              <w:jc w:val="center"/>
              <w:rPr>
                <w:rFonts w:ascii="Bookman Old Style" w:hAnsi="Bookman Old Style" w:cs="Arial"/>
                <w:color w:val="FF0000"/>
                <w:sz w:val="19"/>
                <w:szCs w:val="19"/>
              </w:rPr>
            </w:pPr>
          </w:p>
        </w:tc>
        <w:tc>
          <w:tcPr>
            <w:tcW w:w="1467" w:type="dxa"/>
            <w:shd w:val="clear" w:color="auto" w:fill="auto"/>
            <w:vAlign w:val="center"/>
          </w:tcPr>
          <w:p w14:paraId="4AFF8CA9" w14:textId="77777777" w:rsidR="00380AFB" w:rsidRDefault="00380AFB">
            <w:pPr>
              <w:spacing w:line="276" w:lineRule="auto"/>
              <w:contextualSpacing/>
              <w:jc w:val="center"/>
              <w:rPr>
                <w:rFonts w:ascii="Bookman Old Style" w:hAnsi="Bookman Old Style" w:cs="Arial"/>
                <w:color w:val="FF0000"/>
                <w:sz w:val="19"/>
                <w:szCs w:val="19"/>
              </w:rPr>
            </w:pPr>
          </w:p>
        </w:tc>
        <w:tc>
          <w:tcPr>
            <w:tcW w:w="1725" w:type="dxa"/>
          </w:tcPr>
          <w:p w14:paraId="48C40856" w14:textId="77777777" w:rsidR="00380AFB" w:rsidRDefault="00380AFB">
            <w:pPr>
              <w:spacing w:line="276" w:lineRule="auto"/>
              <w:contextualSpacing/>
              <w:jc w:val="center"/>
              <w:rPr>
                <w:rFonts w:ascii="Bookman Old Style" w:hAnsi="Bookman Old Style" w:cs="Arial"/>
                <w:sz w:val="19"/>
                <w:szCs w:val="19"/>
              </w:rPr>
            </w:pPr>
          </w:p>
        </w:tc>
      </w:tr>
    </w:tbl>
    <w:p w14:paraId="1708224C" w14:textId="77777777" w:rsidR="00380AFB" w:rsidRDefault="00380AFB">
      <w:pPr>
        <w:spacing w:line="276" w:lineRule="auto"/>
        <w:contextualSpacing/>
        <w:jc w:val="both"/>
        <w:rPr>
          <w:rFonts w:ascii="Bookman Old Style" w:eastAsia="Calibri" w:hAnsi="Bookman Old Style" w:cs="Times New Roman"/>
          <w:bCs/>
          <w:sz w:val="19"/>
          <w:szCs w:val="19"/>
        </w:rPr>
      </w:pPr>
    </w:p>
    <w:p w14:paraId="2E18875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ao Municípios ou aos demais órgãos participantes da ARP.</w:t>
      </w:r>
    </w:p>
    <w:p w14:paraId="7E0CE440" w14:textId="77777777" w:rsidR="00380AFB" w:rsidRDefault="00380AFB">
      <w:pPr>
        <w:spacing w:line="276" w:lineRule="auto"/>
        <w:contextualSpacing/>
        <w:jc w:val="both"/>
        <w:rPr>
          <w:rFonts w:ascii="Bookman Old Style" w:eastAsia="Calibri" w:hAnsi="Bookman Old Style" w:cs="Times New Roman"/>
          <w:bCs/>
          <w:sz w:val="19"/>
          <w:szCs w:val="19"/>
        </w:rPr>
      </w:pPr>
    </w:p>
    <w:p w14:paraId="4F9D6EA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Declaramos ainda, que: </w:t>
      </w:r>
    </w:p>
    <w:p w14:paraId="65ABAD66" w14:textId="77777777" w:rsidR="00380AFB" w:rsidRDefault="00380AFB">
      <w:pPr>
        <w:spacing w:line="276" w:lineRule="auto"/>
        <w:contextualSpacing/>
        <w:jc w:val="both"/>
        <w:rPr>
          <w:rFonts w:ascii="Bookman Old Style" w:eastAsia="Calibri" w:hAnsi="Bookman Old Style" w:cs="Times New Roman"/>
          <w:bCs/>
          <w:sz w:val="19"/>
          <w:szCs w:val="19"/>
        </w:rPr>
      </w:pPr>
    </w:p>
    <w:p w14:paraId="062817F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Recebemos da Administração todas as informações necessárias à elaboração da nossa proposta. </w:t>
      </w:r>
    </w:p>
    <w:p w14:paraId="4B2D415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Estamos cientes dos critérios de pagamento especificados no edital, com eles concordamos plenamente. </w:t>
      </w:r>
    </w:p>
    <w:p w14:paraId="223181A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Caso nos seja adjudicado o objeto, nos obrigamos a assinar a ata de registro de preços dentro do prazo estabelecido, a contar da data de notificação do Município, bem como atender a todas as condições prévias a sua assinatura, sob pena das sanções cabíveis. </w:t>
      </w:r>
    </w:p>
    <w:p w14:paraId="60488B1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 Declaramos que a presente proposta tem validade de 60 (sessenta) dias a contar da data de sua apresentação. </w:t>
      </w:r>
    </w:p>
    <w:p w14:paraId="5A0D9307" w14:textId="77777777" w:rsidR="00380AFB" w:rsidRDefault="00380AFB">
      <w:pPr>
        <w:spacing w:line="276" w:lineRule="auto"/>
        <w:contextualSpacing/>
        <w:jc w:val="both"/>
        <w:rPr>
          <w:rFonts w:ascii="Bookman Old Style" w:eastAsia="Calibri" w:hAnsi="Bookman Old Style" w:cs="Times New Roman"/>
          <w:bCs/>
          <w:sz w:val="19"/>
          <w:szCs w:val="19"/>
        </w:rPr>
      </w:pPr>
    </w:p>
    <w:p w14:paraId="55CE55E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lastRenderedPageBreak/>
        <w:t>Informamos que a empresa mantém conta junto ao banco _ __ _ _ , Agência_ _ _ _ _ _ _ _ _ _ _ _ _ , conta _ .</w:t>
      </w:r>
    </w:p>
    <w:p w14:paraId="67C32B8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(local e data) </w:t>
      </w:r>
    </w:p>
    <w:p w14:paraId="4569D05B" w14:textId="77777777" w:rsidR="00380AFB" w:rsidRDefault="00380AFB">
      <w:pPr>
        <w:spacing w:line="276" w:lineRule="auto"/>
        <w:contextualSpacing/>
        <w:jc w:val="both"/>
        <w:rPr>
          <w:rFonts w:ascii="Bookman Old Style" w:eastAsia="Calibri" w:hAnsi="Bookman Old Style" w:cs="Times New Roman"/>
          <w:bCs/>
          <w:sz w:val="19"/>
          <w:szCs w:val="19"/>
        </w:rPr>
      </w:pPr>
    </w:p>
    <w:p w14:paraId="076B05A2" w14:textId="77777777" w:rsidR="00380AFB" w:rsidRDefault="00000000">
      <w:pPr>
        <w:spacing w:line="276" w:lineRule="auto"/>
        <w:contextualSpacing/>
        <w:jc w:val="center"/>
        <w:rPr>
          <w:rFonts w:ascii="Bookman Old Style" w:eastAsia="Calibri" w:hAnsi="Bookman Old Style" w:cs="Times New Roman"/>
          <w:bCs/>
          <w:sz w:val="19"/>
          <w:szCs w:val="19"/>
        </w:rPr>
      </w:pPr>
      <w:r>
        <w:rPr>
          <w:rFonts w:ascii="Bookman Old Style" w:eastAsia="Calibri" w:hAnsi="Bookman Old Style" w:cs="Times New Roman"/>
          <w:bCs/>
          <w:sz w:val="19"/>
          <w:szCs w:val="19"/>
        </w:rPr>
        <w:t>............................................................</w:t>
      </w:r>
    </w:p>
    <w:p w14:paraId="2FC3D1C6" w14:textId="77777777" w:rsidR="00380AFB" w:rsidRDefault="00000000">
      <w:pPr>
        <w:spacing w:line="276" w:lineRule="auto"/>
        <w:contextualSpacing/>
        <w:jc w:val="center"/>
        <w:rPr>
          <w:rFonts w:ascii="Bookman Old Style" w:eastAsia="Calibri" w:hAnsi="Bookman Old Style" w:cs="Times New Roman"/>
          <w:bCs/>
          <w:sz w:val="19"/>
          <w:szCs w:val="19"/>
        </w:rPr>
      </w:pPr>
      <w:r>
        <w:rPr>
          <w:rFonts w:ascii="Bookman Old Style" w:eastAsia="Calibri" w:hAnsi="Bookman Old Style" w:cs="Times New Roman"/>
          <w:bCs/>
          <w:sz w:val="19"/>
          <w:szCs w:val="19"/>
        </w:rPr>
        <w:t>Assinatura, qualificação e carimbo (representante legal)</w:t>
      </w:r>
    </w:p>
    <w:p w14:paraId="06535C12" w14:textId="77777777" w:rsidR="00380AFB" w:rsidRDefault="00380AFB">
      <w:pPr>
        <w:spacing w:line="276" w:lineRule="auto"/>
        <w:contextualSpacing/>
        <w:jc w:val="center"/>
        <w:rPr>
          <w:rFonts w:ascii="Bookman Old Style" w:eastAsia="Calibri" w:hAnsi="Bookman Old Style" w:cs="Times New Roman"/>
          <w:bCs/>
          <w:i/>
          <w:color w:val="FF0000"/>
          <w:sz w:val="19"/>
          <w:szCs w:val="19"/>
        </w:rPr>
      </w:pPr>
    </w:p>
    <w:p w14:paraId="46FFC86D" w14:textId="77777777" w:rsidR="00380AFB" w:rsidRDefault="00000000">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A proposta deverá ser emitida preferencialmente em papel timbrado da licitante, de forma que identifique a proponente.</w:t>
      </w:r>
    </w:p>
    <w:p w14:paraId="5DB8C5AD" w14:textId="77777777" w:rsidR="00380AFB" w:rsidRDefault="00000000">
      <w:pPr>
        <w:spacing w:line="276" w:lineRule="auto"/>
        <w:contextualSpacing/>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br w:type="page"/>
      </w:r>
    </w:p>
    <w:p w14:paraId="14847403" w14:textId="77777777" w:rsidR="00380AFB" w:rsidRDefault="00380AFB">
      <w:pPr>
        <w:spacing w:line="276" w:lineRule="auto"/>
        <w:contextualSpacing/>
        <w:jc w:val="center"/>
        <w:rPr>
          <w:rFonts w:ascii="Bookman Old Style" w:eastAsia="Calibri" w:hAnsi="Bookman Old Style" w:cs="Times New Roman"/>
          <w:b/>
          <w:bCs/>
          <w:sz w:val="19"/>
          <w:szCs w:val="19"/>
          <w:u w:val="single"/>
        </w:rPr>
      </w:pPr>
    </w:p>
    <w:p w14:paraId="38635BBA" w14:textId="77777777" w:rsidR="00380AFB" w:rsidRDefault="00000000">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t>ANEXO V – MODELO DE DECLARAÇÃO DE OPÇÃO PELO SIMPLES NACIONAL</w:t>
      </w:r>
    </w:p>
    <w:p w14:paraId="56C2B0BB" w14:textId="77777777" w:rsidR="00380AFB" w:rsidRDefault="00380AFB">
      <w:pPr>
        <w:spacing w:after="0" w:line="276" w:lineRule="auto"/>
        <w:contextualSpacing/>
        <w:jc w:val="center"/>
        <w:rPr>
          <w:rFonts w:ascii="Bookman Old Style" w:eastAsia="Calibri" w:hAnsi="Bookman Old Style" w:cs="Times New Roman"/>
          <w:b/>
          <w:bCs/>
          <w:sz w:val="19"/>
          <w:szCs w:val="19"/>
          <w:u w:val="single"/>
        </w:rPr>
      </w:pPr>
    </w:p>
    <w:p w14:paraId="0602DEB0" w14:textId="77777777" w:rsidR="00380AFB" w:rsidRDefault="00000000">
      <w:pPr>
        <w:spacing w:after="0"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Ref.: PROCESSO LICITATÓRIO Nº 120/2025</w:t>
      </w:r>
    </w:p>
    <w:p w14:paraId="3725B6DE" w14:textId="77777777" w:rsidR="00380AFB" w:rsidRDefault="00000000">
      <w:pPr>
        <w:spacing w:after="0" w:line="276" w:lineRule="auto"/>
        <w:contextualSpacing/>
        <w:jc w:val="both"/>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 xml:space="preserve">MODALIDADE: PREGÃO ELETRÔNICO Nº 21/2025 </w:t>
      </w:r>
    </w:p>
    <w:p w14:paraId="3CE52D94" w14:textId="77777777" w:rsidR="00380AFB" w:rsidRDefault="00380AFB">
      <w:pPr>
        <w:spacing w:line="276" w:lineRule="auto"/>
        <w:contextualSpacing/>
        <w:jc w:val="both"/>
        <w:rPr>
          <w:rFonts w:ascii="Bookman Old Style" w:eastAsia="Calibri" w:hAnsi="Bookman Old Style" w:cs="Times New Roman"/>
          <w:b/>
          <w:bCs/>
          <w:color w:val="000000" w:themeColor="text1"/>
          <w:sz w:val="19"/>
          <w:szCs w:val="19"/>
        </w:rPr>
      </w:pPr>
    </w:p>
    <w:p w14:paraId="3F1252D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OBJETO:</w:t>
      </w:r>
      <w:r>
        <w:rPr>
          <w:rFonts w:ascii="Bookman Old Style" w:eastAsia="Calibri" w:hAnsi="Bookman Old Style" w:cs="Times New Roman"/>
          <w:bCs/>
          <w:sz w:val="19"/>
          <w:szCs w:val="19"/>
        </w:rPr>
        <w:t xml:space="preserve"> </w:t>
      </w:r>
      <w:r>
        <w:rPr>
          <w:rFonts w:ascii="Bookman Old Style" w:hAnsi="Bookman Old Style" w:cs="Times New Roman"/>
          <w:bCs/>
          <w:sz w:val="19"/>
          <w:szCs w:val="19"/>
        </w:rPr>
        <w:t>Registro de Preços para</w:t>
      </w:r>
      <w:r>
        <w:rPr>
          <w:rFonts w:ascii="Bookman Old Style" w:hAnsi="Bookman Old Style" w:cs="Times New Roman"/>
          <w:b/>
          <w:bCs/>
          <w:sz w:val="19"/>
          <w:szCs w:val="19"/>
        </w:rPr>
        <w:t xml:space="preserve"> </w:t>
      </w:r>
      <w:r>
        <w:rPr>
          <w:rFonts w:ascii="Bookman Old Style" w:hAnsi="Bookman Old Style" w:cs="Times New Roman"/>
          <w:bCs/>
          <w:sz w:val="19"/>
          <w:szCs w:val="19"/>
        </w:rPr>
        <w:t>aquisição de cartucho e toner para atendimento das demandas da Secretaria Municipal de Governo do Município de Maravilhas/MG, conforme especificações constantes do Termo de Referência- Anexo I.</w:t>
      </w:r>
    </w:p>
    <w:p w14:paraId="3D0003C7" w14:textId="77777777" w:rsidR="00380AFB" w:rsidRDefault="00380AFB">
      <w:pPr>
        <w:spacing w:line="276" w:lineRule="auto"/>
        <w:contextualSpacing/>
        <w:jc w:val="both"/>
        <w:rPr>
          <w:rFonts w:ascii="Bookman Old Style" w:eastAsia="Calibri" w:hAnsi="Bookman Old Style" w:cs="Times New Roman"/>
          <w:bCs/>
          <w:sz w:val="19"/>
          <w:szCs w:val="19"/>
        </w:rPr>
      </w:pPr>
    </w:p>
    <w:p w14:paraId="449DB9B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 empresa _____________________, inscrita seu no CNPJ/CPF sob o nº __________________, por intermédio de seu representante legal Sr.(a) ________________, portador do Documento de Identidade nº ____________, inscrito no CPF sob o nº ____________, DECLARA, sob as penas da Lei, que é optante do “SIMPLES NACIONAL”,</w:t>
      </w:r>
    </w:p>
    <w:p w14:paraId="71E99151" w14:textId="77777777" w:rsidR="00380AFB" w:rsidRDefault="00380AFB">
      <w:pPr>
        <w:spacing w:line="276" w:lineRule="auto"/>
        <w:contextualSpacing/>
        <w:jc w:val="both"/>
        <w:rPr>
          <w:rFonts w:ascii="Bookman Old Style" w:eastAsia="Calibri" w:hAnsi="Bookman Old Style" w:cs="Times New Roman"/>
          <w:bCs/>
          <w:sz w:val="19"/>
          <w:szCs w:val="19"/>
        </w:rPr>
      </w:pPr>
    </w:p>
    <w:p w14:paraId="2878BE5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_______________________, ___________ de _____________ de 2025.</w:t>
      </w:r>
    </w:p>
    <w:p w14:paraId="3B2B21CB" w14:textId="77777777" w:rsidR="00380AFB" w:rsidRDefault="00380AFB">
      <w:pPr>
        <w:spacing w:line="276" w:lineRule="auto"/>
        <w:contextualSpacing/>
        <w:jc w:val="both"/>
        <w:rPr>
          <w:rFonts w:ascii="Bookman Old Style" w:eastAsia="Calibri" w:hAnsi="Bookman Old Style" w:cs="Times New Roman"/>
          <w:bCs/>
          <w:sz w:val="19"/>
          <w:szCs w:val="19"/>
        </w:rPr>
      </w:pPr>
    </w:p>
    <w:p w14:paraId="00BC2AD6" w14:textId="77777777" w:rsidR="00380AFB" w:rsidRDefault="00380AFB">
      <w:pPr>
        <w:spacing w:line="276" w:lineRule="auto"/>
        <w:contextualSpacing/>
        <w:jc w:val="both"/>
        <w:rPr>
          <w:rFonts w:ascii="Bookman Old Style" w:eastAsia="Calibri" w:hAnsi="Bookman Old Style" w:cs="Times New Roman"/>
          <w:bCs/>
          <w:sz w:val="19"/>
          <w:szCs w:val="19"/>
        </w:rPr>
      </w:pPr>
    </w:p>
    <w:p w14:paraId="4DC40F2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(Assinatura do representante legal)</w:t>
      </w:r>
    </w:p>
    <w:p w14:paraId="7586734E" w14:textId="77777777" w:rsidR="00380AFB" w:rsidRDefault="00380AFB">
      <w:pPr>
        <w:spacing w:line="276" w:lineRule="auto"/>
        <w:contextualSpacing/>
        <w:jc w:val="both"/>
        <w:rPr>
          <w:rFonts w:ascii="Bookman Old Style" w:eastAsia="Calibri" w:hAnsi="Bookman Old Style" w:cs="Times New Roman"/>
          <w:bCs/>
          <w:i/>
          <w:color w:val="FF0000"/>
          <w:sz w:val="19"/>
          <w:szCs w:val="19"/>
        </w:rPr>
      </w:pPr>
    </w:p>
    <w:p w14:paraId="420273B8" w14:textId="77777777" w:rsidR="00380AFB" w:rsidRDefault="00000000">
      <w:pPr>
        <w:spacing w:line="276" w:lineRule="auto"/>
        <w:contextualSpacing/>
        <w:jc w:val="both"/>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t>Declaração a ser emitida preferencialmente em papel timbrado da licitante, de forma que identifique a proponente.</w:t>
      </w:r>
    </w:p>
    <w:p w14:paraId="731E2166" w14:textId="77777777" w:rsidR="00380AFB" w:rsidRDefault="00000000">
      <w:pPr>
        <w:spacing w:line="276" w:lineRule="auto"/>
        <w:contextualSpacing/>
        <w:rPr>
          <w:rFonts w:ascii="Bookman Old Style" w:eastAsia="Calibri" w:hAnsi="Bookman Old Style" w:cs="Times New Roman"/>
          <w:bCs/>
          <w:i/>
          <w:color w:val="FF0000"/>
          <w:sz w:val="19"/>
          <w:szCs w:val="19"/>
        </w:rPr>
      </w:pPr>
      <w:r>
        <w:rPr>
          <w:rFonts w:ascii="Bookman Old Style" w:eastAsia="Calibri" w:hAnsi="Bookman Old Style" w:cs="Times New Roman"/>
          <w:bCs/>
          <w:i/>
          <w:color w:val="FF0000"/>
          <w:sz w:val="19"/>
          <w:szCs w:val="19"/>
        </w:rPr>
        <w:br w:type="page"/>
      </w:r>
    </w:p>
    <w:p w14:paraId="65F431CD" w14:textId="77777777" w:rsidR="00380AFB" w:rsidRDefault="00000000">
      <w:pPr>
        <w:spacing w:line="276" w:lineRule="auto"/>
        <w:contextualSpacing/>
        <w:jc w:val="center"/>
        <w:rPr>
          <w:rFonts w:ascii="Bookman Old Style" w:eastAsia="Calibri" w:hAnsi="Bookman Old Style" w:cs="Times New Roman"/>
          <w:b/>
          <w:bCs/>
          <w:sz w:val="19"/>
          <w:szCs w:val="19"/>
          <w:u w:val="single"/>
        </w:rPr>
      </w:pPr>
      <w:r>
        <w:rPr>
          <w:rFonts w:ascii="Bookman Old Style" w:eastAsia="Calibri" w:hAnsi="Bookman Old Style" w:cs="Times New Roman"/>
          <w:b/>
          <w:bCs/>
          <w:sz w:val="19"/>
          <w:szCs w:val="19"/>
          <w:u w:val="single"/>
        </w:rPr>
        <w:lastRenderedPageBreak/>
        <w:t>ANEXO VI – MINUTA DA ATA DE REGISTRO DE PREÇOS</w:t>
      </w:r>
    </w:p>
    <w:p w14:paraId="6427671A" w14:textId="77777777" w:rsidR="00380AFB" w:rsidRDefault="00380AFB">
      <w:pPr>
        <w:spacing w:line="276" w:lineRule="auto"/>
        <w:contextualSpacing/>
        <w:jc w:val="both"/>
        <w:rPr>
          <w:rFonts w:ascii="Bookman Old Style" w:eastAsia="Calibri" w:hAnsi="Bookman Old Style" w:cs="Times New Roman"/>
          <w:b/>
          <w:bCs/>
          <w:color w:val="FF0000"/>
          <w:sz w:val="19"/>
          <w:szCs w:val="19"/>
        </w:rPr>
      </w:pPr>
    </w:p>
    <w:p w14:paraId="56AB4449" w14:textId="77777777" w:rsidR="00380AFB" w:rsidRDefault="00000000">
      <w:pPr>
        <w:spacing w:line="276" w:lineRule="auto"/>
        <w:contextualSpacing/>
        <w:jc w:val="center"/>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PROCESSO LICITATÓRIO Nº 120/2025</w:t>
      </w:r>
    </w:p>
    <w:p w14:paraId="03677752" w14:textId="77777777" w:rsidR="00380AFB" w:rsidRDefault="00000000">
      <w:pPr>
        <w:spacing w:line="276" w:lineRule="auto"/>
        <w:contextualSpacing/>
        <w:jc w:val="center"/>
        <w:rPr>
          <w:rFonts w:ascii="Bookman Old Style" w:eastAsia="Calibri" w:hAnsi="Bookman Old Style" w:cs="Times New Roman"/>
          <w:b/>
          <w:bCs/>
          <w:color w:val="000000" w:themeColor="text1"/>
          <w:sz w:val="19"/>
          <w:szCs w:val="19"/>
        </w:rPr>
      </w:pPr>
      <w:r>
        <w:rPr>
          <w:rFonts w:ascii="Bookman Old Style" w:eastAsia="Calibri" w:hAnsi="Bookman Old Style" w:cs="Times New Roman"/>
          <w:b/>
          <w:bCs/>
          <w:color w:val="000000" w:themeColor="text1"/>
          <w:sz w:val="19"/>
          <w:szCs w:val="19"/>
        </w:rPr>
        <w:t>MODALIDADE: PREGÃO ELETRÔNICO Nº 21/2025</w:t>
      </w:r>
    </w:p>
    <w:p w14:paraId="33592D40" w14:textId="77777777" w:rsidR="00380AFB" w:rsidRDefault="00380AFB">
      <w:pPr>
        <w:spacing w:line="276" w:lineRule="auto"/>
        <w:contextualSpacing/>
        <w:jc w:val="both"/>
        <w:rPr>
          <w:rFonts w:ascii="Bookman Old Style" w:eastAsia="Calibri" w:hAnsi="Bookman Old Style" w:cs="Times New Roman"/>
          <w:bCs/>
          <w:sz w:val="19"/>
          <w:szCs w:val="19"/>
        </w:rPr>
      </w:pPr>
    </w:p>
    <w:p w14:paraId="7F29CD62" w14:textId="2CFB13F4"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sz w:val="19"/>
          <w:szCs w:val="19"/>
        </w:rPr>
        <w:t xml:space="preserve">O </w:t>
      </w:r>
      <w:r>
        <w:rPr>
          <w:rFonts w:ascii="Bookman Old Style" w:eastAsia="Calibri" w:hAnsi="Bookman Old Style" w:cs="Times New Roman"/>
          <w:b/>
          <w:sz w:val="19"/>
          <w:szCs w:val="19"/>
        </w:rPr>
        <w:t>MUNICÍPIO DE MARAVILHAS/MG</w:t>
      </w:r>
      <w:r>
        <w:rPr>
          <w:rFonts w:ascii="Bookman Old Style" w:eastAsia="Calibri" w:hAnsi="Bookman Old Style" w:cs="Times New Roman"/>
          <w:sz w:val="19"/>
          <w:szCs w:val="19"/>
        </w:rPr>
        <w:t xml:space="preserve">, com endereço na Avenida Brasil, n° 33, Centro, CEP 35.666-000, inscrito no CNPJ sob o n° 18.313.841/0001-14, neste ato, representado por seu Prefeito Municipal, Senhor </w:t>
      </w:r>
      <w:r>
        <w:rPr>
          <w:rFonts w:ascii="Bookman Old Style" w:eastAsia="Calibri" w:hAnsi="Bookman Old Style" w:cs="Times New Roman"/>
          <w:b/>
          <w:sz w:val="19"/>
          <w:szCs w:val="19"/>
        </w:rPr>
        <w:t>José Bonaparte Vasconcelos Fonseca</w:t>
      </w:r>
      <w:r>
        <w:rPr>
          <w:rFonts w:ascii="Bookman Old Style" w:eastAsia="Calibri" w:hAnsi="Bookman Old Style" w:cs="Times New Roman"/>
          <w:sz w:val="19"/>
          <w:szCs w:val="19"/>
        </w:rPr>
        <w:t>, considerando o julgamento da licitação na modalidade de pregão, na forma eletrônica para</w:t>
      </w:r>
      <w:r>
        <w:rPr>
          <w:rFonts w:ascii="Bookman Old Style" w:eastAsia="Calibri" w:hAnsi="Bookman Old Style" w:cs="Times New Roman"/>
          <w:color w:val="000000" w:themeColor="text1"/>
          <w:sz w:val="19"/>
          <w:szCs w:val="19"/>
        </w:rPr>
        <w:t xml:space="preserve"> o processo licitatório n° 120/2025</w:t>
      </w:r>
      <w:r>
        <w:rPr>
          <w:rFonts w:ascii="Bookman Old Style" w:eastAsia="Calibri" w:hAnsi="Bookman Old Style" w:cs="Times New Roman"/>
          <w:sz w:val="19"/>
          <w:szCs w:val="19"/>
        </w:rPr>
        <w:t xml:space="preserve">, RESOLVE registrar os preços da empresa indicada e qualificada (s) nesta ATA, de acordo com a classificação por ela alcançada, atendendo as condições previstas no Edital de Licitação, sujeitando-se as partes às normas constantes na Lei n° 14.133, de 1° de abril de 2021 e </w:t>
      </w:r>
      <w:r w:rsidRPr="00EF46F5">
        <w:rPr>
          <w:rFonts w:ascii="Bookman Old Style" w:eastAsia="Calibri" w:hAnsi="Bookman Old Style" w:cs="Times New Roman"/>
          <w:color w:val="000000" w:themeColor="text1"/>
          <w:sz w:val="19"/>
          <w:szCs w:val="19"/>
        </w:rPr>
        <w:t xml:space="preserve">Portaria Municipal </w:t>
      </w:r>
      <w:r w:rsidR="00EF46F5">
        <w:rPr>
          <w:rFonts w:ascii="Bookman Old Style" w:eastAsia="Calibri" w:hAnsi="Bookman Old Style" w:cs="Times New Roman"/>
          <w:color w:val="000000" w:themeColor="text1"/>
          <w:sz w:val="19"/>
          <w:szCs w:val="19"/>
        </w:rPr>
        <w:t>285</w:t>
      </w:r>
      <w:r>
        <w:rPr>
          <w:rFonts w:ascii="Bookman Old Style" w:eastAsia="Calibri" w:hAnsi="Bookman Old Style" w:cs="Times New Roman"/>
          <w:color w:val="FF0000"/>
          <w:sz w:val="19"/>
          <w:szCs w:val="19"/>
        </w:rPr>
        <w:t xml:space="preserve"> </w:t>
      </w:r>
      <w:r>
        <w:rPr>
          <w:rFonts w:ascii="Bookman Old Style" w:eastAsia="Calibri" w:hAnsi="Bookman Old Style" w:cs="Times New Roman"/>
          <w:sz w:val="19"/>
          <w:szCs w:val="19"/>
        </w:rPr>
        <w:t xml:space="preserve">e em conformidade com as disposições </w:t>
      </w:r>
      <w:r>
        <w:rPr>
          <w:rFonts w:ascii="Bookman Old Style" w:eastAsia="Calibri" w:hAnsi="Bookman Old Style" w:cs="Times New Roman"/>
          <w:bCs/>
          <w:sz w:val="19"/>
          <w:szCs w:val="19"/>
        </w:rPr>
        <w:t xml:space="preserve">a seguir: </w:t>
      </w:r>
    </w:p>
    <w:p w14:paraId="01B92057" w14:textId="77777777" w:rsidR="00380AFB" w:rsidRDefault="00380AFB">
      <w:pPr>
        <w:spacing w:line="276" w:lineRule="auto"/>
        <w:contextualSpacing/>
        <w:jc w:val="both"/>
        <w:rPr>
          <w:rFonts w:ascii="Bookman Old Style" w:eastAsia="Calibri" w:hAnsi="Bookman Old Style" w:cs="Times New Roman"/>
          <w:bCs/>
          <w:sz w:val="19"/>
          <w:szCs w:val="19"/>
        </w:rPr>
      </w:pPr>
    </w:p>
    <w:p w14:paraId="361A6746"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1. DO OBJETO </w:t>
      </w:r>
    </w:p>
    <w:p w14:paraId="2DF8AEB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1.1. </w:t>
      </w:r>
      <w:r>
        <w:rPr>
          <w:rFonts w:ascii="Bookman Old Style" w:eastAsia="Calibri" w:hAnsi="Bookman Old Style" w:cs="Times New Roman"/>
          <w:bCs/>
          <w:sz w:val="19"/>
          <w:szCs w:val="19"/>
        </w:rPr>
        <w:t xml:space="preserve">A presente Ata tem por objeto o </w:t>
      </w:r>
      <w:r>
        <w:rPr>
          <w:rFonts w:ascii="Bookman Old Style" w:hAnsi="Bookman Old Style" w:cs="Times New Roman"/>
          <w:bCs/>
          <w:sz w:val="19"/>
          <w:szCs w:val="19"/>
        </w:rPr>
        <w:t>registro de preços para</w:t>
      </w:r>
      <w:r>
        <w:rPr>
          <w:rFonts w:ascii="Bookman Old Style" w:hAnsi="Bookman Old Style" w:cs="Times New Roman"/>
          <w:b/>
          <w:bCs/>
          <w:sz w:val="19"/>
          <w:szCs w:val="19"/>
        </w:rPr>
        <w:t xml:space="preserve"> </w:t>
      </w:r>
      <w:r>
        <w:rPr>
          <w:rFonts w:ascii="Bookman Old Style" w:hAnsi="Bookman Old Style" w:cs="Times New Roman"/>
          <w:bCs/>
          <w:sz w:val="19"/>
          <w:szCs w:val="19"/>
        </w:rPr>
        <w:t>aquisição de cartucho e toner para atendimento das demandas da Secretaria Municipal de Governo do Município de Maravilhas/MG</w:t>
      </w:r>
      <w:r>
        <w:rPr>
          <w:rFonts w:ascii="Bookman Old Style" w:eastAsia="Calibri" w:hAnsi="Bookman Old Style" w:cs="Times New Roman"/>
          <w:bCs/>
          <w:sz w:val="19"/>
          <w:szCs w:val="19"/>
        </w:rPr>
        <w:t>, conforme especificações constantes do Termo de Referência- Anexo I.</w:t>
      </w:r>
    </w:p>
    <w:p w14:paraId="38537B7F" w14:textId="77777777" w:rsidR="00380AFB" w:rsidRDefault="00380AFB">
      <w:pPr>
        <w:spacing w:line="276" w:lineRule="auto"/>
        <w:contextualSpacing/>
        <w:jc w:val="both"/>
        <w:rPr>
          <w:rFonts w:ascii="Bookman Old Style" w:eastAsia="Calibri" w:hAnsi="Bookman Old Style" w:cs="Times New Roman"/>
          <w:bCs/>
          <w:sz w:val="19"/>
          <w:szCs w:val="19"/>
        </w:rPr>
      </w:pPr>
    </w:p>
    <w:p w14:paraId="75B588E1"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2. DOS PREÇOS, ESPECIFICAÇÕES E QUANTITATIVOS: </w:t>
      </w:r>
    </w:p>
    <w:p w14:paraId="5051267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 xml:space="preserve">2.1. </w:t>
      </w:r>
      <w:r>
        <w:rPr>
          <w:rFonts w:ascii="Bookman Old Style" w:eastAsia="Calibri" w:hAnsi="Bookman Old Style" w:cs="Times New Roman"/>
          <w:bCs/>
          <w:sz w:val="19"/>
          <w:szCs w:val="19"/>
        </w:rPr>
        <w:t xml:space="preserve">O preço registrado, as especificações do objeto, as quantidades de cada item, fornecedor(es) e as demais condições ofertadas na(s) proposta(s) são as que seguem: </w:t>
      </w:r>
    </w:p>
    <w:p w14:paraId="543D471F" w14:textId="77777777" w:rsidR="00380AFB" w:rsidRDefault="00380AFB">
      <w:pPr>
        <w:spacing w:after="0" w:line="276" w:lineRule="auto"/>
        <w:contextualSpacing/>
        <w:jc w:val="both"/>
        <w:rPr>
          <w:rFonts w:ascii="Bookman Old Style" w:eastAsia="Calibri" w:hAnsi="Bookman Old Style" w:cs="Times New Roman"/>
          <w:bCs/>
          <w:sz w:val="19"/>
          <w:szCs w:val="19"/>
        </w:rPr>
      </w:pPr>
    </w:p>
    <w:p w14:paraId="4DDE4A53" w14:textId="77777777" w:rsidR="00380AFB" w:rsidRDefault="00000000">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Fornecedor: </w:t>
      </w:r>
    </w:p>
    <w:p w14:paraId="63D638BA" w14:textId="77777777" w:rsidR="00380AFB" w:rsidRDefault="00000000">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CNPJ/MF: </w:t>
      </w:r>
    </w:p>
    <w:p w14:paraId="2C4B2AF6" w14:textId="77777777" w:rsidR="00380AFB" w:rsidRDefault="00000000">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Endereço (com CEP): </w:t>
      </w:r>
    </w:p>
    <w:p w14:paraId="5ABBEEB7" w14:textId="77777777" w:rsidR="00380AFB" w:rsidRDefault="00000000">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Contatos: </w:t>
      </w:r>
    </w:p>
    <w:p w14:paraId="76C1CA07" w14:textId="77777777" w:rsidR="00380AFB" w:rsidRDefault="00000000">
      <w:pPr>
        <w:spacing w:after="0"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Responsável pela assinatura:</w:t>
      </w:r>
    </w:p>
    <w:p w14:paraId="03706FCC" w14:textId="77777777" w:rsidR="00380AFB" w:rsidRDefault="00380AFB">
      <w:pPr>
        <w:spacing w:after="0" w:line="276" w:lineRule="auto"/>
        <w:contextualSpacing/>
        <w:jc w:val="both"/>
        <w:rPr>
          <w:rFonts w:ascii="Bookman Old Style" w:eastAsia="Calibri" w:hAnsi="Bookman Old Style" w:cs="Times New Roman"/>
          <w:bCs/>
          <w:sz w:val="19"/>
          <w:szCs w:val="19"/>
        </w:rPr>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0"/>
        <w:gridCol w:w="2293"/>
        <w:gridCol w:w="850"/>
        <w:gridCol w:w="1085"/>
        <w:gridCol w:w="1085"/>
        <w:gridCol w:w="1467"/>
        <w:gridCol w:w="1725"/>
      </w:tblGrid>
      <w:tr w:rsidR="00380AFB" w14:paraId="77580F5B" w14:textId="77777777">
        <w:trPr>
          <w:trHeight w:val="722"/>
          <w:jc w:val="center"/>
        </w:trPr>
        <w:tc>
          <w:tcPr>
            <w:tcW w:w="1420" w:type="dxa"/>
            <w:shd w:val="clear" w:color="auto" w:fill="D9D9D9" w:themeFill="background1" w:themeFillShade="D9"/>
          </w:tcPr>
          <w:p w14:paraId="0B7DA554" w14:textId="77777777" w:rsidR="00380AFB" w:rsidRDefault="00380AFB">
            <w:pPr>
              <w:spacing w:line="276" w:lineRule="auto"/>
              <w:contextualSpacing/>
              <w:jc w:val="center"/>
              <w:rPr>
                <w:rFonts w:ascii="Bookman Old Style" w:hAnsi="Bookman Old Style" w:cs="Arial"/>
                <w:b/>
                <w:sz w:val="19"/>
                <w:szCs w:val="19"/>
              </w:rPr>
            </w:pPr>
          </w:p>
          <w:p w14:paraId="6E3C2E2D"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ITEM</w:t>
            </w:r>
          </w:p>
        </w:tc>
        <w:tc>
          <w:tcPr>
            <w:tcW w:w="2293" w:type="dxa"/>
            <w:shd w:val="clear" w:color="auto" w:fill="D9D9D9" w:themeFill="background1" w:themeFillShade="D9"/>
          </w:tcPr>
          <w:p w14:paraId="15C46A10" w14:textId="77777777" w:rsidR="00380AFB" w:rsidRDefault="00380AFB">
            <w:pPr>
              <w:spacing w:line="276" w:lineRule="auto"/>
              <w:contextualSpacing/>
              <w:jc w:val="center"/>
              <w:rPr>
                <w:rFonts w:ascii="Bookman Old Style" w:hAnsi="Bookman Old Style" w:cs="Arial"/>
                <w:b/>
                <w:sz w:val="19"/>
                <w:szCs w:val="19"/>
              </w:rPr>
            </w:pPr>
          </w:p>
          <w:p w14:paraId="2B25A914"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DESCRIÇÃO/</w:t>
            </w:r>
          </w:p>
          <w:p w14:paraId="5ED41FC2"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ESPEFICICAÇÃO</w:t>
            </w:r>
          </w:p>
        </w:tc>
        <w:tc>
          <w:tcPr>
            <w:tcW w:w="850" w:type="dxa"/>
            <w:shd w:val="clear" w:color="auto" w:fill="D9D9D9" w:themeFill="background1" w:themeFillShade="D9"/>
          </w:tcPr>
          <w:p w14:paraId="0AD337DC" w14:textId="77777777" w:rsidR="00380AFB" w:rsidRDefault="00380AFB">
            <w:pPr>
              <w:spacing w:line="276" w:lineRule="auto"/>
              <w:contextualSpacing/>
              <w:jc w:val="center"/>
              <w:rPr>
                <w:rFonts w:ascii="Bookman Old Style" w:hAnsi="Bookman Old Style" w:cs="Arial"/>
                <w:b/>
                <w:sz w:val="19"/>
                <w:szCs w:val="19"/>
              </w:rPr>
            </w:pPr>
          </w:p>
          <w:p w14:paraId="6412B95A" w14:textId="77777777" w:rsidR="00380AFB" w:rsidRDefault="00380AFB">
            <w:pPr>
              <w:spacing w:line="276" w:lineRule="auto"/>
              <w:contextualSpacing/>
              <w:jc w:val="center"/>
              <w:rPr>
                <w:rFonts w:ascii="Bookman Old Style" w:hAnsi="Bookman Old Style" w:cs="Arial"/>
                <w:b/>
                <w:sz w:val="19"/>
                <w:szCs w:val="19"/>
              </w:rPr>
            </w:pPr>
          </w:p>
          <w:p w14:paraId="3D5DA802" w14:textId="77777777" w:rsidR="00380AFB" w:rsidRDefault="00000000">
            <w:pPr>
              <w:spacing w:line="276" w:lineRule="auto"/>
              <w:contextualSpacing/>
              <w:jc w:val="center"/>
              <w:rPr>
                <w:rFonts w:ascii="Bookman Old Style" w:hAnsi="Bookman Old Style" w:cs="Arial"/>
                <w:sz w:val="19"/>
                <w:szCs w:val="19"/>
              </w:rPr>
            </w:pPr>
            <w:r>
              <w:rPr>
                <w:rFonts w:ascii="Bookman Old Style" w:hAnsi="Bookman Old Style" w:cs="Arial"/>
                <w:b/>
                <w:sz w:val="19"/>
                <w:szCs w:val="19"/>
              </w:rPr>
              <w:t>UNID.</w:t>
            </w:r>
          </w:p>
        </w:tc>
        <w:tc>
          <w:tcPr>
            <w:tcW w:w="1085" w:type="dxa"/>
            <w:shd w:val="clear" w:color="auto" w:fill="D9D9D9" w:themeFill="background1" w:themeFillShade="D9"/>
          </w:tcPr>
          <w:p w14:paraId="4D03274C"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MARCA</w:t>
            </w:r>
          </w:p>
        </w:tc>
        <w:tc>
          <w:tcPr>
            <w:tcW w:w="1085" w:type="dxa"/>
            <w:shd w:val="clear" w:color="auto" w:fill="D9D9D9" w:themeFill="background1" w:themeFillShade="D9"/>
          </w:tcPr>
          <w:p w14:paraId="0D076EE5"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QUANT.</w:t>
            </w:r>
          </w:p>
        </w:tc>
        <w:tc>
          <w:tcPr>
            <w:tcW w:w="1467" w:type="dxa"/>
            <w:shd w:val="clear" w:color="auto" w:fill="D9D9D9" w:themeFill="background1" w:themeFillShade="D9"/>
          </w:tcPr>
          <w:p w14:paraId="71360A53"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VALOR UNITÁRIO</w:t>
            </w:r>
          </w:p>
        </w:tc>
        <w:tc>
          <w:tcPr>
            <w:tcW w:w="1725" w:type="dxa"/>
            <w:shd w:val="clear" w:color="auto" w:fill="D9D9D9" w:themeFill="background1" w:themeFillShade="D9"/>
          </w:tcPr>
          <w:p w14:paraId="413708C4" w14:textId="77777777" w:rsidR="00380AFB" w:rsidRDefault="00000000">
            <w:pPr>
              <w:spacing w:line="276" w:lineRule="auto"/>
              <w:contextualSpacing/>
              <w:jc w:val="center"/>
              <w:rPr>
                <w:rFonts w:ascii="Bookman Old Style" w:hAnsi="Bookman Old Style" w:cs="Arial"/>
                <w:b/>
                <w:sz w:val="19"/>
                <w:szCs w:val="19"/>
              </w:rPr>
            </w:pPr>
            <w:r>
              <w:rPr>
                <w:rFonts w:ascii="Bookman Old Style" w:hAnsi="Bookman Old Style" w:cs="Arial"/>
                <w:b/>
                <w:sz w:val="19"/>
                <w:szCs w:val="19"/>
              </w:rPr>
              <w:t>VALOR TOTAL</w:t>
            </w:r>
          </w:p>
        </w:tc>
      </w:tr>
      <w:tr w:rsidR="00380AFB" w14:paraId="2AB17C84" w14:textId="77777777">
        <w:trPr>
          <w:trHeight w:val="1234"/>
          <w:jc w:val="center"/>
        </w:trPr>
        <w:tc>
          <w:tcPr>
            <w:tcW w:w="1420" w:type="dxa"/>
            <w:shd w:val="clear" w:color="auto" w:fill="auto"/>
            <w:vAlign w:val="center"/>
          </w:tcPr>
          <w:p w14:paraId="08521331" w14:textId="77777777" w:rsidR="00380AFB" w:rsidRDefault="00380AFB">
            <w:pPr>
              <w:spacing w:line="276" w:lineRule="auto"/>
              <w:contextualSpacing/>
              <w:jc w:val="center"/>
              <w:rPr>
                <w:rFonts w:ascii="Bookman Old Style" w:hAnsi="Bookman Old Style" w:cs="Arial"/>
                <w:sz w:val="19"/>
                <w:szCs w:val="19"/>
              </w:rPr>
            </w:pPr>
          </w:p>
        </w:tc>
        <w:tc>
          <w:tcPr>
            <w:tcW w:w="2293" w:type="dxa"/>
            <w:shd w:val="clear" w:color="auto" w:fill="auto"/>
            <w:vAlign w:val="center"/>
          </w:tcPr>
          <w:p w14:paraId="4FB6FF77" w14:textId="77777777" w:rsidR="00380AFB" w:rsidRDefault="00380AFB">
            <w:pPr>
              <w:spacing w:line="276" w:lineRule="auto"/>
              <w:contextualSpacing/>
              <w:jc w:val="both"/>
              <w:rPr>
                <w:rFonts w:ascii="Bookman Old Style" w:hAnsi="Bookman Old Style" w:cs="Arial"/>
                <w:sz w:val="19"/>
                <w:szCs w:val="19"/>
              </w:rPr>
            </w:pPr>
          </w:p>
        </w:tc>
        <w:tc>
          <w:tcPr>
            <w:tcW w:w="850" w:type="dxa"/>
          </w:tcPr>
          <w:p w14:paraId="3A7348B4" w14:textId="77777777" w:rsidR="00380AFB" w:rsidRDefault="00380AFB">
            <w:pPr>
              <w:spacing w:line="276" w:lineRule="auto"/>
              <w:contextualSpacing/>
              <w:jc w:val="center"/>
              <w:rPr>
                <w:rFonts w:ascii="Bookman Old Style" w:hAnsi="Bookman Old Style" w:cs="Arial"/>
                <w:color w:val="000000" w:themeColor="text1"/>
                <w:sz w:val="19"/>
                <w:szCs w:val="19"/>
              </w:rPr>
            </w:pPr>
          </w:p>
        </w:tc>
        <w:tc>
          <w:tcPr>
            <w:tcW w:w="1085" w:type="dxa"/>
          </w:tcPr>
          <w:p w14:paraId="73B8FE60" w14:textId="77777777" w:rsidR="00380AFB" w:rsidRDefault="00380AFB">
            <w:pPr>
              <w:spacing w:line="276" w:lineRule="auto"/>
              <w:contextualSpacing/>
              <w:jc w:val="center"/>
              <w:rPr>
                <w:rFonts w:ascii="Bookman Old Style" w:hAnsi="Bookman Old Style" w:cs="Arial"/>
                <w:color w:val="FF0000"/>
                <w:sz w:val="19"/>
                <w:szCs w:val="19"/>
              </w:rPr>
            </w:pPr>
          </w:p>
        </w:tc>
        <w:tc>
          <w:tcPr>
            <w:tcW w:w="1085" w:type="dxa"/>
            <w:vAlign w:val="center"/>
          </w:tcPr>
          <w:p w14:paraId="1B0392AD" w14:textId="77777777" w:rsidR="00380AFB" w:rsidRDefault="00380AFB">
            <w:pPr>
              <w:spacing w:line="276" w:lineRule="auto"/>
              <w:contextualSpacing/>
              <w:jc w:val="center"/>
              <w:rPr>
                <w:rFonts w:ascii="Bookman Old Style" w:hAnsi="Bookman Old Style" w:cs="Arial"/>
                <w:color w:val="FF0000"/>
                <w:sz w:val="19"/>
                <w:szCs w:val="19"/>
              </w:rPr>
            </w:pPr>
          </w:p>
        </w:tc>
        <w:tc>
          <w:tcPr>
            <w:tcW w:w="1467" w:type="dxa"/>
            <w:shd w:val="clear" w:color="auto" w:fill="auto"/>
            <w:vAlign w:val="center"/>
          </w:tcPr>
          <w:p w14:paraId="731EBC9A" w14:textId="77777777" w:rsidR="00380AFB" w:rsidRDefault="00380AFB">
            <w:pPr>
              <w:spacing w:line="276" w:lineRule="auto"/>
              <w:contextualSpacing/>
              <w:jc w:val="center"/>
              <w:rPr>
                <w:rFonts w:ascii="Bookman Old Style" w:hAnsi="Bookman Old Style" w:cs="Arial"/>
                <w:color w:val="FF0000"/>
                <w:sz w:val="19"/>
                <w:szCs w:val="19"/>
              </w:rPr>
            </w:pPr>
          </w:p>
        </w:tc>
        <w:tc>
          <w:tcPr>
            <w:tcW w:w="1725" w:type="dxa"/>
          </w:tcPr>
          <w:p w14:paraId="7D366444" w14:textId="77777777" w:rsidR="00380AFB" w:rsidRDefault="00380AFB">
            <w:pPr>
              <w:spacing w:line="276" w:lineRule="auto"/>
              <w:contextualSpacing/>
              <w:jc w:val="center"/>
              <w:rPr>
                <w:rFonts w:ascii="Bookman Old Style" w:hAnsi="Bookman Old Style" w:cs="Arial"/>
                <w:sz w:val="19"/>
                <w:szCs w:val="19"/>
              </w:rPr>
            </w:pPr>
          </w:p>
        </w:tc>
      </w:tr>
    </w:tbl>
    <w:p w14:paraId="76029882" w14:textId="77777777" w:rsidR="00380AFB" w:rsidRDefault="00380AFB">
      <w:pPr>
        <w:spacing w:after="0" w:line="276" w:lineRule="auto"/>
        <w:contextualSpacing/>
        <w:jc w:val="both"/>
        <w:rPr>
          <w:rFonts w:ascii="Bookman Old Style" w:eastAsia="Calibri" w:hAnsi="Bookman Old Style" w:cs="Times New Roman"/>
          <w:b/>
          <w:bCs/>
          <w:sz w:val="19"/>
          <w:szCs w:val="19"/>
        </w:rPr>
      </w:pPr>
    </w:p>
    <w:p w14:paraId="5CA1BB25"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3. ÓRGÃO(S) GERENCIADOR E PARTICIPANTE(S) </w:t>
      </w:r>
    </w:p>
    <w:p w14:paraId="4395677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3.1. O órgão gerenciador será o Município de Maravilhas/MG.</w:t>
      </w:r>
    </w:p>
    <w:p w14:paraId="55AEFEB8" w14:textId="77777777" w:rsidR="00380AFB" w:rsidRDefault="00380AFB">
      <w:pPr>
        <w:spacing w:line="276" w:lineRule="auto"/>
        <w:contextualSpacing/>
        <w:jc w:val="both"/>
        <w:rPr>
          <w:rFonts w:ascii="Bookman Old Style" w:eastAsia="Calibri" w:hAnsi="Bookman Old Style" w:cs="Times New Roman"/>
          <w:b/>
          <w:bCs/>
          <w:sz w:val="19"/>
          <w:szCs w:val="19"/>
        </w:rPr>
      </w:pPr>
    </w:p>
    <w:p w14:paraId="356EC56A"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4. DA ADESÃO À ATA DE REGISTRO DE PREÇOS </w:t>
      </w:r>
    </w:p>
    <w:p w14:paraId="759854E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w:t>
      </w:r>
      <w:r>
        <w:rPr>
          <w:rFonts w:ascii="Bookman Old Style" w:eastAsia="Calibri" w:hAnsi="Bookman Old Style" w:cs="Times New Roman"/>
          <w:bCs/>
          <w:sz w:val="19"/>
          <w:szCs w:val="19"/>
        </w:rPr>
        <w:t xml:space="preserve"> Durante a vigência da ata, os órgãos e as entidades da Administração Pública que não participaram do procedimento de IRP poderão aderir à ata de registro de preços na condição de não participantes, observados os seguintes requisitos: </w:t>
      </w:r>
    </w:p>
    <w:p w14:paraId="6FFE73F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4.1.1.</w:t>
      </w:r>
      <w:r>
        <w:rPr>
          <w:rFonts w:ascii="Bookman Old Style" w:eastAsia="Calibri" w:hAnsi="Bookman Old Style" w:cs="Times New Roman"/>
          <w:bCs/>
          <w:sz w:val="19"/>
          <w:szCs w:val="19"/>
        </w:rPr>
        <w:t xml:space="preserve"> Apresentação de justificativa da vantagem da adesão, inclusive em situações de provável desabastecimento ou descontinuidade de serviço público;</w:t>
      </w:r>
    </w:p>
    <w:p w14:paraId="0FB2C3C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4.1.2.</w:t>
      </w:r>
      <w:r>
        <w:rPr>
          <w:rFonts w:ascii="Bookman Old Style" w:eastAsia="Calibri" w:hAnsi="Bookman Old Style" w:cs="Times New Roman"/>
          <w:bCs/>
          <w:sz w:val="19"/>
          <w:szCs w:val="19"/>
        </w:rPr>
        <w:t xml:space="preserve"> Demonstração de que os valores registrados estão compatíveis com os valores praticados pelo mercado na forma do art. 23 da Lei nº 14.133, de 2021; e </w:t>
      </w:r>
    </w:p>
    <w:p w14:paraId="580DCAC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4.1.3.</w:t>
      </w:r>
      <w:r>
        <w:rPr>
          <w:rFonts w:ascii="Bookman Old Style" w:eastAsia="Calibri" w:hAnsi="Bookman Old Style" w:cs="Times New Roman"/>
          <w:bCs/>
          <w:sz w:val="19"/>
          <w:szCs w:val="19"/>
        </w:rPr>
        <w:t xml:space="preserve"> Consulta e aceitação prévias do órgão ou da entidade gerenciadora e do fornecedor. </w:t>
      </w:r>
    </w:p>
    <w:p w14:paraId="2428856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4.2.</w:t>
      </w:r>
      <w:r>
        <w:rPr>
          <w:rFonts w:ascii="Bookman Old Style" w:eastAsia="Calibri" w:hAnsi="Bookman Old Style" w:cs="Times New Roman"/>
          <w:bCs/>
          <w:sz w:val="19"/>
          <w:szCs w:val="19"/>
        </w:rPr>
        <w:t xml:space="preserve"> A autorização do órgão ou entidade gerenciadora apenas será realizada após a aceitação da adesão pelo fornecedor. </w:t>
      </w:r>
    </w:p>
    <w:p w14:paraId="41920C0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4.2.1.</w:t>
      </w:r>
      <w:r>
        <w:rPr>
          <w:rFonts w:ascii="Bookman Old Style" w:eastAsia="Calibri" w:hAnsi="Bookman Old Style" w:cs="Times New Roman"/>
          <w:bCs/>
          <w:sz w:val="19"/>
          <w:szCs w:val="19"/>
        </w:rPr>
        <w:t xml:space="preserve"> O órgão ou entidade gerenciadora poderá rejeitar adesões caso elas possam acarretar prejuízo à execução de seus próprios contratos ou à sua capacidade de gerenciamento. </w:t>
      </w:r>
    </w:p>
    <w:p w14:paraId="1AE4DD1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4.3.</w:t>
      </w:r>
      <w:r>
        <w:rPr>
          <w:rFonts w:ascii="Bookman Old Style" w:eastAsia="Calibri" w:hAnsi="Bookman Old Style" w:cs="Times New Roman"/>
          <w:bCs/>
          <w:sz w:val="19"/>
          <w:szCs w:val="19"/>
        </w:rPr>
        <w:t xml:space="preserve"> Após a autorização do órgão ou da entidade gerenciadora, o órgão ou entidade não participante deverá efetivar a aquisição ou a contratação solicitada em até noventa dias, observado o prazo de vigência da ata. </w:t>
      </w:r>
    </w:p>
    <w:p w14:paraId="5903503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4.4.</w:t>
      </w:r>
      <w:r>
        <w:rPr>
          <w:rFonts w:ascii="Bookman Old Style" w:eastAsia="Calibri" w:hAnsi="Bookman Old Style" w:cs="Times New Roman"/>
          <w:bCs/>
          <w:sz w:val="19"/>
          <w:szCs w:val="19"/>
        </w:rPr>
        <w:t xml:space="preserve"> O prazo de que trata o 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6F292E0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4.5.</w:t>
      </w:r>
      <w:r>
        <w:rPr>
          <w:rFonts w:ascii="Bookman Old Style" w:eastAsia="Calibri" w:hAnsi="Bookman Old Style" w:cs="Times New Roman"/>
          <w:bCs/>
          <w:sz w:val="19"/>
          <w:szCs w:val="19"/>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19D80A3B"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Dos limites para as adesões </w:t>
      </w:r>
    </w:p>
    <w:p w14:paraId="100D2FC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4.6.</w:t>
      </w:r>
      <w:r>
        <w:rPr>
          <w:rFonts w:ascii="Bookman Old Style" w:eastAsia="Calibri" w:hAnsi="Bookman Old Style" w:cs="Times New Roman"/>
          <w:bCs/>
          <w:sz w:val="19"/>
          <w:szCs w:val="19"/>
        </w:rPr>
        <w:t xml:space="preserve"> As aquisições ou contratações adicionais não poderão exceder, por órgão ou entidade, a </w:t>
      </w:r>
      <w:r>
        <w:rPr>
          <w:rFonts w:ascii="Bookman Old Style" w:eastAsia="Calibri" w:hAnsi="Bookman Old Style" w:cs="Times New Roman"/>
          <w:b/>
          <w:bCs/>
          <w:sz w:val="19"/>
          <w:szCs w:val="19"/>
          <w:u w:val="single"/>
        </w:rPr>
        <w:t>cinquenta por cento dos quantitativos dos itens do instrumento convocatório</w:t>
      </w:r>
      <w:r>
        <w:rPr>
          <w:rFonts w:ascii="Bookman Old Style" w:eastAsia="Calibri" w:hAnsi="Bookman Old Style" w:cs="Times New Roman"/>
          <w:bCs/>
          <w:sz w:val="19"/>
          <w:szCs w:val="19"/>
        </w:rPr>
        <w:t xml:space="preserve"> registrados na ata de registro de preços para o gerenciador e para os participantes. </w:t>
      </w:r>
    </w:p>
    <w:p w14:paraId="64EDF36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4.7.</w:t>
      </w:r>
      <w:r>
        <w:rPr>
          <w:rFonts w:ascii="Bookman Old Style" w:eastAsia="Calibri" w:hAnsi="Bookman Old Style" w:cs="Times New Roman"/>
          <w:bCs/>
          <w:sz w:val="19"/>
          <w:szCs w:val="19"/>
        </w:rPr>
        <w:t xml:space="preserve"> O quantitativo decorrente das adesões não poderá exceder, na totalidade, ao </w:t>
      </w:r>
      <w:r>
        <w:rPr>
          <w:rFonts w:ascii="Bookman Old Style" w:eastAsia="Calibri" w:hAnsi="Bookman Old Style" w:cs="Times New Roman"/>
          <w:b/>
          <w:bCs/>
          <w:sz w:val="19"/>
          <w:szCs w:val="19"/>
          <w:u w:val="single"/>
        </w:rPr>
        <w:t>dobro do quantitativo de cada</w:t>
      </w:r>
      <w:r>
        <w:rPr>
          <w:rFonts w:ascii="Bookman Old Style" w:eastAsia="Calibri" w:hAnsi="Bookman Old Style" w:cs="Times New Roman"/>
          <w:bCs/>
          <w:sz w:val="19"/>
          <w:szCs w:val="19"/>
        </w:rPr>
        <w:t xml:space="preserve"> item registrado na ata de registro de preços para o gerenciador e os participantes, independentemente do número de órgãos ou entidades não participantes que aderirem à ata de registro de preços.</w:t>
      </w:r>
    </w:p>
    <w:p w14:paraId="179F8CAA" w14:textId="77777777" w:rsidR="00380AFB" w:rsidRDefault="00380AFB">
      <w:pPr>
        <w:spacing w:line="276" w:lineRule="auto"/>
        <w:contextualSpacing/>
        <w:jc w:val="both"/>
        <w:rPr>
          <w:rFonts w:ascii="Bookman Old Style" w:eastAsia="Calibri" w:hAnsi="Bookman Old Style" w:cs="Times New Roman"/>
          <w:bCs/>
          <w:sz w:val="19"/>
          <w:szCs w:val="19"/>
        </w:rPr>
      </w:pPr>
    </w:p>
    <w:p w14:paraId="5EE40BDB"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5. VALIDADE, FORMALIZAÇÃO DA ATA DE REGISTRO DE PREÇOS </w:t>
      </w:r>
    </w:p>
    <w:p w14:paraId="6DA7AFF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5.1.</w:t>
      </w:r>
      <w:r>
        <w:rPr>
          <w:rFonts w:ascii="Bookman Old Style" w:eastAsia="Calibri" w:hAnsi="Bookman Old Style" w:cs="Times New Roman"/>
          <w:bCs/>
          <w:sz w:val="19"/>
          <w:szCs w:val="19"/>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 </w:t>
      </w:r>
    </w:p>
    <w:p w14:paraId="5515932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5.1.1.</w:t>
      </w:r>
      <w:r>
        <w:rPr>
          <w:rFonts w:ascii="Bookman Old Style" w:eastAsia="Calibri" w:hAnsi="Bookman Old Style" w:cs="Times New Roman"/>
          <w:bCs/>
          <w:sz w:val="19"/>
          <w:szCs w:val="19"/>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37BB40D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5.1.2.</w:t>
      </w:r>
      <w:r>
        <w:rPr>
          <w:rFonts w:ascii="Bookman Old Style" w:eastAsia="Calibri" w:hAnsi="Bookman Old Style" w:cs="Times New Roman"/>
          <w:bCs/>
          <w:sz w:val="19"/>
          <w:szCs w:val="19"/>
        </w:rPr>
        <w:t xml:space="preserve"> Na formalização do contrato ou do instrumento substituto deverá haver a indicação da disponibilidade dos créditos orçamentários respectivos. </w:t>
      </w:r>
    </w:p>
    <w:p w14:paraId="25B46E9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5.2.</w:t>
      </w:r>
      <w:r>
        <w:rPr>
          <w:rFonts w:ascii="Bookman Old Style" w:eastAsia="Calibri" w:hAnsi="Bookman Old Style" w:cs="Times New Roman"/>
          <w:bCs/>
          <w:sz w:val="19"/>
          <w:szCs w:val="19"/>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 </w:t>
      </w:r>
    </w:p>
    <w:p w14:paraId="1603B74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5.2.1.</w:t>
      </w:r>
      <w:r>
        <w:rPr>
          <w:rFonts w:ascii="Bookman Old Style" w:eastAsia="Calibri" w:hAnsi="Bookman Old Style" w:cs="Times New Roman"/>
          <w:bCs/>
          <w:sz w:val="19"/>
          <w:szCs w:val="19"/>
        </w:rPr>
        <w:t xml:space="preserve"> O instrumento contratual de que trata o item 5.2 deverá ser assinado no prazo de validade da ata de registro de preços. </w:t>
      </w:r>
    </w:p>
    <w:p w14:paraId="279AF483"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5.3.</w:t>
      </w:r>
      <w:r>
        <w:rPr>
          <w:rFonts w:ascii="Bookman Old Style" w:eastAsia="Calibri" w:hAnsi="Bookman Old Style" w:cs="Times New Roman"/>
          <w:bCs/>
          <w:sz w:val="19"/>
          <w:szCs w:val="19"/>
        </w:rPr>
        <w:t xml:space="preserve"> Os contratos decorrentes do sistema de registro de preços poderão ser alterados, observado o art. 124 da Lei nº 14.133, de 2021.</w:t>
      </w:r>
      <w:r>
        <w:rPr>
          <w:rFonts w:ascii="Bookman Old Style" w:eastAsia="Calibri" w:hAnsi="Bookman Old Style" w:cs="Times New Roman"/>
          <w:b/>
          <w:bCs/>
          <w:sz w:val="19"/>
          <w:szCs w:val="19"/>
        </w:rPr>
        <w:t xml:space="preserve"> </w:t>
      </w:r>
    </w:p>
    <w:p w14:paraId="7EA317A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5.4.</w:t>
      </w:r>
      <w:r>
        <w:rPr>
          <w:rFonts w:ascii="Bookman Old Style" w:eastAsia="Calibri" w:hAnsi="Bookman Old Style" w:cs="Times New Roman"/>
          <w:bCs/>
          <w:sz w:val="19"/>
          <w:szCs w:val="19"/>
        </w:rPr>
        <w:t xml:space="preserve"> Após a homologação da licitação ou da contratação direta, deverão ser observadas as seguintes condições para formalização da ata de registro de preços: </w:t>
      </w:r>
    </w:p>
    <w:p w14:paraId="51CE9E1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5.4.1.</w:t>
      </w:r>
      <w:r>
        <w:rPr>
          <w:rFonts w:ascii="Bookman Old Style" w:eastAsia="Calibri" w:hAnsi="Bookman Old Style" w:cs="Times New Roman"/>
          <w:bCs/>
          <w:sz w:val="19"/>
          <w:szCs w:val="19"/>
        </w:rPr>
        <w:t xml:space="preserve"> Serão registrados na ata os preços e os quantitativos do adjudicatário;</w:t>
      </w:r>
    </w:p>
    <w:p w14:paraId="7E936BC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5.5.</w:t>
      </w:r>
      <w:r>
        <w:rPr>
          <w:rFonts w:ascii="Bookman Old Style" w:eastAsia="Calibri" w:hAnsi="Bookman Old Style" w:cs="Times New Roman"/>
          <w:bCs/>
          <w:sz w:val="19"/>
          <w:szCs w:val="19"/>
        </w:rPr>
        <w:t xml:space="preserve"> A ata de registro de preços será assinada por meio de assinatura digital e disponibilizada no Sistema de Registro de Preços. </w:t>
      </w:r>
    </w:p>
    <w:p w14:paraId="7899F36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5.6.</w:t>
      </w:r>
      <w:r>
        <w:rPr>
          <w:rFonts w:ascii="Bookman Old Style" w:eastAsia="Calibri" w:hAnsi="Bookman Old Style" w:cs="Times New Roman"/>
          <w:bCs/>
          <w:sz w:val="19"/>
          <w:szCs w:val="19"/>
        </w:rPr>
        <w:t xml:space="preserve">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 </w:t>
      </w:r>
    </w:p>
    <w:p w14:paraId="451B8F0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5.7.</w:t>
      </w:r>
      <w:r>
        <w:rPr>
          <w:rFonts w:ascii="Bookman Old Style" w:eastAsia="Calibri" w:hAnsi="Bookman Old Style" w:cs="Times New Roman"/>
          <w:bCs/>
          <w:sz w:val="19"/>
          <w:szCs w:val="19"/>
        </w:rPr>
        <w:t xml:space="preserve"> Na hipótese de nenhum dos licitantes que trata o item 5.6, aceitar a contratação nos termos do item anterior, a Administração, observados o valor estimado e sua eventual atualização nos termos do edital, poderá: </w:t>
      </w:r>
    </w:p>
    <w:p w14:paraId="4D4C07C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5.7.1.</w:t>
      </w:r>
      <w:r>
        <w:rPr>
          <w:rFonts w:ascii="Bookman Old Style" w:eastAsia="Calibri" w:hAnsi="Bookman Old Style" w:cs="Times New Roman"/>
          <w:bCs/>
          <w:sz w:val="19"/>
          <w:szCs w:val="19"/>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78D3CC5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5.7.2.</w:t>
      </w:r>
      <w:r>
        <w:rPr>
          <w:rFonts w:ascii="Bookman Old Style" w:eastAsia="Calibri" w:hAnsi="Bookman Old Style" w:cs="Times New Roman"/>
          <w:bCs/>
          <w:sz w:val="19"/>
          <w:szCs w:val="19"/>
        </w:rPr>
        <w:t xml:space="preserve"> Adjudicar e firmar o contrato nas condições ofertadas pelos licitantes ou fornecedores remanescentes, atendida a ordem classificatória, quando frustrada a negociação de melhor condição. </w:t>
      </w:r>
    </w:p>
    <w:p w14:paraId="7052038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5.8.</w:t>
      </w:r>
      <w:r>
        <w:rPr>
          <w:rFonts w:ascii="Bookman Old Style" w:eastAsia="Calibri" w:hAnsi="Bookman Old Style" w:cs="Times New Roman"/>
          <w:bCs/>
          <w:sz w:val="19"/>
          <w:szCs w:val="19"/>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55E7CF5" w14:textId="77777777" w:rsidR="00380AFB" w:rsidRDefault="00380AFB">
      <w:pPr>
        <w:spacing w:line="276" w:lineRule="auto"/>
        <w:contextualSpacing/>
        <w:jc w:val="both"/>
        <w:rPr>
          <w:rFonts w:ascii="Bookman Old Style" w:eastAsia="Calibri" w:hAnsi="Bookman Old Style" w:cs="Times New Roman"/>
          <w:bCs/>
          <w:sz w:val="19"/>
          <w:szCs w:val="19"/>
        </w:rPr>
      </w:pPr>
    </w:p>
    <w:p w14:paraId="64EC82EA"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6. ALTERAÇÃO OU ATUALIZAÇÃO DOS PREÇOS REGISTRADOS </w:t>
      </w:r>
    </w:p>
    <w:p w14:paraId="606748E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w:t>
      </w:r>
      <w:r>
        <w:rPr>
          <w:rFonts w:ascii="Bookman Old Style" w:eastAsia="Calibri" w:hAnsi="Bookman Old Style" w:cs="Times New Roman"/>
          <w:bCs/>
          <w:sz w:val="19"/>
          <w:szCs w:val="19"/>
        </w:rPr>
        <w:t xml:space="preserve"> Os preços registrados poderão ser alterados ou atualizados em decorrência de eventual redução dos preços praticados no mercado ou de fato que eleve o custo dos Serviços registrados, nas seguintes situações:</w:t>
      </w:r>
    </w:p>
    <w:p w14:paraId="75640C4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6.1.1.</w:t>
      </w:r>
      <w:r>
        <w:rPr>
          <w:rFonts w:ascii="Bookman Old Style" w:eastAsia="Calibri" w:hAnsi="Bookman Old Style" w:cs="Times New Roman"/>
          <w:bCs/>
          <w:sz w:val="19"/>
          <w:szCs w:val="19"/>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w:t>
      </w:r>
      <w:r>
        <w:rPr>
          <w:rFonts w:ascii="Bookman Old Style" w:eastAsia="Calibri" w:hAnsi="Bookman Old Style" w:cs="Bookman Old Style"/>
          <w:bCs/>
          <w:sz w:val="19"/>
          <w:szCs w:val="19"/>
        </w:rPr>
        <w:t>º</w:t>
      </w:r>
      <w:r>
        <w:rPr>
          <w:rFonts w:ascii="Bookman Old Style" w:eastAsia="Calibri" w:hAnsi="Bookman Old Style" w:cs="Times New Roman"/>
          <w:bCs/>
          <w:sz w:val="19"/>
          <w:szCs w:val="19"/>
        </w:rPr>
        <w:t xml:space="preserve"> 14.133, de 2021;</w:t>
      </w:r>
    </w:p>
    <w:p w14:paraId="1A38A5A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6.1.2.</w:t>
      </w:r>
      <w:r>
        <w:rPr>
          <w:rFonts w:ascii="Bookman Old Style" w:eastAsia="Calibri" w:hAnsi="Bookman Old Style" w:cs="Times New Roman"/>
          <w:bCs/>
          <w:sz w:val="19"/>
          <w:szCs w:val="19"/>
        </w:rPr>
        <w:t xml:space="preserve"> Em caso de criação, alteração ou extinção de quaisquer tributos ou encargos legais ou a superveniência de disposições legais, com comprovada repercussão sobre os preços registrados;</w:t>
      </w:r>
    </w:p>
    <w:p w14:paraId="0A382D86"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6.1.3.</w:t>
      </w:r>
      <w:r>
        <w:rPr>
          <w:rFonts w:ascii="Bookman Old Style" w:eastAsia="Calibri" w:hAnsi="Bookman Old Style" w:cs="Times New Roman"/>
          <w:bCs/>
          <w:sz w:val="19"/>
          <w:szCs w:val="19"/>
        </w:rPr>
        <w:t xml:space="preserve"> Na hipótese de previsão no edital de cláusula de reajustamento ou repactuação sobre os preços registrados, nos termos da Lei nº 14.133, de 2021: </w:t>
      </w:r>
    </w:p>
    <w:p w14:paraId="28371B1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6.1.3.1.</w:t>
      </w:r>
      <w:r>
        <w:rPr>
          <w:rFonts w:ascii="Bookman Old Style" w:eastAsia="Calibri" w:hAnsi="Bookman Old Style" w:cs="Times New Roman"/>
          <w:bCs/>
          <w:sz w:val="19"/>
          <w:szCs w:val="19"/>
        </w:rPr>
        <w:t xml:space="preserve"> No caso do reajustamento, deverá ser respeitada a contagem da anualidade e o índice previstos para a contratação;</w:t>
      </w:r>
    </w:p>
    <w:p w14:paraId="6516F7A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6.1.3.2.</w:t>
      </w:r>
      <w:r>
        <w:rPr>
          <w:rFonts w:ascii="Bookman Old Style" w:eastAsia="Calibri" w:hAnsi="Bookman Old Style" w:cs="Times New Roman"/>
          <w:bCs/>
          <w:sz w:val="19"/>
          <w:szCs w:val="19"/>
        </w:rPr>
        <w:t xml:space="preserve"> No caso da repactuação, poderá ser a pedido do interessado, conforme critérios definidos para a contratação. </w:t>
      </w:r>
    </w:p>
    <w:p w14:paraId="3D289C23" w14:textId="77777777" w:rsidR="00380AFB" w:rsidRDefault="00380AFB">
      <w:pPr>
        <w:spacing w:line="276" w:lineRule="auto"/>
        <w:contextualSpacing/>
        <w:jc w:val="both"/>
        <w:rPr>
          <w:rFonts w:ascii="Bookman Old Style" w:eastAsia="Calibri" w:hAnsi="Bookman Old Style" w:cs="Times New Roman"/>
          <w:bCs/>
          <w:sz w:val="19"/>
          <w:szCs w:val="19"/>
        </w:rPr>
      </w:pPr>
    </w:p>
    <w:p w14:paraId="59FAC0F5"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7. NEGOCIAÇÃO DE PREÇOS REGISTRADOS </w:t>
      </w:r>
    </w:p>
    <w:p w14:paraId="03C9537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w:t>
      </w:r>
      <w:r>
        <w:rPr>
          <w:rFonts w:ascii="Bookman Old Style" w:eastAsia="Calibri" w:hAnsi="Bookman Old Style" w:cs="Times New Roman"/>
          <w:bCs/>
          <w:sz w:val="19"/>
          <w:szCs w:val="19"/>
        </w:rPr>
        <w:t xml:space="preserve"> Na hipótese de o preço registrado tornar-se superior ao preço praticado no mercado por motivo superveniente, o órgão ou entidade gerenciadora convocará o fornecedor para negociar a redução do preço registrado. </w:t>
      </w:r>
    </w:p>
    <w:p w14:paraId="5D93DB9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7.1.1.</w:t>
      </w:r>
      <w:r>
        <w:rPr>
          <w:rFonts w:ascii="Bookman Old Style" w:eastAsia="Calibri" w:hAnsi="Bookman Old Style" w:cs="Times New Roman"/>
          <w:bCs/>
          <w:sz w:val="19"/>
          <w:szCs w:val="19"/>
        </w:rPr>
        <w:t xml:space="preserve"> Caso não aceite reduzir seu preço aos valores praticados pelo mercado, o fornecedor será liberado do compromisso assumido quanto ao item registrado, sem aplicação de penalidades administrativas. </w:t>
      </w:r>
    </w:p>
    <w:p w14:paraId="0C5CF8A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7.1.2.</w:t>
      </w:r>
      <w:r>
        <w:rPr>
          <w:rFonts w:ascii="Bookman Old Style" w:eastAsia="Calibri" w:hAnsi="Bookman Old Style" w:cs="Times New Roman"/>
          <w:bCs/>
          <w:sz w:val="19"/>
          <w:szCs w:val="19"/>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5BB86E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7.1.3.</w:t>
      </w:r>
      <w:r>
        <w:rPr>
          <w:rFonts w:ascii="Bookman Old Style" w:eastAsia="Calibri" w:hAnsi="Bookman Old Style" w:cs="Times New Roman"/>
          <w:bCs/>
          <w:sz w:val="19"/>
          <w:szCs w:val="19"/>
        </w:rPr>
        <w:t xml:space="preserve"> Se não obtiver êxito nas negociações, o órgão ou entidade gerenciadora procederá ao cancelamento da ata de registro de preços, adotando as medidas cabíveis para obtenção de contratação mais vantajosa. </w:t>
      </w:r>
    </w:p>
    <w:p w14:paraId="6633A8F4"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7.1.4.</w:t>
      </w:r>
      <w:r>
        <w:rPr>
          <w:rFonts w:ascii="Bookman Old Style" w:eastAsia="Calibri" w:hAnsi="Bookman Old Style" w:cs="Times New Roman"/>
          <w:bCs/>
          <w:sz w:val="19"/>
          <w:szCs w:val="19"/>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66E592B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w:t>
      </w:r>
      <w:r>
        <w:rPr>
          <w:rFonts w:ascii="Bookman Old Style" w:eastAsia="Calibri" w:hAnsi="Bookman Old Style" w:cs="Times New Roman"/>
          <w:bCs/>
          <w:sz w:val="19"/>
          <w:szCs w:val="19"/>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1039B2C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7.2.1.</w:t>
      </w:r>
      <w:r>
        <w:rPr>
          <w:rFonts w:ascii="Bookman Old Style" w:eastAsia="Calibri" w:hAnsi="Bookman Old Style" w:cs="Times New Roman"/>
          <w:bCs/>
          <w:sz w:val="19"/>
          <w:szCs w:val="19"/>
        </w:rPr>
        <w:t xml:space="preserve"> Neste caso, o fornecedor encaminhará, juntamente com o pedido de alteração, a documentação comprobatória ou a planilha de custos que demonstre a inviabilidade do preço registrado em relação às condições inicialmente pactuadas. </w:t>
      </w:r>
    </w:p>
    <w:p w14:paraId="108B1B7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7.2.2.</w:t>
      </w:r>
      <w:r>
        <w:rPr>
          <w:rFonts w:ascii="Bookman Old Style" w:eastAsia="Calibri" w:hAnsi="Bookman Old Style" w:cs="Times New Roman"/>
          <w:bCs/>
          <w:sz w:val="19"/>
          <w:szCs w:val="19"/>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 </w:t>
      </w:r>
    </w:p>
    <w:p w14:paraId="43A8473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7.2.3.</w:t>
      </w:r>
      <w:r>
        <w:rPr>
          <w:rFonts w:ascii="Bookman Old Style" w:eastAsia="Calibri" w:hAnsi="Bookman Old Style" w:cs="Times New Roman"/>
          <w:bCs/>
          <w:sz w:val="19"/>
          <w:szCs w:val="19"/>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 </w:t>
      </w:r>
    </w:p>
    <w:p w14:paraId="29C002C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7.2.4.</w:t>
      </w:r>
      <w:r>
        <w:rPr>
          <w:rFonts w:ascii="Bookman Old Style" w:eastAsia="Calibri" w:hAnsi="Bookman Old Style" w:cs="Times New Roman"/>
          <w:bCs/>
          <w:sz w:val="19"/>
          <w:szCs w:val="19"/>
        </w:rPr>
        <w:t xml:space="preserve"> Se não obtiver êxito nas negociações, o órgão ou entidade gerenciadora procederá ao cancelamento da ata de registro de preços, nos termos do item 9.4, e adotará as medidas cabíveis para a obtenção da contratação mais vantajosa. </w:t>
      </w:r>
    </w:p>
    <w:p w14:paraId="4637A6A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7.2.5.</w:t>
      </w:r>
      <w:r>
        <w:rPr>
          <w:rFonts w:ascii="Bookman Old Style" w:eastAsia="Calibri" w:hAnsi="Bookman Old Style" w:cs="Times New Roman"/>
          <w:bCs/>
          <w:sz w:val="19"/>
          <w:szCs w:val="19"/>
        </w:rPr>
        <w:t xml:space="preserve"> Na hipótese de comprovação da majoração do preço de mercado que inviabilize o preço registrado, conforme previsto no item 7.2 e no item 7.2.1, o órgão ou entidade gerenciadora atualizará o preço registrado, de acordo com a realidade dos valores praticados pelo mercado. </w:t>
      </w:r>
    </w:p>
    <w:p w14:paraId="6000E8A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7.2.6.</w:t>
      </w:r>
      <w:r>
        <w:rPr>
          <w:rFonts w:ascii="Bookman Old Style" w:eastAsia="Calibri" w:hAnsi="Bookman Old Style" w:cs="Times New Roman"/>
          <w:bCs/>
          <w:sz w:val="19"/>
          <w:szCs w:val="19"/>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DEAFB6F" w14:textId="77777777" w:rsidR="00380AFB" w:rsidRDefault="00380AFB">
      <w:pPr>
        <w:spacing w:line="276" w:lineRule="auto"/>
        <w:contextualSpacing/>
        <w:jc w:val="both"/>
        <w:rPr>
          <w:rFonts w:ascii="Bookman Old Style" w:eastAsia="Calibri" w:hAnsi="Bookman Old Style" w:cs="Times New Roman"/>
          <w:bCs/>
          <w:sz w:val="19"/>
          <w:szCs w:val="19"/>
        </w:rPr>
      </w:pPr>
    </w:p>
    <w:p w14:paraId="5ABC88D8"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8. REMANEJAMENTO DAS QUANTIDADES REGISTRADAS NA ATA DE REGISTRO DE PREÇOS </w:t>
      </w:r>
    </w:p>
    <w:p w14:paraId="0DDAB72A"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8.1.</w:t>
      </w:r>
      <w:r>
        <w:rPr>
          <w:rFonts w:ascii="Bookman Old Style" w:eastAsia="Calibri" w:hAnsi="Bookman Old Style" w:cs="Times New Roman"/>
          <w:bCs/>
          <w:sz w:val="19"/>
          <w:szCs w:val="19"/>
        </w:rPr>
        <w:t xml:space="preserve"> As quantidades previstas para os itens com preços registrados nas atas de registro de preços poderão ser remanejadas pelo órgão ou entidade gerenciadora entre os órgãos ou às entidades participantes e não participantes do registro de preços. </w:t>
      </w:r>
    </w:p>
    <w:p w14:paraId="1AB180E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w:t>
      </w:r>
      <w:r>
        <w:rPr>
          <w:rFonts w:ascii="Bookman Old Style" w:eastAsia="Calibri" w:hAnsi="Bookman Old Style" w:cs="Times New Roman"/>
          <w:bCs/>
          <w:sz w:val="19"/>
          <w:szCs w:val="19"/>
        </w:rPr>
        <w:t xml:space="preserve"> O remanejamento somente poderá ser feito: </w:t>
      </w:r>
    </w:p>
    <w:p w14:paraId="26ABE68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8.2.1.</w:t>
      </w:r>
      <w:r>
        <w:rPr>
          <w:rFonts w:ascii="Bookman Old Style" w:eastAsia="Calibri" w:hAnsi="Bookman Old Style" w:cs="Times New Roman"/>
          <w:bCs/>
          <w:sz w:val="19"/>
          <w:szCs w:val="19"/>
        </w:rPr>
        <w:t xml:space="preserve"> De órgão ou entidade participante para órgão ou entidade participante; ou </w:t>
      </w:r>
    </w:p>
    <w:p w14:paraId="2BB8A2FD"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8.2.2.</w:t>
      </w:r>
      <w:r>
        <w:rPr>
          <w:rFonts w:ascii="Bookman Old Style" w:eastAsia="Calibri" w:hAnsi="Bookman Old Style" w:cs="Times New Roman"/>
          <w:bCs/>
          <w:sz w:val="19"/>
          <w:szCs w:val="19"/>
        </w:rPr>
        <w:t xml:space="preserve"> De órgão ou entidade participante para órgão ou entidade não participante. </w:t>
      </w:r>
    </w:p>
    <w:p w14:paraId="65518FB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8.3.</w:t>
      </w:r>
      <w:r>
        <w:rPr>
          <w:rFonts w:ascii="Bookman Old Style" w:eastAsia="Calibri" w:hAnsi="Bookman Old Style" w:cs="Times New Roman"/>
          <w:bCs/>
          <w:sz w:val="19"/>
          <w:szCs w:val="19"/>
        </w:rPr>
        <w:t xml:space="preserve"> O órgão ou entidade gerenciadora que tiver estimado as quantidades que pretende contratar será considerado participante para efeito do remanejamento. </w:t>
      </w:r>
    </w:p>
    <w:p w14:paraId="0504189C"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8.4.</w:t>
      </w:r>
      <w:r>
        <w:rPr>
          <w:rFonts w:ascii="Bookman Old Style" w:eastAsia="Calibri" w:hAnsi="Bookman Old Style" w:cs="Times New Roman"/>
          <w:bCs/>
          <w:sz w:val="19"/>
          <w:szCs w:val="19"/>
        </w:rPr>
        <w:t xml:space="preserve"> Na hipótese de remanejamento de órgão ou entidade participante para órgão ou entidade não participante, serão observados os limites previstos na norma vigente. </w:t>
      </w:r>
    </w:p>
    <w:p w14:paraId="0930CF1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8.5.</w:t>
      </w:r>
      <w:r>
        <w:rPr>
          <w:rFonts w:ascii="Bookman Old Style" w:eastAsia="Calibri" w:hAnsi="Bookman Old Style" w:cs="Times New Roman"/>
          <w:bCs/>
          <w:sz w:val="19"/>
          <w:szCs w:val="19"/>
        </w:rPr>
        <w:t xml:space="preserve">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084BA6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8.6.</w:t>
      </w:r>
      <w:r>
        <w:rPr>
          <w:rFonts w:ascii="Bookman Old Style" w:eastAsia="Calibri" w:hAnsi="Bookman Old Style" w:cs="Times New Roman"/>
          <w:bCs/>
          <w:sz w:val="19"/>
          <w:szCs w:val="19"/>
        </w:rPr>
        <w:t xml:space="preserve"> 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 </w:t>
      </w:r>
    </w:p>
    <w:p w14:paraId="6EF10671" w14:textId="77777777" w:rsidR="00380AFB" w:rsidRDefault="00380AFB">
      <w:pPr>
        <w:spacing w:line="276" w:lineRule="auto"/>
        <w:contextualSpacing/>
        <w:jc w:val="both"/>
        <w:rPr>
          <w:rFonts w:ascii="Bookman Old Style" w:eastAsia="Calibri" w:hAnsi="Bookman Old Style" w:cs="Times New Roman"/>
          <w:bCs/>
          <w:sz w:val="19"/>
          <w:szCs w:val="19"/>
        </w:rPr>
      </w:pPr>
    </w:p>
    <w:p w14:paraId="2F912040"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9. CANCELAMENTO DO REGISTRO DO LICITANTE VENCEDOR E DOS PREÇOS REGISTRADOS </w:t>
      </w:r>
    </w:p>
    <w:p w14:paraId="6D8F132F"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w:t>
      </w:r>
      <w:r>
        <w:rPr>
          <w:rFonts w:ascii="Bookman Old Style" w:eastAsia="Calibri" w:hAnsi="Bookman Old Style" w:cs="Times New Roman"/>
          <w:bCs/>
          <w:sz w:val="19"/>
          <w:szCs w:val="19"/>
        </w:rPr>
        <w:t xml:space="preserve"> O registro do fornecedor será cancelado pelo gerenciador, quando o fornecedor:</w:t>
      </w:r>
    </w:p>
    <w:p w14:paraId="24DFED6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9.1.1.</w:t>
      </w:r>
      <w:r>
        <w:rPr>
          <w:rFonts w:ascii="Bookman Old Style" w:eastAsia="Calibri" w:hAnsi="Bookman Old Style" w:cs="Times New Roman"/>
          <w:bCs/>
          <w:sz w:val="19"/>
          <w:szCs w:val="19"/>
        </w:rPr>
        <w:t xml:space="preserve"> Descumprir as condições da ata de registro de preços, sem motivo justificado;</w:t>
      </w:r>
    </w:p>
    <w:p w14:paraId="3DA3880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9.1.2.</w:t>
      </w:r>
      <w:r>
        <w:rPr>
          <w:rFonts w:ascii="Bookman Old Style" w:eastAsia="Calibri" w:hAnsi="Bookman Old Style" w:cs="Times New Roman"/>
          <w:bCs/>
          <w:sz w:val="19"/>
          <w:szCs w:val="19"/>
        </w:rPr>
        <w:t xml:space="preserve"> Não retirar a nota de empenho, ou instrumento equivalente, no prazo estabelecido pela Administração sem justificativa razoável; </w:t>
      </w:r>
    </w:p>
    <w:p w14:paraId="45A60E78"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9.1.3.</w:t>
      </w:r>
      <w:r>
        <w:rPr>
          <w:rFonts w:ascii="Bookman Old Style" w:eastAsia="Calibri" w:hAnsi="Bookman Old Style" w:cs="Times New Roman"/>
          <w:bCs/>
          <w:sz w:val="19"/>
          <w:szCs w:val="19"/>
        </w:rPr>
        <w:t xml:space="preserve"> Sofrer sanção prevista nos incisos III ou IV do caput do art. 156 da Lei nº 14.133, de 2021.</w:t>
      </w:r>
    </w:p>
    <w:p w14:paraId="0E85E597"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9.1.3.1.</w:t>
      </w:r>
      <w:r>
        <w:rPr>
          <w:rFonts w:ascii="Bookman Old Style" w:eastAsia="Calibri" w:hAnsi="Bookman Old Style" w:cs="Times New Roman"/>
          <w:bCs/>
          <w:sz w:val="19"/>
          <w:szCs w:val="19"/>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41C59D1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9.2.</w:t>
      </w:r>
      <w:r>
        <w:rPr>
          <w:rFonts w:ascii="Bookman Old Style" w:eastAsia="Calibri" w:hAnsi="Bookman Old Style" w:cs="Times New Roman"/>
          <w:bCs/>
          <w:sz w:val="19"/>
          <w:szCs w:val="19"/>
        </w:rPr>
        <w:t xml:space="preserve"> O cancelamento de registros nas hipóteses previstas no item 9.1 será formalizado por despacho do órgão ou da entidade gerenciadora, garantidos os princípios do contraditório e da ampla defesa. </w:t>
      </w:r>
    </w:p>
    <w:p w14:paraId="5528168E"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lastRenderedPageBreak/>
        <w:t>9.3.</w:t>
      </w:r>
      <w:r>
        <w:rPr>
          <w:rFonts w:ascii="Bookman Old Style" w:eastAsia="Calibri" w:hAnsi="Bookman Old Style" w:cs="Times New Roman"/>
          <w:bCs/>
          <w:sz w:val="19"/>
          <w:szCs w:val="19"/>
        </w:rPr>
        <w:t xml:space="preserve"> Na hipótese de cancelamento do registro do fornecedor, o órgão ou a entidade gerenciadora poderá convocar os licitantes que compõem o cadastro de reserva, observada a ordem de classificação. </w:t>
      </w:r>
    </w:p>
    <w:p w14:paraId="7DF61CF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w:t>
      </w:r>
      <w:r>
        <w:rPr>
          <w:rFonts w:ascii="Bookman Old Style" w:eastAsia="Calibri" w:hAnsi="Bookman Old Style" w:cs="Times New Roman"/>
          <w:bCs/>
          <w:sz w:val="19"/>
          <w:szCs w:val="19"/>
        </w:rPr>
        <w:t xml:space="preserve"> O cancelamento dos preços registrados poderá ser realizado pelo gerenciador, em determinada ata de registro de preços, total ou parcialmente, nas seguintes hipóteses, desde que devidamente comprovadas e justificadas: </w:t>
      </w:r>
    </w:p>
    <w:p w14:paraId="65C18E8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9.4.1.</w:t>
      </w:r>
      <w:r>
        <w:rPr>
          <w:rFonts w:ascii="Bookman Old Style" w:eastAsia="Calibri" w:hAnsi="Bookman Old Style" w:cs="Times New Roman"/>
          <w:bCs/>
          <w:sz w:val="19"/>
          <w:szCs w:val="19"/>
        </w:rPr>
        <w:t xml:space="preserve"> Por razão de interesse público; </w:t>
      </w:r>
    </w:p>
    <w:p w14:paraId="4D860C23"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9.4.2.</w:t>
      </w:r>
      <w:r>
        <w:rPr>
          <w:rFonts w:ascii="Bookman Old Style" w:eastAsia="Calibri" w:hAnsi="Bookman Old Style" w:cs="Times New Roman"/>
          <w:bCs/>
          <w:sz w:val="19"/>
          <w:szCs w:val="19"/>
        </w:rPr>
        <w:t xml:space="preserve"> A pedido do fornecedor, decorrente de caso fortuito ou força maior; ou </w:t>
      </w:r>
    </w:p>
    <w:p w14:paraId="2A8C89E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9.4.3.</w:t>
      </w:r>
      <w:r>
        <w:rPr>
          <w:rFonts w:ascii="Bookman Old Style" w:eastAsia="Calibri" w:hAnsi="Bookman Old Style" w:cs="Times New Roman"/>
          <w:bCs/>
          <w:sz w:val="19"/>
          <w:szCs w:val="19"/>
        </w:rPr>
        <w:t xml:space="preserve"> Se não houver êxito nas negociações, nas hipóteses em que o preço de mercado se tornar superior ou inferior ao preço registrado.</w:t>
      </w:r>
    </w:p>
    <w:p w14:paraId="6C937866" w14:textId="77777777" w:rsidR="00380AFB" w:rsidRDefault="00380AFB">
      <w:pPr>
        <w:spacing w:line="276" w:lineRule="auto"/>
        <w:contextualSpacing/>
        <w:jc w:val="both"/>
        <w:rPr>
          <w:rFonts w:ascii="Bookman Old Style" w:eastAsia="Calibri" w:hAnsi="Bookman Old Style" w:cs="Times New Roman"/>
          <w:bCs/>
          <w:sz w:val="19"/>
          <w:szCs w:val="19"/>
        </w:rPr>
      </w:pPr>
    </w:p>
    <w:p w14:paraId="707EC934"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10. DAS PENALIDADES </w:t>
      </w:r>
    </w:p>
    <w:p w14:paraId="4AF9BC5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10.1.</w:t>
      </w:r>
      <w:r>
        <w:rPr>
          <w:rFonts w:ascii="Bookman Old Style" w:eastAsia="Calibri" w:hAnsi="Bookman Old Style" w:cs="Times New Roman"/>
          <w:bCs/>
          <w:sz w:val="19"/>
          <w:szCs w:val="19"/>
        </w:rPr>
        <w:t xml:space="preserve"> O descumprimento da Ata de Registro de Preços ensejará aplicação das penalidades estabelecidas no edital. </w:t>
      </w:r>
    </w:p>
    <w:p w14:paraId="69BA1C9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10.2.</w:t>
      </w:r>
      <w:r>
        <w:rPr>
          <w:rFonts w:ascii="Bookman Old Style" w:eastAsia="Calibri" w:hAnsi="Bookman Old Style" w:cs="Times New Roman"/>
          <w:bCs/>
          <w:sz w:val="19"/>
          <w:szCs w:val="19"/>
        </w:rPr>
        <w:t xml:space="preserve">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 (art. 8º, inc. IX, do Decreto nº 11.462, de 2023). </w:t>
      </w:r>
    </w:p>
    <w:p w14:paraId="23E8547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10.3.</w:t>
      </w:r>
      <w:r>
        <w:rPr>
          <w:rFonts w:ascii="Bookman Old Style" w:eastAsia="Calibri" w:hAnsi="Bookman Old Style" w:cs="Times New Roman"/>
          <w:bCs/>
          <w:sz w:val="19"/>
          <w:szCs w:val="19"/>
        </w:rPr>
        <w:t xml:space="preserve"> O órgão ou entidade participante deverá comunicar ao órgão gerenciador qualquer das ocorrências previstas no item 9.1, dada a necessidade de instauração de procedimento para cancelamento do registro do fornecedor. </w:t>
      </w:r>
    </w:p>
    <w:p w14:paraId="22FCC06E" w14:textId="77777777" w:rsidR="00380AFB" w:rsidRDefault="00380AFB">
      <w:pPr>
        <w:spacing w:line="276" w:lineRule="auto"/>
        <w:contextualSpacing/>
        <w:jc w:val="both"/>
        <w:rPr>
          <w:rFonts w:ascii="Bookman Old Style" w:eastAsia="Calibri" w:hAnsi="Bookman Old Style" w:cs="Times New Roman"/>
          <w:bCs/>
          <w:sz w:val="19"/>
          <w:szCs w:val="19"/>
        </w:rPr>
      </w:pPr>
    </w:p>
    <w:p w14:paraId="556F1114" w14:textId="77777777" w:rsidR="00380AFB" w:rsidRDefault="00000000">
      <w:pPr>
        <w:spacing w:line="276" w:lineRule="auto"/>
        <w:contextualSpacing/>
        <w:jc w:val="both"/>
        <w:rPr>
          <w:rFonts w:ascii="Bookman Old Style" w:eastAsia="Calibri" w:hAnsi="Bookman Old Style" w:cs="Times New Roman"/>
          <w:b/>
          <w:bCs/>
          <w:sz w:val="19"/>
          <w:szCs w:val="19"/>
        </w:rPr>
      </w:pPr>
      <w:r>
        <w:rPr>
          <w:rFonts w:ascii="Bookman Old Style" w:eastAsia="Calibri" w:hAnsi="Bookman Old Style" w:cs="Times New Roman"/>
          <w:b/>
          <w:bCs/>
          <w:sz w:val="19"/>
          <w:szCs w:val="19"/>
        </w:rPr>
        <w:t xml:space="preserve">11. CONDIÇÕES GERAIS </w:t>
      </w:r>
    </w:p>
    <w:p w14:paraId="20EF134B"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11.1.</w:t>
      </w:r>
      <w:r>
        <w:rPr>
          <w:rFonts w:ascii="Bookman Old Style" w:eastAsia="Calibri" w:hAnsi="Bookman Old Style" w:cs="Times New Roman"/>
          <w:bCs/>
          <w:sz w:val="19"/>
          <w:szCs w:val="19"/>
        </w:rPr>
        <w:t xml:space="preserve"> 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 </w:t>
      </w:r>
    </w:p>
    <w:p w14:paraId="0EC3F4B9"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
          <w:bCs/>
          <w:sz w:val="19"/>
          <w:szCs w:val="19"/>
        </w:rPr>
        <w:t>11.2.</w:t>
      </w:r>
      <w:r>
        <w:rPr>
          <w:rFonts w:ascii="Bookman Old Style" w:eastAsia="Calibri" w:hAnsi="Bookman Old Style" w:cs="Times New Roman"/>
          <w:bCs/>
          <w:sz w:val="19"/>
          <w:szCs w:val="19"/>
        </w:rPr>
        <w:t xml:space="preserve"> No caso de adjudicação por preço global de grupo de itens, só será admitida a contratação de parte de itens do grupo se houver prévia pesquisa de mercado e demonstração de sua vantagem para o órgão ou a entidade. </w:t>
      </w:r>
    </w:p>
    <w:p w14:paraId="0E9013D5"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 xml:space="preserve">Para firmeza e validade do pactuado, a presente Ata foi lavrada em 02 (duas) vias de igual teor, que, depois de lida e achada em ordem, foi assinada pelas partes. </w:t>
      </w:r>
    </w:p>
    <w:p w14:paraId="485595D0" w14:textId="77777777" w:rsidR="00380AFB" w:rsidRDefault="00380AFB">
      <w:pPr>
        <w:spacing w:line="276" w:lineRule="auto"/>
        <w:contextualSpacing/>
        <w:jc w:val="both"/>
        <w:rPr>
          <w:rFonts w:ascii="Bookman Old Style" w:eastAsia="Calibri" w:hAnsi="Bookman Old Style" w:cs="Times New Roman"/>
          <w:bCs/>
          <w:sz w:val="19"/>
          <w:szCs w:val="19"/>
        </w:rPr>
      </w:pPr>
    </w:p>
    <w:p w14:paraId="166138B0"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Data e Local:</w:t>
      </w:r>
    </w:p>
    <w:p w14:paraId="2AC86F89" w14:textId="77777777" w:rsidR="00380AFB" w:rsidRDefault="00380AFB">
      <w:pPr>
        <w:spacing w:line="276" w:lineRule="auto"/>
        <w:contextualSpacing/>
        <w:jc w:val="both"/>
        <w:rPr>
          <w:rFonts w:ascii="Bookman Old Style" w:eastAsia="Calibri" w:hAnsi="Bookman Old Style" w:cs="Times New Roman"/>
          <w:bCs/>
          <w:sz w:val="19"/>
          <w:szCs w:val="19"/>
        </w:rPr>
      </w:pPr>
    </w:p>
    <w:p w14:paraId="666BAC11"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Assinatura do Fornecedor</w:t>
      </w:r>
    </w:p>
    <w:p w14:paraId="4BB4E516" w14:textId="77777777" w:rsidR="00380AFB" w:rsidRDefault="00380AFB">
      <w:pPr>
        <w:spacing w:line="276" w:lineRule="auto"/>
        <w:contextualSpacing/>
        <w:jc w:val="both"/>
        <w:rPr>
          <w:rFonts w:ascii="Bookman Old Style" w:eastAsia="Calibri" w:hAnsi="Bookman Old Style" w:cs="Times New Roman"/>
          <w:bCs/>
          <w:sz w:val="19"/>
          <w:szCs w:val="19"/>
        </w:rPr>
      </w:pPr>
    </w:p>
    <w:p w14:paraId="75C55FD2" w14:textId="77777777" w:rsidR="00380AFB" w:rsidRDefault="00000000">
      <w:pPr>
        <w:spacing w:line="276" w:lineRule="auto"/>
        <w:contextualSpacing/>
        <w:jc w:val="both"/>
        <w:rPr>
          <w:rFonts w:ascii="Bookman Old Style" w:eastAsia="Calibri" w:hAnsi="Bookman Old Style" w:cs="Times New Roman"/>
          <w:bCs/>
          <w:sz w:val="19"/>
          <w:szCs w:val="19"/>
        </w:rPr>
      </w:pPr>
      <w:r>
        <w:rPr>
          <w:rFonts w:ascii="Bookman Old Style" w:eastAsia="Calibri" w:hAnsi="Bookman Old Style" w:cs="Times New Roman"/>
          <w:bCs/>
          <w:sz w:val="19"/>
          <w:szCs w:val="19"/>
        </w:rPr>
        <w:t>Assinatura do Prefeito Municipal</w:t>
      </w:r>
    </w:p>
    <w:sectPr w:rsidR="00380AFB">
      <w:headerReference w:type="default" r:id="rId30"/>
      <w:footerReference w:type="default" r:id="rId31"/>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7C6AD" w14:textId="77777777" w:rsidR="00980C87" w:rsidRDefault="00980C87">
      <w:pPr>
        <w:spacing w:after="0" w:line="240" w:lineRule="auto"/>
      </w:pPr>
      <w:r>
        <w:separator/>
      </w:r>
    </w:p>
  </w:endnote>
  <w:endnote w:type="continuationSeparator" w:id="0">
    <w:p w14:paraId="5A8860C9" w14:textId="77777777" w:rsidR="00980C87" w:rsidRDefault="00980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Serif-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5734406"/>
      <w:docPartObj>
        <w:docPartGallery w:val="Page Numbers (Bottom of Page)"/>
        <w:docPartUnique/>
      </w:docPartObj>
    </w:sdtPr>
    <w:sdtEndPr>
      <w:rPr>
        <w:rFonts w:ascii="Bookman Old Style" w:hAnsi="Bookman Old Style"/>
        <w:sz w:val="18"/>
        <w:szCs w:val="18"/>
      </w:rPr>
    </w:sdtEndPr>
    <w:sdtContent>
      <w:p w14:paraId="5BA68941" w14:textId="77777777" w:rsidR="00380AFB" w:rsidRDefault="00000000">
        <w:pPr>
          <w:pStyle w:val="Rodap"/>
          <w:jc w:val="right"/>
          <w:rPr>
            <w:rFonts w:ascii="Bookman Old Style" w:hAnsi="Bookman Old Style"/>
            <w:sz w:val="18"/>
            <w:szCs w:val="18"/>
          </w:rPr>
        </w:pPr>
        <w:r>
          <w:rPr>
            <w:rFonts w:ascii="Bookman Old Style" w:hAnsi="Bookman Old Style"/>
            <w:sz w:val="18"/>
            <w:szCs w:val="18"/>
          </w:rPr>
          <w:fldChar w:fldCharType="begin"/>
        </w:r>
        <w:r>
          <w:rPr>
            <w:rFonts w:ascii="Bookman Old Style" w:hAnsi="Bookman Old Style"/>
            <w:sz w:val="18"/>
            <w:szCs w:val="18"/>
          </w:rPr>
          <w:instrText>PAGE   \* MERGEFORMAT</w:instrText>
        </w:r>
        <w:r>
          <w:rPr>
            <w:rFonts w:ascii="Bookman Old Style" w:hAnsi="Bookman Old Style"/>
            <w:sz w:val="18"/>
            <w:szCs w:val="18"/>
          </w:rPr>
          <w:fldChar w:fldCharType="separate"/>
        </w:r>
        <w:r>
          <w:rPr>
            <w:rFonts w:ascii="Bookman Old Style" w:hAnsi="Bookman Old Style"/>
            <w:noProof/>
            <w:sz w:val="18"/>
            <w:szCs w:val="18"/>
          </w:rPr>
          <w:t>43</w:t>
        </w:r>
        <w:r>
          <w:rPr>
            <w:rFonts w:ascii="Bookman Old Style" w:hAnsi="Bookman Old Style"/>
            <w:sz w:val="18"/>
            <w:szCs w:val="18"/>
          </w:rPr>
          <w:fldChar w:fldCharType="end"/>
        </w:r>
      </w:p>
    </w:sdtContent>
  </w:sdt>
  <w:p w14:paraId="1EEC58C8" w14:textId="77777777" w:rsidR="00380AFB" w:rsidRDefault="00380AF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D4EB8" w14:textId="77777777" w:rsidR="00980C87" w:rsidRDefault="00980C87">
      <w:pPr>
        <w:spacing w:after="0" w:line="240" w:lineRule="auto"/>
      </w:pPr>
      <w:r>
        <w:separator/>
      </w:r>
    </w:p>
  </w:footnote>
  <w:footnote w:type="continuationSeparator" w:id="0">
    <w:p w14:paraId="4903EBD7" w14:textId="77777777" w:rsidR="00980C87" w:rsidRDefault="00980C87">
      <w:pPr>
        <w:spacing w:after="0" w:line="240" w:lineRule="auto"/>
      </w:pPr>
      <w:r>
        <w:continuationSeparator/>
      </w:r>
    </w:p>
  </w:footnote>
  <w:footnote w:id="1">
    <w:p w14:paraId="43DB75B1" w14:textId="77777777" w:rsidR="00380AFB" w:rsidRDefault="00000000">
      <w:pPr>
        <w:pStyle w:val="Textodenotaderodap"/>
        <w:jc w:val="both"/>
      </w:pPr>
      <w:r>
        <w:rPr>
          <w:rStyle w:val="Refdenotaderodap"/>
        </w:rPr>
        <w:footnoteRef/>
      </w:r>
      <w:r>
        <w:rPr>
          <w:sz w:val="16"/>
        </w:rPr>
        <w:t xml:space="preserve"> </w:t>
      </w:r>
      <w:r>
        <w:rPr>
          <w:b/>
          <w:sz w:val="16"/>
        </w:rPr>
        <w:t>NOTA EXPLICATIVA:</w:t>
      </w:r>
      <w:r>
        <w:rPr>
          <w:sz w:val="16"/>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footnote>
  <w:footnote w:id="2">
    <w:p w14:paraId="553ED8C9" w14:textId="77777777" w:rsidR="00380AFB" w:rsidRDefault="00000000">
      <w:pPr>
        <w:pStyle w:val="Textodenotaderodap"/>
        <w:jc w:val="both"/>
      </w:pPr>
      <w:r>
        <w:rPr>
          <w:rStyle w:val="Refdenotaderodap"/>
        </w:rPr>
        <w:footnoteRef/>
      </w:r>
      <w:r>
        <w:rPr>
          <w:sz w:val="16"/>
        </w:rPr>
        <w:t xml:space="preserve"> </w:t>
      </w:r>
      <w:r>
        <w:rPr>
          <w:b/>
          <w:sz w:val="16"/>
        </w:rPr>
        <w:t>NOTA EXPLICATIVA:</w:t>
      </w:r>
      <w:r>
        <w:rPr>
          <w:sz w:val="16"/>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39B88" w14:textId="77777777" w:rsidR="00380AFB" w:rsidRDefault="00000000">
    <w:pPr>
      <w:pStyle w:val="Cabealho"/>
      <w:tabs>
        <w:tab w:val="right" w:pos="8364"/>
      </w:tabs>
      <w:ind w:left="851"/>
      <w:rPr>
        <w:rFonts w:ascii="Arial" w:hAnsi="Arial"/>
        <w:b/>
        <w:color w:val="1F4E79" w:themeColor="accent1" w:themeShade="80"/>
        <w:sz w:val="32"/>
        <w:szCs w:val="32"/>
        <w:u w:val="single"/>
      </w:rPr>
    </w:pPr>
    <w:r>
      <w:rPr>
        <w:rFonts w:ascii="Times New Roman" w:hAnsi="Times New Roman" w:cs="Times New Roman"/>
        <w:b/>
        <w:noProof/>
        <w:color w:val="1F4E79" w:themeColor="accent1" w:themeShade="80"/>
        <w:sz w:val="32"/>
        <w:szCs w:val="32"/>
        <w:u w:val="single"/>
        <w:lang w:eastAsia="pt-BR"/>
      </w:rPr>
      <w:drawing>
        <wp:anchor distT="0" distB="0" distL="114300" distR="114300" simplePos="0" relativeHeight="251659264" behindDoc="0" locked="0" layoutInCell="1" allowOverlap="1" wp14:anchorId="1B064FEF" wp14:editId="5C353C52">
          <wp:simplePos x="0" y="0"/>
          <wp:positionH relativeFrom="column">
            <wp:posOffset>-614680</wp:posOffset>
          </wp:positionH>
          <wp:positionV relativeFrom="paragraph">
            <wp:posOffset>-297815</wp:posOffset>
          </wp:positionV>
          <wp:extent cx="1105535" cy="10572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553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color w:val="1F4E79" w:themeColor="accent1" w:themeShade="80"/>
        <w:lang w:eastAsia="pt-BR"/>
      </w:rPr>
      <w:drawing>
        <wp:anchor distT="0" distB="0" distL="114300" distR="114300" simplePos="0" relativeHeight="251660288" behindDoc="0" locked="0" layoutInCell="1" allowOverlap="1" wp14:anchorId="0157EDFC" wp14:editId="25518802">
          <wp:simplePos x="0" y="0"/>
          <wp:positionH relativeFrom="column">
            <wp:posOffset>5088890</wp:posOffset>
          </wp:positionH>
          <wp:positionV relativeFrom="paragraph">
            <wp:posOffset>-341630</wp:posOffset>
          </wp:positionV>
          <wp:extent cx="843280" cy="11049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328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color w:val="1F4E79" w:themeColor="accent1" w:themeShade="80"/>
        <w:sz w:val="32"/>
        <w:szCs w:val="32"/>
        <w:u w:val="single"/>
      </w:rPr>
      <w:t>PREFEITURA MUNICIPAL DE MARAVILHAS</w:t>
    </w:r>
  </w:p>
  <w:p w14:paraId="62B29628" w14:textId="77777777" w:rsidR="00380AFB" w:rsidRDefault="00000000">
    <w:pPr>
      <w:pStyle w:val="Cabealho"/>
      <w:tabs>
        <w:tab w:val="clear" w:pos="4252"/>
        <w:tab w:val="center" w:pos="3686"/>
      </w:tabs>
      <w:jc w:val="center"/>
      <w:rPr>
        <w:rFonts w:ascii="Arial" w:hAnsi="Arial"/>
        <w:color w:val="1F4E79" w:themeColor="accent1" w:themeShade="80"/>
      </w:rPr>
    </w:pPr>
    <w:r>
      <w:rPr>
        <w:rFonts w:ascii="Arial" w:hAnsi="Arial"/>
        <w:color w:val="1F4E79" w:themeColor="accent1" w:themeShade="80"/>
      </w:rPr>
      <w:t>Avenida Brasil, nº 33, Centro, Maravilhas – MG.</w:t>
    </w:r>
  </w:p>
  <w:p w14:paraId="78376FFE" w14:textId="77777777" w:rsidR="00380AFB" w:rsidRDefault="00000000">
    <w:pPr>
      <w:pStyle w:val="Cabealho"/>
      <w:ind w:left="426"/>
      <w:jc w:val="center"/>
      <w:rPr>
        <w:rFonts w:ascii="Arial" w:hAnsi="Arial"/>
        <w:color w:val="1F4E79" w:themeColor="accent1" w:themeShade="80"/>
        <w:lang w:val="en-US"/>
      </w:rPr>
    </w:pPr>
    <w:r>
      <w:rPr>
        <w:rFonts w:ascii="Arial" w:hAnsi="Arial"/>
        <w:color w:val="1F4E79" w:themeColor="accent1" w:themeShade="80"/>
        <w:lang w:val="en-US"/>
      </w:rPr>
      <w:t>Tel: (37) 3272-1155 - Email: gabinete@maravilhas.mg.gov.br</w:t>
    </w:r>
  </w:p>
  <w:p w14:paraId="01D05FF5" w14:textId="77777777" w:rsidR="00380AFB" w:rsidRDefault="00000000">
    <w:pPr>
      <w:pStyle w:val="Cabealho"/>
      <w:ind w:left="426"/>
      <w:jc w:val="center"/>
      <w:rPr>
        <w:rFonts w:ascii="Arial" w:hAnsi="Arial"/>
        <w:color w:val="1F4E79" w:themeColor="accent1" w:themeShade="80"/>
      </w:rPr>
    </w:pPr>
    <w:r>
      <w:rPr>
        <w:rFonts w:ascii="Arial" w:hAnsi="Arial"/>
        <w:color w:val="1F4E79" w:themeColor="accent1" w:themeShade="80"/>
      </w:rPr>
      <w:t>CEP 35.666-000 - CNPJ 18.313.841/0001-14</w:t>
    </w:r>
  </w:p>
  <w:p w14:paraId="31FDF712" w14:textId="77777777" w:rsidR="00380AFB" w:rsidRDefault="00380AFB">
    <w:pPr>
      <w:pStyle w:val="Cabealho"/>
      <w:ind w:left="426"/>
      <w:jc w:val="center"/>
      <w:rPr>
        <w:rFonts w:ascii="Arial" w:hAnsi="Arial"/>
        <w:color w:val="1F4E79" w:themeColor="accent1" w:themeShade="80"/>
      </w:rPr>
    </w:pPr>
  </w:p>
  <w:p w14:paraId="76FC48CD" w14:textId="77777777" w:rsidR="00380AFB" w:rsidRDefault="00380AFB">
    <w:pPr>
      <w:pStyle w:val="Cabealho"/>
      <w:ind w:left="426"/>
      <w:jc w:val="center"/>
      <w:rPr>
        <w:rFonts w:ascii="Arial" w:hAnsi="Arial"/>
        <w:color w:val="1F4E79"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01E5"/>
    <w:multiLevelType w:val="multilevel"/>
    <w:tmpl w:val="AD4487F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55030D"/>
    <w:multiLevelType w:val="hybridMultilevel"/>
    <w:tmpl w:val="90B054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5195F4A"/>
    <w:multiLevelType w:val="multilevel"/>
    <w:tmpl w:val="EEDC33D4"/>
    <w:lvl w:ilvl="0">
      <w:start w:val="1"/>
      <w:numFmt w:val="decimal"/>
      <w:lvlText w:val="%1."/>
      <w:lvlJc w:val="left"/>
      <w:pPr>
        <w:ind w:left="360" w:hanging="360"/>
      </w:pPr>
      <w:rPr>
        <w:b/>
      </w:rPr>
    </w:lvl>
    <w:lvl w:ilvl="1">
      <w:start w:val="1"/>
      <w:numFmt w:val="decimal"/>
      <w:lvlText w:val="%1.%2."/>
      <w:lvlJc w:val="left"/>
      <w:pPr>
        <w:ind w:left="574" w:hanging="432"/>
      </w:pPr>
      <w:rPr>
        <w:rFonts w:ascii="Book Antiqua" w:hAnsi="Book Antiqua" w:cs="Arial" w:hint="default"/>
        <w:b w:val="0"/>
        <w:i w:val="0"/>
        <w:strike w:val="0"/>
        <w:color w:val="000000"/>
        <w:sz w:val="22"/>
        <w:szCs w:val="22"/>
        <w:u w:val="none"/>
      </w:rPr>
    </w:lvl>
    <w:lvl w:ilvl="2">
      <w:start w:val="1"/>
      <w:numFmt w:val="decimal"/>
      <w:lvlText w:val="%1.%2.%3."/>
      <w:lvlJc w:val="left"/>
      <w:pPr>
        <w:ind w:left="929" w:hanging="503"/>
      </w:pPr>
      <w:rPr>
        <w:rFonts w:ascii="Book Antiqua" w:eastAsia="Arial" w:hAnsi="Book Antiqua" w:cs="Arial" w:hint="default"/>
        <w:b w:val="0"/>
        <w:i w:val="0"/>
        <w:strike w:val="0"/>
        <w:color w:val="000000"/>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4" w15:restartNumberingAfterBreak="0">
    <w:nsid w:val="4A0A1BE1"/>
    <w:multiLevelType w:val="multilevel"/>
    <w:tmpl w:val="D07A67CC"/>
    <w:lvl w:ilvl="0">
      <w:start w:val="7"/>
      <w:numFmt w:val="decimal"/>
      <w:lvlText w:val="%1."/>
      <w:lvlJc w:val="left"/>
      <w:pPr>
        <w:ind w:left="540" w:hanging="54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3414" w:hanging="720"/>
      </w:pPr>
      <w:rPr>
        <w:rFonts w:hint="default"/>
        <w:b w:val="0"/>
      </w:rPr>
    </w:lvl>
    <w:lvl w:ilvl="3">
      <w:start w:val="1"/>
      <w:numFmt w:val="decimal"/>
      <w:lvlText w:val="%1.%2.%3.%4."/>
      <w:lvlJc w:val="left"/>
      <w:pPr>
        <w:ind w:left="5121" w:hanging="108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8175" w:hanging="144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1229" w:hanging="1800"/>
      </w:pPr>
      <w:rPr>
        <w:rFonts w:hint="default"/>
      </w:rPr>
    </w:lvl>
    <w:lvl w:ilvl="8">
      <w:start w:val="1"/>
      <w:numFmt w:val="decimal"/>
      <w:lvlText w:val="%1.%2.%3.%4.%5.%6.%7.%8.%9."/>
      <w:lvlJc w:val="left"/>
      <w:pPr>
        <w:ind w:left="12576" w:hanging="1800"/>
      </w:pPr>
      <w:rPr>
        <w:rFonts w:hint="default"/>
      </w:rPr>
    </w:lvl>
  </w:abstractNum>
  <w:abstractNum w:abstractNumId="5" w15:restartNumberingAfterBreak="0">
    <w:nsid w:val="613F0AF7"/>
    <w:multiLevelType w:val="multilevel"/>
    <w:tmpl w:val="8CC869A0"/>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4997313"/>
    <w:multiLevelType w:val="hybridMultilevel"/>
    <w:tmpl w:val="CA48B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979744A"/>
    <w:multiLevelType w:val="hybridMultilevel"/>
    <w:tmpl w:val="EB060BAC"/>
    <w:lvl w:ilvl="0" w:tplc="19D670AC">
      <w:numFmt w:val="bullet"/>
      <w:lvlText w:val="•"/>
      <w:lvlJc w:val="left"/>
      <w:pPr>
        <w:ind w:left="720" w:hanging="360"/>
      </w:pPr>
      <w:rPr>
        <w:rFonts w:ascii="Bookman Old Style" w:eastAsia="Calibri" w:hAnsi="Bookman Old Style"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68309719">
    <w:abstractNumId w:val="0"/>
  </w:num>
  <w:num w:numId="2" w16cid:durableId="1740518814">
    <w:abstractNumId w:val="6"/>
  </w:num>
  <w:num w:numId="3" w16cid:durableId="511723229">
    <w:abstractNumId w:val="1"/>
  </w:num>
  <w:num w:numId="4" w16cid:durableId="1044869834">
    <w:abstractNumId w:val="7"/>
  </w:num>
  <w:num w:numId="5" w16cid:durableId="14312550">
    <w:abstractNumId w:val="2"/>
  </w:num>
  <w:num w:numId="6" w16cid:durableId="799031484">
    <w:abstractNumId w:val="3"/>
  </w:num>
  <w:num w:numId="7" w16cid:durableId="1683966716">
    <w:abstractNumId w:val="4"/>
  </w:num>
  <w:num w:numId="8" w16cid:durableId="17012726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AFB"/>
    <w:rsid w:val="00132FED"/>
    <w:rsid w:val="002D52FC"/>
    <w:rsid w:val="00380AFB"/>
    <w:rsid w:val="003E0265"/>
    <w:rsid w:val="00980C87"/>
    <w:rsid w:val="0098554B"/>
    <w:rsid w:val="00BC2FB6"/>
    <w:rsid w:val="00C91996"/>
    <w:rsid w:val="00EF46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79DBF"/>
  <w15:docId w15:val="{2EC91081-E69F-4C56-933D-99CC6A070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 w:type="paragraph" w:customStyle="1" w:styleId="Default">
    <w:name w:val="Default"/>
    <w:qFormat/>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Pr>
      <w:color w:val="0563C1" w:themeColor="hyperlink"/>
      <w:u w:val="single"/>
    </w:rPr>
  </w:style>
  <w:style w:type="paragraph" w:styleId="PargrafodaLista">
    <w:name w:val="List Paragraph"/>
    <w:aliases w:val="TÍTULO,List I Paragraph,Lista Paragrafo em Preto,Texto,Marcadores PDTI,parágrafos recuados 1 (letras),Segundo,Ítens de Lista"/>
    <w:basedOn w:val="Normal"/>
    <w:link w:val="PargrafodaListaChar"/>
    <w:uiPriority w:val="1"/>
    <w:qFormat/>
    <w:pPr>
      <w:ind w:left="720"/>
      <w:contextualSpacing/>
    </w:p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customStyle="1" w:styleId="WW-Padro">
    <w:name w:val="WW-Padrão"/>
    <w:link w:val="WW-PadroChar"/>
    <w:uiPriority w:val="99"/>
    <w:qFormat/>
    <w:pPr>
      <w:suppressAutoHyphens/>
      <w:spacing w:after="0" w:line="240" w:lineRule="auto"/>
    </w:pPr>
    <w:rPr>
      <w:rFonts w:ascii="Times New Roman" w:eastAsia="Times New Roman" w:hAnsi="Times New Roman" w:cs="Times New Roman"/>
      <w:sz w:val="24"/>
      <w:szCs w:val="20"/>
      <w:lang w:eastAsia="ar-SA"/>
    </w:rPr>
  </w:style>
  <w:style w:type="character" w:customStyle="1" w:styleId="WW-PadroChar">
    <w:name w:val="WW-Padrão Char"/>
    <w:link w:val="WW-Padro"/>
    <w:rPr>
      <w:rFonts w:ascii="Times New Roman" w:eastAsia="Times New Roman" w:hAnsi="Times New Roman" w:cs="Times New Roman"/>
      <w:sz w:val="24"/>
      <w:szCs w:val="20"/>
      <w:lang w:eastAsia="ar-SA"/>
    </w:rPr>
  </w:style>
  <w:style w:type="character" w:customStyle="1" w:styleId="MenoPendente1">
    <w:name w:val="Menção Pendente1"/>
    <w:basedOn w:val="Fontepargpadro"/>
    <w:uiPriority w:val="99"/>
    <w:semiHidden/>
    <w:unhideWhenUsed/>
    <w:rPr>
      <w:color w:val="605E5C"/>
      <w:shd w:val="clear" w:color="auto" w:fill="E1DFDD"/>
    </w:rPr>
  </w:style>
  <w:style w:type="paragraph" w:styleId="SemEspaamento">
    <w:name w:val="No Spacing"/>
    <w:uiPriority w:val="1"/>
    <w:qFormat/>
    <w:pPr>
      <w:spacing w:after="0" w:line="240" w:lineRule="auto"/>
    </w:pPr>
  </w:style>
  <w:style w:type="paragraph" w:styleId="Corpodetexto">
    <w:name w:val="Body Text"/>
    <w:basedOn w:val="Normal"/>
    <w:link w:val="CorpodetextoChar"/>
    <w:semiHidden/>
    <w:pPr>
      <w:widowControl w:val="0"/>
      <w:suppressAutoHyphens/>
      <w:spacing w:after="0" w:line="360" w:lineRule="auto"/>
      <w:jc w:val="both"/>
    </w:pPr>
    <w:rPr>
      <w:rFonts w:ascii="Verdana" w:eastAsia="Arial Unicode MS" w:hAnsi="Verdana" w:cs="Times New Roman"/>
      <w:color w:val="000000"/>
      <w:sz w:val="24"/>
      <w:szCs w:val="20"/>
      <w:lang w:val="x-none" w:eastAsia="x-none"/>
    </w:rPr>
  </w:style>
  <w:style w:type="character" w:customStyle="1" w:styleId="CorpodetextoChar">
    <w:name w:val="Corpo de texto Char"/>
    <w:basedOn w:val="Fontepargpadro"/>
    <w:link w:val="Corpodetexto"/>
    <w:semiHidden/>
    <w:rPr>
      <w:rFonts w:ascii="Verdana" w:eastAsia="Arial Unicode MS" w:hAnsi="Verdana" w:cs="Times New Roman"/>
      <w:color w:val="000000"/>
      <w:sz w:val="24"/>
      <w:szCs w:val="20"/>
      <w:lang w:val="x-none" w:eastAsia="x-none"/>
    </w:rPr>
  </w:style>
  <w:style w:type="paragraph" w:customStyle="1" w:styleId="Standard">
    <w:name w:val="Standard"/>
    <w:qFormat/>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PargrafodaListaChar">
    <w:name w:val="Parágrafo da Lista Char"/>
    <w:aliases w:val="TÍTULO Char,List I Paragraph Char,Lista Paragrafo em Preto Char,Texto Char,Marcadores PDTI Char,parágrafos recuados 1 (letras) Char,Segundo Char,Ítens de Lista Char"/>
    <w:link w:val="PargrafodaLista"/>
    <w:uiPriority w:val="1"/>
    <w:qFormat/>
    <w:lock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14073">
      <w:bodyDiv w:val="1"/>
      <w:marLeft w:val="0"/>
      <w:marRight w:val="0"/>
      <w:marTop w:val="0"/>
      <w:marBottom w:val="0"/>
      <w:divBdr>
        <w:top w:val="none" w:sz="0" w:space="0" w:color="auto"/>
        <w:left w:val="none" w:sz="0" w:space="0" w:color="auto"/>
        <w:bottom w:val="none" w:sz="0" w:space="0" w:color="auto"/>
        <w:right w:val="none" w:sz="0" w:space="0" w:color="auto"/>
      </w:divBdr>
    </w:div>
    <w:div w:id="393043233">
      <w:bodyDiv w:val="1"/>
      <w:marLeft w:val="0"/>
      <w:marRight w:val="0"/>
      <w:marTop w:val="0"/>
      <w:marBottom w:val="0"/>
      <w:divBdr>
        <w:top w:val="none" w:sz="0" w:space="0" w:color="auto"/>
        <w:left w:val="none" w:sz="0" w:space="0" w:color="auto"/>
        <w:bottom w:val="none" w:sz="0" w:space="0" w:color="auto"/>
        <w:right w:val="none" w:sz="0" w:space="0" w:color="auto"/>
      </w:divBdr>
    </w:div>
    <w:div w:id="558130295">
      <w:bodyDiv w:val="1"/>
      <w:marLeft w:val="0"/>
      <w:marRight w:val="0"/>
      <w:marTop w:val="0"/>
      <w:marBottom w:val="0"/>
      <w:divBdr>
        <w:top w:val="none" w:sz="0" w:space="0" w:color="auto"/>
        <w:left w:val="none" w:sz="0" w:space="0" w:color="auto"/>
        <w:bottom w:val="none" w:sz="0" w:space="0" w:color="auto"/>
        <w:right w:val="none" w:sz="0" w:space="0" w:color="auto"/>
      </w:divBdr>
    </w:div>
    <w:div w:id="1326086198">
      <w:bodyDiv w:val="1"/>
      <w:marLeft w:val="0"/>
      <w:marRight w:val="0"/>
      <w:marTop w:val="0"/>
      <w:marBottom w:val="0"/>
      <w:divBdr>
        <w:top w:val="none" w:sz="0" w:space="0" w:color="auto"/>
        <w:left w:val="none" w:sz="0" w:space="0" w:color="auto"/>
        <w:bottom w:val="none" w:sz="0" w:space="0" w:color="auto"/>
        <w:right w:val="none" w:sz="0" w:space="0" w:color="auto"/>
      </w:divBdr>
    </w:div>
    <w:div w:id="209469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r.digital/e" TargetMode="External"/><Relationship Id="rId18" Type="http://schemas.openxmlformats.org/officeDocument/2006/relationships/hyperlink" Target="https://licitar.digital/e"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mailto:licitacao@maravilhas.g.gov.br" TargetMode="External"/><Relationship Id="rId7" Type="http://schemas.openxmlformats.org/officeDocument/2006/relationships/endnotes" Target="endnotes.xml"/><Relationship Id="rId12" Type="http://schemas.openxmlformats.org/officeDocument/2006/relationships/hyperlink" Target="https://ilai.memory.com.br/" TargetMode="External"/><Relationship Id="rId17" Type="http://schemas.openxmlformats.org/officeDocument/2006/relationships/hyperlink" Target="https://licitar.digital/e"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citar.digital/e" TargetMode="External"/><Relationship Id="rId20" Type="http://schemas.openxmlformats.org/officeDocument/2006/relationships/hyperlink" Target="https://licitar.digital/e" TargetMode="External"/><Relationship Id="rId29"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maravilhas.mg.gov.br" TargetMode="External"/><Relationship Id="rId23" Type="http://schemas.openxmlformats.org/officeDocument/2006/relationships/hyperlink" Target="mailto:licitacao@maravilhas.mg.gov.br"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ilai.memory.com.br/" TargetMode="External"/><Relationship Id="rId19" Type="http://schemas.openxmlformats.org/officeDocument/2006/relationships/hyperlink" Target="https://licitar.digital/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citar.digital/e" TargetMode="External"/><Relationship Id="rId14" Type="http://schemas.openxmlformats.org/officeDocument/2006/relationships/hyperlink" Target="mailto:licitacao@maravilhas.mg.gov.br" TargetMode="External"/><Relationship Id="rId22" Type="http://schemas.openxmlformats.org/officeDocument/2006/relationships/hyperlink" Target="https://licitar.digital/e"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s://licitar.digit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668BA-15BA-48A2-B14A-FB60965FF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17823</Words>
  <Characters>96248</Characters>
  <Application>Microsoft Office Word</Application>
  <DocSecurity>0</DocSecurity>
  <Lines>802</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Souza e Lacerda</dc:creator>
  <cp:lastModifiedBy>Cliente</cp:lastModifiedBy>
  <cp:revision>4</cp:revision>
  <dcterms:created xsi:type="dcterms:W3CDTF">2025-06-23T11:20:00Z</dcterms:created>
  <dcterms:modified xsi:type="dcterms:W3CDTF">2025-06-23T13:02:00Z</dcterms:modified>
</cp:coreProperties>
</file>