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C8E19" w14:textId="4CB67F58" w:rsidR="00EA5804" w:rsidRPr="00123A97" w:rsidRDefault="00EA5804" w:rsidP="00EA5804">
      <w:pPr>
        <w:pStyle w:val="corpo"/>
        <w:jc w:val="center"/>
        <w:rPr>
          <w:rFonts w:ascii="Bookman Old Style" w:hAnsi="Bookman Old Style"/>
          <w:b/>
          <w:sz w:val="22"/>
          <w:szCs w:val="22"/>
        </w:rPr>
      </w:pPr>
      <w:r w:rsidRPr="00123A97">
        <w:rPr>
          <w:rFonts w:ascii="Bookman Old Style" w:hAnsi="Bookman Old Style"/>
          <w:b/>
          <w:sz w:val="22"/>
          <w:szCs w:val="22"/>
        </w:rPr>
        <w:t xml:space="preserve">PROCESSO ADMINISTRATIVO Nº </w:t>
      </w:r>
      <w:r w:rsidR="009756BD">
        <w:rPr>
          <w:rFonts w:ascii="Bookman Old Style" w:hAnsi="Bookman Old Style"/>
          <w:b/>
          <w:sz w:val="22"/>
          <w:szCs w:val="22"/>
        </w:rPr>
        <w:t>04</w:t>
      </w:r>
      <w:r w:rsidR="001C752E">
        <w:rPr>
          <w:rFonts w:ascii="Bookman Old Style" w:hAnsi="Bookman Old Style"/>
          <w:b/>
          <w:sz w:val="22"/>
          <w:szCs w:val="22"/>
        </w:rPr>
        <w:t>9</w:t>
      </w:r>
      <w:r w:rsidRPr="00123A97">
        <w:rPr>
          <w:rFonts w:ascii="Bookman Old Style" w:hAnsi="Bookman Old Style"/>
          <w:b/>
          <w:sz w:val="22"/>
          <w:szCs w:val="22"/>
        </w:rPr>
        <w:t>/2024</w:t>
      </w:r>
      <w:r w:rsidRPr="00123A97">
        <w:rPr>
          <w:rFonts w:ascii="Bookman Old Style" w:hAnsi="Bookman Old Style"/>
          <w:b/>
          <w:sz w:val="22"/>
          <w:szCs w:val="22"/>
        </w:rPr>
        <w:br/>
        <w:t xml:space="preserve">DISPENSA DE LICITAÇÃO Nº </w:t>
      </w:r>
      <w:r w:rsidR="009756BD">
        <w:rPr>
          <w:rFonts w:ascii="Bookman Old Style" w:hAnsi="Bookman Old Style"/>
          <w:b/>
          <w:sz w:val="22"/>
          <w:szCs w:val="22"/>
        </w:rPr>
        <w:t>0</w:t>
      </w:r>
      <w:r w:rsidR="001C752E">
        <w:rPr>
          <w:rFonts w:ascii="Bookman Old Style" w:hAnsi="Bookman Old Style"/>
          <w:b/>
          <w:sz w:val="22"/>
          <w:szCs w:val="22"/>
        </w:rPr>
        <w:t>8</w:t>
      </w:r>
      <w:r w:rsidRPr="00123A97">
        <w:rPr>
          <w:rFonts w:ascii="Bookman Old Style" w:hAnsi="Bookman Old Style"/>
          <w:b/>
          <w:sz w:val="22"/>
          <w:szCs w:val="22"/>
        </w:rPr>
        <w:t>/2024</w:t>
      </w:r>
      <w:r w:rsidRPr="00123A97">
        <w:rPr>
          <w:rFonts w:ascii="Bookman Old Style" w:hAnsi="Bookman Old Style"/>
          <w:b/>
          <w:sz w:val="22"/>
          <w:szCs w:val="22"/>
        </w:rPr>
        <w:br/>
        <w:t xml:space="preserve">FORMA ELETRÔNICA </w:t>
      </w:r>
      <w:r w:rsidRPr="00123A97">
        <w:rPr>
          <w:rFonts w:ascii="Bookman Old Style" w:hAnsi="Bookman Old Style"/>
          <w:b/>
          <w:sz w:val="22"/>
          <w:szCs w:val="22"/>
        </w:rPr>
        <w:br/>
        <w:t>AVISO DE CONTRATAÇÃO DIRETA</w:t>
      </w:r>
    </w:p>
    <w:p w14:paraId="28E43272" w14:textId="77777777" w:rsidR="00EA5804" w:rsidRDefault="00EA5804" w:rsidP="00C67296">
      <w:pPr>
        <w:pStyle w:val="corpo"/>
        <w:jc w:val="both"/>
        <w:rPr>
          <w:rFonts w:ascii="Bookman Old Style" w:hAnsi="Bookman Old Style"/>
          <w:sz w:val="22"/>
          <w:szCs w:val="22"/>
        </w:rPr>
      </w:pPr>
    </w:p>
    <w:p w14:paraId="56E189BB" w14:textId="107A5002" w:rsidR="00EA5804" w:rsidRDefault="007D7505" w:rsidP="00C67296">
      <w:pPr>
        <w:pStyle w:val="corpo"/>
        <w:jc w:val="both"/>
        <w:rPr>
          <w:rFonts w:ascii="Bookman Old Style" w:hAnsi="Bookman Old Style"/>
          <w:sz w:val="22"/>
          <w:szCs w:val="22"/>
        </w:rPr>
      </w:pPr>
      <w:r w:rsidRPr="00BB5C4E">
        <w:rPr>
          <w:rFonts w:ascii="Bookman Old Style" w:hAnsi="Bookman Old Style"/>
          <w:sz w:val="22"/>
          <w:szCs w:val="22"/>
        </w:rPr>
        <w:t xml:space="preserve">A PREFEITURA MUNICIPAL DE IPANEMA/MG, situada na </w:t>
      </w:r>
      <w:r w:rsidRPr="00BB5C4E">
        <w:rPr>
          <w:rFonts w:ascii="Bookman Old Style" w:hAnsi="Bookman Old Style" w:cs="Arial"/>
          <w:sz w:val="22"/>
          <w:szCs w:val="22"/>
        </w:rPr>
        <w:t xml:space="preserve">Avenida </w:t>
      </w:r>
      <w:r w:rsidR="00F94B87">
        <w:rPr>
          <w:rFonts w:ascii="Bookman Old Style" w:hAnsi="Bookman Old Style" w:cs="Arial"/>
          <w:sz w:val="22"/>
          <w:szCs w:val="22"/>
        </w:rPr>
        <w:t>Sete de Setembro</w:t>
      </w:r>
      <w:r w:rsidRPr="00BB5C4E">
        <w:rPr>
          <w:rFonts w:ascii="Bookman Old Style" w:hAnsi="Bookman Old Style" w:cs="Arial"/>
          <w:sz w:val="22"/>
          <w:szCs w:val="22"/>
        </w:rPr>
        <w:t xml:space="preserve">, n.º </w:t>
      </w:r>
      <w:r w:rsidR="00F94B87">
        <w:rPr>
          <w:rFonts w:ascii="Bookman Old Style" w:hAnsi="Bookman Old Style" w:cs="Arial"/>
          <w:sz w:val="22"/>
          <w:szCs w:val="22"/>
        </w:rPr>
        <w:t>751-A</w:t>
      </w:r>
      <w:r w:rsidRPr="00BB5C4E">
        <w:rPr>
          <w:rFonts w:ascii="Bookman Old Style" w:hAnsi="Bookman Old Style" w:cs="Arial"/>
          <w:sz w:val="22"/>
          <w:szCs w:val="22"/>
        </w:rPr>
        <w:t>, Centro, nesta cidade de Ipanema/MG, inscr</w:t>
      </w:r>
      <w:r w:rsidR="00F94B87">
        <w:rPr>
          <w:rFonts w:ascii="Bookman Old Style" w:hAnsi="Bookman Old Style" w:cs="Arial"/>
          <w:sz w:val="22"/>
          <w:szCs w:val="22"/>
        </w:rPr>
        <w:t>ito no CNPJ sob o n.º 18.334.292/0001-64</w:t>
      </w:r>
      <w:r w:rsidRPr="00BB5C4E">
        <w:rPr>
          <w:rFonts w:ascii="Bookman Old Style" w:hAnsi="Bookman Old Style"/>
          <w:sz w:val="22"/>
          <w:szCs w:val="22"/>
        </w:rPr>
        <w:t xml:space="preserve">, através do Prefeito Municipal, torna público a abertura do </w:t>
      </w:r>
      <w:r w:rsidR="00EA5804" w:rsidRPr="00BB5C4E">
        <w:rPr>
          <w:rFonts w:ascii="Bookman Old Style" w:hAnsi="Bookman Old Style"/>
          <w:sz w:val="22"/>
          <w:szCs w:val="22"/>
        </w:rPr>
        <w:t xml:space="preserve">Processo </w:t>
      </w:r>
      <w:r w:rsidR="00EA5804">
        <w:rPr>
          <w:rFonts w:ascii="Bookman Old Style" w:hAnsi="Bookman Old Style"/>
          <w:sz w:val="22"/>
          <w:szCs w:val="22"/>
        </w:rPr>
        <w:t>Administrativo em epigrafe, adotando-se como:</w:t>
      </w:r>
    </w:p>
    <w:p w14:paraId="23E0FCF9" w14:textId="74B1CBE6" w:rsidR="00EA5804" w:rsidRDefault="00EA5804" w:rsidP="00C67296">
      <w:pPr>
        <w:pStyle w:val="corpo"/>
        <w:jc w:val="both"/>
        <w:rPr>
          <w:rFonts w:ascii="Bookman Old Style" w:hAnsi="Bookman Old Style"/>
          <w:sz w:val="22"/>
          <w:szCs w:val="22"/>
        </w:rPr>
      </w:pPr>
      <w:r w:rsidRPr="009756BD">
        <w:rPr>
          <w:rFonts w:ascii="Bookman Old Style" w:hAnsi="Bookman Old Style"/>
          <w:sz w:val="22"/>
          <w:szCs w:val="22"/>
        </w:rPr>
        <w:t xml:space="preserve">FUNDAMENTAÇÃO LEGAL: Lei Federal nº 14.133/2021, Leis Complementares nº 123/2006 e 147/2014, Decreto Municipal nº </w:t>
      </w:r>
      <w:r w:rsidR="009756BD" w:rsidRPr="009756BD">
        <w:rPr>
          <w:rFonts w:ascii="Bookman Old Style" w:hAnsi="Bookman Old Style"/>
          <w:sz w:val="22"/>
          <w:szCs w:val="22"/>
        </w:rPr>
        <w:t>487</w:t>
      </w:r>
      <w:r w:rsidRPr="009756BD">
        <w:rPr>
          <w:rFonts w:ascii="Bookman Old Style" w:hAnsi="Bookman Old Style"/>
          <w:sz w:val="22"/>
          <w:szCs w:val="22"/>
        </w:rPr>
        <w:t>/2023</w:t>
      </w:r>
      <w:r w:rsidRPr="00EA5804">
        <w:rPr>
          <w:rFonts w:ascii="Bookman Old Style" w:hAnsi="Bookman Old Style"/>
          <w:sz w:val="22"/>
          <w:szCs w:val="22"/>
        </w:rPr>
        <w:t xml:space="preserve"> e demais condições fixadas neste instrumento.</w:t>
      </w:r>
    </w:p>
    <w:p w14:paraId="5E1EDF4B" w14:textId="51A7A56D" w:rsidR="007D7505" w:rsidRPr="007324C7" w:rsidRDefault="007D7505" w:rsidP="007D7505">
      <w:pPr>
        <w:jc w:val="both"/>
        <w:rPr>
          <w:rFonts w:ascii="Bookman Old Style" w:hAnsi="Bookman Old Style"/>
          <w:sz w:val="22"/>
          <w:szCs w:val="22"/>
        </w:rPr>
      </w:pPr>
      <w:r w:rsidRPr="007324C7">
        <w:rPr>
          <w:rFonts w:ascii="Bookman Old Style" w:hAnsi="Bookman Old Style"/>
          <w:sz w:val="22"/>
          <w:szCs w:val="22"/>
        </w:rPr>
        <w:t xml:space="preserve">O Edital fica disponível aos interessados no site </w:t>
      </w:r>
      <w:hyperlink r:id="rId8" w:history="1">
        <w:hyperlink r:id="rId9" w:history="1">
          <w:r w:rsidR="007324C7" w:rsidRPr="007324C7">
            <w:rPr>
              <w:rStyle w:val="Hyperlink"/>
              <w:rFonts w:ascii="Bookman Old Style" w:hAnsi="Bookman Old Style"/>
              <w:color w:val="auto"/>
              <w:sz w:val="22"/>
              <w:szCs w:val="22"/>
              <w:u w:val="none"/>
            </w:rPr>
            <w:t>www.ipanema.mg.gov.br</w:t>
          </w:r>
        </w:hyperlink>
        <w:r w:rsidR="00B7237A" w:rsidRPr="007324C7">
          <w:rPr>
            <w:rStyle w:val="Hyperlink"/>
            <w:rFonts w:ascii="Bookman Old Style" w:hAnsi="Bookman Old Style"/>
            <w:color w:val="auto"/>
            <w:sz w:val="22"/>
            <w:szCs w:val="22"/>
            <w:u w:val="none"/>
          </w:rPr>
          <w:t>/</w:t>
        </w:r>
      </w:hyperlink>
      <w:r w:rsidR="00B7237A" w:rsidRPr="007324C7">
        <w:rPr>
          <w:rFonts w:ascii="Bookman Old Style" w:hAnsi="Bookman Old Style"/>
          <w:sz w:val="22"/>
          <w:szCs w:val="22"/>
        </w:rPr>
        <w:t>,</w:t>
      </w:r>
      <w:r w:rsidRPr="007324C7">
        <w:rPr>
          <w:rFonts w:ascii="Bookman Old Style" w:hAnsi="Bookman Old Style"/>
          <w:sz w:val="22"/>
          <w:szCs w:val="22"/>
        </w:rPr>
        <w:t xml:space="preserve"> endereço </w:t>
      </w:r>
      <w:r w:rsidR="00B7237A" w:rsidRPr="007324C7">
        <w:rPr>
          <w:rFonts w:ascii="Bookman Old Style" w:hAnsi="Bookman Old Style"/>
          <w:sz w:val="22"/>
          <w:szCs w:val="22"/>
        </w:rPr>
        <w:t xml:space="preserve">eletrônico </w:t>
      </w:r>
      <w:hyperlink r:id="rId10" w:history="1">
        <w:r w:rsidR="00B7237A" w:rsidRPr="007324C7">
          <w:rPr>
            <w:rStyle w:val="Hyperlink"/>
            <w:rFonts w:ascii="Bookman Old Style" w:hAnsi="Bookman Old Style" w:cs="Arial"/>
            <w:color w:val="auto"/>
            <w:sz w:val="22"/>
            <w:szCs w:val="22"/>
            <w:u w:val="none"/>
          </w:rPr>
          <w:t>www.bbmnetlicitacoes.com.br</w:t>
        </w:r>
      </w:hyperlink>
      <w:r w:rsidRPr="007324C7">
        <w:rPr>
          <w:rFonts w:ascii="Bookman Old Style" w:hAnsi="Bookman Old Style"/>
          <w:sz w:val="22"/>
          <w:szCs w:val="22"/>
        </w:rPr>
        <w:t xml:space="preserve">, no Portal Nacional de Contratações Públicas (PNCP), poderá ser solicitado pelo e-mail: </w:t>
      </w:r>
      <w:r w:rsidR="007324C7" w:rsidRPr="007324C7">
        <w:rPr>
          <w:rFonts w:ascii="Bookman Old Style" w:hAnsi="Bookman Old Style"/>
          <w:sz w:val="22"/>
          <w:szCs w:val="22"/>
        </w:rPr>
        <w:t>licitacao@ipanema.mg.gov.br</w:t>
      </w:r>
      <w:r w:rsidR="00B7237A" w:rsidRPr="007324C7">
        <w:rPr>
          <w:rFonts w:ascii="Bookman Old Style" w:hAnsi="Bookman Old Style"/>
          <w:sz w:val="22"/>
          <w:szCs w:val="22"/>
        </w:rPr>
        <w:t>.</w:t>
      </w:r>
    </w:p>
    <w:p w14:paraId="01763F1A" w14:textId="0F9253E6"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9756BD">
        <w:rPr>
          <w:rFonts w:ascii="Bookman Old Style" w:hAnsi="Bookman Old Style" w:cs="Arial"/>
          <w:b/>
          <w:sz w:val="22"/>
          <w:szCs w:val="22"/>
          <w:u w:val="single"/>
        </w:rPr>
        <w:t>2</w:t>
      </w:r>
      <w:r w:rsidR="003C5894">
        <w:rPr>
          <w:rFonts w:ascii="Bookman Old Style" w:hAnsi="Bookman Old Style" w:cs="Arial"/>
          <w:b/>
          <w:sz w:val="22"/>
          <w:szCs w:val="22"/>
          <w:u w:val="single"/>
        </w:rPr>
        <w:t>9</w:t>
      </w:r>
      <w:r w:rsidRPr="00045CA8">
        <w:rPr>
          <w:rFonts w:ascii="Bookman Old Style" w:hAnsi="Bookman Old Style" w:cs="Arial"/>
          <w:b/>
          <w:sz w:val="22"/>
          <w:szCs w:val="22"/>
          <w:u w:val="single"/>
        </w:rPr>
        <w:t xml:space="preserve"> de </w:t>
      </w:r>
      <w:r w:rsidR="009756BD">
        <w:rPr>
          <w:rFonts w:ascii="Bookman Old Style" w:hAnsi="Bookman Old Style" w:cs="Arial"/>
          <w:b/>
          <w:sz w:val="22"/>
          <w:szCs w:val="22"/>
          <w:u w:val="single"/>
        </w:rPr>
        <w:t>MAIO</w:t>
      </w:r>
      <w:r w:rsidRPr="00045CA8">
        <w:rPr>
          <w:rFonts w:ascii="Bookman Old Style" w:hAnsi="Bookman Old Style" w:cs="Arial"/>
          <w:b/>
          <w:sz w:val="22"/>
          <w:szCs w:val="22"/>
          <w:u w:val="single"/>
        </w:rPr>
        <w:t xml:space="preserve"> de </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w:t>
      </w:r>
    </w:p>
    <w:p w14:paraId="305F6DB0" w14:textId="3D1457A5"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9756BD">
        <w:rPr>
          <w:rFonts w:ascii="Bookman Old Style" w:hAnsi="Bookman Old Style" w:cs="Arial"/>
          <w:b/>
          <w:sz w:val="22"/>
          <w:szCs w:val="22"/>
          <w:u w:val="single"/>
        </w:rPr>
        <w:t>2</w:t>
      </w:r>
      <w:r w:rsidR="003C5894">
        <w:rPr>
          <w:rFonts w:ascii="Bookman Old Style" w:hAnsi="Bookman Old Style" w:cs="Arial"/>
          <w:b/>
          <w:sz w:val="22"/>
          <w:szCs w:val="22"/>
          <w:u w:val="single"/>
        </w:rPr>
        <w:t>3</w:t>
      </w:r>
      <w:r w:rsidR="00045CA8" w:rsidRPr="00045CA8">
        <w:rPr>
          <w:rFonts w:ascii="Bookman Old Style" w:hAnsi="Bookman Old Style" w:cs="Arial"/>
          <w:b/>
          <w:sz w:val="22"/>
          <w:szCs w:val="22"/>
          <w:u w:val="single"/>
        </w:rPr>
        <w:t>/0</w:t>
      </w:r>
      <w:r w:rsidR="009756BD">
        <w:rPr>
          <w:rFonts w:ascii="Bookman Old Style" w:hAnsi="Bookman Old Style" w:cs="Arial"/>
          <w:b/>
          <w:sz w:val="22"/>
          <w:szCs w:val="22"/>
          <w:u w:val="single"/>
        </w:rPr>
        <w:t>5</w:t>
      </w:r>
      <w:r w:rsidRPr="00045CA8">
        <w:rPr>
          <w:rFonts w:ascii="Bookman Old Style" w:hAnsi="Bookman Old Style" w:cs="Arial"/>
          <w:b/>
          <w:sz w:val="22"/>
          <w:szCs w:val="22"/>
          <w:u w:val="single"/>
        </w:rPr>
        <w:t>/</w:t>
      </w:r>
      <w:r w:rsidR="00045CA8" w:rsidRPr="00045CA8">
        <w:rPr>
          <w:rFonts w:ascii="Bookman Old Style" w:hAnsi="Bookman Old Style" w:cs="Arial"/>
          <w:b/>
          <w:sz w:val="22"/>
          <w:szCs w:val="22"/>
          <w:u w:val="single"/>
        </w:rPr>
        <w:t>2024</w:t>
      </w:r>
      <w:r w:rsidRPr="00045CA8">
        <w:rPr>
          <w:rFonts w:ascii="Bookman Old Style" w:hAnsi="Bookman Old Style" w:cs="Arial"/>
          <w:b/>
          <w:sz w:val="22"/>
          <w:szCs w:val="22"/>
          <w:u w:val="single"/>
        </w:rPr>
        <w:t xml:space="preserve"> – Horas </w:t>
      </w:r>
      <w:r w:rsidR="0058307D">
        <w:rPr>
          <w:rFonts w:ascii="Bookman Old Style" w:hAnsi="Bookman Old Style" w:cs="Arial"/>
          <w:b/>
          <w:sz w:val="22"/>
          <w:szCs w:val="22"/>
          <w:u w:val="single"/>
        </w:rPr>
        <w:t>10</w:t>
      </w:r>
      <w:r w:rsidRPr="00045CA8">
        <w:rPr>
          <w:rFonts w:ascii="Bookman Old Style" w:hAnsi="Bookman Old Style" w:cs="Arial"/>
          <w:b/>
          <w:sz w:val="22"/>
          <w:szCs w:val="22"/>
          <w:u w:val="single"/>
        </w:rPr>
        <w:t>:</w:t>
      </w:r>
      <w:r w:rsidR="00E9002C">
        <w:rPr>
          <w:rFonts w:ascii="Bookman Old Style" w:hAnsi="Bookman Old Style" w:cs="Arial"/>
          <w:b/>
          <w:sz w:val="22"/>
          <w:szCs w:val="22"/>
          <w:u w:val="single"/>
        </w:rPr>
        <w:t>40</w:t>
      </w:r>
      <w:r w:rsidRPr="00045CA8">
        <w:rPr>
          <w:rFonts w:ascii="Bookman Old Style" w:hAnsi="Bookman Old Style" w:cs="Arial"/>
          <w:b/>
          <w:sz w:val="22"/>
          <w:szCs w:val="22"/>
          <w:u w:val="single"/>
        </w:rPr>
        <w:t>:00</w:t>
      </w:r>
    </w:p>
    <w:p w14:paraId="57FFB6FA" w14:textId="172278A9"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 xml:space="preserve">RECEBIMENTO DE PROPOSTAS ATÉ: </w:t>
      </w:r>
      <w:r w:rsidR="009756BD">
        <w:rPr>
          <w:rFonts w:ascii="Bookman Old Style" w:hAnsi="Bookman Old Style" w:cs="Arial"/>
          <w:b/>
          <w:sz w:val="22"/>
          <w:szCs w:val="22"/>
          <w:u w:val="single"/>
        </w:rPr>
        <w:t>2</w:t>
      </w:r>
      <w:r w:rsidR="003C5894">
        <w:rPr>
          <w:rFonts w:ascii="Bookman Old Style" w:hAnsi="Bookman Old Style" w:cs="Arial"/>
          <w:b/>
          <w:sz w:val="22"/>
          <w:szCs w:val="22"/>
          <w:u w:val="single"/>
        </w:rPr>
        <w:t>9</w:t>
      </w:r>
      <w:r w:rsidR="00E3505C" w:rsidRPr="00045CA8">
        <w:rPr>
          <w:rFonts w:ascii="Bookman Old Style" w:hAnsi="Bookman Old Style" w:cs="Arial"/>
          <w:b/>
          <w:sz w:val="22"/>
          <w:szCs w:val="22"/>
          <w:u w:val="single"/>
        </w:rPr>
        <w:t>/</w:t>
      </w:r>
      <w:r w:rsidR="00E63440" w:rsidRPr="00045CA8">
        <w:rPr>
          <w:rFonts w:ascii="Bookman Old Style" w:hAnsi="Bookman Old Style" w:cs="Arial"/>
          <w:b/>
          <w:sz w:val="22"/>
          <w:szCs w:val="22"/>
          <w:u w:val="single"/>
        </w:rPr>
        <w:t>0</w:t>
      </w:r>
      <w:r w:rsidR="009756BD">
        <w:rPr>
          <w:rFonts w:ascii="Bookman Old Style" w:hAnsi="Bookman Old Style" w:cs="Arial"/>
          <w:b/>
          <w:sz w:val="22"/>
          <w:szCs w:val="22"/>
          <w:u w:val="single"/>
        </w:rPr>
        <w:t>5</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 xml:space="preserve"> – Horas 0</w:t>
      </w:r>
      <w:r w:rsidR="0058307D">
        <w:rPr>
          <w:rFonts w:ascii="Bookman Old Style" w:hAnsi="Bookman Old Style" w:cs="Arial"/>
          <w:b/>
          <w:sz w:val="22"/>
          <w:szCs w:val="22"/>
          <w:u w:val="single"/>
        </w:rPr>
        <w:t>9</w:t>
      </w:r>
      <w:r w:rsidRPr="00045CA8">
        <w:rPr>
          <w:rFonts w:ascii="Bookman Old Style" w:hAnsi="Bookman Old Style" w:cs="Arial"/>
          <w:b/>
          <w:sz w:val="22"/>
          <w:szCs w:val="22"/>
          <w:u w:val="single"/>
        </w:rPr>
        <w:t>:</w:t>
      </w:r>
      <w:r w:rsidR="009756BD">
        <w:rPr>
          <w:rFonts w:ascii="Bookman Old Style" w:hAnsi="Bookman Old Style" w:cs="Arial"/>
          <w:b/>
          <w:sz w:val="22"/>
          <w:szCs w:val="22"/>
          <w:u w:val="single"/>
        </w:rPr>
        <w:t>50</w:t>
      </w:r>
      <w:r w:rsidRPr="00045CA8">
        <w:rPr>
          <w:rFonts w:ascii="Bookman Old Style" w:hAnsi="Bookman Old Style" w:cs="Arial"/>
          <w:b/>
          <w:sz w:val="22"/>
          <w:szCs w:val="22"/>
          <w:u w:val="single"/>
        </w:rPr>
        <w:t>:00</w:t>
      </w:r>
    </w:p>
    <w:p w14:paraId="081B8973" w14:textId="0BC10C4F"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045CA8">
        <w:rPr>
          <w:rFonts w:ascii="Bookman Old Style" w:hAnsi="Bookman Old Style" w:cs="Arial"/>
          <w:b/>
          <w:sz w:val="22"/>
          <w:szCs w:val="22"/>
          <w:u w:val="single"/>
        </w:rPr>
        <w:t xml:space="preserve">ABERTURA/ANÁLISE DAS PROPOSTAS: </w:t>
      </w:r>
      <w:r w:rsidR="009756BD">
        <w:rPr>
          <w:rFonts w:ascii="Bookman Old Style" w:hAnsi="Bookman Old Style" w:cs="Arial"/>
          <w:b/>
          <w:sz w:val="22"/>
          <w:szCs w:val="22"/>
          <w:u w:val="single"/>
        </w:rPr>
        <w:t>2</w:t>
      </w:r>
      <w:r w:rsidR="003C5894">
        <w:rPr>
          <w:rFonts w:ascii="Bookman Old Style" w:hAnsi="Bookman Old Style" w:cs="Arial"/>
          <w:b/>
          <w:sz w:val="22"/>
          <w:szCs w:val="22"/>
          <w:u w:val="single"/>
        </w:rPr>
        <w:t>9</w:t>
      </w:r>
      <w:r w:rsidR="00E3505C" w:rsidRPr="00045CA8">
        <w:rPr>
          <w:rFonts w:ascii="Bookman Old Style" w:hAnsi="Bookman Old Style" w:cs="Arial"/>
          <w:b/>
          <w:sz w:val="22"/>
          <w:szCs w:val="22"/>
          <w:u w:val="single"/>
        </w:rPr>
        <w:t>/</w:t>
      </w:r>
      <w:r w:rsidR="00D304A9">
        <w:rPr>
          <w:rFonts w:ascii="Bookman Old Style" w:hAnsi="Bookman Old Style" w:cs="Arial"/>
          <w:b/>
          <w:sz w:val="22"/>
          <w:szCs w:val="22"/>
          <w:u w:val="single"/>
        </w:rPr>
        <w:t>0</w:t>
      </w:r>
      <w:r w:rsidR="009756BD">
        <w:rPr>
          <w:rFonts w:ascii="Bookman Old Style" w:hAnsi="Bookman Old Style" w:cs="Arial"/>
          <w:b/>
          <w:sz w:val="22"/>
          <w:szCs w:val="22"/>
          <w:u w:val="single"/>
        </w:rPr>
        <w:t>5</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 xml:space="preserve"> – Horas </w:t>
      </w:r>
      <w:r w:rsidR="0058307D">
        <w:rPr>
          <w:rFonts w:ascii="Bookman Old Style" w:hAnsi="Bookman Old Style" w:cs="Arial"/>
          <w:b/>
          <w:sz w:val="22"/>
          <w:szCs w:val="22"/>
          <w:u w:val="single"/>
        </w:rPr>
        <w:t>10</w:t>
      </w:r>
      <w:r w:rsidR="00E3505C" w:rsidRPr="00045CA8">
        <w:rPr>
          <w:rFonts w:ascii="Bookman Old Style" w:hAnsi="Bookman Old Style" w:cs="Arial"/>
          <w:b/>
          <w:sz w:val="22"/>
          <w:szCs w:val="22"/>
          <w:u w:val="single"/>
        </w:rPr>
        <w:t>:</w:t>
      </w:r>
      <w:r w:rsidR="009756BD">
        <w:rPr>
          <w:rFonts w:ascii="Bookman Old Style" w:hAnsi="Bookman Old Style" w:cs="Arial"/>
          <w:b/>
          <w:sz w:val="22"/>
          <w:szCs w:val="22"/>
          <w:u w:val="single"/>
        </w:rPr>
        <w:t>0</w:t>
      </w:r>
      <w:r w:rsidR="00E3505C" w:rsidRPr="00045CA8">
        <w:rPr>
          <w:rFonts w:ascii="Bookman Old Style" w:hAnsi="Bookman Old Style" w:cs="Arial"/>
          <w:b/>
          <w:sz w:val="22"/>
          <w:szCs w:val="22"/>
          <w:u w:val="single"/>
        </w:rPr>
        <w:t>0</w:t>
      </w:r>
      <w:r w:rsidRPr="00045CA8">
        <w:rPr>
          <w:rFonts w:ascii="Bookman Old Style" w:hAnsi="Bookman Old Style" w:cs="Arial"/>
          <w:b/>
          <w:sz w:val="22"/>
          <w:szCs w:val="22"/>
          <w:u w:val="single"/>
        </w:rPr>
        <w:t>:00 Obs. Nesta</w:t>
      </w:r>
      <w:r w:rsidRPr="00045CA8">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08498CA3" w14:textId="35B0C16A" w:rsidR="00EA5804" w:rsidRDefault="00EA5804"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sidRPr="00EA5804">
        <w:rPr>
          <w:rFonts w:ascii="Bookman Old Style" w:hAnsi="Bookman Old Style" w:cs="Arial"/>
          <w:b/>
          <w:sz w:val="22"/>
          <w:szCs w:val="22"/>
          <w:u w:val="single"/>
        </w:rPr>
        <w:t>CRITÉRIO DE JULGAMENTO</w:t>
      </w:r>
      <w:r w:rsidRPr="00EA5804">
        <w:rPr>
          <w:rFonts w:ascii="Bookman Old Style" w:hAnsi="Bookman Old Style" w:cs="Arial"/>
          <w:sz w:val="22"/>
          <w:szCs w:val="22"/>
          <w:u w:val="single"/>
        </w:rPr>
        <w:t>: Menor Preço Global</w:t>
      </w:r>
    </w:p>
    <w:p w14:paraId="0132E70F" w14:textId="77777777" w:rsidR="00EA5804" w:rsidRPr="00EA5804" w:rsidRDefault="00EA5804" w:rsidP="00C67296">
      <w:pPr>
        <w:pStyle w:val="corpo"/>
        <w:jc w:val="both"/>
        <w:rPr>
          <w:rFonts w:ascii="Bookman Old Style" w:hAnsi="Bookman Old Style" w:cs="Arial"/>
          <w:sz w:val="22"/>
          <w:szCs w:val="22"/>
        </w:rPr>
      </w:pPr>
      <w:r w:rsidRPr="00EA5804">
        <w:rPr>
          <w:rFonts w:ascii="Bookman Old Style" w:hAnsi="Bookman Old Style" w:cs="Arial"/>
          <w:sz w:val="22"/>
          <w:szCs w:val="22"/>
        </w:rPr>
        <w:t xml:space="preserve">Observações: </w:t>
      </w:r>
    </w:p>
    <w:p w14:paraId="58F8C0D8" w14:textId="18D6DCE1" w:rsidR="00EA5804" w:rsidRPr="00EA5804" w:rsidRDefault="00EA5804" w:rsidP="00C67296">
      <w:pPr>
        <w:pStyle w:val="corpo"/>
        <w:jc w:val="both"/>
        <w:rPr>
          <w:rFonts w:ascii="Bookman Old Style" w:hAnsi="Bookman Old Style" w:cs="Arial"/>
          <w:sz w:val="22"/>
          <w:szCs w:val="22"/>
        </w:rPr>
      </w:pPr>
      <w:r w:rsidRPr="00EA5804">
        <w:rPr>
          <w:rFonts w:ascii="Bookman Old Style" w:hAnsi="Bookman Old Style" w:cs="Arial"/>
          <w:sz w:val="22"/>
          <w:szCs w:val="22"/>
        </w:rPr>
        <w:t>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do procedimento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A0B074B" w14:textId="77777777" w:rsidR="00EA5804" w:rsidRDefault="00EA5804" w:rsidP="00C67296">
      <w:pPr>
        <w:pStyle w:val="corpo"/>
        <w:jc w:val="both"/>
        <w:rPr>
          <w:rFonts w:ascii="Bookman Old Style" w:hAnsi="Bookman Old Style" w:cs="Arial"/>
          <w:b/>
          <w:sz w:val="22"/>
          <w:szCs w:val="22"/>
        </w:rPr>
      </w:pPr>
    </w:p>
    <w:p w14:paraId="05E46096" w14:textId="77777777" w:rsidR="00EA5804" w:rsidRDefault="00EA5804" w:rsidP="00C67296">
      <w:pPr>
        <w:pStyle w:val="corpo"/>
        <w:jc w:val="both"/>
        <w:rPr>
          <w:rFonts w:ascii="Bookman Old Style" w:hAnsi="Bookman Old Style" w:cs="Arial"/>
          <w:b/>
          <w:sz w:val="22"/>
          <w:szCs w:val="22"/>
        </w:rPr>
      </w:pPr>
    </w:p>
    <w:p w14:paraId="05521FD3" w14:textId="77777777" w:rsidR="007324C7" w:rsidRDefault="007324C7" w:rsidP="00C67296">
      <w:pPr>
        <w:pStyle w:val="corpo"/>
        <w:jc w:val="both"/>
        <w:rPr>
          <w:rFonts w:ascii="Bookman Old Style" w:hAnsi="Bookman Old Style" w:cs="Arial"/>
          <w:b/>
          <w:sz w:val="22"/>
          <w:szCs w:val="22"/>
        </w:rPr>
      </w:pPr>
    </w:p>
    <w:p w14:paraId="3A9B84B8" w14:textId="77777777" w:rsidR="007324C7" w:rsidRDefault="007324C7" w:rsidP="00C67296">
      <w:pPr>
        <w:pStyle w:val="corpo"/>
        <w:jc w:val="both"/>
        <w:rPr>
          <w:rFonts w:ascii="Bookman Old Style" w:hAnsi="Bookman Old Style" w:cs="Arial"/>
          <w:b/>
          <w:sz w:val="22"/>
          <w:szCs w:val="22"/>
        </w:rPr>
      </w:pPr>
    </w:p>
    <w:p w14:paraId="12959213" w14:textId="77777777" w:rsidR="00EA5804" w:rsidRPr="00EA5804" w:rsidRDefault="00EA5804" w:rsidP="0075029B">
      <w:pPr>
        <w:pStyle w:val="corpo"/>
        <w:spacing w:before="0" w:after="0"/>
        <w:jc w:val="both"/>
        <w:rPr>
          <w:rFonts w:ascii="Bookman Old Style" w:hAnsi="Bookman Old Style" w:cs="Arial"/>
          <w:b/>
          <w:sz w:val="22"/>
          <w:szCs w:val="22"/>
        </w:rPr>
      </w:pPr>
      <w:r w:rsidRPr="00EA5804">
        <w:rPr>
          <w:rFonts w:ascii="Bookman Old Style" w:hAnsi="Bookman Old Style" w:cs="Arial"/>
          <w:b/>
          <w:sz w:val="22"/>
          <w:szCs w:val="22"/>
        </w:rPr>
        <w:t xml:space="preserve">1 - OBJETO </w:t>
      </w:r>
    </w:p>
    <w:p w14:paraId="3488AD75" w14:textId="52E96F6D"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1.1. </w:t>
      </w:r>
      <w:r w:rsidRPr="009756BD">
        <w:rPr>
          <w:rFonts w:ascii="Bookman Old Style" w:hAnsi="Bookman Old Style" w:cs="Arial"/>
          <w:sz w:val="22"/>
          <w:szCs w:val="22"/>
        </w:rPr>
        <w:t>Contratação de empresa</w:t>
      </w:r>
      <w:r w:rsidR="009756BD" w:rsidRPr="009756BD">
        <w:rPr>
          <w:rFonts w:ascii="Bookman Old Style" w:hAnsi="Bookman Old Style" w:cs="Arial"/>
          <w:sz w:val="22"/>
          <w:szCs w:val="22"/>
        </w:rPr>
        <w:t xml:space="preserve"> </w:t>
      </w:r>
      <w:r w:rsidR="006B64C7">
        <w:rPr>
          <w:rFonts w:ascii="Bookman Old Style" w:hAnsi="Bookman Old Style" w:cs="Arial"/>
          <w:sz w:val="22"/>
          <w:szCs w:val="22"/>
        </w:rPr>
        <w:t>para fornecimento de materiais e equipamentos veterinários para atender a demanda do Castra móvel Municipal</w:t>
      </w:r>
      <w:r w:rsidRPr="009756BD">
        <w:rPr>
          <w:rFonts w:ascii="Bookman Old Style" w:hAnsi="Bookman Old Style" w:cs="Arial"/>
          <w:sz w:val="22"/>
          <w:szCs w:val="22"/>
        </w:rPr>
        <w:t>.</w:t>
      </w:r>
      <w:r w:rsidRPr="00EA5804">
        <w:rPr>
          <w:rFonts w:ascii="Bookman Old Style" w:hAnsi="Bookman Old Style" w:cs="Arial"/>
          <w:sz w:val="22"/>
          <w:szCs w:val="22"/>
        </w:rPr>
        <w:t xml:space="preserve"> </w:t>
      </w:r>
    </w:p>
    <w:p w14:paraId="75846DA9" w14:textId="77777777" w:rsidR="00EA5804" w:rsidRDefault="00EA5804" w:rsidP="0075029B">
      <w:pPr>
        <w:pStyle w:val="corpo"/>
        <w:spacing w:before="0" w:after="0"/>
        <w:jc w:val="both"/>
        <w:rPr>
          <w:rFonts w:ascii="Bookman Old Style" w:hAnsi="Bookman Old Style" w:cs="Arial"/>
          <w:sz w:val="22"/>
          <w:szCs w:val="22"/>
        </w:rPr>
      </w:pPr>
    </w:p>
    <w:p w14:paraId="746FE819" w14:textId="77777777" w:rsidR="00EA5804" w:rsidRPr="00EA5804" w:rsidRDefault="00EA5804" w:rsidP="0075029B">
      <w:pPr>
        <w:pStyle w:val="corpo"/>
        <w:spacing w:before="0" w:after="0"/>
        <w:jc w:val="both"/>
        <w:rPr>
          <w:rFonts w:ascii="Bookman Old Style" w:hAnsi="Bookman Old Style" w:cs="Arial"/>
          <w:b/>
          <w:sz w:val="22"/>
          <w:szCs w:val="22"/>
        </w:rPr>
      </w:pPr>
      <w:r w:rsidRPr="00EA5804">
        <w:rPr>
          <w:rFonts w:ascii="Bookman Old Style" w:hAnsi="Bookman Old Style" w:cs="Arial"/>
          <w:b/>
          <w:sz w:val="22"/>
          <w:szCs w:val="22"/>
        </w:rPr>
        <w:t xml:space="preserve">2- DA PARTICIPAÇÃO NO PROCEDIMENTO </w:t>
      </w:r>
    </w:p>
    <w:p w14:paraId="0E0B5483" w14:textId="1BF5F720"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2.1. Poderão participar deste procedimento os Microempreendedores Individuais – MEI, as Microempresas – ME e as Empresas de Pequeno Porte – EPP, do ramo pertinente ao objeto a ser contratado, que atendam todas as condições estabelecidas neste instrumento convocatório e se encontrem devidamente cadastradas na plataforma eletrônica </w:t>
      </w:r>
      <w:r w:rsidR="00123A97">
        <w:rPr>
          <w:rFonts w:ascii="Bookman Old Style" w:hAnsi="Bookman Old Style" w:cs="Arial"/>
          <w:sz w:val="22"/>
          <w:szCs w:val="22"/>
        </w:rPr>
        <w:t>BBMNET</w:t>
      </w:r>
      <w:r w:rsidRPr="00EA5804">
        <w:rPr>
          <w:rFonts w:ascii="Bookman Old Style" w:hAnsi="Bookman Old Style" w:cs="Arial"/>
          <w:sz w:val="22"/>
          <w:szCs w:val="22"/>
        </w:rPr>
        <w:t xml:space="preserve">. </w:t>
      </w:r>
    </w:p>
    <w:p w14:paraId="48A48432" w14:textId="3886F941"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2.1.1. O cadastro na plataforma eletrônica poderá ser realizado através do end</w:t>
      </w:r>
      <w:r>
        <w:rPr>
          <w:rFonts w:ascii="Bookman Old Style" w:hAnsi="Bookman Old Style" w:cs="Arial"/>
          <w:sz w:val="22"/>
          <w:szCs w:val="22"/>
        </w:rPr>
        <w:t xml:space="preserve">ereço </w:t>
      </w:r>
      <w:hyperlink r:id="rId11" w:history="1">
        <w:r w:rsidR="00123A97" w:rsidRPr="00123A97">
          <w:rPr>
            <w:rStyle w:val="Hyperlink"/>
            <w:rFonts w:ascii="Bookman Old Style" w:hAnsi="Bookman Old Style" w:cs="Arial"/>
            <w:color w:val="auto"/>
            <w:sz w:val="22"/>
            <w:szCs w:val="22"/>
            <w:u w:val="none"/>
          </w:rPr>
          <w:t>www.bbmnetlicitacoes.com.br</w:t>
        </w:r>
      </w:hyperlink>
      <w:r w:rsidRPr="00EA5804">
        <w:rPr>
          <w:rFonts w:ascii="Bookman Old Style" w:hAnsi="Bookman Old Style" w:cs="Arial"/>
          <w:sz w:val="22"/>
          <w:szCs w:val="22"/>
        </w:rPr>
        <w:t xml:space="preserve">. </w:t>
      </w:r>
    </w:p>
    <w:p w14:paraId="709F39DA" w14:textId="77777777" w:rsidR="00EA5804" w:rsidRDefault="00EA5804" w:rsidP="0075029B">
      <w:pPr>
        <w:pStyle w:val="corpo"/>
        <w:spacing w:before="0" w:after="0"/>
        <w:jc w:val="both"/>
        <w:rPr>
          <w:rFonts w:ascii="Bookman Old Style" w:hAnsi="Bookman Old Style" w:cs="Arial"/>
          <w:sz w:val="22"/>
          <w:szCs w:val="22"/>
        </w:rPr>
      </w:pPr>
    </w:p>
    <w:p w14:paraId="277B599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2.2. Não poderão participar do procedimento: </w:t>
      </w:r>
    </w:p>
    <w:p w14:paraId="22F0E6E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 - autor do anteprojeto, do projeto básico ou do projeto executivo, pessoa física ou jurídica, quando o procedimento versar sobre obra, serviços ou fornecimento de bens a ele relacionados; </w:t>
      </w:r>
    </w:p>
    <w:p w14:paraId="746A7D6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o procedimento versar sobre obra, serviços ou fornecimento de bens a ela necessários; </w:t>
      </w:r>
    </w:p>
    <w:p w14:paraId="61D0043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III - pessoa física ou jurídica que se encontre, ao tempo do procedimento, impossibilitada de participar de contratação em decorrência de sanção que lhe foi imposta; </w:t>
      </w:r>
    </w:p>
    <w:p w14:paraId="7EAF2EDC"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IV -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 </w:t>
      </w:r>
    </w:p>
    <w:p w14:paraId="68AEDA7B"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 - empresas controladoras, controladas ou coligadas, nos termos da Lei nº 6.404, de 15 de dezembro de 1976, concorrendo entre si; </w:t>
      </w:r>
    </w:p>
    <w:p w14:paraId="0B7FB4CA"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85477FA"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2.2.1. O impedimento de que trata o inciso III será também aplicado ao proponente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proponente. </w:t>
      </w:r>
    </w:p>
    <w:p w14:paraId="19F9AE26"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2.2.2. A critério da Administração e exclusivamente a seu serviço, o autor dos projetos e a empresa a que se referem os incisos I e II poderão participar no apoio das atividades de planejamento da</w:t>
      </w:r>
      <w:r>
        <w:rPr>
          <w:rFonts w:ascii="Bookman Old Style" w:hAnsi="Bookman Old Style" w:cs="Arial"/>
          <w:sz w:val="22"/>
          <w:szCs w:val="22"/>
        </w:rPr>
        <w:t xml:space="preserve"> </w:t>
      </w:r>
      <w:r w:rsidRPr="00EA5804">
        <w:rPr>
          <w:rFonts w:ascii="Bookman Old Style" w:hAnsi="Bookman Old Style" w:cs="Arial"/>
          <w:sz w:val="22"/>
          <w:szCs w:val="22"/>
        </w:rPr>
        <w:t xml:space="preserve">contratação, de execução do procedimento ou de gestão do contrato, desde que sob supervisão exclusiva de agentes públicos do órgão ou entidade. </w:t>
      </w:r>
    </w:p>
    <w:p w14:paraId="37E50F1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2.2.3. Equiparam-se aos autores do projeto as empresas integrantes do mesmo grupo econômico. </w:t>
      </w:r>
    </w:p>
    <w:p w14:paraId="14042D51" w14:textId="77777777" w:rsidR="00EA5804" w:rsidRDefault="00EA5804" w:rsidP="0075029B">
      <w:pPr>
        <w:pStyle w:val="corpo"/>
        <w:spacing w:before="0" w:after="0"/>
        <w:jc w:val="both"/>
        <w:rPr>
          <w:rFonts w:ascii="Bookman Old Style" w:hAnsi="Bookman Old Style" w:cs="Arial"/>
          <w:sz w:val="22"/>
          <w:szCs w:val="22"/>
        </w:rPr>
      </w:pPr>
    </w:p>
    <w:p w14:paraId="7F4B494C" w14:textId="77777777" w:rsidR="00EA5804" w:rsidRPr="00123A97" w:rsidRDefault="00EA5804"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3- DOS BENEFÍCIOS PARA MICROEMPRESAS OU EMPRESAS DE PEQUENO PORTE </w:t>
      </w:r>
    </w:p>
    <w:p w14:paraId="11D1ED42"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3.1. A obtenção dos benefícios aplicáveis às Microempresas - ME ou Empresas de Pequeno Porte – EPP, previstos nos Arts. 42 ao 49 da Lei Complementar nº 123/06, está condicionada àquelas que, no ano-calendário de realização do procedimento, ainda não tenham celebrado contratos com a Administração Pública cujos valores somados extrapolem a receita bruta máxima admitida para fins de enquadramento como Empresa de Pequeno Porte – EPP. </w:t>
      </w:r>
    </w:p>
    <w:p w14:paraId="1A9FF74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lastRenderedPageBreak/>
        <w:t xml:space="preserve">3.1.1. Nas contratações com prazo de vigência superior a 01 (um) ano, será considerado o valor anual do contrato para aplicação dos limites previstos. </w:t>
      </w:r>
    </w:p>
    <w:p w14:paraId="2B34B18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3.1.2. Caso o proponente não esteja enquadrado como Microempresa-ME ou Empresa de Pequeno Porte – EPP, perderá os benefícios obtidos e poderá sofrer as sanções previstas neste instrumento convocatório e na legislação vigente. 3.3. Conforme Art. 18-E § 3° da Lei Complementar nº 123/06, o Microempreendedor Individual-MEI é uma modalidade de Microempresa - ME. </w:t>
      </w:r>
    </w:p>
    <w:p w14:paraId="4B26DA52" w14:textId="77777777" w:rsidR="00EA5804" w:rsidRDefault="00EA5804" w:rsidP="0075029B">
      <w:pPr>
        <w:pStyle w:val="corpo"/>
        <w:spacing w:before="0" w:after="0"/>
        <w:jc w:val="both"/>
        <w:rPr>
          <w:rFonts w:ascii="Bookman Old Style" w:hAnsi="Bookman Old Style" w:cs="Arial"/>
          <w:sz w:val="22"/>
          <w:szCs w:val="22"/>
        </w:rPr>
      </w:pPr>
    </w:p>
    <w:p w14:paraId="2C92528F" w14:textId="77777777" w:rsidR="00EA5804" w:rsidRPr="00123A97" w:rsidRDefault="00EA5804"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4- DA PARTICIPAÇÃO NO PROCEDIMENTO </w:t>
      </w:r>
    </w:p>
    <w:p w14:paraId="3CC9AFC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4.1. Os proponentes encaminharão, exclusivamente por meio do sistema eletrônico, a proposta com o preço, até a data e o horário estabelecidos para abertura da sessão pública. </w:t>
      </w:r>
    </w:p>
    <w:p w14:paraId="711D8002"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4.2. No cadastramento da proposta inicial, o proponente declarará, em campo próprio do sistema: </w:t>
      </w:r>
    </w:p>
    <w:p w14:paraId="7E026EB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 A inexistência de fato impeditivo para licitar ou contratar com a Administração Pública; </w:t>
      </w:r>
    </w:p>
    <w:p w14:paraId="39B112DC"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II - O enquadramento na condição de microempresa e empresa de pequeno porte, nos termos da Lei Complementar nº 123, de 2006, apenas quando cabível; </w:t>
      </w:r>
    </w:p>
    <w:p w14:paraId="39EFD2FD"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III – O pleno conhecimento e aceitação das regras e das condições gerais da contratação</w:t>
      </w:r>
      <w:r>
        <w:rPr>
          <w:rFonts w:ascii="Bookman Old Style" w:hAnsi="Bookman Old Style" w:cs="Arial"/>
          <w:sz w:val="22"/>
          <w:szCs w:val="22"/>
        </w:rPr>
        <w:t>.</w:t>
      </w:r>
    </w:p>
    <w:p w14:paraId="3661F23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IV - Será exigida do proponente a declaração de que cumpre as exigências de reserva de cargos para pessoa com deficiência e para reabilitado da Previdência Social, previstas em lei e em outras normas específicas. </w:t>
      </w:r>
    </w:p>
    <w:p w14:paraId="15268FDD"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 - O cumprimento das exigências de reserva de cargos para pessoa com deficiência e para reabilitado da Previdência Social. </w:t>
      </w:r>
    </w:p>
    <w:p w14:paraId="0D4C2BE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VI - O cumprimento do disposto no inciso VI do art. 68 da Lei nº 14.133/2021. </w:t>
      </w:r>
    </w:p>
    <w:p w14:paraId="74318C08"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VII - A responsabilidade pelas transações que forem efetuadas no sistema</w:t>
      </w:r>
      <w:r>
        <w:rPr>
          <w:rFonts w:ascii="Bookman Old Style" w:hAnsi="Bookman Old Style" w:cs="Arial"/>
          <w:sz w:val="22"/>
          <w:szCs w:val="22"/>
        </w:rPr>
        <w:t>.</w:t>
      </w:r>
      <w:r w:rsidRPr="00EA5804">
        <w:rPr>
          <w:rFonts w:ascii="Bookman Old Style" w:hAnsi="Bookman Old Style" w:cs="Arial"/>
          <w:sz w:val="22"/>
          <w:szCs w:val="22"/>
        </w:rPr>
        <w:t xml:space="preserve"> </w:t>
      </w:r>
    </w:p>
    <w:p w14:paraId="5EB54168" w14:textId="1AAC8313" w:rsidR="003615E3"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Bookman Old Style" w:hAnsi="Bookman Old Style" w:cs="Arial"/>
          <w:sz w:val="22"/>
          <w:szCs w:val="22"/>
        </w:rPr>
        <w:t>.</w:t>
      </w:r>
    </w:p>
    <w:p w14:paraId="6447769B"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IX - Que cumpre os requisitos de habilitação e que as declarações informadas são verídicas, conforme art. 63, inciso I, da Lei 14.133/2021. </w:t>
      </w:r>
    </w:p>
    <w:p w14:paraId="5B8A6006"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 - Que inexistem fatos impeditivos para sua habilitação no certame, ciente da obrigatoriedade de declarar ocorrências posteriores; </w:t>
      </w:r>
    </w:p>
    <w:p w14:paraId="26C33B6F"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XI - Que não emprega menor de 18 anos em trabalho noturno, perigoso ou insalubre e não emprega menor de 16 anos, salvo menor, a partir de 14 anos, na condição de aprendiz, nos termos do artigo 7°,XXXIII, da Constituição; </w:t>
      </w:r>
    </w:p>
    <w:p w14:paraId="66C8387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XII - Que não possui, em sua cadeia produtiva, empregados executando trabalho degradante ou forçado, observando o disposto nos incisos III e IV do art. 1º e no inciso III do art. 5º da Constituição Federal; </w:t>
      </w:r>
    </w:p>
    <w:p w14:paraId="5ECB1218"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XIII - Que cumpre as exigências de reserva de cargos para pessoa com deficiência e para reabilitado da Previdência Social, previstas em lei e em outras normas específicas, conforme art. 63, inciso IV, Lei14.133/2021. </w:t>
      </w:r>
    </w:p>
    <w:p w14:paraId="283BB1B3"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XIV - Proibição de trabalho noturno, perigoso ou insalubre a menores de dezoito e de qualquer trabalho a menores de dezesseis anos, salvo na condição de aprendiz, a partir de quatorze anos</w:t>
      </w:r>
      <w:r w:rsidR="000313E5">
        <w:rPr>
          <w:rFonts w:ascii="Bookman Old Style" w:hAnsi="Bookman Old Style" w:cs="Arial"/>
          <w:sz w:val="22"/>
          <w:szCs w:val="22"/>
        </w:rPr>
        <w:t>.</w:t>
      </w:r>
    </w:p>
    <w:p w14:paraId="3FE97E1A"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XV - que: a proposta apresentada para participar do Processo Eletrônico, foi elaborada de maneira independente, e o conteúdo da proposta não foi, no todo ou em parte, direta ou indiretamente, informado, discutido ou recebido de qualquer outro participante potencial ou de fato do procedimento, por qualquer meio ou por qualquer pessoa. </w:t>
      </w:r>
    </w:p>
    <w:p w14:paraId="7E349AF3"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4.2.1. A falsidade da declaração sujeitará o proponente às sanções previstas neste edital, bem como àquelas previstas na Lei Federal nº 14.133/2021. </w:t>
      </w:r>
    </w:p>
    <w:p w14:paraId="2191D1AE"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4.2.2. Ao firmar a declaração constante no item II, o proponente declara simultaneamente que ainda não celebrou contratos nas condições estabelecidas no item 3.1 independentemente de transcrição. </w:t>
      </w:r>
    </w:p>
    <w:p w14:paraId="2C09517F"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lastRenderedPageBreak/>
        <w:t xml:space="preserve">4.3. Não haverá ordem de classificação na etapa de apresentação da proposta e dos documentos de habilitação pelo proponente, o que ocorrerá somente após os procedimentos de abertura da sessão pública. </w:t>
      </w:r>
    </w:p>
    <w:p w14:paraId="14C35910"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4.5. Serão disponibilizados para acesso público os documentos que compõem a proposta dos proponentes convocados para apresentação de propostas, após a fase de envio de lances. </w:t>
      </w:r>
    </w:p>
    <w:p w14:paraId="1D1D3F00"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4.6. Caberá ao proponente interessado em participar do procedimento, acompanhar as operações no sistema eletrônico durante o processo administrativo e se responsabilizar pelo ônus decorrente da perda de negócios diante da inobservância de mensagens emitidas pela Administração ou de sua desconexão. </w:t>
      </w:r>
    </w:p>
    <w:p w14:paraId="4A3FA485"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4.7. O proponente deverá comunicar imediatamente ao provedor do sistema qualquer acontecimento que possa comprometer o sigilo ou a segurança, para imediato bloqueio de acesso. </w:t>
      </w:r>
    </w:p>
    <w:p w14:paraId="7C8F1328" w14:textId="77777777" w:rsidR="000313E5" w:rsidRDefault="000313E5" w:rsidP="0075029B">
      <w:pPr>
        <w:pStyle w:val="corpo"/>
        <w:spacing w:before="0" w:after="0"/>
        <w:jc w:val="both"/>
        <w:rPr>
          <w:rFonts w:ascii="Bookman Old Style" w:hAnsi="Bookman Old Style" w:cs="Arial"/>
          <w:sz w:val="22"/>
          <w:szCs w:val="22"/>
        </w:rPr>
      </w:pPr>
    </w:p>
    <w:p w14:paraId="4A00C5AE" w14:textId="06976527" w:rsidR="00EA5804" w:rsidRPr="00123A97" w:rsidRDefault="00EA5804"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5- DO PREENCHIMENTO DA PROPOSTA</w:t>
      </w:r>
    </w:p>
    <w:p w14:paraId="2C8EFB3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5.1. O proponente deverá enviar sua proposta mediante o preenchimento, no sistema eletrônico, dos seguintes campos: </w:t>
      </w:r>
    </w:p>
    <w:p w14:paraId="76921FF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Valor Unitário e Total; </w:t>
      </w:r>
    </w:p>
    <w:p w14:paraId="1DD3E06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 Marca/Fabricante e Modelo dos produtos ofertados; </w:t>
      </w:r>
    </w:p>
    <w:p w14:paraId="16629D1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III- Descrição detalhada do objeto, contendo as informações similares à especificação do Termo de Referência, indicando, no que for aplicável, as informações adicionais necessárias. </w:t>
      </w:r>
    </w:p>
    <w:p w14:paraId="5EABD3C6" w14:textId="77777777" w:rsidR="000313E5" w:rsidRDefault="000313E5" w:rsidP="0075029B">
      <w:pPr>
        <w:pStyle w:val="corpo"/>
        <w:spacing w:before="0" w:after="0"/>
        <w:jc w:val="both"/>
        <w:rPr>
          <w:rFonts w:ascii="Bookman Old Style" w:hAnsi="Bookman Old Style" w:cs="Arial"/>
          <w:sz w:val="22"/>
          <w:szCs w:val="22"/>
        </w:rPr>
      </w:pPr>
    </w:p>
    <w:p w14:paraId="00E83B4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5.2. Todas as especificações do objeto contidas na proposta vinculam o proponente. </w:t>
      </w:r>
    </w:p>
    <w:p w14:paraId="46846357"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5.3. Nos valores propostos estarão inclusos todos os custos operacionais, encargos previdenciários, trabalhistas, tributários, comerciais e quaisquer outros que incidam direta ou indiretamente na execução do objeto. </w:t>
      </w:r>
    </w:p>
    <w:p w14:paraId="429F2054"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5.4. Os preços ofertados, tanto na proposta inicial, quanto na etapa de lances, serão de exclusiva responsabilidade do proponente, não lhe assistindo o direito de pleitear qualquer alteração, sob alegação de erro, omissão ou qualquer outro pretexto. </w:t>
      </w:r>
    </w:p>
    <w:p w14:paraId="638E0478"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5.5. A apresentação das propostas implica obrigatoriedade do cumprimento das disposições nelas contidas, em conformidade com o que dispõe o Termo de Referência, assumindo o proponente o compromisso de executar o objeto contratado nos seus termos, bem como de fornecer os materiais, equipamentos, ferramentas e utensílios necessários, em quantidades e qualidades adequadas à perfeita execução contratual, promovendo, quando requerido, sua substituição. </w:t>
      </w:r>
    </w:p>
    <w:p w14:paraId="0CD645C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5.6. O prazo de validade da proposta não será inferior a 60 (sessenta) dias, a contar da data de sua apresentação. </w:t>
      </w:r>
    </w:p>
    <w:p w14:paraId="179C7311" w14:textId="77777777" w:rsidR="000313E5" w:rsidRDefault="000313E5" w:rsidP="0075029B">
      <w:pPr>
        <w:pStyle w:val="corpo"/>
        <w:spacing w:before="0" w:after="0"/>
        <w:jc w:val="both"/>
        <w:rPr>
          <w:rFonts w:ascii="Bookman Old Style" w:hAnsi="Bookman Old Style" w:cs="Arial"/>
          <w:sz w:val="22"/>
          <w:szCs w:val="22"/>
        </w:rPr>
      </w:pPr>
    </w:p>
    <w:p w14:paraId="67F71170" w14:textId="77777777" w:rsidR="000313E5"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6- DA ABERTURA DA SESSÃO, CLASSIFICAÇÃO DAS PROPOSTAS E FORMULAÇÃO DE LANCES </w:t>
      </w:r>
    </w:p>
    <w:p w14:paraId="17E6A14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6F87132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6.2. Iniciada a etapa competitiva, os fornecedores deverão encaminhar lances exclusivamente por meio de sistema eletrônico, sendo imediatamente informados do seu recebimento e do valor consignado no registro. </w:t>
      </w:r>
    </w:p>
    <w:p w14:paraId="4CC974F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6.3. O lance deverá ser ofertado pelo valor global do lote. </w:t>
      </w:r>
    </w:p>
    <w:p w14:paraId="79102CAE" w14:textId="679846C5"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6.4. O fornecedor somente poderá oferecer valor inferior ou percentual de desconto superior ao último lance por ele ofertado e registrado pelo sistema.</w:t>
      </w:r>
    </w:p>
    <w:p w14:paraId="416825C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6.5.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4D8EC4A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lastRenderedPageBreak/>
        <w:t xml:space="preserve">6.6. O intervalo mínimo de diferença de valores ou percentuais entre os lances, que incidirá tanto em relação aos lances intermediários quanto em relação ao que cobrir a melhor oferta é de um centavo. </w:t>
      </w:r>
    </w:p>
    <w:p w14:paraId="797F001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6.7. Havendo lances iguais ao menor já ofertado, prevalecerá aquele que for recebido e registrado primeiro no sistema. </w:t>
      </w:r>
    </w:p>
    <w:p w14:paraId="6703AE3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6.8. Caso o fornecedor não apresente lances, concorrerá com o valor de sua proposta. </w:t>
      </w:r>
    </w:p>
    <w:p w14:paraId="5B54792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6.9. Durante o procedimento, os fornecedores serão informados, em tempo real, do valor do menor lance ou do maior desconto registrado, vedada a identificação do fornecedor. </w:t>
      </w:r>
    </w:p>
    <w:p w14:paraId="2FF7C3D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6.10. Imediatamente após o término do prazo estabelecido para a fase de lances, haverá o seu encerramento, com o ordenamento e divulgação dos lances, pelo sistema, em ordem crescente de classificação. </w:t>
      </w:r>
    </w:p>
    <w:p w14:paraId="1CBC9C9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6.11.</w:t>
      </w:r>
      <w:r>
        <w:rPr>
          <w:rFonts w:ascii="Bookman Old Style" w:hAnsi="Bookman Old Style" w:cs="Arial"/>
          <w:sz w:val="22"/>
          <w:szCs w:val="22"/>
        </w:rPr>
        <w:t xml:space="preserve"> </w:t>
      </w:r>
      <w:r w:rsidRPr="000313E5">
        <w:rPr>
          <w:rFonts w:ascii="Bookman Old Style" w:hAnsi="Bookman Old Style" w:cs="Arial"/>
          <w:sz w:val="22"/>
          <w:szCs w:val="22"/>
        </w:rPr>
        <w:t xml:space="preserve">O encerramento da fase de lances ocorrerá de forma automática pontualmente no horário indicado, sem qualquer possibilidade de prorrogação e não havendo tempo aleatório ou mecanismo similar. </w:t>
      </w:r>
    </w:p>
    <w:p w14:paraId="02B66285"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 Encerrada a fase de lances, quando a proposta do primeiro colocado permanecer acima do preço máximo ou abaixo do desconto definido para a contratação, o agente de contratação poderá negociar condições mais vantajosas. </w:t>
      </w:r>
    </w:p>
    <w:p w14:paraId="32257BA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6.12.1. Neste caso, será encaminhada contraproposta ao fornecedor que tenha apresentado o menor preço ou o maior desconto, para que seja obtida a melhor proposta compatível em relação ao estipulado pela Administração. </w:t>
      </w:r>
    </w:p>
    <w:p w14:paraId="11217EF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 </w:t>
      </w:r>
    </w:p>
    <w:p w14:paraId="672DBB3A"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6.12.3. Em qualquer caso, concluída a negociação, se houver, o resultado será divulgado a todos e registrado na ata do procedimento da dispensa eletrônica, devendo esta ser anexada aos autos do processo de contratação. </w:t>
      </w:r>
    </w:p>
    <w:p w14:paraId="70D74168"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6.12.4. 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4EB788E7"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6.12.5. Encerrada a etapa de negociação, se houver, o agente de contratação verificará se o fornecedor provisoriamente classificado em primeiro lugar atende às condições de participação</w:t>
      </w:r>
      <w:r>
        <w:rPr>
          <w:rFonts w:ascii="Bookman Old Style" w:hAnsi="Bookman Old Style" w:cs="Arial"/>
          <w:sz w:val="22"/>
          <w:szCs w:val="22"/>
        </w:rPr>
        <w:t xml:space="preserve"> </w:t>
      </w:r>
      <w:r w:rsidRPr="000313E5">
        <w:rPr>
          <w:rFonts w:ascii="Bookman Old Style" w:hAnsi="Bookman Old Style" w:cs="Arial"/>
          <w:sz w:val="22"/>
          <w:szCs w:val="22"/>
        </w:rPr>
        <w:t xml:space="preserve">no certame, conforme previsto no art. 14 da Lei nº 14.133/2021, legislação correlata e nos itens Erro! Fonte de referência não encontrada. e seguintes deste Aviso, especialmente quanto à existência de sanção que impeça a participação no processo de contratação direta ou a futura contratação, mediante a consulta aos seguintes cadastros: </w:t>
      </w:r>
    </w:p>
    <w:p w14:paraId="4F3A48A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a) Cadastro Nacional de Empresas Inidôneas e Suspensas - CEIS, mantido pela Controladoria-Geral da União (https://www.portaltransparencia.gov.br/sancoes/ceis); e </w:t>
      </w:r>
    </w:p>
    <w:p w14:paraId="667DD9F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b) Cadastro Nacional de Empresas Punidas – CNEP, mantido pela Controladoria-Geral da União (https://www.portaltransparencia.gov.br/sancoes/cnep). 6.12.5.1. A consulta aos cadastros será realizada em nome da empresa fornecedora e também de seu sócio majoritário, por força da vedação de que trata o artigo 12 da Lei n° 8.429, de 1992. </w:t>
      </w:r>
    </w:p>
    <w:p w14:paraId="50F6556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6.12.5.1.1. Caso conste na Consulta de Situação do fornecedor a existência de Ocorrências Impeditivas Indiretas, o órgão diligenciará para verificar se houve fraude por parte das empresas apontadas no Relatório de Ocorrências Impeditivas Indiretas. (IN nº 3/2018, art. 29, caput) </w:t>
      </w:r>
    </w:p>
    <w:p w14:paraId="608D8607"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6.12.5.2. A tentativa de burla será verificada por meio dos vínculos societários, linhas de fornecimento similares, dentre outros. (IN nº 3/2018, art. 29, §1º). </w:t>
      </w:r>
    </w:p>
    <w:p w14:paraId="46271074"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6.12.5.3. O fornecedor será convocado para manifestação previamente a uma eventual desclassificação. </w:t>
      </w:r>
    </w:p>
    <w:p w14:paraId="4BA8222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6.12.5.4. Constatada a existência de sanção, o fornecedor será reputado inabilitado, por falta de condição de participação. </w:t>
      </w:r>
    </w:p>
    <w:p w14:paraId="28085FA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lastRenderedPageBreak/>
        <w:t xml:space="preserve">6.13. Verificadas as condições de participação, o gestor examinará a proposta classificada em primeiro lugar quanto à adequação ao objeto e à compatibilidade do preço em relação ao máximo estipulado para contratação neste Aviso de Contratação Direta e em seus anexos. </w:t>
      </w:r>
    </w:p>
    <w:p w14:paraId="2C19581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 Será desclassificada a proposta vencedora que: </w:t>
      </w:r>
    </w:p>
    <w:p w14:paraId="33E1911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a) contiver vícios insanáveis; </w:t>
      </w:r>
    </w:p>
    <w:p w14:paraId="2EF0CF9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b) não obedecer às especificações técnicas pormenorizadas neste aviso ou em seus anexos; </w:t>
      </w:r>
    </w:p>
    <w:p w14:paraId="579240B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c) apresentar preços inexequíveis </w:t>
      </w:r>
    </w:p>
    <w:p w14:paraId="460B97E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d) não tiver sua exequibilidade demonstrada, quando exigido pela Administração; </w:t>
      </w:r>
    </w:p>
    <w:p w14:paraId="66A2961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e) apresentar desconformidade com quaisquer outras exigências deste aviso ou seus anexos, desde que insanável. </w:t>
      </w:r>
    </w:p>
    <w:p w14:paraId="7FD6ED7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6.14.1. Quando o fornecedor não conseguir comprovar que possui ou possuirá recursos suficientes para executar a contento o objeto, será considerada inexequível a proposta de preços ou menor lance que: </w:t>
      </w:r>
    </w:p>
    <w:p w14:paraId="02F3FB3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a)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34672E18" w14:textId="64F850E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b) apresentar um ou mais valores da planilha de custo que sejam inferiores àqueles fixados em instrumentos de caráter normativo obrigatório, tais como leis, medidas provisórias e convenções coletivas de trabalho vigentes.</w:t>
      </w:r>
    </w:p>
    <w:p w14:paraId="0E149264"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6.14.2. Se houver indícios de inexequibilidade da proposta de preço, ou em caso da necessidade de esclarecimentos complementares, poderão ser efetuadas diligências, para que o fornecedor comprove a exequibilidade da proposta. </w:t>
      </w:r>
    </w:p>
    <w:p w14:paraId="3E276E5C" w14:textId="192478EE"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6.14.3. Erros no preenchimento da planilha não constituem motivo para a desclassificação da proposta. A planilha poderá́́ ser ajustada pelo fornecedor, no prazo indicado pelo sistema, desde que não haja majoração do preço. </w:t>
      </w:r>
    </w:p>
    <w:p w14:paraId="274008F8"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6.14.4. O ajuste de que trata este dispositivo se limita a sanar erros ou falhas que não alterem a substância das propostas; </w:t>
      </w:r>
    </w:p>
    <w:p w14:paraId="778BE68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6.14.5. Considera-se erro no preenchimento da planilha passível de correção a indicação de recolhimento de impostos e contribuições na forma do Simples Nacional, quando não cabível esse regime. </w:t>
      </w:r>
    </w:p>
    <w:p w14:paraId="31155783"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6.14.6. Para fins de análise da proposta quanto ao cumprimento das especificações do objeto, poderá ser colhida a manifestação escrita do setor requisitante do serviço ou da área especializada no objeto. </w:t>
      </w:r>
    </w:p>
    <w:p w14:paraId="79B887B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6.14.7. Se a proposta ou lance vencedor for desclassificado, será examinada a proposta ou lance subsequente, e, assim sucessivamente, na ordem de classificação. </w:t>
      </w:r>
    </w:p>
    <w:p w14:paraId="5EA49FB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6.14.8. Havendo necessidade, a sessão será suspensa, informando-se no “chat” a nova data e horário para a sua continuidade. </w:t>
      </w:r>
    </w:p>
    <w:p w14:paraId="1DEDCA25"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6.14.9. Encerrada a análise quanto à aceitação da proposta, será iniciada a fase de habilitação, observado o disposto neste Aviso de Contratação Direta. </w:t>
      </w:r>
    </w:p>
    <w:p w14:paraId="6D3E41FC" w14:textId="77777777" w:rsidR="000313E5" w:rsidRDefault="000313E5" w:rsidP="0075029B">
      <w:pPr>
        <w:pStyle w:val="corpo"/>
        <w:spacing w:before="0" w:after="0"/>
        <w:jc w:val="both"/>
        <w:rPr>
          <w:rFonts w:ascii="Bookman Old Style" w:hAnsi="Bookman Old Style" w:cs="Arial"/>
          <w:sz w:val="22"/>
          <w:szCs w:val="22"/>
        </w:rPr>
      </w:pPr>
    </w:p>
    <w:p w14:paraId="08764F5F" w14:textId="77777777" w:rsidR="000313E5"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7- DOCUMENTOS DE HABILITAÇÃO </w:t>
      </w:r>
    </w:p>
    <w:p w14:paraId="5FA72CDC" w14:textId="77777777" w:rsidR="000313E5" w:rsidRPr="00E05431"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7.1. O proponente vencedor encaminhará, exclusivamente por meio do sistema, os seguintes documentos </w:t>
      </w:r>
      <w:r w:rsidRPr="00E05431">
        <w:rPr>
          <w:rFonts w:ascii="Bookman Old Style" w:hAnsi="Bookman Old Style" w:cs="Arial"/>
          <w:sz w:val="22"/>
          <w:szCs w:val="22"/>
        </w:rPr>
        <w:t xml:space="preserve">para fins de habilitação: </w:t>
      </w:r>
    </w:p>
    <w:p w14:paraId="236FAE0C" w14:textId="77777777" w:rsidR="000313E5" w:rsidRPr="00E05431" w:rsidRDefault="000313E5" w:rsidP="0075029B">
      <w:pPr>
        <w:pStyle w:val="corpo"/>
        <w:spacing w:before="0" w:after="0"/>
        <w:jc w:val="both"/>
        <w:rPr>
          <w:rFonts w:ascii="Bookman Old Style" w:hAnsi="Bookman Old Style" w:cs="Arial"/>
          <w:sz w:val="22"/>
          <w:szCs w:val="22"/>
        </w:rPr>
      </w:pPr>
    </w:p>
    <w:p w14:paraId="0E74BBD5" w14:textId="77777777" w:rsidR="000313E5" w:rsidRPr="00E05431" w:rsidRDefault="000313E5" w:rsidP="0075029B">
      <w:pPr>
        <w:pStyle w:val="corpo"/>
        <w:spacing w:before="0" w:after="0"/>
        <w:jc w:val="both"/>
        <w:rPr>
          <w:rFonts w:ascii="Bookman Old Style" w:hAnsi="Bookman Old Style" w:cs="Arial"/>
          <w:b/>
          <w:sz w:val="22"/>
          <w:szCs w:val="22"/>
        </w:rPr>
      </w:pPr>
      <w:r w:rsidRPr="00E05431">
        <w:rPr>
          <w:rFonts w:ascii="Bookman Old Style" w:hAnsi="Bookman Old Style" w:cs="Arial"/>
          <w:b/>
          <w:sz w:val="22"/>
          <w:szCs w:val="22"/>
        </w:rPr>
        <w:t xml:space="preserve">7.1.1. REGULARIDADE JURÍDICA </w:t>
      </w:r>
    </w:p>
    <w:p w14:paraId="618B211D" w14:textId="7FAE4CCB" w:rsidR="00E05431" w:rsidRPr="00E05431" w:rsidRDefault="00E05431" w:rsidP="00E05431">
      <w:pPr>
        <w:jc w:val="both"/>
        <w:rPr>
          <w:rFonts w:ascii="Bookman Old Style" w:hAnsi="Bookman Old Style"/>
          <w:sz w:val="22"/>
          <w:szCs w:val="22"/>
        </w:rPr>
      </w:pPr>
      <w:r>
        <w:rPr>
          <w:rFonts w:ascii="Bookman Old Style" w:hAnsi="Bookman Old Style"/>
          <w:sz w:val="22"/>
          <w:szCs w:val="22"/>
        </w:rPr>
        <w:t xml:space="preserve">I - </w:t>
      </w:r>
      <w:r w:rsidRPr="00E05431">
        <w:rPr>
          <w:rFonts w:ascii="Bookman Old Style" w:hAnsi="Bookman Old Style"/>
          <w:sz w:val="22"/>
          <w:szCs w:val="22"/>
        </w:rPr>
        <w:t xml:space="preserve">Cópia da cédula de identidade e CPF do(s) sócio(s) ou de seus administradores, conforme o caso; </w:t>
      </w:r>
    </w:p>
    <w:p w14:paraId="31825165" w14:textId="00C5811F" w:rsidR="00E05431" w:rsidRPr="00E05431" w:rsidRDefault="00E05431" w:rsidP="00E05431">
      <w:pPr>
        <w:jc w:val="both"/>
        <w:rPr>
          <w:rFonts w:ascii="Bookman Old Style" w:hAnsi="Bookman Old Style"/>
          <w:sz w:val="22"/>
          <w:szCs w:val="22"/>
        </w:rPr>
      </w:pPr>
      <w:r>
        <w:rPr>
          <w:rFonts w:ascii="Bookman Old Style" w:hAnsi="Bookman Old Style"/>
          <w:sz w:val="22"/>
          <w:szCs w:val="22"/>
        </w:rPr>
        <w:t>II -</w:t>
      </w:r>
      <w:r w:rsidRPr="00E05431">
        <w:rPr>
          <w:rFonts w:ascii="Bookman Old Style" w:hAnsi="Bookman Old Style"/>
          <w:sz w:val="22"/>
          <w:szCs w:val="22"/>
        </w:rPr>
        <w:t xml:space="preserve"> Registro comercial, no caso de empresa individual ou Inscrição de Microempreendedor Individual, conforme o caso; </w:t>
      </w:r>
    </w:p>
    <w:p w14:paraId="6F794CD5" w14:textId="1C0E8120" w:rsidR="00E05431" w:rsidRPr="00E05431" w:rsidRDefault="00E05431" w:rsidP="00E05431">
      <w:pPr>
        <w:jc w:val="both"/>
        <w:rPr>
          <w:rFonts w:ascii="Bookman Old Style" w:hAnsi="Bookman Old Style"/>
          <w:sz w:val="22"/>
          <w:szCs w:val="22"/>
        </w:rPr>
      </w:pPr>
      <w:r>
        <w:rPr>
          <w:rFonts w:ascii="Bookman Old Style" w:hAnsi="Bookman Old Style"/>
          <w:sz w:val="22"/>
          <w:szCs w:val="22"/>
        </w:rPr>
        <w:t>III -</w:t>
      </w:r>
      <w:r w:rsidRPr="00E05431">
        <w:rPr>
          <w:rFonts w:ascii="Bookman Old Style" w:hAnsi="Bookman Old Style"/>
          <w:sz w:val="22"/>
          <w:szCs w:val="22"/>
        </w:rPr>
        <w:t xml:space="preserve"> Ato constitutivo, estatuto ou contrato social consolidado ou, caso não esteja consolidado, apresentar o contrato social acompanhado de todas as alterações contratuais, devidamente </w:t>
      </w:r>
      <w:r w:rsidRPr="00E05431">
        <w:rPr>
          <w:rFonts w:ascii="Bookman Old Style" w:hAnsi="Bookman Old Style"/>
          <w:sz w:val="22"/>
          <w:szCs w:val="22"/>
        </w:rPr>
        <w:lastRenderedPageBreak/>
        <w:t xml:space="preserve">registrado no órgão competente, em se tratando de sociedades comerciais, e, no caso de sociedade por ações, acompanhado de documentos relativos à eleição de seus administradores; </w:t>
      </w:r>
    </w:p>
    <w:p w14:paraId="1B85699D" w14:textId="4EB6C9B5" w:rsidR="00E05431" w:rsidRPr="00E05431" w:rsidRDefault="00E05431" w:rsidP="00E05431">
      <w:pPr>
        <w:jc w:val="both"/>
        <w:rPr>
          <w:rFonts w:ascii="Bookman Old Style" w:hAnsi="Bookman Old Style"/>
          <w:sz w:val="22"/>
          <w:szCs w:val="22"/>
        </w:rPr>
      </w:pPr>
      <w:r>
        <w:rPr>
          <w:rFonts w:ascii="Bookman Old Style" w:hAnsi="Bookman Old Style"/>
          <w:sz w:val="22"/>
          <w:szCs w:val="22"/>
        </w:rPr>
        <w:t>IV -</w:t>
      </w:r>
      <w:r w:rsidRPr="00E05431">
        <w:rPr>
          <w:rFonts w:ascii="Bookman Old Style" w:hAnsi="Bookman Old Style"/>
          <w:sz w:val="22"/>
          <w:szCs w:val="22"/>
        </w:rPr>
        <w:t xml:space="preserve"> Inscrição do ato constitutivo no caso de sociedades civis, acompanhada de documentação que identifique a Diretoria em exercício;</w:t>
      </w:r>
    </w:p>
    <w:p w14:paraId="6831649B" w14:textId="5144174B" w:rsidR="00E05431" w:rsidRPr="00E05431" w:rsidRDefault="00E05431" w:rsidP="00E05431">
      <w:pPr>
        <w:jc w:val="both"/>
        <w:rPr>
          <w:rFonts w:ascii="Bookman Old Style" w:hAnsi="Bookman Old Style"/>
          <w:sz w:val="22"/>
          <w:szCs w:val="22"/>
        </w:rPr>
      </w:pPr>
      <w:r>
        <w:rPr>
          <w:rFonts w:ascii="Bookman Old Style" w:hAnsi="Bookman Old Style"/>
          <w:sz w:val="22"/>
          <w:szCs w:val="22"/>
        </w:rPr>
        <w:t xml:space="preserve">V - </w:t>
      </w:r>
      <w:r w:rsidRPr="00E05431">
        <w:rPr>
          <w:rFonts w:ascii="Bookman Old Style" w:hAnsi="Bookman Old Style"/>
          <w:sz w:val="22"/>
          <w:szCs w:val="22"/>
        </w:rPr>
        <w:t xml:space="preserve">Decreto de autorização, em se tratando de empresa ou sociedade estrangeira em funcionamento no país, e ato de registro ou autorização para funcionamento expedido pelo órgão competente, quando a atividade assim exigir; </w:t>
      </w:r>
    </w:p>
    <w:p w14:paraId="49ED6D78" w14:textId="41F4E743" w:rsidR="00E05431" w:rsidRPr="00E05431" w:rsidRDefault="00E05431" w:rsidP="00E05431">
      <w:pPr>
        <w:jc w:val="both"/>
        <w:rPr>
          <w:rFonts w:ascii="Bookman Old Style" w:hAnsi="Bookman Old Style"/>
          <w:sz w:val="22"/>
          <w:szCs w:val="22"/>
        </w:rPr>
      </w:pPr>
      <w:r>
        <w:rPr>
          <w:rFonts w:ascii="Bookman Old Style" w:hAnsi="Bookman Old Style"/>
          <w:sz w:val="22"/>
          <w:szCs w:val="22"/>
        </w:rPr>
        <w:t>VI -</w:t>
      </w:r>
      <w:r w:rsidRPr="00E05431">
        <w:rPr>
          <w:rFonts w:ascii="Bookman Old Style" w:hAnsi="Bookman Old Style"/>
          <w:sz w:val="22"/>
          <w:szCs w:val="22"/>
        </w:rPr>
        <w:t xml:space="preserve"> Certidão Simplificada da Junta Comercial do Estado da sede da licitante, emitida a no máximo trinta dias.</w:t>
      </w:r>
    </w:p>
    <w:p w14:paraId="6B5CDA1F" w14:textId="77777777" w:rsidR="000313E5" w:rsidRDefault="000313E5" w:rsidP="0075029B">
      <w:pPr>
        <w:pStyle w:val="corpo"/>
        <w:spacing w:before="0" w:after="0"/>
        <w:jc w:val="both"/>
        <w:rPr>
          <w:rFonts w:ascii="Bookman Old Style" w:hAnsi="Bookman Old Style" w:cs="Arial"/>
          <w:sz w:val="22"/>
          <w:szCs w:val="22"/>
        </w:rPr>
      </w:pPr>
    </w:p>
    <w:p w14:paraId="6428D344" w14:textId="77777777" w:rsidR="000313E5" w:rsidRPr="00E05431"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7.1.2. </w:t>
      </w:r>
      <w:r w:rsidRPr="00E05431">
        <w:rPr>
          <w:rFonts w:ascii="Bookman Old Style" w:hAnsi="Bookman Old Style" w:cs="Arial"/>
          <w:b/>
          <w:sz w:val="22"/>
          <w:szCs w:val="22"/>
        </w:rPr>
        <w:t xml:space="preserve">REGULARIDADE FISCAL, SOCIAL E TRABALHISTA </w:t>
      </w:r>
    </w:p>
    <w:p w14:paraId="0C297106" w14:textId="63E13C00"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 - Prova de inscrição do Cadastro Nacional de Pessoa Jurídica (CNPJ); </w:t>
      </w:r>
    </w:p>
    <w:p w14:paraId="2CE1ACA6" w14:textId="4A9B14E6"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II - </w:t>
      </w:r>
      <w:r w:rsidRPr="00E05431">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Pr="00E05431">
        <w:rPr>
          <w:rFonts w:ascii="Bookman Old Style" w:hAnsi="Bookman Old Style" w:cs="Arial"/>
          <w:sz w:val="22"/>
          <w:szCs w:val="22"/>
        </w:rPr>
        <w:t>Prova de regularidade relativa à seguridade social)</w:t>
      </w:r>
      <w:r w:rsidRPr="00E05431">
        <w:rPr>
          <w:rFonts w:ascii="Bookman Old Style" w:hAnsi="Bookman Old Style"/>
          <w:sz w:val="22"/>
          <w:szCs w:val="22"/>
        </w:rPr>
        <w:t xml:space="preserve"> </w:t>
      </w:r>
    </w:p>
    <w:p w14:paraId="68A9145E" w14:textId="69F9E420"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III - </w:t>
      </w:r>
      <w:r w:rsidRPr="00E05431">
        <w:rPr>
          <w:rFonts w:ascii="Bookman Old Style" w:hAnsi="Bookman Old Style" w:cs="Arial"/>
          <w:sz w:val="22"/>
          <w:szCs w:val="22"/>
        </w:rPr>
        <w:t>Prova de regularidade com a Fazenda do Estado ou do Distrito Federal, se for o caso, onde a Empresa tiver sede</w:t>
      </w:r>
      <w:r w:rsidRPr="00E05431">
        <w:rPr>
          <w:rFonts w:ascii="Bookman Old Style" w:hAnsi="Bookman Old Style"/>
          <w:sz w:val="22"/>
          <w:szCs w:val="22"/>
        </w:rPr>
        <w:t xml:space="preserve">; </w:t>
      </w:r>
    </w:p>
    <w:p w14:paraId="397F4D64" w14:textId="5FEC2192"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IV - </w:t>
      </w:r>
      <w:r w:rsidRPr="00E05431">
        <w:rPr>
          <w:rFonts w:ascii="Bookman Old Style" w:hAnsi="Bookman Old Style" w:cs="Arial"/>
          <w:sz w:val="22"/>
          <w:szCs w:val="22"/>
        </w:rPr>
        <w:t>Prova de Regularidade com a Fazenda Municipal, sede da Empresa participante</w:t>
      </w:r>
      <w:r w:rsidRPr="00E05431">
        <w:rPr>
          <w:rFonts w:ascii="Bookman Old Style" w:hAnsi="Bookman Old Style"/>
          <w:sz w:val="22"/>
          <w:szCs w:val="22"/>
        </w:rPr>
        <w:t xml:space="preserve">; </w:t>
      </w:r>
    </w:p>
    <w:p w14:paraId="63C8B6BD" w14:textId="7BF21D60"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V - </w:t>
      </w:r>
      <w:r w:rsidRPr="00E05431">
        <w:rPr>
          <w:rFonts w:ascii="Bookman Old Style" w:hAnsi="Bookman Old Style" w:cs="Arial"/>
          <w:sz w:val="22"/>
          <w:szCs w:val="22"/>
        </w:rPr>
        <w:t>Prova de regularidade relativa ao Fundo de Garantia por Tempo de Serviço - FGTS, emitida pela Caixa Econômica Federal</w:t>
      </w:r>
      <w:r w:rsidRPr="00E05431">
        <w:rPr>
          <w:rFonts w:ascii="Bookman Old Style" w:hAnsi="Bookman Old Style"/>
          <w:sz w:val="22"/>
          <w:szCs w:val="22"/>
        </w:rPr>
        <w:t xml:space="preserve">; </w:t>
      </w:r>
    </w:p>
    <w:p w14:paraId="3F1BCBE9" w14:textId="4642E5CE" w:rsidR="00E05431" w:rsidRPr="00E05431" w:rsidRDefault="00E05431" w:rsidP="00E05431">
      <w:pPr>
        <w:pStyle w:val="corpo"/>
        <w:spacing w:before="0" w:after="0"/>
        <w:jc w:val="both"/>
        <w:rPr>
          <w:rFonts w:ascii="Bookman Old Style" w:hAnsi="Bookman Old Style" w:cs="Arial"/>
          <w:sz w:val="22"/>
          <w:szCs w:val="22"/>
        </w:rPr>
      </w:pPr>
      <w:r w:rsidRPr="00E05431">
        <w:rPr>
          <w:rFonts w:ascii="Bookman Old Style" w:hAnsi="Bookman Old Style"/>
          <w:sz w:val="22"/>
          <w:szCs w:val="22"/>
        </w:rPr>
        <w:t xml:space="preserve">VI - </w:t>
      </w:r>
      <w:r w:rsidRPr="00E05431">
        <w:rPr>
          <w:rFonts w:ascii="Bookman Old Style" w:hAnsi="Bookman Old Style" w:cs="Arial"/>
          <w:sz w:val="22"/>
          <w:szCs w:val="22"/>
        </w:rPr>
        <w:t>Certidão Negativa de Débitos Trabalhistas (CNDT), emitida pela Justiça do Trabalho ou comprovação de regularidade perante a Justiça através da Certidão Positiva com efeitos de Negativa. A Certidão deve ser emitida em caráter Nacional</w:t>
      </w:r>
      <w:r w:rsidRPr="00E05431">
        <w:rPr>
          <w:rFonts w:ascii="Bookman Old Style" w:hAnsi="Bookman Old Style"/>
          <w:sz w:val="22"/>
          <w:szCs w:val="22"/>
        </w:rPr>
        <w:t>;</w:t>
      </w:r>
    </w:p>
    <w:p w14:paraId="46F8313D" w14:textId="0334283D" w:rsidR="000313E5" w:rsidRPr="00E05431" w:rsidRDefault="000313E5" w:rsidP="0075029B">
      <w:pPr>
        <w:pStyle w:val="corpo"/>
        <w:spacing w:before="0" w:after="0"/>
        <w:jc w:val="both"/>
        <w:rPr>
          <w:rFonts w:ascii="Bookman Old Style" w:hAnsi="Bookman Old Style" w:cs="Arial"/>
          <w:sz w:val="22"/>
          <w:szCs w:val="22"/>
        </w:rPr>
      </w:pPr>
      <w:r w:rsidRPr="00E05431">
        <w:rPr>
          <w:rFonts w:ascii="Bookman Old Style" w:hAnsi="Bookman Old Style" w:cs="Arial"/>
          <w:sz w:val="22"/>
          <w:szCs w:val="22"/>
        </w:rPr>
        <w:t xml:space="preserve">VII- Declaração que não emprega menor de 18 (dezoito) anos em trabalho noturno, perigoso ou insalubre e não emprego menor de 16 (dezesseis) anos, salvo menor, a partir dos 14 (quatorze) anos, na condição de aprendiz, nos termos do inciso XXXIII, do art. 7º, da Constituição Federal/88. </w:t>
      </w:r>
    </w:p>
    <w:p w14:paraId="05BB8D5F" w14:textId="77777777" w:rsidR="000313E5" w:rsidRPr="00E05431" w:rsidRDefault="000313E5" w:rsidP="0075029B">
      <w:pPr>
        <w:pStyle w:val="corpo"/>
        <w:spacing w:before="0" w:after="0"/>
        <w:jc w:val="both"/>
        <w:rPr>
          <w:rFonts w:ascii="Bookman Old Style" w:hAnsi="Bookman Old Style" w:cs="Arial"/>
          <w:sz w:val="22"/>
          <w:szCs w:val="22"/>
        </w:rPr>
      </w:pPr>
    </w:p>
    <w:p w14:paraId="072B1669" w14:textId="77777777" w:rsidR="000313E5" w:rsidRPr="00123A97" w:rsidRDefault="000313E5" w:rsidP="0075029B">
      <w:pPr>
        <w:pStyle w:val="corpo"/>
        <w:spacing w:before="0" w:after="0"/>
        <w:jc w:val="both"/>
        <w:rPr>
          <w:rFonts w:ascii="Bookman Old Style" w:hAnsi="Bookman Old Style" w:cs="Arial"/>
          <w:b/>
          <w:sz w:val="22"/>
          <w:szCs w:val="22"/>
        </w:rPr>
      </w:pPr>
      <w:r w:rsidRPr="00E05431">
        <w:rPr>
          <w:rFonts w:ascii="Bookman Old Style" w:hAnsi="Bookman Old Style" w:cs="Arial"/>
          <w:b/>
          <w:sz w:val="22"/>
          <w:szCs w:val="22"/>
        </w:rPr>
        <w:t>7.1.3. QUALIFICAÇÃO ECONÔMICO</w:t>
      </w:r>
      <w:r w:rsidRPr="00123A97">
        <w:rPr>
          <w:rFonts w:ascii="Bookman Old Style" w:hAnsi="Bookman Old Style" w:cs="Arial"/>
          <w:b/>
          <w:sz w:val="22"/>
          <w:szCs w:val="22"/>
        </w:rPr>
        <w:t xml:space="preserve">-FINANCEIRA: </w:t>
      </w:r>
    </w:p>
    <w:p w14:paraId="0586EFA3" w14:textId="6480E982"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CERTIDÃO NEGATIVA DE FALÊNCIA/CONCORDATA da Sede da pessoa jurídica proponente, expedida pelo cartório distribuidor, com data de emissão de no máximo 90 (noventa) dias da data estipulada para abertura do certame, exceto se outra data não constar expressamente no documento. </w:t>
      </w:r>
    </w:p>
    <w:p w14:paraId="408B12CB" w14:textId="77777777" w:rsidR="00E05431" w:rsidRDefault="00E05431" w:rsidP="0075029B">
      <w:pPr>
        <w:pStyle w:val="corpo"/>
        <w:spacing w:before="0" w:after="0"/>
        <w:jc w:val="both"/>
        <w:rPr>
          <w:rFonts w:ascii="Bookman Old Style" w:hAnsi="Bookman Old Style" w:cs="Arial"/>
          <w:sz w:val="22"/>
          <w:szCs w:val="22"/>
        </w:rPr>
      </w:pPr>
    </w:p>
    <w:p w14:paraId="3E988DB6" w14:textId="284FE26F"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7.2. Os documentos exigidos para fins de habilitação poderão ser apresentados em seu formato original, por cópia ou por digitalização.</w:t>
      </w:r>
    </w:p>
    <w:p w14:paraId="0E71183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7.2.1. Somente haverá a necessidade de comprovação do preenchimento de requisitos mediante apresentação dos documentos originais não-digitais quando houver dúvida em relação à integridade do documento digital ou quando a lei expressamente o exigir. </w:t>
      </w:r>
    </w:p>
    <w:p w14:paraId="67387A4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7.3. Será verificado se o proponente apresentou declaração de que atende aos requisitos de habilitação, e o declarante responderá pela veracidade das informações prestadas, na forma da lei (art. 63, I, da Lei nº 14.133/21). </w:t>
      </w:r>
    </w:p>
    <w:p w14:paraId="6177F03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7.4. Será verificado se o proponente apresentou no sistema, sob pena de inabilitação, a declaração de que cumpre as exigências de reserva de cargos para pessoa com deficiência e para reabilitado da Previdência Social, previstas em lei e em outras normas específicas. </w:t>
      </w:r>
    </w:p>
    <w:p w14:paraId="5393474D"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7.5. Será verificado se o proponente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3DBFDD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7.6. É de responsabilidade do proponente conferir a exatidão dos seus dados cadastrais e mantê-los atualizados junto aos órgãos responsáveis pela informação, devendo proceder, </w:t>
      </w:r>
      <w:r w:rsidRPr="000313E5">
        <w:rPr>
          <w:rFonts w:ascii="Bookman Old Style" w:hAnsi="Bookman Old Style" w:cs="Arial"/>
          <w:sz w:val="22"/>
          <w:szCs w:val="22"/>
        </w:rPr>
        <w:lastRenderedPageBreak/>
        <w:t xml:space="preserve">imediatamente, à correção ou à alteração dos registros tão logo identifique incorreção ou aqueles se tornem desatualizados. </w:t>
      </w:r>
    </w:p>
    <w:p w14:paraId="3E6DF50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7.6.1. A não observância do disposto no item anterior poderá ensejar desclassificação no momento da habilitação. </w:t>
      </w:r>
    </w:p>
    <w:p w14:paraId="08ED9D3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7.7. Serão exigidos os documentos relativos à regularidade fiscal, em qualquer caso, somente em momento posterior ao julgamento das propostas, e apenas do proponente mais bem classificado. </w:t>
      </w:r>
    </w:p>
    <w:p w14:paraId="493FD0C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7.8. Após a entrega dos documentos para habilitação, não será permitida a substituição ou a apresentação de novos documentos, salvo em sede de diligência, para: </w:t>
      </w:r>
    </w:p>
    <w:p w14:paraId="19A0314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complementação de informações acerca dos documentos já apresentados pelos proponentes e desde que necessária para apurar fatos existentes à época da abertura do certame; e </w:t>
      </w:r>
    </w:p>
    <w:p w14:paraId="3FC47B6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atualização de documentos cuja validade tenha expirado após a data de recebimento das propostas; </w:t>
      </w:r>
    </w:p>
    <w:p w14:paraId="04A9E55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8FA568A" w14:textId="04CFC0D4"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7.10. Na hipótese de o proponente não atender às exigências para habilitação, o agente de contratação examinará a proposta subsequente e assim sucessivamente, na ordem de classificação, até a apuração de uma proposta que atenda ao presente instrumento convocatório.</w:t>
      </w:r>
    </w:p>
    <w:p w14:paraId="6667FC3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7.11. Somente serão disponibilizados para acesso público os documentos de habilitação do proponente cuja proposta atenda ao aviso de contratação direta, após concluídos os procedimentos de que trata o subitem anterior. </w:t>
      </w:r>
    </w:p>
    <w:p w14:paraId="6CC14ADC" w14:textId="77777777" w:rsidR="000313E5" w:rsidRDefault="000313E5" w:rsidP="0075029B">
      <w:pPr>
        <w:pStyle w:val="corpo"/>
        <w:spacing w:before="0" w:after="0"/>
        <w:jc w:val="both"/>
        <w:rPr>
          <w:rFonts w:ascii="Bookman Old Style" w:hAnsi="Bookman Old Style" w:cs="Arial"/>
          <w:sz w:val="22"/>
          <w:szCs w:val="22"/>
        </w:rPr>
      </w:pPr>
    </w:p>
    <w:p w14:paraId="4E61C751" w14:textId="77777777" w:rsidR="000313E5"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8- DOS RECURSOS </w:t>
      </w:r>
    </w:p>
    <w:p w14:paraId="0EAEED32"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8.1. A interposição de recurso referente ao julgamento das propostas, à habilitação ou inabilitação de proponentes, observará o disposto no art. 165 da Lei nº 14.133, de 2021. </w:t>
      </w:r>
    </w:p>
    <w:p w14:paraId="720F105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8.2. O prazo recursal é de 3 (três) dias úteis, contados da data de intimação ou de lavratura da ata. </w:t>
      </w:r>
    </w:p>
    <w:p w14:paraId="047444D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8.3. Quando o recurso apresentado impugnar o julgamento das propostas ou o ato de habilitação ou inabilitação do proponente: </w:t>
      </w:r>
    </w:p>
    <w:p w14:paraId="40E0950E"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a intenção de recorrer deverá ser manifestada imediatamente, sob pena de preclusão; </w:t>
      </w:r>
    </w:p>
    <w:p w14:paraId="100006DC"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o prazo para apresentação das razões recursais será iniciado na data de intimação ou de lavratura da ata de habilitação ou inabilitação; </w:t>
      </w:r>
    </w:p>
    <w:p w14:paraId="52A46E6A"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8.4. Os recursos deverão ser encaminhados em campo próprio do sistema. </w:t>
      </w:r>
    </w:p>
    <w:p w14:paraId="15F8ED05"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49FED954"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8.6. Os recursos interpostos fora do prazo não serão conhecidos. </w:t>
      </w:r>
    </w:p>
    <w:p w14:paraId="62732CA4"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8.7. O prazo para apresentação de contrarrazões ao recurso pelos demais proponentes será de 3 (três) dias úteis, contados da data da intimação pessoal ou da divulgação da interposição do recurso, assegurada a vista imediata dos elementos indispensáveis à defesa de seus interesses. </w:t>
      </w:r>
    </w:p>
    <w:p w14:paraId="2EA775B7"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8.8. O recurso e o pedido de reconsideração terão efeito suspensivo do ato ou da decisão recorrida até que sobrevenha decisão final da autoridade competente. </w:t>
      </w:r>
    </w:p>
    <w:p w14:paraId="7FFD71D7"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8.9. O acolhimento do recurso invalida tão somente os atos insuscetíveis de aproveitamento. </w:t>
      </w:r>
    </w:p>
    <w:p w14:paraId="170A9E70" w14:textId="77777777" w:rsidR="002C0DC6" w:rsidRDefault="002C0DC6" w:rsidP="0075029B">
      <w:pPr>
        <w:pStyle w:val="corpo"/>
        <w:spacing w:before="0" w:after="0"/>
        <w:jc w:val="both"/>
        <w:rPr>
          <w:rFonts w:ascii="Bookman Old Style" w:hAnsi="Bookman Old Style" w:cs="Arial"/>
          <w:sz w:val="22"/>
          <w:szCs w:val="22"/>
        </w:rPr>
      </w:pPr>
    </w:p>
    <w:p w14:paraId="0D6CDE0C" w14:textId="77777777" w:rsidR="002C0DC6"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9 - DAS INFRAÇÕES E SANÇÕES ADMINISTRATIVAS </w:t>
      </w:r>
    </w:p>
    <w:p w14:paraId="218061DE"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9.1. Comete infração administrativa, nos termos da lei, o proponente que, com dolo ou culpa: </w:t>
      </w:r>
    </w:p>
    <w:p w14:paraId="42E993B1"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 dar causa à inexecução parcial do contrato; </w:t>
      </w:r>
    </w:p>
    <w:p w14:paraId="7993F5D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lastRenderedPageBreak/>
        <w:t xml:space="preserve">II - dar causa à inexecução parcial do contrato que cause grave dano à Administração, ao funcionamento dos serviços públicos ou ao interesse coletivo; </w:t>
      </w:r>
    </w:p>
    <w:p w14:paraId="38FD120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III - dar causa à inexecução total do contrato; </w:t>
      </w:r>
    </w:p>
    <w:p w14:paraId="0A28369F"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IV - deixar de entregar a documentação exigida para o certame; </w:t>
      </w:r>
    </w:p>
    <w:p w14:paraId="55069BA7"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V - não manter a proposta, salvo em decorrência de fato superveniente devidamente justificado; </w:t>
      </w:r>
    </w:p>
    <w:p w14:paraId="138EE55F" w14:textId="798E3A5E" w:rsidR="00EA5804"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VI - não celebrar o contrato ou não entregar a documentação exigida para a contratação, quando convocado dentro do prazo de validade de sua proposta;</w:t>
      </w:r>
    </w:p>
    <w:p w14:paraId="316ACE2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VII - ensejar o retardamento da execução ou da entrega do objeto sem motivo justificado; </w:t>
      </w:r>
    </w:p>
    <w:p w14:paraId="2326CC3A"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VIII - apresentar declaração ou documentação falsa exigida para o certame ou prestar declaração falsa durante o procedimento ou a execução do contrato; </w:t>
      </w:r>
    </w:p>
    <w:p w14:paraId="153AF9B6"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IX - fraudar o procedimento ou praticar ato fraudulento na execução do contrato; </w:t>
      </w:r>
    </w:p>
    <w:p w14:paraId="62713E05"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X - comportar-se de modo inidôneo ou cometer fraude de qualquer natureza; </w:t>
      </w:r>
    </w:p>
    <w:p w14:paraId="1EAF7CD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XI - praticar atos ilícitos com vistas a frustrar os objetivos do procedimento; </w:t>
      </w:r>
    </w:p>
    <w:p w14:paraId="5D4F63A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XII - praticar ato lesivo previsto no art. 5º da Lei nº 12.846, de 1º de agosto de 2013. </w:t>
      </w:r>
    </w:p>
    <w:p w14:paraId="6D421FDE"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 Com fulcro na Lei nº 14.133, de 2021, a Administração poderá, garantida a prévia defesa, aplicar aos proponentes e/ou adjudicatários as seguintes sanções, sem prejuízo das responsabilidades civil e criminal: </w:t>
      </w:r>
    </w:p>
    <w:p w14:paraId="1474216D"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advertência; </w:t>
      </w:r>
    </w:p>
    <w:p w14:paraId="2DC200F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multa; </w:t>
      </w:r>
    </w:p>
    <w:p w14:paraId="2133D4C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III- impedimento de licitar e contratar e </w:t>
      </w:r>
    </w:p>
    <w:p w14:paraId="65018BAD"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IV- declaração de inidoneidade para licitar ou contratar, enquanto perdurarem os motivos determinantes da punição ou até que seja promovida sua reabilitação perante a própria autoridade que aplicou a penalidade. </w:t>
      </w:r>
    </w:p>
    <w:p w14:paraId="6084A1F6"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9.2.1. As sanções previstas nos incisos I, III e IV poderão ser aplicadas cumulativamente com a prevista no inciso II. </w:t>
      </w:r>
    </w:p>
    <w:p w14:paraId="31E5A90D"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9.2.2. Se a multa aplicada e as indenizações cabíveis forem superiores ao valor de pagamento eventualmente devido pela Administração ao contratado, além da perda desse valor, a diferença será descontada da garantia prestada ou será cobrada judicialmente. </w:t>
      </w:r>
    </w:p>
    <w:p w14:paraId="74E1077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9.2.3. A aplicação das sanções não exclui, em hipótese alguma, a obrigação de reparação integral do dano causado à Administração Pública. </w:t>
      </w:r>
    </w:p>
    <w:p w14:paraId="30FD959C"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9.2.4. Na aplicação da sanção prevista no inciso II, será facultada a defesa do interessado no prazo de 15 (quinze) dias úteis, contado da data de sua intimação. </w:t>
      </w:r>
    </w:p>
    <w:p w14:paraId="30038DA5"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9.2.5. A aplicação das sanções previstas nos incisos III e IV requererá a instauração de processo de responsabilização, a ser conduzido por comissão composta de 02 (dois) ou mais servidores estáveis, que avaliará fatos e circunstancias conhecidos e intimará o proponente ou o contratado para, no prazo de 15 (quinze) dias úteis, contado da data de intimação, apresentar defesa escrita e especificar as provas que pretenda produzir. </w:t>
      </w:r>
    </w:p>
    <w:p w14:paraId="0D4FCB52"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9.2.5.1. Na hipótese de deferimento de pedido de produção de novas provas ou de juntada de provas julgadas indispensáveis pela comissão, o proponente ou o contratado poderá apresentar alegações finais no prazo de 15 (quinze) dias úteis, contado da data da intimação. </w:t>
      </w:r>
    </w:p>
    <w:p w14:paraId="7894E183"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9.2.5.2. Serão indeferidas pela comissão, mediante decisão fundamentada, provas ilícitas, impertinentes, desnecessárias, protelatórias ou intempestivas.</w:t>
      </w:r>
    </w:p>
    <w:p w14:paraId="091ABB7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9.3. Na aplicação das sanções serão considerados: </w:t>
      </w:r>
    </w:p>
    <w:p w14:paraId="794F5C86"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a natureza e a gravidade da infração cometida. </w:t>
      </w:r>
    </w:p>
    <w:p w14:paraId="57CB2244"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as peculiaridades do caso concreto </w:t>
      </w:r>
    </w:p>
    <w:p w14:paraId="14E05E16" w14:textId="26EE7208"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III- as circunstâncias agravantes ou atenuantes</w:t>
      </w:r>
    </w:p>
    <w:p w14:paraId="448DAB05"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os danos que dela provierem para a Administração Pública </w:t>
      </w:r>
    </w:p>
    <w:p w14:paraId="7113700C"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a implantação ou o aperfeiçoamento de programa de integridade, conforme normas e orientações dos órgãos de controle. </w:t>
      </w:r>
    </w:p>
    <w:p w14:paraId="53FCAF37"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9.4. A sanção administrativa de advertência, inciso I do item 10.2, será aplicada exclusivamente pela infração que der causa à inexecução parcial do contrato, inciso I do item 10.1, quando não se justificar imposição de penalidade mais grave. </w:t>
      </w:r>
    </w:p>
    <w:p w14:paraId="21BB78C4"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9.5. A sanção administrativa de multa, inciso II do item 10.2., será aplicada, ao responsável por qualquer das infrações previstas no item 10.1. deste instrumento, não podendo ser inferior a 0,5% (cinco décimos por cento) nem superior a 30% (trinta por cento) do valor do contrato. </w:t>
      </w:r>
    </w:p>
    <w:p w14:paraId="27799DA1"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9.5.1. A multa será calculada pelo gestor do contrato que deverá observar para sua aplicação o disposto no item 10.3. </w:t>
      </w:r>
    </w:p>
    <w:p w14:paraId="5D6E71AE"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9.6. 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 </w:t>
      </w:r>
    </w:p>
    <w:p w14:paraId="7589FF1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9.7. 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anos e máximo de 6 (seis) anos. </w:t>
      </w:r>
    </w:p>
    <w:p w14:paraId="6D286A2A"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9.7.1. A sanção administrativa prevista no inciso IV do item 10.2 será precedida de análise jurídica e será de competência exclusiva do secretário municipal responsável. </w:t>
      </w:r>
    </w:p>
    <w:p w14:paraId="6FB014A5"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9.8.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6C022E2C" w14:textId="5114DE00" w:rsidR="00EA5804"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9.9.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58416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9.10.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1ED980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9.11. O recurso e o pedido de reconsideração terão efeito suspensivo do ato ou da decisão recorrida até que sobrevenha decisão final da autoridade competente. </w:t>
      </w:r>
    </w:p>
    <w:p w14:paraId="4DF7C0D2"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9.14. 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 </w:t>
      </w:r>
    </w:p>
    <w:p w14:paraId="70E4D36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9.15. Todas as intimações serão realizadas através do endereço de e-mail informado pelo proponente em seu cadastro, não será aceita, em nenhuma hipótese, a justificativa do não recebimento das intimações realizadas através deste canal. </w:t>
      </w:r>
    </w:p>
    <w:p w14:paraId="2E6EF76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9.15.1. Caso o proponente não confirme o recebimento das intimações no prazo de até 48 (quarenta e oito) horas, a administração o convocará por publicação no Diário Oficial adotado pelo órgão. </w:t>
      </w:r>
    </w:p>
    <w:p w14:paraId="576B0790"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9.16. Além das sanções previstas no item 10.2, o proponente estará sujeito a multa de mora pelo atraso injustificado na execução do contrato. </w:t>
      </w:r>
    </w:p>
    <w:p w14:paraId="73ABD85F"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9.16.1. 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 </w:t>
      </w:r>
    </w:p>
    <w:p w14:paraId="55263B9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I – Caso a justificativa para o atraso na execução seja acatada pela administração, esta deverá disponibilizar prazo exíguo para o saneamento e regularização da execução; </w:t>
      </w:r>
    </w:p>
    <w:p w14:paraId="3F05BD5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 </w:t>
      </w:r>
    </w:p>
    <w:p w14:paraId="6D294420"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9.16.2. Será utilizado como parâmetro de cálculo o valor das respectivas parcelas em atraso. </w:t>
      </w:r>
    </w:p>
    <w:p w14:paraId="7DCFD4CA" w14:textId="77777777" w:rsidR="002C0DC6" w:rsidRDefault="002C0DC6" w:rsidP="0075029B">
      <w:pPr>
        <w:pStyle w:val="corpo"/>
        <w:spacing w:before="0" w:after="0"/>
        <w:jc w:val="both"/>
        <w:rPr>
          <w:rFonts w:ascii="Bookman Old Style" w:hAnsi="Bookman Old Style" w:cs="Arial"/>
          <w:sz w:val="22"/>
          <w:szCs w:val="22"/>
        </w:rPr>
      </w:pPr>
    </w:p>
    <w:p w14:paraId="29234FCE" w14:textId="77777777" w:rsidR="002C0DC6" w:rsidRPr="00123A97" w:rsidRDefault="002C0DC6"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10 - DAS DISPOSIÇÕES GERAIS </w:t>
      </w:r>
    </w:p>
    <w:p w14:paraId="28957ABF" w14:textId="4AB96694"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10.1.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286F4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10.2. Todas as referências de tempo no Edital, no aviso e durante a sessão pública observarão o horário oficial de Brasília - DF. </w:t>
      </w:r>
    </w:p>
    <w:p w14:paraId="6559D706"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10.3. A homologação do resultado deste procedimento não implicará direito à contratação. </w:t>
      </w:r>
    </w:p>
    <w:p w14:paraId="4C69229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10.4. As normas disciplinadoras do procedimento serão sempre interpretadas em favor da ampliação da disputa entre os interessados, desde que não comprometam o interesse da Administração, o princípio da isonomia, a finalidade e a segurança da contratação. </w:t>
      </w:r>
    </w:p>
    <w:p w14:paraId="363FA3E5" w14:textId="77777777" w:rsidR="002C0DC6" w:rsidRDefault="002C0DC6" w:rsidP="0075029B">
      <w:pPr>
        <w:pStyle w:val="corpo"/>
        <w:spacing w:before="0" w:after="0"/>
        <w:jc w:val="both"/>
        <w:rPr>
          <w:rFonts w:ascii="Bookman Old Style" w:hAnsi="Bookman Old Style" w:cs="Arial"/>
          <w:sz w:val="22"/>
          <w:szCs w:val="22"/>
        </w:rPr>
      </w:pPr>
      <w:r>
        <w:rPr>
          <w:rFonts w:ascii="Bookman Old Style" w:hAnsi="Bookman Old Style" w:cs="Arial"/>
          <w:sz w:val="22"/>
          <w:szCs w:val="22"/>
        </w:rPr>
        <w:t>1</w:t>
      </w:r>
      <w:r w:rsidRPr="002C0DC6">
        <w:rPr>
          <w:rFonts w:ascii="Bookman Old Style" w:hAnsi="Bookman Old Style" w:cs="Arial"/>
          <w:sz w:val="22"/>
          <w:szCs w:val="22"/>
        </w:rPr>
        <w:t xml:space="preserve">0.5. Os proponentes assumem todos os custos de preparação e apresentação de suas propostas e a Administração não será, em nenhum caso, responsável por esses custos, independentemente da condução ou do resultado do procedimento. </w:t>
      </w:r>
    </w:p>
    <w:p w14:paraId="282C0942"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10.6. Na contagem dos prazos estabelecidos neste Edital e seus Anexos, excluir-se-á o dia do início e incluir-se-á o do vencimento. Só se iniciam e vencem os prazos em dias de expediente na Administração. </w:t>
      </w:r>
    </w:p>
    <w:p w14:paraId="137902D9"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10.7. O desatendimento de exigências formais não essenciais não importará o afastamento do proponente, desde que seja possível o aproveitamento do ato, observados os princípios da isonomia e do interesse público. </w:t>
      </w:r>
    </w:p>
    <w:p w14:paraId="4EE55749"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10.8. Em caso de divergência entre disposições deste Edital e de seus anexos ou demais peças que compõem o processo, prevalecerão as deste Edital. </w:t>
      </w:r>
    </w:p>
    <w:p w14:paraId="276EC771"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10.9. É facultada ao agente de contratação ou à Autoridade Superior, em qualquer fase do procedimento, a promoção de diligência, destinada a esclarecer ou complementar a instrução do processo, vedada a inclusão posterior de documento ou informação que deveria constar no ato da sessão pública. </w:t>
      </w:r>
    </w:p>
    <w:p w14:paraId="13885DB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10.10. A autoridade competente poderá revogar o procedimento por razões de interesse público derivado de fato superveniente devidamente comprovado, pertinente e suficiente para justificar tal conduta, devendo anulá-la por ilegalidade de ofício ou por provocação de terceiros, mediante ato escrito e fundamentado. </w:t>
      </w:r>
    </w:p>
    <w:p w14:paraId="3DFCC3CF"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10.11. Os proponentes são responsáveis pela fidelidade e legitimidade das informações e dos documentos apresentados em qualquer fase do procedimento. </w:t>
      </w:r>
    </w:p>
    <w:p w14:paraId="45A12650" w14:textId="24F0B3F1"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10.12. O proponente vencedor deverá assinar os contratos ou os instrumentos equivalentes no prazo máximo de 05 (cinco) dias úteis.</w:t>
      </w:r>
    </w:p>
    <w:p w14:paraId="71E1B71C"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10.12.1. O documento será encaminhado para o e-mail indicado pelo proponente vencedor em seu cadastro e não será aceita em nenhuma hipótese, a alegação de não visualização do e-mail encaminhado. </w:t>
      </w:r>
    </w:p>
    <w:p w14:paraId="10F27D7A" w14:textId="77777777" w:rsidR="002C0DC6" w:rsidRDefault="002C0DC6" w:rsidP="0075029B">
      <w:pPr>
        <w:pStyle w:val="corpo"/>
        <w:spacing w:before="0" w:after="0"/>
        <w:jc w:val="both"/>
        <w:rPr>
          <w:rFonts w:ascii="Bookman Old Style" w:hAnsi="Bookman Old Style" w:cs="Arial"/>
          <w:sz w:val="22"/>
          <w:szCs w:val="22"/>
        </w:rPr>
      </w:pPr>
    </w:p>
    <w:p w14:paraId="41C461A6" w14:textId="77777777" w:rsidR="002C0DC6" w:rsidRPr="00123A97" w:rsidRDefault="002C0DC6"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11- DOS ANEXOS </w:t>
      </w:r>
    </w:p>
    <w:p w14:paraId="1018EDA4"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11.1. São partes integrantes deste instrumento: </w:t>
      </w:r>
    </w:p>
    <w:p w14:paraId="5F5557BF"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ANEXO I - Termo de Referência </w:t>
      </w:r>
    </w:p>
    <w:p w14:paraId="667B19AE"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ANEXO II – Minuta Contratual </w:t>
      </w:r>
    </w:p>
    <w:p w14:paraId="3F489536" w14:textId="77777777" w:rsidR="002C0DC6" w:rsidRDefault="002C0DC6" w:rsidP="0075029B">
      <w:pPr>
        <w:pStyle w:val="corpo"/>
        <w:spacing w:before="0" w:after="0"/>
        <w:jc w:val="both"/>
        <w:rPr>
          <w:rFonts w:ascii="Bookman Old Style" w:hAnsi="Bookman Old Style" w:cs="Arial"/>
          <w:sz w:val="22"/>
          <w:szCs w:val="22"/>
        </w:rPr>
      </w:pPr>
    </w:p>
    <w:p w14:paraId="5E912051" w14:textId="77777777" w:rsidR="002C0DC6" w:rsidRPr="00123A97" w:rsidRDefault="002C0DC6"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12- DO FORO </w:t>
      </w:r>
    </w:p>
    <w:p w14:paraId="6F89F182" w14:textId="68073DA3"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12.1. As questões decorrentes da execução deste instrumento, que não possam ser dirimidas administrativamente, serão processadas e julgadas na Justiça Estadual, no foro da comarca de </w:t>
      </w:r>
      <w:r w:rsidR="00925927">
        <w:rPr>
          <w:rFonts w:ascii="Bookman Old Style" w:hAnsi="Bookman Old Style" w:cs="Arial"/>
          <w:sz w:val="22"/>
          <w:szCs w:val="22"/>
        </w:rPr>
        <w:t>Ipanema</w:t>
      </w:r>
      <w:r w:rsidRPr="002C0DC6">
        <w:rPr>
          <w:rFonts w:ascii="Bookman Old Style" w:hAnsi="Bookman Old Style" w:cs="Arial"/>
          <w:sz w:val="22"/>
          <w:szCs w:val="22"/>
        </w:rPr>
        <w:t>-MG, com exclusão de qualquer outro por mais privilegiado que seja.</w:t>
      </w:r>
    </w:p>
    <w:p w14:paraId="7E8D2218" w14:textId="77777777" w:rsidR="002C0DC6" w:rsidRDefault="002C0DC6" w:rsidP="0075029B">
      <w:pPr>
        <w:pStyle w:val="corpo"/>
        <w:spacing w:before="0" w:after="0"/>
        <w:jc w:val="both"/>
        <w:rPr>
          <w:rFonts w:ascii="Bookman Old Style" w:hAnsi="Bookman Old Style" w:cs="Arial"/>
          <w:sz w:val="22"/>
          <w:szCs w:val="22"/>
        </w:rPr>
      </w:pPr>
    </w:p>
    <w:p w14:paraId="5066DF73" w14:textId="0B3B6BC3" w:rsidR="002C0DC6" w:rsidRPr="00185A6D" w:rsidRDefault="00925927" w:rsidP="0075029B">
      <w:pPr>
        <w:pStyle w:val="corpo"/>
        <w:spacing w:before="0" w:after="0"/>
        <w:jc w:val="both"/>
        <w:rPr>
          <w:rFonts w:ascii="Bookman Old Style" w:hAnsi="Bookman Old Style" w:cs="Arial"/>
          <w:sz w:val="22"/>
          <w:szCs w:val="22"/>
        </w:rPr>
      </w:pPr>
      <w:r w:rsidRPr="00185A6D">
        <w:rPr>
          <w:rFonts w:ascii="Bookman Old Style" w:hAnsi="Bookman Old Style" w:cs="Arial"/>
          <w:sz w:val="22"/>
          <w:szCs w:val="22"/>
        </w:rPr>
        <w:t>Ipanema</w:t>
      </w:r>
      <w:r w:rsidR="002C0DC6" w:rsidRPr="00185A6D">
        <w:rPr>
          <w:rFonts w:ascii="Bookman Old Style" w:hAnsi="Bookman Old Style" w:cs="Arial"/>
          <w:sz w:val="22"/>
          <w:szCs w:val="22"/>
        </w:rPr>
        <w:t xml:space="preserve">, </w:t>
      </w:r>
      <w:r w:rsidR="00185A6D" w:rsidRPr="00185A6D">
        <w:rPr>
          <w:rFonts w:ascii="Bookman Old Style" w:hAnsi="Bookman Old Style" w:cs="Arial"/>
          <w:sz w:val="22"/>
          <w:szCs w:val="22"/>
        </w:rPr>
        <w:t>22</w:t>
      </w:r>
      <w:r w:rsidR="002C0DC6" w:rsidRPr="00185A6D">
        <w:rPr>
          <w:rFonts w:ascii="Bookman Old Style" w:hAnsi="Bookman Old Style" w:cs="Arial"/>
          <w:sz w:val="22"/>
          <w:szCs w:val="22"/>
        </w:rPr>
        <w:t xml:space="preserve"> de maio de 2024</w:t>
      </w:r>
    </w:p>
    <w:p w14:paraId="5F986294" w14:textId="77777777" w:rsidR="002C0DC6" w:rsidRPr="00185A6D" w:rsidRDefault="002C0DC6" w:rsidP="0075029B">
      <w:pPr>
        <w:pStyle w:val="corpo"/>
        <w:spacing w:before="0" w:after="0"/>
        <w:jc w:val="both"/>
        <w:rPr>
          <w:rFonts w:ascii="Bookman Old Style" w:hAnsi="Bookman Old Style" w:cs="Arial"/>
          <w:sz w:val="22"/>
          <w:szCs w:val="22"/>
        </w:rPr>
      </w:pPr>
    </w:p>
    <w:p w14:paraId="61BA6BF8" w14:textId="77777777" w:rsidR="002C0DC6" w:rsidRPr="00185A6D" w:rsidRDefault="002C0DC6" w:rsidP="002C0DC6">
      <w:pPr>
        <w:pStyle w:val="corpo"/>
        <w:spacing w:before="0" w:after="0"/>
        <w:jc w:val="center"/>
        <w:rPr>
          <w:rFonts w:ascii="Bookman Old Style" w:hAnsi="Bookman Old Style" w:cs="Arial"/>
          <w:sz w:val="22"/>
          <w:szCs w:val="22"/>
        </w:rPr>
      </w:pPr>
    </w:p>
    <w:p w14:paraId="740AB6A8" w14:textId="7E2B6479" w:rsidR="002C0DC6" w:rsidRPr="00185A6D" w:rsidRDefault="002C0DC6" w:rsidP="002C0DC6">
      <w:pPr>
        <w:pStyle w:val="corpo"/>
        <w:spacing w:before="0" w:after="0"/>
        <w:jc w:val="center"/>
        <w:rPr>
          <w:rFonts w:ascii="Bookman Old Style" w:hAnsi="Bookman Old Style" w:cs="Arial"/>
          <w:sz w:val="22"/>
          <w:szCs w:val="22"/>
        </w:rPr>
      </w:pPr>
      <w:r w:rsidRPr="00185A6D">
        <w:rPr>
          <w:rFonts w:ascii="Bookman Old Style" w:hAnsi="Bookman Old Style" w:cs="Arial"/>
          <w:sz w:val="22"/>
          <w:szCs w:val="22"/>
        </w:rPr>
        <w:t>__________________________________________________</w:t>
      </w:r>
    </w:p>
    <w:p w14:paraId="082985BF" w14:textId="77777777" w:rsidR="00194A59" w:rsidRDefault="00194A59" w:rsidP="002C0DC6">
      <w:pPr>
        <w:pStyle w:val="corpo"/>
        <w:spacing w:before="0" w:after="0"/>
        <w:jc w:val="center"/>
        <w:rPr>
          <w:rFonts w:ascii="Bookman Old Style" w:hAnsi="Bookman Old Style" w:cs="Arial"/>
          <w:sz w:val="22"/>
          <w:szCs w:val="22"/>
        </w:rPr>
      </w:pPr>
      <w:r>
        <w:rPr>
          <w:rFonts w:ascii="Bookman Old Style" w:hAnsi="Bookman Old Style" w:cs="Arial"/>
          <w:sz w:val="22"/>
          <w:szCs w:val="22"/>
        </w:rPr>
        <w:t>Márcio Luiz da Gama Oliveira</w:t>
      </w:r>
    </w:p>
    <w:p w14:paraId="233D3031" w14:textId="235828FF" w:rsidR="002C0DC6" w:rsidRDefault="002C0DC6" w:rsidP="002C0DC6">
      <w:pPr>
        <w:pStyle w:val="corpo"/>
        <w:spacing w:before="0" w:after="0"/>
        <w:jc w:val="center"/>
        <w:rPr>
          <w:rFonts w:ascii="Bookman Old Style" w:hAnsi="Bookman Old Style" w:cs="Arial"/>
          <w:sz w:val="22"/>
          <w:szCs w:val="22"/>
        </w:rPr>
      </w:pPr>
      <w:r w:rsidRPr="00185A6D">
        <w:rPr>
          <w:rFonts w:ascii="Bookman Old Style" w:hAnsi="Bookman Old Style" w:cs="Arial"/>
          <w:sz w:val="22"/>
          <w:szCs w:val="22"/>
        </w:rPr>
        <w:t xml:space="preserve">Secretário Municipal de </w:t>
      </w:r>
      <w:r w:rsidR="00194A59">
        <w:rPr>
          <w:rFonts w:ascii="Bookman Old Style" w:hAnsi="Bookman Old Style" w:cs="Arial"/>
          <w:sz w:val="22"/>
          <w:szCs w:val="22"/>
        </w:rPr>
        <w:t>Saúde</w:t>
      </w:r>
    </w:p>
    <w:p w14:paraId="7D6E9CD7" w14:textId="77777777" w:rsidR="002C0DC6" w:rsidRDefault="002C0DC6" w:rsidP="002C0DC6">
      <w:pPr>
        <w:pStyle w:val="corpo"/>
        <w:spacing w:before="0" w:after="0"/>
        <w:jc w:val="center"/>
        <w:rPr>
          <w:rFonts w:ascii="Bookman Old Style" w:hAnsi="Bookman Old Style" w:cs="Arial"/>
          <w:sz w:val="22"/>
          <w:szCs w:val="22"/>
        </w:rPr>
      </w:pPr>
    </w:p>
    <w:p w14:paraId="1783EA88" w14:textId="77777777" w:rsidR="002C0DC6" w:rsidRDefault="002C0DC6" w:rsidP="002C0DC6">
      <w:pPr>
        <w:pStyle w:val="corpo"/>
        <w:spacing w:before="0" w:after="0"/>
        <w:jc w:val="center"/>
        <w:rPr>
          <w:rFonts w:ascii="Bookman Old Style" w:hAnsi="Bookman Old Style" w:cs="Arial"/>
          <w:sz w:val="22"/>
          <w:szCs w:val="22"/>
        </w:rPr>
      </w:pPr>
    </w:p>
    <w:p w14:paraId="3AC911CA" w14:textId="77777777" w:rsidR="002C0DC6" w:rsidRDefault="002C0DC6" w:rsidP="0075029B">
      <w:pPr>
        <w:pStyle w:val="corpo"/>
        <w:spacing w:before="0" w:after="0"/>
        <w:jc w:val="both"/>
        <w:rPr>
          <w:rFonts w:ascii="Bookman Old Style" w:hAnsi="Bookman Old Style" w:cs="Arial"/>
          <w:sz w:val="22"/>
          <w:szCs w:val="22"/>
        </w:rPr>
      </w:pPr>
    </w:p>
    <w:p w14:paraId="4EBC3691" w14:textId="77777777" w:rsidR="002C0DC6" w:rsidRDefault="002C0DC6" w:rsidP="0075029B">
      <w:pPr>
        <w:pStyle w:val="corpo"/>
        <w:spacing w:before="0" w:after="0"/>
        <w:jc w:val="both"/>
        <w:rPr>
          <w:rFonts w:ascii="Bookman Old Style" w:hAnsi="Bookman Old Style" w:cs="Arial"/>
          <w:sz w:val="22"/>
          <w:szCs w:val="22"/>
        </w:rPr>
      </w:pPr>
    </w:p>
    <w:p w14:paraId="25863DC2" w14:textId="77777777" w:rsidR="002C0DC6" w:rsidRDefault="002C0DC6" w:rsidP="0075029B">
      <w:pPr>
        <w:pStyle w:val="corpo"/>
        <w:spacing w:before="0" w:after="0"/>
        <w:jc w:val="both"/>
        <w:rPr>
          <w:rFonts w:ascii="Bookman Old Style" w:hAnsi="Bookman Old Style" w:cs="Arial"/>
          <w:sz w:val="22"/>
          <w:szCs w:val="22"/>
        </w:rPr>
      </w:pPr>
    </w:p>
    <w:p w14:paraId="29FBF03A" w14:textId="77777777" w:rsidR="002C0DC6" w:rsidRDefault="002C0DC6" w:rsidP="0075029B">
      <w:pPr>
        <w:pStyle w:val="corpo"/>
        <w:spacing w:before="0" w:after="0"/>
        <w:jc w:val="both"/>
        <w:rPr>
          <w:rFonts w:ascii="Bookman Old Style" w:hAnsi="Bookman Old Style" w:cs="Arial"/>
          <w:sz w:val="22"/>
          <w:szCs w:val="22"/>
        </w:rPr>
      </w:pPr>
    </w:p>
    <w:p w14:paraId="413BB61D" w14:textId="77777777" w:rsidR="002C0DC6" w:rsidRDefault="002C0DC6" w:rsidP="0075029B">
      <w:pPr>
        <w:pStyle w:val="corpo"/>
        <w:spacing w:before="0" w:after="0"/>
        <w:jc w:val="both"/>
        <w:rPr>
          <w:rFonts w:ascii="Bookman Old Style" w:hAnsi="Bookman Old Style" w:cs="Arial"/>
          <w:sz w:val="22"/>
          <w:szCs w:val="22"/>
        </w:rPr>
      </w:pPr>
    </w:p>
    <w:p w14:paraId="2AC65698" w14:textId="77777777" w:rsidR="002C0DC6" w:rsidRDefault="002C0DC6" w:rsidP="0075029B">
      <w:pPr>
        <w:pStyle w:val="corpo"/>
        <w:spacing w:before="0" w:after="0"/>
        <w:jc w:val="both"/>
        <w:rPr>
          <w:rFonts w:ascii="Bookman Old Style" w:hAnsi="Bookman Old Style" w:cs="Arial"/>
          <w:sz w:val="22"/>
          <w:szCs w:val="22"/>
        </w:rPr>
      </w:pPr>
    </w:p>
    <w:p w14:paraId="15F4D9D1" w14:textId="77777777" w:rsidR="002C0DC6" w:rsidRDefault="002C0DC6" w:rsidP="0075029B">
      <w:pPr>
        <w:pStyle w:val="corpo"/>
        <w:spacing w:before="0" w:after="0"/>
        <w:jc w:val="both"/>
        <w:rPr>
          <w:rFonts w:ascii="Bookman Old Style" w:hAnsi="Bookman Old Style" w:cs="Arial"/>
          <w:sz w:val="22"/>
          <w:szCs w:val="22"/>
        </w:rPr>
      </w:pPr>
    </w:p>
    <w:p w14:paraId="6D54DD2C" w14:textId="77777777" w:rsidR="002C0DC6" w:rsidRDefault="002C0DC6" w:rsidP="0075029B">
      <w:pPr>
        <w:pStyle w:val="corpo"/>
        <w:spacing w:before="0" w:after="0"/>
        <w:jc w:val="both"/>
        <w:rPr>
          <w:rFonts w:ascii="Bookman Old Style" w:hAnsi="Bookman Old Style" w:cs="Arial"/>
          <w:sz w:val="22"/>
          <w:szCs w:val="22"/>
        </w:rPr>
      </w:pPr>
    </w:p>
    <w:p w14:paraId="6BB5CE4D" w14:textId="77777777" w:rsidR="002C0DC6" w:rsidRDefault="002C0DC6" w:rsidP="0075029B">
      <w:pPr>
        <w:pStyle w:val="corpo"/>
        <w:spacing w:before="0" w:after="0"/>
        <w:jc w:val="both"/>
        <w:rPr>
          <w:rFonts w:ascii="Bookman Old Style" w:hAnsi="Bookman Old Style" w:cs="Arial"/>
          <w:sz w:val="22"/>
          <w:szCs w:val="22"/>
        </w:rPr>
      </w:pPr>
    </w:p>
    <w:p w14:paraId="38B860C6" w14:textId="77777777" w:rsidR="002C0DC6" w:rsidRDefault="002C0DC6" w:rsidP="0075029B">
      <w:pPr>
        <w:pStyle w:val="corpo"/>
        <w:spacing w:before="0" w:after="0"/>
        <w:jc w:val="both"/>
        <w:rPr>
          <w:rFonts w:ascii="Bookman Old Style" w:hAnsi="Bookman Old Style" w:cs="Arial"/>
          <w:sz w:val="22"/>
          <w:szCs w:val="22"/>
        </w:rPr>
      </w:pPr>
    </w:p>
    <w:p w14:paraId="47CCE63B" w14:textId="77777777" w:rsidR="002C0DC6" w:rsidRDefault="002C0DC6" w:rsidP="0075029B">
      <w:pPr>
        <w:pStyle w:val="corpo"/>
        <w:spacing w:before="0" w:after="0"/>
        <w:jc w:val="both"/>
        <w:rPr>
          <w:rFonts w:ascii="Bookman Old Style" w:hAnsi="Bookman Old Style" w:cs="Arial"/>
          <w:sz w:val="22"/>
          <w:szCs w:val="22"/>
        </w:rPr>
      </w:pPr>
    </w:p>
    <w:p w14:paraId="1AA936CF" w14:textId="77777777" w:rsidR="002C0DC6" w:rsidRDefault="002C0DC6" w:rsidP="0075029B">
      <w:pPr>
        <w:pStyle w:val="corpo"/>
        <w:spacing w:before="0" w:after="0"/>
        <w:jc w:val="both"/>
        <w:rPr>
          <w:rFonts w:ascii="Bookman Old Style" w:hAnsi="Bookman Old Style" w:cs="Arial"/>
          <w:sz w:val="22"/>
          <w:szCs w:val="22"/>
        </w:rPr>
      </w:pPr>
    </w:p>
    <w:p w14:paraId="68A860B7" w14:textId="77777777" w:rsidR="002C0DC6" w:rsidRDefault="002C0DC6" w:rsidP="0075029B">
      <w:pPr>
        <w:pStyle w:val="corpo"/>
        <w:spacing w:before="0" w:after="0"/>
        <w:jc w:val="both"/>
        <w:rPr>
          <w:rFonts w:ascii="Bookman Old Style" w:hAnsi="Bookman Old Style" w:cs="Arial"/>
          <w:sz w:val="22"/>
          <w:szCs w:val="22"/>
        </w:rPr>
      </w:pPr>
    </w:p>
    <w:p w14:paraId="1E932B31" w14:textId="77777777" w:rsidR="002C0DC6" w:rsidRDefault="002C0DC6" w:rsidP="0075029B">
      <w:pPr>
        <w:pStyle w:val="corpo"/>
        <w:spacing w:before="0" w:after="0"/>
        <w:jc w:val="both"/>
        <w:rPr>
          <w:rFonts w:ascii="Bookman Old Style" w:hAnsi="Bookman Old Style" w:cs="Arial"/>
          <w:sz w:val="22"/>
          <w:szCs w:val="22"/>
        </w:rPr>
      </w:pPr>
    </w:p>
    <w:p w14:paraId="0EECC10F" w14:textId="77777777" w:rsidR="002C0DC6" w:rsidRDefault="002C0DC6" w:rsidP="0075029B">
      <w:pPr>
        <w:pStyle w:val="corpo"/>
        <w:spacing w:before="0" w:after="0"/>
        <w:jc w:val="both"/>
        <w:rPr>
          <w:rFonts w:ascii="Bookman Old Style" w:hAnsi="Bookman Old Style" w:cs="Arial"/>
          <w:sz w:val="22"/>
          <w:szCs w:val="22"/>
        </w:rPr>
      </w:pPr>
    </w:p>
    <w:p w14:paraId="2BB71027" w14:textId="77777777" w:rsidR="002C0DC6" w:rsidRDefault="002C0DC6" w:rsidP="0075029B">
      <w:pPr>
        <w:pStyle w:val="corpo"/>
        <w:spacing w:before="0" w:after="0"/>
        <w:jc w:val="both"/>
        <w:rPr>
          <w:rFonts w:ascii="Bookman Old Style" w:hAnsi="Bookman Old Style" w:cs="Arial"/>
          <w:sz w:val="22"/>
          <w:szCs w:val="22"/>
        </w:rPr>
      </w:pPr>
    </w:p>
    <w:p w14:paraId="28F36862" w14:textId="77777777" w:rsidR="002C0DC6" w:rsidRDefault="002C0DC6" w:rsidP="0075029B">
      <w:pPr>
        <w:pStyle w:val="corpo"/>
        <w:spacing w:before="0" w:after="0"/>
        <w:jc w:val="both"/>
        <w:rPr>
          <w:rFonts w:ascii="Bookman Old Style" w:hAnsi="Bookman Old Style" w:cs="Arial"/>
          <w:sz w:val="22"/>
          <w:szCs w:val="22"/>
        </w:rPr>
      </w:pPr>
    </w:p>
    <w:p w14:paraId="1CF844A1" w14:textId="77777777" w:rsidR="002C0DC6" w:rsidRDefault="002C0DC6" w:rsidP="0075029B">
      <w:pPr>
        <w:pStyle w:val="corpo"/>
        <w:spacing w:before="0" w:after="0"/>
        <w:jc w:val="both"/>
        <w:rPr>
          <w:rFonts w:ascii="Bookman Old Style" w:hAnsi="Bookman Old Style" w:cs="Arial"/>
          <w:sz w:val="22"/>
          <w:szCs w:val="22"/>
        </w:rPr>
      </w:pPr>
    </w:p>
    <w:p w14:paraId="7B6DA3D6" w14:textId="77777777" w:rsidR="002C0DC6" w:rsidRDefault="002C0DC6" w:rsidP="0075029B">
      <w:pPr>
        <w:pStyle w:val="corpo"/>
        <w:spacing w:before="0" w:after="0"/>
        <w:jc w:val="both"/>
        <w:rPr>
          <w:rFonts w:ascii="Bookman Old Style" w:hAnsi="Bookman Old Style" w:cs="Arial"/>
          <w:sz w:val="22"/>
          <w:szCs w:val="22"/>
        </w:rPr>
      </w:pPr>
    </w:p>
    <w:p w14:paraId="3833304B" w14:textId="77777777" w:rsidR="002C0DC6" w:rsidRDefault="002C0DC6" w:rsidP="0075029B">
      <w:pPr>
        <w:pStyle w:val="corpo"/>
        <w:spacing w:before="0" w:after="0"/>
        <w:jc w:val="both"/>
        <w:rPr>
          <w:rFonts w:ascii="Bookman Old Style" w:hAnsi="Bookman Old Style" w:cs="Arial"/>
          <w:sz w:val="22"/>
          <w:szCs w:val="22"/>
        </w:rPr>
      </w:pPr>
    </w:p>
    <w:p w14:paraId="1ED08849" w14:textId="77777777" w:rsidR="002C0DC6" w:rsidRDefault="002C0DC6" w:rsidP="0075029B">
      <w:pPr>
        <w:pStyle w:val="corpo"/>
        <w:spacing w:before="0" w:after="0"/>
        <w:jc w:val="both"/>
        <w:rPr>
          <w:rFonts w:ascii="Bookman Old Style" w:hAnsi="Bookman Old Style" w:cs="Arial"/>
          <w:sz w:val="22"/>
          <w:szCs w:val="22"/>
        </w:rPr>
      </w:pPr>
    </w:p>
    <w:p w14:paraId="41092698" w14:textId="77777777" w:rsidR="002C0DC6" w:rsidRDefault="002C0DC6" w:rsidP="0075029B">
      <w:pPr>
        <w:pStyle w:val="corpo"/>
        <w:spacing w:before="0" w:after="0"/>
        <w:jc w:val="both"/>
        <w:rPr>
          <w:rFonts w:ascii="Bookman Old Style" w:hAnsi="Bookman Old Style" w:cs="Arial"/>
          <w:sz w:val="22"/>
          <w:szCs w:val="22"/>
        </w:rPr>
      </w:pPr>
    </w:p>
    <w:p w14:paraId="6DB01246" w14:textId="13CA72EF" w:rsidR="002C0DC6" w:rsidRDefault="002C0DC6" w:rsidP="0075029B">
      <w:pPr>
        <w:pStyle w:val="corpo"/>
        <w:spacing w:before="0" w:after="0"/>
        <w:jc w:val="both"/>
        <w:rPr>
          <w:rFonts w:ascii="Bookman Old Style" w:hAnsi="Bookman Old Style" w:cs="Arial"/>
          <w:sz w:val="22"/>
          <w:szCs w:val="22"/>
        </w:rPr>
      </w:pPr>
    </w:p>
    <w:p w14:paraId="58A7EF93" w14:textId="3D9EAF72" w:rsidR="00E05431" w:rsidRDefault="00E05431" w:rsidP="0075029B">
      <w:pPr>
        <w:pStyle w:val="corpo"/>
        <w:spacing w:before="0" w:after="0"/>
        <w:jc w:val="both"/>
        <w:rPr>
          <w:rFonts w:ascii="Bookman Old Style" w:hAnsi="Bookman Old Style" w:cs="Arial"/>
          <w:sz w:val="22"/>
          <w:szCs w:val="22"/>
        </w:rPr>
      </w:pPr>
    </w:p>
    <w:p w14:paraId="0BBD887A" w14:textId="01295E8E" w:rsidR="00E05431" w:rsidRDefault="00E05431" w:rsidP="0075029B">
      <w:pPr>
        <w:pStyle w:val="corpo"/>
        <w:spacing w:before="0" w:after="0"/>
        <w:jc w:val="both"/>
        <w:rPr>
          <w:rFonts w:ascii="Bookman Old Style" w:hAnsi="Bookman Old Style" w:cs="Arial"/>
          <w:sz w:val="22"/>
          <w:szCs w:val="22"/>
        </w:rPr>
      </w:pPr>
    </w:p>
    <w:p w14:paraId="2B1D23D6" w14:textId="17F48FB4" w:rsidR="00E05431" w:rsidRDefault="00E05431" w:rsidP="0075029B">
      <w:pPr>
        <w:pStyle w:val="corpo"/>
        <w:spacing w:before="0" w:after="0"/>
        <w:jc w:val="both"/>
        <w:rPr>
          <w:rFonts w:ascii="Bookman Old Style" w:hAnsi="Bookman Old Style" w:cs="Arial"/>
          <w:sz w:val="22"/>
          <w:szCs w:val="22"/>
        </w:rPr>
      </w:pPr>
    </w:p>
    <w:p w14:paraId="1C39ABE5" w14:textId="6B843490" w:rsidR="00E05431" w:rsidRDefault="00E05431" w:rsidP="0075029B">
      <w:pPr>
        <w:pStyle w:val="corpo"/>
        <w:spacing w:before="0" w:after="0"/>
        <w:jc w:val="both"/>
        <w:rPr>
          <w:rFonts w:ascii="Bookman Old Style" w:hAnsi="Bookman Old Style" w:cs="Arial"/>
          <w:sz w:val="22"/>
          <w:szCs w:val="22"/>
        </w:rPr>
      </w:pPr>
    </w:p>
    <w:p w14:paraId="49E15BA1" w14:textId="65851384" w:rsidR="00E05431" w:rsidRDefault="00E05431" w:rsidP="0075029B">
      <w:pPr>
        <w:pStyle w:val="corpo"/>
        <w:spacing w:before="0" w:after="0"/>
        <w:jc w:val="both"/>
        <w:rPr>
          <w:rFonts w:ascii="Bookman Old Style" w:hAnsi="Bookman Old Style" w:cs="Arial"/>
          <w:sz w:val="22"/>
          <w:szCs w:val="22"/>
        </w:rPr>
      </w:pPr>
    </w:p>
    <w:p w14:paraId="3D4A9B9A" w14:textId="724024F4" w:rsidR="00E05431" w:rsidRDefault="00E05431" w:rsidP="0075029B">
      <w:pPr>
        <w:pStyle w:val="corpo"/>
        <w:spacing w:before="0" w:after="0"/>
        <w:jc w:val="both"/>
        <w:rPr>
          <w:rFonts w:ascii="Bookman Old Style" w:hAnsi="Bookman Old Style" w:cs="Arial"/>
          <w:sz w:val="22"/>
          <w:szCs w:val="22"/>
        </w:rPr>
      </w:pPr>
    </w:p>
    <w:p w14:paraId="21D6A5D2" w14:textId="42A42276" w:rsidR="00E05431" w:rsidRDefault="00E05431" w:rsidP="0075029B">
      <w:pPr>
        <w:pStyle w:val="corpo"/>
        <w:spacing w:before="0" w:after="0"/>
        <w:jc w:val="both"/>
        <w:rPr>
          <w:rFonts w:ascii="Bookman Old Style" w:hAnsi="Bookman Old Style" w:cs="Arial"/>
          <w:sz w:val="22"/>
          <w:szCs w:val="22"/>
        </w:rPr>
      </w:pPr>
    </w:p>
    <w:p w14:paraId="2DCAD30C" w14:textId="590F4674" w:rsidR="00E05431" w:rsidRDefault="00E05431" w:rsidP="0075029B">
      <w:pPr>
        <w:pStyle w:val="corpo"/>
        <w:spacing w:before="0" w:after="0"/>
        <w:jc w:val="both"/>
        <w:rPr>
          <w:rFonts w:ascii="Bookman Old Style" w:hAnsi="Bookman Old Style" w:cs="Arial"/>
          <w:sz w:val="22"/>
          <w:szCs w:val="22"/>
        </w:rPr>
      </w:pPr>
    </w:p>
    <w:p w14:paraId="3A0EBAD7" w14:textId="622296C1" w:rsidR="00E05431" w:rsidRDefault="00E05431" w:rsidP="0075029B">
      <w:pPr>
        <w:pStyle w:val="corpo"/>
        <w:spacing w:before="0" w:after="0"/>
        <w:jc w:val="both"/>
        <w:rPr>
          <w:rFonts w:ascii="Bookman Old Style" w:hAnsi="Bookman Old Style" w:cs="Arial"/>
          <w:sz w:val="22"/>
          <w:szCs w:val="22"/>
        </w:rPr>
      </w:pPr>
    </w:p>
    <w:p w14:paraId="63FE6358" w14:textId="31362320" w:rsidR="00E05431" w:rsidRDefault="00E05431" w:rsidP="0075029B">
      <w:pPr>
        <w:pStyle w:val="corpo"/>
        <w:spacing w:before="0" w:after="0"/>
        <w:jc w:val="both"/>
        <w:rPr>
          <w:rFonts w:ascii="Bookman Old Style" w:hAnsi="Bookman Old Style" w:cs="Arial"/>
          <w:sz w:val="22"/>
          <w:szCs w:val="22"/>
        </w:rPr>
      </w:pPr>
    </w:p>
    <w:p w14:paraId="04EE5BA5" w14:textId="473E7453" w:rsidR="00E05431" w:rsidRDefault="00E05431" w:rsidP="0075029B">
      <w:pPr>
        <w:pStyle w:val="corpo"/>
        <w:spacing w:before="0" w:after="0"/>
        <w:jc w:val="both"/>
        <w:rPr>
          <w:rFonts w:ascii="Bookman Old Style" w:hAnsi="Bookman Old Style" w:cs="Arial"/>
          <w:sz w:val="22"/>
          <w:szCs w:val="22"/>
        </w:rPr>
      </w:pPr>
    </w:p>
    <w:p w14:paraId="42017483" w14:textId="4CDF8FB2" w:rsidR="00E05431" w:rsidRDefault="00E05431" w:rsidP="0075029B">
      <w:pPr>
        <w:pStyle w:val="corpo"/>
        <w:spacing w:before="0" w:after="0"/>
        <w:jc w:val="both"/>
        <w:rPr>
          <w:rFonts w:ascii="Bookman Old Style" w:hAnsi="Bookman Old Style" w:cs="Arial"/>
          <w:sz w:val="22"/>
          <w:szCs w:val="22"/>
        </w:rPr>
      </w:pPr>
    </w:p>
    <w:p w14:paraId="37986BCB" w14:textId="6D6C1333" w:rsidR="00E05431" w:rsidRDefault="00E05431" w:rsidP="0075029B">
      <w:pPr>
        <w:pStyle w:val="corpo"/>
        <w:spacing w:before="0" w:after="0"/>
        <w:jc w:val="both"/>
        <w:rPr>
          <w:rFonts w:ascii="Bookman Old Style" w:hAnsi="Bookman Old Style" w:cs="Arial"/>
          <w:sz w:val="22"/>
          <w:szCs w:val="22"/>
        </w:rPr>
      </w:pPr>
    </w:p>
    <w:p w14:paraId="66297E2A" w14:textId="60DA0E29" w:rsidR="00E05431" w:rsidRDefault="00E05431" w:rsidP="0075029B">
      <w:pPr>
        <w:pStyle w:val="corpo"/>
        <w:spacing w:before="0" w:after="0"/>
        <w:jc w:val="both"/>
        <w:rPr>
          <w:rFonts w:ascii="Bookman Old Style" w:hAnsi="Bookman Old Style" w:cs="Arial"/>
          <w:sz w:val="22"/>
          <w:szCs w:val="22"/>
        </w:rPr>
      </w:pPr>
    </w:p>
    <w:p w14:paraId="285E333B" w14:textId="40E02D55" w:rsidR="00E05431" w:rsidRDefault="00E05431" w:rsidP="0075029B">
      <w:pPr>
        <w:pStyle w:val="corpo"/>
        <w:spacing w:before="0" w:after="0"/>
        <w:jc w:val="both"/>
        <w:rPr>
          <w:rFonts w:ascii="Bookman Old Style" w:hAnsi="Bookman Old Style" w:cs="Arial"/>
          <w:sz w:val="22"/>
          <w:szCs w:val="22"/>
        </w:rPr>
      </w:pPr>
    </w:p>
    <w:p w14:paraId="7337F9FB" w14:textId="457E05CC" w:rsidR="00E05431" w:rsidRDefault="00E05431" w:rsidP="0075029B">
      <w:pPr>
        <w:pStyle w:val="corpo"/>
        <w:spacing w:before="0" w:after="0"/>
        <w:jc w:val="both"/>
        <w:rPr>
          <w:rFonts w:ascii="Bookman Old Style" w:hAnsi="Bookman Old Style" w:cs="Arial"/>
          <w:sz w:val="22"/>
          <w:szCs w:val="22"/>
        </w:rPr>
      </w:pPr>
    </w:p>
    <w:p w14:paraId="0EB14771" w14:textId="420E75D8" w:rsidR="00E05431" w:rsidRDefault="00E05431" w:rsidP="0075029B">
      <w:pPr>
        <w:pStyle w:val="corpo"/>
        <w:spacing w:before="0" w:after="0"/>
        <w:jc w:val="both"/>
        <w:rPr>
          <w:rFonts w:ascii="Bookman Old Style" w:hAnsi="Bookman Old Style" w:cs="Arial"/>
          <w:sz w:val="22"/>
          <w:szCs w:val="22"/>
        </w:rPr>
      </w:pPr>
    </w:p>
    <w:p w14:paraId="3FCBB75C" w14:textId="054620BD" w:rsidR="00E05431" w:rsidRDefault="00E05431" w:rsidP="0075029B">
      <w:pPr>
        <w:pStyle w:val="corpo"/>
        <w:spacing w:before="0" w:after="0"/>
        <w:jc w:val="both"/>
        <w:rPr>
          <w:rFonts w:ascii="Bookman Old Style" w:hAnsi="Bookman Old Style" w:cs="Arial"/>
          <w:sz w:val="22"/>
          <w:szCs w:val="22"/>
        </w:rPr>
      </w:pPr>
    </w:p>
    <w:p w14:paraId="6E629DBE" w14:textId="584A6CDF" w:rsidR="00E05431" w:rsidRDefault="00E05431" w:rsidP="0075029B">
      <w:pPr>
        <w:pStyle w:val="corpo"/>
        <w:spacing w:before="0" w:after="0"/>
        <w:jc w:val="both"/>
        <w:rPr>
          <w:rFonts w:ascii="Bookman Old Style" w:hAnsi="Bookman Old Style" w:cs="Arial"/>
          <w:sz w:val="22"/>
          <w:szCs w:val="22"/>
        </w:rPr>
      </w:pPr>
    </w:p>
    <w:p w14:paraId="493ED327" w14:textId="58F2AE40"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lastRenderedPageBreak/>
        <w:t xml:space="preserve">PROCESSO ADMINISTRATIVO Nº </w:t>
      </w:r>
      <w:r w:rsidR="00862094">
        <w:rPr>
          <w:rFonts w:ascii="Bookman Old Style" w:hAnsi="Bookman Old Style" w:cs="Arial"/>
          <w:b/>
          <w:sz w:val="22"/>
          <w:szCs w:val="22"/>
        </w:rPr>
        <w:t>04</w:t>
      </w:r>
      <w:r w:rsidR="008B3349">
        <w:rPr>
          <w:rFonts w:ascii="Bookman Old Style" w:hAnsi="Bookman Old Style" w:cs="Arial"/>
          <w:b/>
          <w:sz w:val="22"/>
          <w:szCs w:val="22"/>
        </w:rPr>
        <w:t>9</w:t>
      </w:r>
      <w:r w:rsidRPr="002C0DC6">
        <w:rPr>
          <w:rFonts w:ascii="Bookman Old Style" w:hAnsi="Bookman Old Style" w:cs="Arial"/>
          <w:b/>
          <w:sz w:val="22"/>
          <w:szCs w:val="22"/>
        </w:rPr>
        <w:t>/2023</w:t>
      </w:r>
    </w:p>
    <w:p w14:paraId="068CC85A" w14:textId="191239A2"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 xml:space="preserve">DISPENSA DE LICITAÇÃO Nº </w:t>
      </w:r>
      <w:r w:rsidR="00862094">
        <w:rPr>
          <w:rFonts w:ascii="Bookman Old Style" w:hAnsi="Bookman Old Style" w:cs="Arial"/>
          <w:b/>
          <w:sz w:val="22"/>
          <w:szCs w:val="22"/>
        </w:rPr>
        <w:t>00</w:t>
      </w:r>
      <w:r w:rsidR="008B3349">
        <w:rPr>
          <w:rFonts w:ascii="Bookman Old Style" w:hAnsi="Bookman Old Style" w:cs="Arial"/>
          <w:b/>
          <w:sz w:val="22"/>
          <w:szCs w:val="22"/>
        </w:rPr>
        <w:t>8</w:t>
      </w:r>
      <w:r w:rsidRPr="002C0DC6">
        <w:rPr>
          <w:rFonts w:ascii="Bookman Old Style" w:hAnsi="Bookman Old Style" w:cs="Arial"/>
          <w:b/>
          <w:sz w:val="22"/>
          <w:szCs w:val="22"/>
        </w:rPr>
        <w:t>/2023</w:t>
      </w:r>
    </w:p>
    <w:p w14:paraId="2526C7CB" w14:textId="4F0E4C72"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TERMO DE REFERÊNCIA</w:t>
      </w:r>
    </w:p>
    <w:p w14:paraId="289C7D04" w14:textId="72978076"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ANEXO I</w:t>
      </w:r>
    </w:p>
    <w:p w14:paraId="1806AB08" w14:textId="77777777" w:rsidR="002C0DC6" w:rsidRDefault="002C0DC6" w:rsidP="0075029B">
      <w:pPr>
        <w:pStyle w:val="corpo"/>
        <w:spacing w:before="0" w:after="0"/>
        <w:jc w:val="both"/>
        <w:rPr>
          <w:rFonts w:ascii="Bookman Old Style" w:hAnsi="Bookman Old Style" w:cs="Arial"/>
          <w:sz w:val="22"/>
          <w:szCs w:val="22"/>
        </w:rPr>
      </w:pPr>
    </w:p>
    <w:p w14:paraId="52DC036F" w14:textId="77777777" w:rsidR="002C0DC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1- DEFINIÇÃO DO OBJETO </w:t>
      </w:r>
    </w:p>
    <w:p w14:paraId="7F20AE3E" w14:textId="77777777" w:rsidR="006B64C7" w:rsidRDefault="002C0DC6" w:rsidP="006B64C7">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1.1. </w:t>
      </w:r>
      <w:r w:rsidR="006B64C7" w:rsidRPr="009756BD">
        <w:rPr>
          <w:rFonts w:ascii="Bookman Old Style" w:hAnsi="Bookman Old Style" w:cs="Arial"/>
          <w:sz w:val="22"/>
          <w:szCs w:val="22"/>
        </w:rPr>
        <w:t xml:space="preserve">Contratação de empresa </w:t>
      </w:r>
      <w:r w:rsidR="006B64C7">
        <w:rPr>
          <w:rFonts w:ascii="Bookman Old Style" w:hAnsi="Bookman Old Style" w:cs="Arial"/>
          <w:sz w:val="22"/>
          <w:szCs w:val="22"/>
        </w:rPr>
        <w:t>para fornecimento de materiais e equipamentos veterinários para atender a demanda do Castra móvel Municipal</w:t>
      </w:r>
      <w:r w:rsidR="006B64C7" w:rsidRPr="009756BD">
        <w:rPr>
          <w:rFonts w:ascii="Bookman Old Style" w:hAnsi="Bookman Old Style" w:cs="Arial"/>
          <w:sz w:val="22"/>
          <w:szCs w:val="22"/>
        </w:rPr>
        <w:t>.</w:t>
      </w:r>
      <w:r w:rsidR="006B64C7" w:rsidRPr="00EA5804">
        <w:rPr>
          <w:rFonts w:ascii="Bookman Old Style" w:hAnsi="Bookman Old Style" w:cs="Arial"/>
          <w:sz w:val="22"/>
          <w:szCs w:val="22"/>
        </w:rPr>
        <w:t xml:space="preserve"> </w:t>
      </w:r>
    </w:p>
    <w:p w14:paraId="12627834" w14:textId="23C98AB1" w:rsidR="002C0DC6" w:rsidRDefault="002C0DC6" w:rsidP="0075029B">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1101"/>
        <w:gridCol w:w="5811"/>
        <w:gridCol w:w="1985"/>
        <w:gridCol w:w="1307"/>
      </w:tblGrid>
      <w:tr w:rsidR="002C0DC6" w14:paraId="1B18DC3A" w14:textId="77777777" w:rsidTr="002C0DC6">
        <w:tc>
          <w:tcPr>
            <w:tcW w:w="10204" w:type="dxa"/>
            <w:gridSpan w:val="4"/>
          </w:tcPr>
          <w:p w14:paraId="31691079" w14:textId="1A26F2BD" w:rsidR="002C0DC6" w:rsidRPr="002C0DC6" w:rsidRDefault="002C0DC6" w:rsidP="002C0DC6">
            <w:pPr>
              <w:pStyle w:val="corpo"/>
              <w:spacing w:before="0" w:after="0"/>
              <w:jc w:val="center"/>
              <w:rPr>
                <w:rFonts w:ascii="Bookman Old Style" w:hAnsi="Bookman Old Style" w:cs="Arial"/>
                <w:b/>
                <w:sz w:val="22"/>
                <w:szCs w:val="22"/>
              </w:rPr>
            </w:pPr>
            <w:r>
              <w:rPr>
                <w:rFonts w:ascii="Bookman Old Style" w:hAnsi="Bookman Old Style" w:cs="Arial"/>
                <w:b/>
                <w:sz w:val="22"/>
                <w:szCs w:val="22"/>
              </w:rPr>
              <w:t>LOTE ÚNICO</w:t>
            </w:r>
          </w:p>
        </w:tc>
      </w:tr>
      <w:tr w:rsidR="002C0DC6" w14:paraId="33EF82FA" w14:textId="77777777" w:rsidTr="002C0DC6">
        <w:tc>
          <w:tcPr>
            <w:tcW w:w="1101" w:type="dxa"/>
          </w:tcPr>
          <w:p w14:paraId="53C77C7C" w14:textId="087693AE"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ITEM</w:t>
            </w:r>
          </w:p>
        </w:tc>
        <w:tc>
          <w:tcPr>
            <w:tcW w:w="5811" w:type="dxa"/>
          </w:tcPr>
          <w:p w14:paraId="26FF841B" w14:textId="480C3C99"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DESCRIÇÃO</w:t>
            </w:r>
          </w:p>
        </w:tc>
        <w:tc>
          <w:tcPr>
            <w:tcW w:w="1985" w:type="dxa"/>
          </w:tcPr>
          <w:p w14:paraId="337BB83B" w14:textId="187D9C61"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UND</w:t>
            </w:r>
          </w:p>
        </w:tc>
        <w:tc>
          <w:tcPr>
            <w:tcW w:w="1307" w:type="dxa"/>
          </w:tcPr>
          <w:p w14:paraId="2C5780A8" w14:textId="25E4E87E"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QTD</w:t>
            </w:r>
          </w:p>
        </w:tc>
      </w:tr>
      <w:tr w:rsidR="002C0DC6" w14:paraId="31875E01" w14:textId="77777777" w:rsidTr="002C0DC6">
        <w:tc>
          <w:tcPr>
            <w:tcW w:w="1101" w:type="dxa"/>
          </w:tcPr>
          <w:p w14:paraId="23C56647" w14:textId="034AEBAA" w:rsidR="002C0DC6" w:rsidRPr="00ED2A8B" w:rsidRDefault="00185A6D"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c>
          <w:tcPr>
            <w:tcW w:w="5811" w:type="dxa"/>
          </w:tcPr>
          <w:p w14:paraId="49044D82" w14:textId="77777777" w:rsidR="00BE1D3E" w:rsidRPr="00ED2A8B" w:rsidRDefault="00BE1D3E" w:rsidP="00BE1D3E">
            <w:pPr>
              <w:pStyle w:val="corpo"/>
              <w:spacing w:before="0" w:after="0"/>
              <w:jc w:val="both"/>
              <w:rPr>
                <w:rFonts w:ascii="Bookman Old Style" w:hAnsi="Bookman Old Style" w:cs="Arial"/>
                <w:sz w:val="22"/>
                <w:szCs w:val="22"/>
              </w:rPr>
            </w:pPr>
            <w:r w:rsidRPr="00ED2A8B">
              <w:rPr>
                <w:rFonts w:ascii="Bookman Old Style" w:hAnsi="Bookman Old Style" w:cs="Arial"/>
                <w:sz w:val="22"/>
                <w:szCs w:val="22"/>
              </w:rPr>
              <w:t>Balança digital veterinária plataforma grande</w:t>
            </w:r>
          </w:p>
          <w:p w14:paraId="66F17706" w14:textId="451E3EBE" w:rsidR="002C0DC6" w:rsidRPr="00ED2A8B" w:rsidRDefault="00BE1D3E" w:rsidP="00BE1D3E">
            <w:pPr>
              <w:pStyle w:val="corpo"/>
              <w:spacing w:before="0" w:after="0"/>
              <w:jc w:val="both"/>
              <w:rPr>
                <w:rFonts w:ascii="Bookman Old Style" w:hAnsi="Bookman Old Style" w:cs="Arial"/>
                <w:sz w:val="22"/>
                <w:szCs w:val="22"/>
              </w:rPr>
            </w:pPr>
            <w:r w:rsidRPr="00ED2A8B">
              <w:rPr>
                <w:rFonts w:ascii="Bookman Old Style" w:hAnsi="Bookman Old Style" w:cs="Arial"/>
                <w:sz w:val="22"/>
                <w:szCs w:val="22"/>
              </w:rPr>
              <w:t>de aço inox com pesagem máxima de 150kg;</w:t>
            </w:r>
          </w:p>
        </w:tc>
        <w:tc>
          <w:tcPr>
            <w:tcW w:w="1985" w:type="dxa"/>
          </w:tcPr>
          <w:p w14:paraId="58701B16" w14:textId="26BC1970" w:rsidR="002C0DC6" w:rsidRPr="00ED2A8B" w:rsidRDefault="00185A6D"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5FCC0923" w14:textId="4574EB89" w:rsidR="002C0DC6" w:rsidRPr="00ED2A8B" w:rsidRDefault="00BE1D3E"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2C0DC6" w14:paraId="774B6AE7" w14:textId="77777777" w:rsidTr="002C0DC6">
        <w:tc>
          <w:tcPr>
            <w:tcW w:w="1101" w:type="dxa"/>
          </w:tcPr>
          <w:p w14:paraId="312E217C" w14:textId="5EBCB6E8" w:rsidR="002C0DC6" w:rsidRPr="00ED2A8B" w:rsidRDefault="00185A6D"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02</w:t>
            </w:r>
          </w:p>
        </w:tc>
        <w:tc>
          <w:tcPr>
            <w:tcW w:w="5811" w:type="dxa"/>
          </w:tcPr>
          <w:p w14:paraId="51C752B6" w14:textId="78291947" w:rsidR="002C0DC6" w:rsidRPr="00ED2A8B" w:rsidRDefault="00BE1D3E" w:rsidP="00BE1D3E">
            <w:pPr>
              <w:pStyle w:val="corpo"/>
              <w:spacing w:before="0" w:after="0"/>
              <w:jc w:val="both"/>
              <w:rPr>
                <w:rFonts w:ascii="Bookman Old Style" w:hAnsi="Bookman Old Style" w:cs="Arial"/>
                <w:sz w:val="22"/>
                <w:szCs w:val="22"/>
              </w:rPr>
            </w:pPr>
            <w:r w:rsidRPr="00ED2A8B">
              <w:rPr>
                <w:rFonts w:ascii="Bookman Old Style" w:hAnsi="Bookman Old Style"/>
                <w:sz w:val="22"/>
                <w:szCs w:val="22"/>
              </w:rPr>
              <w:t>Armário em torre posicionado ao lado do gabinete para instalação de: frigobar, autoclave;</w:t>
            </w:r>
          </w:p>
        </w:tc>
        <w:tc>
          <w:tcPr>
            <w:tcW w:w="1985" w:type="dxa"/>
          </w:tcPr>
          <w:p w14:paraId="66BCE097" w14:textId="7C2F85AA" w:rsidR="002C0DC6" w:rsidRPr="00ED2A8B" w:rsidRDefault="00185A6D"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7700DDD7" w14:textId="44EA75CE" w:rsidR="002C0DC6" w:rsidRPr="00ED2A8B" w:rsidRDefault="00BE1D3E"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BE1D3E" w14:paraId="34B53777" w14:textId="77777777" w:rsidTr="002C0DC6">
        <w:tc>
          <w:tcPr>
            <w:tcW w:w="1101" w:type="dxa"/>
          </w:tcPr>
          <w:p w14:paraId="32F6F8A3" w14:textId="222A78FA"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03</w:t>
            </w:r>
          </w:p>
        </w:tc>
        <w:tc>
          <w:tcPr>
            <w:tcW w:w="5811" w:type="dxa"/>
          </w:tcPr>
          <w:p w14:paraId="47AD595C" w14:textId="13F286F0"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Máquina de tosa;</w:t>
            </w:r>
          </w:p>
        </w:tc>
        <w:tc>
          <w:tcPr>
            <w:tcW w:w="1985" w:type="dxa"/>
          </w:tcPr>
          <w:p w14:paraId="6049F796" w14:textId="22455209"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10AC152E" w14:textId="5A6312E3"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BE1D3E" w14:paraId="54E3420C" w14:textId="77777777" w:rsidTr="002C0DC6">
        <w:tc>
          <w:tcPr>
            <w:tcW w:w="1101" w:type="dxa"/>
          </w:tcPr>
          <w:p w14:paraId="4C912398" w14:textId="281E2583"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04</w:t>
            </w:r>
          </w:p>
        </w:tc>
        <w:tc>
          <w:tcPr>
            <w:tcW w:w="5811" w:type="dxa"/>
          </w:tcPr>
          <w:p w14:paraId="770F5A61" w14:textId="133CB426"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Mesa de Tosa;</w:t>
            </w:r>
          </w:p>
        </w:tc>
        <w:tc>
          <w:tcPr>
            <w:tcW w:w="1985" w:type="dxa"/>
          </w:tcPr>
          <w:p w14:paraId="230B251D" w14:textId="5868F730"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7D9B9655" w14:textId="7B095FCA"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BE1D3E" w14:paraId="19A6EE25" w14:textId="77777777" w:rsidTr="002C0DC6">
        <w:tc>
          <w:tcPr>
            <w:tcW w:w="1101" w:type="dxa"/>
          </w:tcPr>
          <w:p w14:paraId="1D8961BF" w14:textId="20149895"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05</w:t>
            </w:r>
          </w:p>
        </w:tc>
        <w:tc>
          <w:tcPr>
            <w:tcW w:w="5811" w:type="dxa"/>
          </w:tcPr>
          <w:p w14:paraId="3A77ABA9" w14:textId="1FAABA5C"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Carrinho de Anestesia;</w:t>
            </w:r>
          </w:p>
        </w:tc>
        <w:tc>
          <w:tcPr>
            <w:tcW w:w="1985" w:type="dxa"/>
          </w:tcPr>
          <w:p w14:paraId="1C0152FB" w14:textId="4DDFD70F"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79D91FD4" w14:textId="49BAF524"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BE1D3E" w14:paraId="37898860" w14:textId="77777777" w:rsidTr="002C0DC6">
        <w:tc>
          <w:tcPr>
            <w:tcW w:w="1101" w:type="dxa"/>
          </w:tcPr>
          <w:p w14:paraId="30B594C7" w14:textId="76311024"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06</w:t>
            </w:r>
          </w:p>
        </w:tc>
        <w:tc>
          <w:tcPr>
            <w:tcW w:w="5811" w:type="dxa"/>
          </w:tcPr>
          <w:p w14:paraId="411962DF" w14:textId="3ED367C8"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Refrigerador tipo frigobar de 80 litros.</w:t>
            </w:r>
          </w:p>
        </w:tc>
        <w:tc>
          <w:tcPr>
            <w:tcW w:w="1985" w:type="dxa"/>
          </w:tcPr>
          <w:p w14:paraId="05F2D0EB" w14:textId="1F4A4680"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4F457AEC" w14:textId="5DE072D3"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BE1D3E" w14:paraId="116AD938" w14:textId="77777777" w:rsidTr="002C0DC6">
        <w:tc>
          <w:tcPr>
            <w:tcW w:w="1101" w:type="dxa"/>
          </w:tcPr>
          <w:p w14:paraId="173E17AB" w14:textId="06A45159"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07</w:t>
            </w:r>
          </w:p>
        </w:tc>
        <w:tc>
          <w:tcPr>
            <w:tcW w:w="5811" w:type="dxa"/>
          </w:tcPr>
          <w:p w14:paraId="441EC500" w14:textId="649790EE"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Autoclave, com câmara em aço inox ou alumínio, capacidade de 12 litros. Válvula antivácuo, selo de segurança; painel de controle com leds e botões indicativos das funções, manômetro com escalas de pressão e temperatura, puxador com sistema de segurança para despressurizarão automática, bandejas com suporte em aço inoxidável;</w:t>
            </w:r>
          </w:p>
        </w:tc>
        <w:tc>
          <w:tcPr>
            <w:tcW w:w="1985" w:type="dxa"/>
          </w:tcPr>
          <w:p w14:paraId="6B786E95" w14:textId="7F7F4D20"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06374551" w14:textId="0BB72ABC"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BE1D3E" w14:paraId="07E72B4B" w14:textId="77777777" w:rsidTr="002C0DC6">
        <w:tc>
          <w:tcPr>
            <w:tcW w:w="1101" w:type="dxa"/>
          </w:tcPr>
          <w:p w14:paraId="57591032" w14:textId="454F25D0"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08</w:t>
            </w:r>
          </w:p>
        </w:tc>
        <w:tc>
          <w:tcPr>
            <w:tcW w:w="5811" w:type="dxa"/>
          </w:tcPr>
          <w:p w14:paraId="157EA46C"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Kit de anestesia portátil para administração de agentes anestésicos voláteis, inalatório, através de respiração manual ou espontânea, incluindo: </w:t>
            </w:r>
          </w:p>
          <w:p w14:paraId="7CA05429"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Aparelho de anestesia; </w:t>
            </w:r>
          </w:p>
          <w:p w14:paraId="2CBF31F3"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Cilindro de O² de 05 litros; </w:t>
            </w:r>
          </w:p>
          <w:p w14:paraId="240BE110"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(Uma) Válvula reguladora para cilindro de O²; </w:t>
            </w:r>
          </w:p>
          <w:p w14:paraId="23D68BB7"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Fluxômetro para O²; </w:t>
            </w:r>
          </w:p>
          <w:p w14:paraId="2B17A72D"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Umidificador; </w:t>
            </w:r>
          </w:p>
          <w:p w14:paraId="3D3AEA25"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03 (Três) Máscaras de anestesia (P, M e G); </w:t>
            </w:r>
          </w:p>
          <w:p w14:paraId="0ECF3F89" w14:textId="457539E5"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o 17 (Dezessete) Sondas endotraqueal com medidas diversas; o 01 (Um) Circuito baraka veterinário para anestesia.</w:t>
            </w:r>
          </w:p>
        </w:tc>
        <w:tc>
          <w:tcPr>
            <w:tcW w:w="1985" w:type="dxa"/>
          </w:tcPr>
          <w:p w14:paraId="3FC5176D" w14:textId="51BEC068"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07209455" w14:textId="4B65AC52"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r w:rsidR="00BE1D3E" w14:paraId="50F235A4" w14:textId="77777777" w:rsidTr="002C0DC6">
        <w:tc>
          <w:tcPr>
            <w:tcW w:w="1101" w:type="dxa"/>
          </w:tcPr>
          <w:p w14:paraId="71618184" w14:textId="77A63B14"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09</w:t>
            </w:r>
          </w:p>
        </w:tc>
        <w:tc>
          <w:tcPr>
            <w:tcW w:w="5811" w:type="dxa"/>
          </w:tcPr>
          <w:p w14:paraId="558E3265"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Kits cirúrgicos simples para castração, cada kit composto por: </w:t>
            </w:r>
          </w:p>
          <w:p w14:paraId="115A000C"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Cabo de bisturi n° 4; </w:t>
            </w:r>
          </w:p>
          <w:p w14:paraId="28B2BDE1"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(Uma) Pinça anatômica com dente 16cm; o 02 (Duas) Pinças hemostática Crile Curva 16cm; </w:t>
            </w:r>
          </w:p>
          <w:p w14:paraId="50DD9829"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(Uma) Tesoura cirúrgica Romba Fina Reta 15cm; </w:t>
            </w:r>
          </w:p>
          <w:p w14:paraId="454A75B0"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(Uma) Porta agulha Mayo Hegar 16cm; </w:t>
            </w:r>
          </w:p>
          <w:p w14:paraId="76D0E94A"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02 (Duas) Pinças Backhaus 13cm; </w:t>
            </w:r>
          </w:p>
          <w:p w14:paraId="602D0D6E"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Gancho para castração; </w:t>
            </w:r>
          </w:p>
          <w:p w14:paraId="44B28C34" w14:textId="3B692E32"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o 01 (Uma) Caixa de inox de 20 x 10 x 5cm.</w:t>
            </w:r>
          </w:p>
        </w:tc>
        <w:tc>
          <w:tcPr>
            <w:tcW w:w="1985" w:type="dxa"/>
          </w:tcPr>
          <w:p w14:paraId="10B98C6C" w14:textId="1DE83252"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394CC36E" w14:textId="4396A8B0"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05</w:t>
            </w:r>
          </w:p>
        </w:tc>
      </w:tr>
      <w:tr w:rsidR="00BE1D3E" w14:paraId="6A313A3A" w14:textId="77777777" w:rsidTr="002C0DC6">
        <w:tc>
          <w:tcPr>
            <w:tcW w:w="1101" w:type="dxa"/>
          </w:tcPr>
          <w:p w14:paraId="74381B82" w14:textId="7DE4B9E5"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10</w:t>
            </w:r>
          </w:p>
        </w:tc>
        <w:tc>
          <w:tcPr>
            <w:tcW w:w="5811" w:type="dxa"/>
          </w:tcPr>
          <w:p w14:paraId="1470D506"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Kits cirúrgicos completos para castração, cada kit composto por: </w:t>
            </w:r>
          </w:p>
          <w:p w14:paraId="376E5EAC"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Cabo de bisturi n° 4; </w:t>
            </w:r>
          </w:p>
          <w:p w14:paraId="54938AFB"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03 (Três) Pinças hemostática Kelly Reta 16cm; </w:t>
            </w:r>
          </w:p>
          <w:p w14:paraId="47EB28A4"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03 (Três) Pinças hemostática Kelly Curva 16cm; </w:t>
            </w:r>
          </w:p>
          <w:p w14:paraId="7189A17D"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lastRenderedPageBreak/>
              <w:t xml:space="preserve">o 01 (Uma) Tesoura cirúrgica Romba Fina Reta 15cm; </w:t>
            </w:r>
          </w:p>
          <w:p w14:paraId="0AF23571"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Afastador Farabeuf (par); </w:t>
            </w:r>
          </w:p>
          <w:p w14:paraId="4F742142"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(Uma) Porta agulha Mayo Hegar 16cm; </w:t>
            </w:r>
          </w:p>
          <w:p w14:paraId="0FBA1918"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(Uma) Pinça Dente de Rato 16cm; </w:t>
            </w:r>
          </w:p>
          <w:p w14:paraId="3F36B435"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(Uma) Pinça Anatômica 16cm; </w:t>
            </w:r>
          </w:p>
          <w:p w14:paraId="593E35E3"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04 (Quatro) Pinças Backhaus 13cm; </w:t>
            </w:r>
          </w:p>
          <w:p w14:paraId="7E6712D3" w14:textId="77777777"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 xml:space="preserve">o 01 (Um) Gancho para castração; </w:t>
            </w:r>
          </w:p>
          <w:p w14:paraId="278444BC" w14:textId="42A63C60"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o 01 (Uma) Caixa de inox de 20 x 10 x 5cm.</w:t>
            </w:r>
          </w:p>
        </w:tc>
        <w:tc>
          <w:tcPr>
            <w:tcW w:w="1985" w:type="dxa"/>
          </w:tcPr>
          <w:p w14:paraId="184DB98A" w14:textId="6FDF33C6"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lastRenderedPageBreak/>
              <w:t>UND</w:t>
            </w:r>
          </w:p>
        </w:tc>
        <w:tc>
          <w:tcPr>
            <w:tcW w:w="1307" w:type="dxa"/>
          </w:tcPr>
          <w:p w14:paraId="78D3A36B" w14:textId="6F65D320"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05</w:t>
            </w:r>
          </w:p>
        </w:tc>
      </w:tr>
      <w:tr w:rsidR="00BE1D3E" w14:paraId="7EF7CEF1" w14:textId="77777777" w:rsidTr="00BE1D3E">
        <w:trPr>
          <w:trHeight w:val="70"/>
        </w:trPr>
        <w:tc>
          <w:tcPr>
            <w:tcW w:w="1101" w:type="dxa"/>
          </w:tcPr>
          <w:p w14:paraId="2F64AF43" w14:textId="3C43509C" w:rsidR="00BE1D3E" w:rsidRPr="00ED2A8B" w:rsidRDefault="00BE1D3E"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11</w:t>
            </w:r>
          </w:p>
        </w:tc>
        <w:tc>
          <w:tcPr>
            <w:tcW w:w="5811" w:type="dxa"/>
          </w:tcPr>
          <w:p w14:paraId="44A47109" w14:textId="21A7EE2F" w:rsidR="00BE1D3E" w:rsidRPr="00ED2A8B" w:rsidRDefault="00BE1D3E" w:rsidP="00BE1D3E">
            <w:pPr>
              <w:pStyle w:val="corpo"/>
              <w:spacing w:before="0" w:after="0"/>
              <w:jc w:val="both"/>
              <w:rPr>
                <w:rFonts w:ascii="Bookman Old Style" w:hAnsi="Bookman Old Style"/>
                <w:sz w:val="22"/>
                <w:szCs w:val="22"/>
              </w:rPr>
            </w:pPr>
            <w:r w:rsidRPr="00ED2A8B">
              <w:rPr>
                <w:rFonts w:ascii="Bookman Old Style" w:hAnsi="Bookman Old Style"/>
                <w:sz w:val="22"/>
                <w:szCs w:val="22"/>
              </w:rPr>
              <w:t>Destilador de água</w:t>
            </w:r>
          </w:p>
        </w:tc>
        <w:tc>
          <w:tcPr>
            <w:tcW w:w="1985" w:type="dxa"/>
          </w:tcPr>
          <w:p w14:paraId="73913BFC" w14:textId="4735697E" w:rsidR="00BE1D3E" w:rsidRPr="00ED2A8B" w:rsidRDefault="00BE1D3E" w:rsidP="00BE1D3E">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UND</w:t>
            </w:r>
          </w:p>
        </w:tc>
        <w:tc>
          <w:tcPr>
            <w:tcW w:w="1307" w:type="dxa"/>
          </w:tcPr>
          <w:p w14:paraId="25B72AF5" w14:textId="2296822F" w:rsidR="00BE1D3E" w:rsidRPr="00ED2A8B" w:rsidRDefault="00BE1D3E" w:rsidP="00185A6D">
            <w:pPr>
              <w:pStyle w:val="corpo"/>
              <w:spacing w:before="0" w:after="0"/>
              <w:jc w:val="center"/>
              <w:rPr>
                <w:rFonts w:ascii="Bookman Old Style" w:hAnsi="Bookman Old Style" w:cs="Arial"/>
                <w:sz w:val="22"/>
                <w:szCs w:val="22"/>
              </w:rPr>
            </w:pPr>
            <w:r w:rsidRPr="00ED2A8B">
              <w:rPr>
                <w:rFonts w:ascii="Bookman Old Style" w:hAnsi="Bookman Old Style" w:cs="Arial"/>
                <w:sz w:val="22"/>
                <w:szCs w:val="22"/>
              </w:rPr>
              <w:t>01</w:t>
            </w:r>
          </w:p>
        </w:tc>
      </w:tr>
    </w:tbl>
    <w:p w14:paraId="66AA2FFD" w14:textId="77777777" w:rsidR="002C0DC6" w:rsidRDefault="002C0DC6" w:rsidP="0075029B">
      <w:pPr>
        <w:pStyle w:val="corpo"/>
        <w:spacing w:before="0" w:after="0"/>
        <w:jc w:val="both"/>
        <w:rPr>
          <w:rFonts w:ascii="Bookman Old Style" w:hAnsi="Bookman Old Style" w:cs="Arial"/>
          <w:sz w:val="22"/>
          <w:szCs w:val="22"/>
        </w:rPr>
      </w:pPr>
    </w:p>
    <w:p w14:paraId="2F8AF1E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1.2.1. As memórias de cálculo e documento que dão suporte à estimativa do valor da contratação, constam em anexo classificado que será divulgado após a conclusão do certame, </w:t>
      </w:r>
    </w:p>
    <w:p w14:paraId="614CC295"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1.2.2. O orçamento estimado poderá ser utilizado como parâmetro de negociação final com o proponente vencedor. </w:t>
      </w:r>
    </w:p>
    <w:p w14:paraId="7ECC6ABA" w14:textId="77777777" w:rsidR="002C0DC6" w:rsidRDefault="002C0DC6" w:rsidP="0075029B">
      <w:pPr>
        <w:pStyle w:val="corpo"/>
        <w:spacing w:before="0" w:after="0"/>
        <w:jc w:val="both"/>
        <w:rPr>
          <w:rFonts w:ascii="Bookman Old Style" w:hAnsi="Bookman Old Style" w:cs="Arial"/>
          <w:sz w:val="22"/>
          <w:szCs w:val="22"/>
        </w:rPr>
      </w:pPr>
    </w:p>
    <w:p w14:paraId="03275078" w14:textId="77777777" w:rsidR="002C0DC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2- PRAZO DE DURAÇÃO DO CONTRATO </w:t>
      </w:r>
    </w:p>
    <w:p w14:paraId="321FF29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2.1. O contrato oriundo do presente procedimento terá vigência de 12 (doze) meses, contados a partir da data de sua assinatura. </w:t>
      </w:r>
    </w:p>
    <w:p w14:paraId="3FE1ED6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2.2. O contrato poderá ser prorrogado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14:paraId="72C53F26" w14:textId="77777777" w:rsidR="002C0DC6" w:rsidRDefault="002C0DC6" w:rsidP="0075029B">
      <w:pPr>
        <w:pStyle w:val="corpo"/>
        <w:spacing w:before="0" w:after="0"/>
        <w:jc w:val="both"/>
        <w:rPr>
          <w:rFonts w:ascii="Bookman Old Style" w:hAnsi="Bookman Old Style" w:cs="Arial"/>
          <w:sz w:val="22"/>
          <w:szCs w:val="22"/>
        </w:rPr>
      </w:pPr>
    </w:p>
    <w:p w14:paraId="4A293E94" w14:textId="77777777" w:rsidR="00324933" w:rsidRDefault="002C0DC6" w:rsidP="00324933">
      <w:pPr>
        <w:pStyle w:val="corpo"/>
        <w:spacing w:before="0" w:after="0"/>
        <w:rPr>
          <w:rFonts w:ascii="Bookman Old Style" w:hAnsi="Bookman Old Style" w:cs="Arial"/>
          <w:sz w:val="22"/>
          <w:szCs w:val="22"/>
        </w:rPr>
      </w:pPr>
      <w:r w:rsidRPr="002F32FB">
        <w:rPr>
          <w:rFonts w:ascii="Bookman Old Style" w:hAnsi="Bookman Old Style" w:cs="Arial"/>
          <w:b/>
          <w:sz w:val="22"/>
          <w:szCs w:val="22"/>
        </w:rPr>
        <w:t>3-</w:t>
      </w:r>
      <w:r w:rsidR="002F32FB">
        <w:rPr>
          <w:rFonts w:ascii="Bookman Old Style" w:hAnsi="Bookman Old Style" w:cs="Arial"/>
          <w:b/>
          <w:sz w:val="22"/>
          <w:szCs w:val="22"/>
        </w:rPr>
        <w:t xml:space="preserve"> </w:t>
      </w:r>
      <w:r w:rsidRPr="002F32FB">
        <w:rPr>
          <w:rFonts w:ascii="Bookman Old Style" w:hAnsi="Bookman Old Style" w:cs="Arial"/>
          <w:b/>
          <w:sz w:val="22"/>
          <w:szCs w:val="22"/>
        </w:rPr>
        <w:t>FUNDAMENTAÇÃO DA CONTRATAÇÃO</w:t>
      </w:r>
      <w:r w:rsidR="002F32FB">
        <w:rPr>
          <w:rFonts w:ascii="Bookman Old Style" w:hAnsi="Bookman Old Style" w:cs="Arial"/>
          <w:b/>
          <w:sz w:val="22"/>
          <w:szCs w:val="22"/>
        </w:rPr>
        <w:br/>
      </w:r>
    </w:p>
    <w:p w14:paraId="245B16C8" w14:textId="4A9C3803" w:rsidR="002F32FB" w:rsidRPr="00DC73AE" w:rsidRDefault="00DC73AE" w:rsidP="00324933">
      <w:pPr>
        <w:pStyle w:val="corpo"/>
        <w:spacing w:before="0" w:after="0"/>
        <w:jc w:val="both"/>
        <w:rPr>
          <w:rFonts w:ascii="Bookman Old Style" w:hAnsi="Bookman Old Style" w:cs="Arial"/>
          <w:sz w:val="22"/>
          <w:szCs w:val="22"/>
        </w:rPr>
      </w:pPr>
      <w:r w:rsidRPr="00DC73AE">
        <w:rPr>
          <w:rFonts w:ascii="Bookman Old Style" w:hAnsi="Bookman Old Style" w:cs="Arial"/>
          <w:sz w:val="22"/>
          <w:szCs w:val="22"/>
        </w:rPr>
        <w:t>3.1. A aquisição de itens veterinários é essencial para atender às necessidades do Castramóvel Municipal de Ipanema/MG, operado pela Secretaria Municipal de Saúde. Tais itens são fundamentais para garantir a prestação adequada de serviços de saúde animal à população, especialmente no que diz respeito à realização de castrações e cuidados veterinários preventivos.</w:t>
      </w:r>
      <w:r>
        <w:rPr>
          <w:rFonts w:ascii="Bookman Old Style" w:hAnsi="Bookman Old Style" w:cs="Arial"/>
          <w:sz w:val="22"/>
          <w:szCs w:val="22"/>
        </w:rPr>
        <w:br/>
      </w:r>
      <w:r w:rsidRPr="00DC73AE">
        <w:rPr>
          <w:rFonts w:ascii="Bookman Old Style" w:hAnsi="Bookman Old Style" w:cs="Arial"/>
          <w:sz w:val="22"/>
          <w:szCs w:val="22"/>
        </w:rPr>
        <w:t>3.2. É crucial ressaltar que a falta de acesso a itens veterinários adequados pode comprometer seriamente a eficácia das operações do Castramóvel e, consequentemente, o bem-estar animal da comunidade. A ausência desses materiais pode resultar em procedimentos de castração inadequados, aumento da propagação de doenças entre animais e, em última instância, impactar negativamente na saúde pública.</w:t>
      </w:r>
      <w:r>
        <w:rPr>
          <w:rFonts w:ascii="Bookman Old Style" w:hAnsi="Bookman Old Style" w:cs="Arial"/>
          <w:sz w:val="22"/>
          <w:szCs w:val="22"/>
        </w:rPr>
        <w:br/>
      </w:r>
      <w:r w:rsidRPr="00DC73AE">
        <w:rPr>
          <w:rFonts w:ascii="Bookman Old Style" w:hAnsi="Bookman Old Style" w:cs="Arial"/>
          <w:sz w:val="22"/>
          <w:szCs w:val="22"/>
        </w:rPr>
        <w:t>3.3. A disponibilidade de itens veterinários essenciais, como medicamentos, materiais cirúrgicos, anestésicos, e equipamentos de proteção individual, é crucial para garantir a segurança e eficácia dos procedimentos realizados pelo Castramóvel. Além disso, a posse adequada desses materiais contribui para a prevenção de complicações durante as intervenções cirúrgicas e para o controle de possíveis infecções.</w:t>
      </w:r>
      <w:r>
        <w:rPr>
          <w:rFonts w:ascii="Bookman Old Style" w:hAnsi="Bookman Old Style" w:cs="Arial"/>
          <w:sz w:val="22"/>
          <w:szCs w:val="22"/>
        </w:rPr>
        <w:br/>
      </w:r>
      <w:r w:rsidRPr="00DC73AE">
        <w:rPr>
          <w:rFonts w:ascii="Bookman Old Style" w:hAnsi="Bookman Old Style" w:cs="Arial"/>
          <w:sz w:val="22"/>
          <w:szCs w:val="22"/>
        </w:rPr>
        <w:t>3.4. Investir na aquisição de itens veterinários de qualidade também reflete o compromisso da administração municipal com o bem-estar animal e o controle populacional responsável. A castração é uma medida eficaz para o controle de natalidade e redução da superpopulação de animais de rua, além de contribuir para a diminuição de problemas de saúde pública associados à presença descontrolada de animais abandonados.</w:t>
      </w:r>
      <w:r>
        <w:rPr>
          <w:rFonts w:ascii="Bookman Old Style" w:hAnsi="Bookman Old Style" w:cs="Arial"/>
          <w:sz w:val="22"/>
          <w:szCs w:val="22"/>
        </w:rPr>
        <w:br/>
      </w:r>
      <w:r w:rsidRPr="00DC73AE">
        <w:rPr>
          <w:rFonts w:ascii="Bookman Old Style" w:hAnsi="Bookman Old Style" w:cs="Arial"/>
          <w:sz w:val="22"/>
          <w:szCs w:val="22"/>
        </w:rPr>
        <w:t>3.5. A falta de acesso a itens veterinários adequados pode resultar em um ciclo prejudicial de reprodução descontrolada de animais abandonados, aumentando os riscos de transmissão de doenças zoonóticas e colocando em risco tanto a saúde dos animais quanto a saúde pública. Portanto, garantir a disponibilidade contínua desses materiais é essencial para promover uma comunidade mais saudável e segura.</w:t>
      </w:r>
      <w:r>
        <w:rPr>
          <w:rFonts w:ascii="Bookman Old Style" w:hAnsi="Bookman Old Style" w:cs="Arial"/>
          <w:sz w:val="22"/>
          <w:szCs w:val="22"/>
        </w:rPr>
        <w:br/>
      </w:r>
      <w:r w:rsidRPr="00DC73AE">
        <w:rPr>
          <w:rFonts w:ascii="Bookman Old Style" w:hAnsi="Bookman Old Style" w:cs="Arial"/>
          <w:sz w:val="22"/>
          <w:szCs w:val="22"/>
        </w:rPr>
        <w:t xml:space="preserve">3.6. Diante do exposto, a aquisição de itens veterinários para o Castramóvel Municipal pela Secretaria Municipal de Saúde de Ipanema/MG é uma medida fundamental para garantir a </w:t>
      </w:r>
      <w:r w:rsidRPr="00DC73AE">
        <w:rPr>
          <w:rFonts w:ascii="Bookman Old Style" w:hAnsi="Bookman Old Style" w:cs="Arial"/>
          <w:sz w:val="22"/>
          <w:szCs w:val="22"/>
        </w:rPr>
        <w:lastRenderedPageBreak/>
        <w:t>eficácia dos serviços prestados, promover o bem-estar animal, controlar a superpopulação de animais de rua e proteger a saúde pública. Assim, a contratação direta se justifica como um meio eficaz e necessário para atender às demandas específicas e urgentes da administração municipal neste âmbito.</w:t>
      </w:r>
    </w:p>
    <w:p w14:paraId="18DD20B0" w14:textId="77777777" w:rsidR="00324933" w:rsidRDefault="00324933" w:rsidP="0075029B">
      <w:pPr>
        <w:pStyle w:val="corpo"/>
        <w:spacing w:before="0" w:after="0"/>
        <w:jc w:val="both"/>
        <w:rPr>
          <w:rFonts w:ascii="Bookman Old Style" w:hAnsi="Bookman Old Style" w:cs="Arial"/>
          <w:b/>
          <w:sz w:val="22"/>
          <w:szCs w:val="22"/>
        </w:rPr>
      </w:pPr>
    </w:p>
    <w:p w14:paraId="4F649234" w14:textId="661D9B56"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4- REQUISITOS DA CONTRATAÇÃO </w:t>
      </w:r>
    </w:p>
    <w:p w14:paraId="786640C7" w14:textId="6049A4FD"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4.1. O formato de contratação adotado, através de Dispensa de Licitação, se justifica pela não extrapolação dos limites estabelecidos na legislação pertinente dos valores dispendidos com atividades do mesmo ramo do objeto do procedimento.</w:t>
      </w:r>
    </w:p>
    <w:p w14:paraId="5A7206E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4.2. Considerando as características gerais do objeto a ser licitado e a faculdade de elaboração de estudo técnico preliminar para dispensa de licitação estabelecida na Lei Federal nº 14.133/21, não se vislumbra a necessidade de confecção do documento, haja vista que todas as condições a serem atendidas se encontram especificadas no Termo de Referência. </w:t>
      </w:r>
    </w:p>
    <w:p w14:paraId="40FBD46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4.3. A empresa será responsável por todo o custo que envolve a execução dos serviços e fornecimento do objeto, incluindo o transporte, instalação, impostos, taxas e correlatos. </w:t>
      </w:r>
    </w:p>
    <w:p w14:paraId="3B9A746E" w14:textId="689C92BE"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4.4. A disponibilização de energia elétrica, a aquisição dos tubos e caixa de distribuição, bem como a realização da perfuração dos poços correrão a cargo da Prefeitura Municipal </w:t>
      </w:r>
      <w:r w:rsidR="002F32FB" w:rsidRPr="002C0DC6">
        <w:rPr>
          <w:rFonts w:ascii="Bookman Old Style" w:hAnsi="Bookman Old Style" w:cs="Arial"/>
          <w:sz w:val="22"/>
          <w:szCs w:val="22"/>
        </w:rPr>
        <w:t xml:space="preserve">de </w:t>
      </w:r>
      <w:r w:rsidR="002F32FB">
        <w:rPr>
          <w:rFonts w:ascii="Bookman Old Style" w:hAnsi="Bookman Old Style" w:cs="Arial"/>
          <w:sz w:val="22"/>
          <w:szCs w:val="22"/>
        </w:rPr>
        <w:t>Ipanema</w:t>
      </w:r>
      <w:r w:rsidR="00551AD5">
        <w:rPr>
          <w:rFonts w:ascii="Bookman Old Style" w:hAnsi="Bookman Old Style" w:cs="Arial"/>
          <w:sz w:val="22"/>
          <w:szCs w:val="22"/>
        </w:rPr>
        <w:t>.</w:t>
      </w:r>
      <w:r w:rsidRPr="002C0DC6">
        <w:rPr>
          <w:rFonts w:ascii="Bookman Old Style" w:hAnsi="Bookman Old Style" w:cs="Arial"/>
          <w:sz w:val="22"/>
          <w:szCs w:val="22"/>
        </w:rPr>
        <w:t xml:space="preserve"> </w:t>
      </w:r>
    </w:p>
    <w:p w14:paraId="2CA5BE50" w14:textId="77777777" w:rsidR="00345616" w:rsidRDefault="00345616" w:rsidP="0075029B">
      <w:pPr>
        <w:pStyle w:val="corpo"/>
        <w:spacing w:before="0" w:after="0"/>
        <w:jc w:val="both"/>
        <w:rPr>
          <w:rFonts w:ascii="Bookman Old Style" w:hAnsi="Bookman Old Style" w:cs="Arial"/>
          <w:sz w:val="22"/>
          <w:szCs w:val="22"/>
        </w:rPr>
      </w:pPr>
    </w:p>
    <w:p w14:paraId="6D82D82E"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5- MODELO DE EXECUÇÃO DO OBJETO </w:t>
      </w:r>
    </w:p>
    <w:p w14:paraId="1EAF7A3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5.1. Os serviços serão prestados em estrita conformidade com as condições estabelecidas neste termo, dentro das melhores técnicas pertinentes ao objeto. </w:t>
      </w:r>
    </w:p>
    <w:p w14:paraId="341D01EF" w14:textId="60D73F3C"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5.2. Os serviços serão prestados de forma gradativa e eventual, de acordo com as demandas da secretaria requisitante, sendo iniciados no prazo máximo de 48 (quarenta e oito) horas contados a partir do recebimento da Ordem de Fornecimento emitida pelo Setor de Compras da Prefeitura Municipal de </w:t>
      </w:r>
      <w:r w:rsidR="00551AD5">
        <w:rPr>
          <w:rFonts w:ascii="Bookman Old Style" w:hAnsi="Bookman Old Style" w:cs="Arial"/>
          <w:sz w:val="22"/>
          <w:szCs w:val="22"/>
        </w:rPr>
        <w:t>Ipanema/</w:t>
      </w:r>
      <w:r w:rsidRPr="002C0DC6">
        <w:rPr>
          <w:rFonts w:ascii="Bookman Old Style" w:hAnsi="Bookman Old Style" w:cs="Arial"/>
          <w:sz w:val="22"/>
          <w:szCs w:val="22"/>
        </w:rPr>
        <w:t xml:space="preserve">MG. </w:t>
      </w:r>
    </w:p>
    <w:p w14:paraId="459ED871" w14:textId="3CA1B7DD"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5.3. Os serviços serão executados em local previamente estabelecido pela secretaria requisitante, podendo ser em perímetro urbano ou zona rural do Município de </w:t>
      </w:r>
      <w:r w:rsidR="00551AD5">
        <w:rPr>
          <w:rFonts w:ascii="Bookman Old Style" w:hAnsi="Bookman Old Style" w:cs="Arial"/>
          <w:sz w:val="22"/>
          <w:szCs w:val="22"/>
        </w:rPr>
        <w:t>Ipanema/</w:t>
      </w:r>
      <w:r w:rsidRPr="002C0DC6">
        <w:rPr>
          <w:rFonts w:ascii="Bookman Old Style" w:hAnsi="Bookman Old Style" w:cs="Arial"/>
          <w:sz w:val="22"/>
          <w:szCs w:val="22"/>
        </w:rPr>
        <w:t xml:space="preserve">MG a depender da necessidade. </w:t>
      </w:r>
    </w:p>
    <w:p w14:paraId="7941CC9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5.4. O objeto será recebido provisoriamente pelo fiscal do contrato, com verificação posterior do atendimento às conformidades estabelecidas neste instrumento. </w:t>
      </w:r>
    </w:p>
    <w:p w14:paraId="3BE408F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5.5. O objeto será recebido definitivamente pelo gestor ou comissão do contrato, mediante termo detalhado, que comprove o atendimento às exigências estabelecidas neste instrumento. </w:t>
      </w:r>
    </w:p>
    <w:p w14:paraId="1529378B"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5.6. O objeto poderá ser rejeitado, no todo ou em parte, quando estiver sendo executado em desconformidade com as exigências estabelecidas neste instrumento. </w:t>
      </w:r>
    </w:p>
    <w:p w14:paraId="04615C22"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5.7. O recebimento provisório ou definitivo não excluirá a responsabilidade civil do proponente pela solidez e segurança da execução. </w:t>
      </w:r>
    </w:p>
    <w:p w14:paraId="7DFFED5A" w14:textId="77777777" w:rsidR="00925927" w:rsidRDefault="00925927" w:rsidP="0075029B">
      <w:pPr>
        <w:pStyle w:val="corpo"/>
        <w:spacing w:before="0" w:after="0"/>
        <w:jc w:val="both"/>
        <w:rPr>
          <w:rFonts w:ascii="Bookman Old Style" w:hAnsi="Bookman Old Style" w:cs="Arial"/>
          <w:sz w:val="22"/>
          <w:szCs w:val="22"/>
        </w:rPr>
      </w:pPr>
    </w:p>
    <w:p w14:paraId="5E4192AD" w14:textId="77777777" w:rsidR="00925927"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6- FISCALIZAÇÃO E GESTÃO DO CONTRATO </w:t>
      </w:r>
    </w:p>
    <w:p w14:paraId="0A115278" w14:textId="14A4CFCA"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6.1. Caberá ao Fiscal do contrato: </w:t>
      </w:r>
    </w:p>
    <w:p w14:paraId="6036118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 fiscalizar e atestar o recebimento provisório dos produtos ou serviços em face das suas características e especificações, em estrita conformidade com este instrumento; </w:t>
      </w:r>
    </w:p>
    <w:p w14:paraId="7FF13BB6" w14:textId="154B2291"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II - fiscalizar e atestar o recebimento provisório dos produtos ou serviços em face dos quantitativos solicitados;</w:t>
      </w:r>
    </w:p>
    <w:p w14:paraId="20343B0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 fiscalizar e atestar o recebimento provisório dos produtos ou serviços nos prazos e condições estabelecidas neste instrumento; </w:t>
      </w:r>
    </w:p>
    <w:p w14:paraId="54EA3DD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 auxiliar o gestor no contrato, subsidiando as informações pertinentes às suas competências; </w:t>
      </w:r>
    </w:p>
    <w:p w14:paraId="4388A6F5"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 anotar histórico de gerenciamento do contrato, contendo todas as ocorrências relacionadas à sua execução; </w:t>
      </w:r>
    </w:p>
    <w:p w14:paraId="183EEEF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 - emitir notificações sobre qualquer irregularidade encontrada na execução do contrato; </w:t>
      </w:r>
    </w:p>
    <w:p w14:paraId="7D78EEA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 - rejeitar os produtos ou serviços entregues em desconformidade com este instrumento; </w:t>
      </w:r>
    </w:p>
    <w:p w14:paraId="528C556B"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VIII - comunicar formalmente o gestor do contrato a respeito de qualquer ocorrência relacionada ao recebimento do objeto ou suas atribuições; </w:t>
      </w:r>
    </w:p>
    <w:p w14:paraId="424A70A5"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6.1.1. O fiscal de contrato informará a seus superiores, em tempo hábil para a adoção das medidas convenientes, a situação que demandar decisão ou providência que ultrapasse sua competência, entre elas: </w:t>
      </w:r>
    </w:p>
    <w:p w14:paraId="1BBF8D1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 atraso injustificado na execução do cronograma ou entrega dos objetos; </w:t>
      </w:r>
    </w:p>
    <w:p w14:paraId="4CEA4C0E"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 entrega de produtos em desconformidade com as especificações constantes no instrumento convocatório ou quantitativo divergente do solicitado; </w:t>
      </w:r>
    </w:p>
    <w:p w14:paraId="3987CCAD"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 execução do objeto em desconformidade com este instrumento; </w:t>
      </w:r>
    </w:p>
    <w:p w14:paraId="595DFCCF"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 descumprimento de cláusula contratual ou regra editalícia; </w:t>
      </w:r>
    </w:p>
    <w:p w14:paraId="10847E13"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 subcontratação indevida, sem autorização prévia ou fora dos limites legais; </w:t>
      </w:r>
    </w:p>
    <w:p w14:paraId="08AD4F64"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 - alteração nas condições da habilitação da proponente previstas no instrumento convocatório; </w:t>
      </w:r>
    </w:p>
    <w:p w14:paraId="42D13F12"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 - quaisquer irregularidades, ilegalidades, atrasos, desvios de finalidades e condutas ilícitas detectadas e não citados anteriormente. </w:t>
      </w:r>
    </w:p>
    <w:p w14:paraId="31BE294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6.2. Caberá ao Gestor do Contrato: </w:t>
      </w:r>
    </w:p>
    <w:p w14:paraId="5708378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 analisar a documentação que antecede a liquidação e ao pagamento; </w:t>
      </w:r>
    </w:p>
    <w:p w14:paraId="5A5F56D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 analisar os pedidos de reequilíbrio econômico-financeiro, decidindo manifestadamente a respeito nos autos do procedimento; </w:t>
      </w:r>
    </w:p>
    <w:p w14:paraId="30CA166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 criar rotinas de verificação de valores, conforme a especificidade de cada objeto, para eventualmente propor reequilíbrios econômico-financeiros quando o valor praticado estiver em desconformidade com a prática de mercado; </w:t>
      </w:r>
    </w:p>
    <w:p w14:paraId="19A26A0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 analisar eventuais solicitações de alterações contratuais, decidindo manifestadamente a respeito nos autos do procedimento; </w:t>
      </w:r>
    </w:p>
    <w:p w14:paraId="75EC17BD"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 acompanhar o desenvolvimento da execução através dos relatos apresentados pelo fiscal do contrato, bem como os demais documentos pertinentes; </w:t>
      </w:r>
    </w:p>
    <w:p w14:paraId="2873808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 - decidir, provisoriamente, pela suspensão da entrega de bens ou a realização dos serviços, manifestando a respeito nos autos do procedimento; </w:t>
      </w:r>
    </w:p>
    <w:p w14:paraId="39D5401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 - solicitar e acompanhar processos administrativos sancionadores, na dosimetria descrita no instrumento convocatório, nos casos em que o objeto estiver sendo executado em desconformidade com as exigências; </w:t>
      </w:r>
    </w:p>
    <w:p w14:paraId="48B69E0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VIII - alimentar o Portal Nacional de Contratações Públicas - PNCP ou equivalente com os dados referentes aos contratos administrativos; </w:t>
      </w:r>
    </w:p>
    <w:p w14:paraId="0B574DED" w14:textId="20D8374D"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IX - realizar o recebimento definitivo dos produtos ou serviços.</w:t>
      </w:r>
    </w:p>
    <w:p w14:paraId="7FCE4025"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6.3. 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14:paraId="0D500650" w14:textId="77777777" w:rsidR="00345616" w:rsidRDefault="00345616" w:rsidP="0075029B">
      <w:pPr>
        <w:pStyle w:val="corpo"/>
        <w:spacing w:before="0" w:after="0"/>
        <w:jc w:val="both"/>
        <w:rPr>
          <w:rFonts w:ascii="Bookman Old Style" w:hAnsi="Bookman Old Style" w:cs="Arial"/>
          <w:sz w:val="22"/>
          <w:szCs w:val="22"/>
        </w:rPr>
      </w:pPr>
    </w:p>
    <w:p w14:paraId="26074511" w14:textId="77777777" w:rsidR="00925927" w:rsidRDefault="00925927" w:rsidP="0075029B">
      <w:pPr>
        <w:pStyle w:val="corpo"/>
        <w:spacing w:before="0" w:after="0"/>
        <w:jc w:val="both"/>
        <w:rPr>
          <w:rFonts w:ascii="Bookman Old Style" w:hAnsi="Bookman Old Style" w:cs="Arial"/>
          <w:sz w:val="22"/>
          <w:szCs w:val="22"/>
        </w:rPr>
      </w:pPr>
    </w:p>
    <w:p w14:paraId="520EE774"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7- FORMA DE MEDIÇÃO E PAGAMENTO </w:t>
      </w:r>
    </w:p>
    <w:p w14:paraId="3B7E623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7.1. Após o recebimento definitivo realizado pelo gestor do contrato, a Nota Fiscal e os documentos pertinentes serão devidamente encaminhados para o responsável por sua liquidação e posteriormente para o setor responsável pelo pagamento. </w:t>
      </w:r>
    </w:p>
    <w:p w14:paraId="3505A04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7.2. O pagamento será efetuado pelo setor responsável, até 30 (trinta) dias após a liquidação da Nota Fiscal. </w:t>
      </w:r>
    </w:p>
    <w:p w14:paraId="1073F5D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7.2.1. Para execução do pagamento o proponente deverá indicar na Nota Fiscal o número de sua conta, agência bancária, nome do banco e código da operação, bem como o número do pedido de execução encaminhado pelo setor responsável ou o número do empenho. </w:t>
      </w:r>
    </w:p>
    <w:p w14:paraId="02EA9B9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7.2.2. Será considerada data do pagamento o dia em que constar como emitida a ordem bancária para pagamento. </w:t>
      </w:r>
    </w:p>
    <w:p w14:paraId="339474FC"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7.2.3. O pagamento será realizado por meio de ordem bancária na conta indicada na Nota Fiscal, em nome do proponente. </w:t>
      </w:r>
    </w:p>
    <w:p w14:paraId="24B5080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7.3. Poderão ser descontados dos pagamentos devidos os valores para cobrir despesas com multas, indenizações a terceiros ou outras despesas de responsabilidade do proponente. </w:t>
      </w:r>
    </w:p>
    <w:p w14:paraId="46D73543"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7.4. O Município de poderá sustar todo e qualquer pagamento do preço ou suas parcelas de qualquer fatura apresentada pelo proponente caso verificadas uma ou mais das hipóteses abaixo e enquanto perdurar o ato ou fato sem direito a qualquer reajustamento complementar ou acréscimo, conforme enunciado: </w:t>
      </w:r>
    </w:p>
    <w:p w14:paraId="6472E61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A proponente deixe de acatar quaisquer determinações exaradas pelo órgão fiscalizador do Município; </w:t>
      </w:r>
    </w:p>
    <w:p w14:paraId="26CE078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Não cumprimento de obrigação assumida, hipótese em que o pagamento ficará retido até que a proponente atenda à cláusula infringida; </w:t>
      </w:r>
    </w:p>
    <w:p w14:paraId="2975C5A8"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A proponente retarde indevidamente a execução do serviço ou paralise os mesmos por prazo que venha a prejudicar as atividades do Município. </w:t>
      </w:r>
    </w:p>
    <w:p w14:paraId="15E82D6A"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Débito da proponente para com o Município quer proveniente da execução deste instrumento, quer de obrigações de outros contratos. </w:t>
      </w:r>
    </w:p>
    <w:p w14:paraId="626AC8E4"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Em qualquer das hipóteses previstas nos parágrafos acima, ou de infração as demais cláusulas e obrigações estabelecidas neste instrumento. </w:t>
      </w:r>
    </w:p>
    <w:p w14:paraId="49A26A2C" w14:textId="77777777" w:rsidR="00345616" w:rsidRDefault="00345616" w:rsidP="0075029B">
      <w:pPr>
        <w:pStyle w:val="corpo"/>
        <w:spacing w:before="0" w:after="0"/>
        <w:jc w:val="both"/>
        <w:rPr>
          <w:rFonts w:ascii="Bookman Old Style" w:hAnsi="Bookman Old Style" w:cs="Arial"/>
          <w:sz w:val="22"/>
          <w:szCs w:val="22"/>
        </w:rPr>
      </w:pPr>
    </w:p>
    <w:p w14:paraId="76CFF312"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9- FORMA E CRITÉRIOS DE SELEÇÃO DO FORNECEDOR OU PRESTADOR DE SERVIÇOS </w:t>
      </w:r>
    </w:p>
    <w:p w14:paraId="60CAA1A2"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9.1. O fornecedor ou prestador de serviços será selecionado por meio do procedimento administrativo, de Dispensa Eletrônica, com adoção do critério de julgamento MENOR PREÇO</w:t>
      </w:r>
      <w:r>
        <w:rPr>
          <w:rFonts w:ascii="Bookman Old Style" w:hAnsi="Bookman Old Style" w:cs="Arial"/>
          <w:sz w:val="22"/>
          <w:szCs w:val="22"/>
        </w:rPr>
        <w:t xml:space="preserve"> </w:t>
      </w:r>
      <w:r w:rsidRPr="002C0DC6">
        <w:rPr>
          <w:rFonts w:ascii="Bookman Old Style" w:hAnsi="Bookman Old Style" w:cs="Arial"/>
          <w:sz w:val="22"/>
          <w:szCs w:val="22"/>
        </w:rPr>
        <w:t xml:space="preserve">GLOBAL, observadas todas as condições e exigências estabelecidas no instrumento convocatório e em seus anexos. </w:t>
      </w:r>
    </w:p>
    <w:p w14:paraId="34CBD945" w14:textId="77777777" w:rsidR="00345616" w:rsidRDefault="00345616" w:rsidP="0075029B">
      <w:pPr>
        <w:pStyle w:val="corpo"/>
        <w:spacing w:before="0" w:after="0"/>
        <w:jc w:val="both"/>
        <w:rPr>
          <w:rFonts w:ascii="Bookman Old Style" w:hAnsi="Bookman Old Style" w:cs="Arial"/>
          <w:sz w:val="22"/>
          <w:szCs w:val="22"/>
        </w:rPr>
      </w:pPr>
    </w:p>
    <w:p w14:paraId="0B5B0649"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10- ADEQUAÇÃO ORÇAMENTÁRIA </w:t>
      </w:r>
    </w:p>
    <w:p w14:paraId="0B20897D" w14:textId="0ACBA6D3"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 As despesas decorrentes desta contratação correrão conta da seguinte dotação orçamentária: </w:t>
      </w:r>
      <w:r w:rsidR="00865D90" w:rsidRPr="00865D90">
        <w:rPr>
          <w:rFonts w:ascii="Bookman Old Style" w:hAnsi="Bookman Old Style" w:cs="Arial"/>
          <w:sz w:val="22"/>
          <w:szCs w:val="22"/>
        </w:rPr>
        <w:t xml:space="preserve">10305058462266 </w:t>
      </w:r>
      <w:r w:rsidRPr="00865D90">
        <w:rPr>
          <w:rFonts w:ascii="Bookman Old Style" w:hAnsi="Bookman Old Style" w:cs="Arial"/>
          <w:sz w:val="22"/>
          <w:szCs w:val="22"/>
        </w:rPr>
        <w:t xml:space="preserve">- </w:t>
      </w:r>
      <w:r w:rsidR="00865D90" w:rsidRPr="00865D90">
        <w:rPr>
          <w:rFonts w:ascii="Bookman Old Style" w:hAnsi="Bookman Old Style" w:cs="Arial"/>
          <w:sz w:val="22"/>
          <w:szCs w:val="22"/>
        </w:rPr>
        <w:t>44905200</w:t>
      </w:r>
      <w:r w:rsidRPr="00865D90">
        <w:rPr>
          <w:rFonts w:ascii="Bookman Old Style" w:hAnsi="Bookman Old Style" w:cs="Arial"/>
          <w:sz w:val="22"/>
          <w:szCs w:val="22"/>
        </w:rPr>
        <w:t xml:space="preserve"> – </w:t>
      </w:r>
      <w:r w:rsidR="00865D90" w:rsidRPr="00865D90">
        <w:rPr>
          <w:rFonts w:ascii="Bookman Old Style" w:hAnsi="Bookman Old Style" w:cs="Arial"/>
          <w:sz w:val="22"/>
          <w:szCs w:val="22"/>
        </w:rPr>
        <w:t>27060003110</w:t>
      </w:r>
      <w:r w:rsidRPr="00865D90">
        <w:rPr>
          <w:rFonts w:ascii="Bookman Old Style" w:hAnsi="Bookman Old Style" w:cs="Arial"/>
          <w:sz w:val="22"/>
          <w:szCs w:val="22"/>
        </w:rPr>
        <w:t xml:space="preserve"> – Ficha </w:t>
      </w:r>
      <w:r w:rsidR="00865D90">
        <w:rPr>
          <w:rFonts w:ascii="Bookman Old Style" w:hAnsi="Bookman Old Style" w:cs="Arial"/>
          <w:sz w:val="22"/>
          <w:szCs w:val="22"/>
        </w:rPr>
        <w:t>–</w:t>
      </w:r>
      <w:r w:rsidRPr="00865D90">
        <w:rPr>
          <w:rFonts w:ascii="Bookman Old Style" w:hAnsi="Bookman Old Style" w:cs="Arial"/>
          <w:sz w:val="22"/>
          <w:szCs w:val="22"/>
        </w:rPr>
        <w:t xml:space="preserve"> 000</w:t>
      </w:r>
      <w:r w:rsidR="00865D90" w:rsidRPr="00865D90">
        <w:rPr>
          <w:rFonts w:ascii="Bookman Old Style" w:hAnsi="Bookman Old Style" w:cs="Arial"/>
          <w:sz w:val="22"/>
          <w:szCs w:val="22"/>
        </w:rPr>
        <w:t>1196</w:t>
      </w:r>
      <w:r w:rsidR="00865D90">
        <w:rPr>
          <w:rFonts w:ascii="Bookman Old Style" w:hAnsi="Bookman Old Style" w:cs="Arial"/>
          <w:sz w:val="22"/>
          <w:szCs w:val="22"/>
        </w:rPr>
        <w:t>- conta 32512-0 EC 105/19</w:t>
      </w:r>
      <w:r w:rsidRPr="002C0DC6">
        <w:rPr>
          <w:rFonts w:ascii="Bookman Old Style" w:hAnsi="Bookman Old Style" w:cs="Arial"/>
          <w:sz w:val="22"/>
          <w:szCs w:val="22"/>
        </w:rPr>
        <w:t xml:space="preserve"> e nas suas correspondentes para o exercício posterior. </w:t>
      </w:r>
    </w:p>
    <w:p w14:paraId="1728ADF4" w14:textId="77777777" w:rsidR="00345616" w:rsidRDefault="00345616" w:rsidP="0075029B">
      <w:pPr>
        <w:pStyle w:val="corpo"/>
        <w:spacing w:before="0" w:after="0"/>
        <w:jc w:val="both"/>
        <w:rPr>
          <w:rFonts w:ascii="Bookman Old Style" w:hAnsi="Bookman Old Style" w:cs="Arial"/>
          <w:sz w:val="22"/>
          <w:szCs w:val="22"/>
        </w:rPr>
      </w:pPr>
    </w:p>
    <w:p w14:paraId="65540848" w14:textId="77777777" w:rsidR="00345616" w:rsidRDefault="00345616" w:rsidP="0075029B">
      <w:pPr>
        <w:pStyle w:val="corpo"/>
        <w:spacing w:before="0" w:after="0"/>
        <w:jc w:val="both"/>
        <w:rPr>
          <w:rFonts w:ascii="Bookman Old Style" w:hAnsi="Bookman Old Style" w:cs="Arial"/>
          <w:sz w:val="22"/>
          <w:szCs w:val="22"/>
        </w:rPr>
      </w:pPr>
    </w:p>
    <w:p w14:paraId="0EA61B52" w14:textId="4F4D2FB8" w:rsidR="00345616" w:rsidRPr="002F32FB" w:rsidRDefault="00925927" w:rsidP="00345616">
      <w:pPr>
        <w:pStyle w:val="corpo"/>
        <w:spacing w:before="0" w:after="0"/>
        <w:jc w:val="center"/>
        <w:rPr>
          <w:rFonts w:ascii="Bookman Old Style" w:hAnsi="Bookman Old Style" w:cs="Arial"/>
          <w:sz w:val="22"/>
          <w:szCs w:val="22"/>
        </w:rPr>
      </w:pPr>
      <w:r w:rsidRPr="002F32FB">
        <w:rPr>
          <w:rFonts w:ascii="Bookman Old Style" w:hAnsi="Bookman Old Style" w:cs="Arial"/>
          <w:sz w:val="22"/>
          <w:szCs w:val="22"/>
        </w:rPr>
        <w:t>Ipanema</w:t>
      </w:r>
      <w:r w:rsidR="002C0DC6" w:rsidRPr="002F32FB">
        <w:rPr>
          <w:rFonts w:ascii="Bookman Old Style" w:hAnsi="Bookman Old Style" w:cs="Arial"/>
          <w:sz w:val="22"/>
          <w:szCs w:val="22"/>
        </w:rPr>
        <w:t xml:space="preserve">-MG, </w:t>
      </w:r>
      <w:r w:rsidR="002F32FB" w:rsidRPr="002F32FB">
        <w:rPr>
          <w:rFonts w:ascii="Bookman Old Style" w:hAnsi="Bookman Old Style" w:cs="Arial"/>
          <w:sz w:val="22"/>
          <w:szCs w:val="22"/>
        </w:rPr>
        <w:t>22</w:t>
      </w:r>
      <w:r w:rsidR="002C0DC6" w:rsidRPr="002F32FB">
        <w:rPr>
          <w:rFonts w:ascii="Bookman Old Style" w:hAnsi="Bookman Old Style" w:cs="Arial"/>
          <w:sz w:val="22"/>
          <w:szCs w:val="22"/>
        </w:rPr>
        <w:t xml:space="preserve"> de maio de 2024.</w:t>
      </w:r>
    </w:p>
    <w:p w14:paraId="49192959" w14:textId="77777777" w:rsidR="00345616" w:rsidRPr="002F32FB" w:rsidRDefault="00345616" w:rsidP="00345616">
      <w:pPr>
        <w:pStyle w:val="corpo"/>
        <w:spacing w:before="0" w:after="0"/>
        <w:jc w:val="center"/>
        <w:rPr>
          <w:rFonts w:ascii="Bookman Old Style" w:hAnsi="Bookman Old Style" w:cs="Arial"/>
          <w:sz w:val="22"/>
          <w:szCs w:val="22"/>
        </w:rPr>
      </w:pPr>
    </w:p>
    <w:p w14:paraId="7288A20D" w14:textId="77777777" w:rsidR="00345616" w:rsidRPr="00345616" w:rsidRDefault="00345616" w:rsidP="00345616">
      <w:pPr>
        <w:pStyle w:val="corpo"/>
        <w:spacing w:before="0" w:after="0"/>
        <w:jc w:val="center"/>
        <w:rPr>
          <w:rFonts w:ascii="Bookman Old Style" w:hAnsi="Bookman Old Style" w:cs="Arial"/>
          <w:sz w:val="22"/>
          <w:szCs w:val="22"/>
          <w:highlight w:val="yellow"/>
        </w:rPr>
      </w:pPr>
    </w:p>
    <w:p w14:paraId="7EBDB851" w14:textId="125B069B" w:rsidR="00345616" w:rsidRPr="002F32FB" w:rsidRDefault="002C0DC6" w:rsidP="00345616">
      <w:pPr>
        <w:pStyle w:val="corpo"/>
        <w:spacing w:before="0" w:after="0"/>
        <w:jc w:val="center"/>
        <w:rPr>
          <w:rFonts w:ascii="Bookman Old Style" w:hAnsi="Bookman Old Style" w:cs="Arial"/>
          <w:sz w:val="22"/>
          <w:szCs w:val="22"/>
        </w:rPr>
      </w:pPr>
      <w:r w:rsidRPr="002F32FB">
        <w:rPr>
          <w:rFonts w:ascii="Bookman Old Style" w:hAnsi="Bookman Old Style" w:cs="Arial"/>
          <w:sz w:val="22"/>
          <w:szCs w:val="22"/>
        </w:rPr>
        <w:t>________________________________________________</w:t>
      </w:r>
    </w:p>
    <w:p w14:paraId="01EB349F" w14:textId="061AC6E0" w:rsidR="002F32FB" w:rsidRPr="002F32FB" w:rsidRDefault="00CA6247" w:rsidP="00345616">
      <w:pPr>
        <w:pStyle w:val="corpo"/>
        <w:spacing w:before="0" w:after="0"/>
        <w:jc w:val="center"/>
        <w:rPr>
          <w:rFonts w:ascii="Bookman Old Style" w:hAnsi="Bookman Old Style" w:cs="Arial"/>
          <w:sz w:val="22"/>
          <w:szCs w:val="22"/>
        </w:rPr>
      </w:pPr>
      <w:r>
        <w:rPr>
          <w:rFonts w:ascii="Bookman Old Style" w:hAnsi="Bookman Old Style" w:cs="Arial"/>
          <w:sz w:val="22"/>
          <w:szCs w:val="22"/>
        </w:rPr>
        <w:t>Márcio Luiz da Gama Oliveira</w:t>
      </w:r>
    </w:p>
    <w:p w14:paraId="57B0D10E" w14:textId="046F6197" w:rsidR="002C0DC6" w:rsidRDefault="002C0DC6" w:rsidP="00345616">
      <w:pPr>
        <w:pStyle w:val="corpo"/>
        <w:spacing w:before="0" w:after="0"/>
        <w:jc w:val="center"/>
        <w:rPr>
          <w:rFonts w:ascii="Bookman Old Style" w:hAnsi="Bookman Old Style" w:cs="Arial"/>
          <w:sz w:val="22"/>
          <w:szCs w:val="22"/>
        </w:rPr>
      </w:pPr>
      <w:r w:rsidRPr="002F32FB">
        <w:rPr>
          <w:rFonts w:ascii="Bookman Old Style" w:hAnsi="Bookman Old Style" w:cs="Arial"/>
          <w:sz w:val="22"/>
          <w:szCs w:val="22"/>
        </w:rPr>
        <w:t xml:space="preserve">Secretário Municipal de </w:t>
      </w:r>
      <w:r w:rsidR="00CA6247">
        <w:rPr>
          <w:rFonts w:ascii="Bookman Old Style" w:hAnsi="Bookman Old Style" w:cs="Arial"/>
          <w:sz w:val="22"/>
          <w:szCs w:val="22"/>
        </w:rPr>
        <w:t>Saúde</w:t>
      </w:r>
    </w:p>
    <w:p w14:paraId="05D01BA4" w14:textId="77777777" w:rsidR="002C0DC6" w:rsidRDefault="002C0DC6" w:rsidP="0075029B">
      <w:pPr>
        <w:pStyle w:val="corpo"/>
        <w:spacing w:before="0" w:after="0"/>
        <w:jc w:val="both"/>
        <w:rPr>
          <w:rFonts w:ascii="Bookman Old Style" w:hAnsi="Bookman Old Style" w:cs="Arial"/>
          <w:sz w:val="22"/>
          <w:szCs w:val="22"/>
        </w:rPr>
      </w:pPr>
    </w:p>
    <w:p w14:paraId="1BC1141C" w14:textId="77777777" w:rsidR="002C0DC6" w:rsidRDefault="002C0DC6" w:rsidP="0075029B">
      <w:pPr>
        <w:pStyle w:val="corpo"/>
        <w:spacing w:before="0" w:after="0"/>
        <w:jc w:val="both"/>
        <w:rPr>
          <w:rFonts w:ascii="Bookman Old Style" w:hAnsi="Bookman Old Style" w:cs="Arial"/>
          <w:sz w:val="22"/>
          <w:szCs w:val="22"/>
        </w:rPr>
      </w:pPr>
    </w:p>
    <w:p w14:paraId="63CEA0E6" w14:textId="77777777" w:rsidR="00345616" w:rsidRDefault="00345616" w:rsidP="0075029B">
      <w:pPr>
        <w:pStyle w:val="corpo"/>
        <w:spacing w:before="0" w:after="0"/>
        <w:jc w:val="both"/>
        <w:rPr>
          <w:rFonts w:ascii="Bookman Old Style" w:hAnsi="Bookman Old Style" w:cs="Arial"/>
          <w:sz w:val="22"/>
          <w:szCs w:val="22"/>
        </w:rPr>
      </w:pPr>
    </w:p>
    <w:p w14:paraId="08FF833B" w14:textId="77777777" w:rsidR="00345616" w:rsidRDefault="00345616" w:rsidP="0075029B">
      <w:pPr>
        <w:pStyle w:val="corpo"/>
        <w:spacing w:before="0" w:after="0"/>
        <w:jc w:val="both"/>
        <w:rPr>
          <w:rFonts w:ascii="Bookman Old Style" w:hAnsi="Bookman Old Style" w:cs="Arial"/>
          <w:sz w:val="22"/>
          <w:szCs w:val="22"/>
        </w:rPr>
      </w:pPr>
    </w:p>
    <w:p w14:paraId="4D5A2295" w14:textId="24C27B30" w:rsidR="00345616" w:rsidRDefault="00345616" w:rsidP="0075029B">
      <w:pPr>
        <w:pStyle w:val="corpo"/>
        <w:spacing w:before="0" w:after="0"/>
        <w:jc w:val="both"/>
        <w:rPr>
          <w:rFonts w:ascii="Bookman Old Style" w:hAnsi="Bookman Old Style" w:cs="Arial"/>
          <w:sz w:val="22"/>
          <w:szCs w:val="22"/>
        </w:rPr>
      </w:pPr>
    </w:p>
    <w:p w14:paraId="53FCB747" w14:textId="21100CA4" w:rsidR="00862094" w:rsidRDefault="00862094" w:rsidP="0075029B">
      <w:pPr>
        <w:pStyle w:val="corpo"/>
        <w:spacing w:before="0" w:after="0"/>
        <w:jc w:val="both"/>
        <w:rPr>
          <w:rFonts w:ascii="Bookman Old Style" w:hAnsi="Bookman Old Style" w:cs="Arial"/>
          <w:sz w:val="22"/>
          <w:szCs w:val="22"/>
        </w:rPr>
      </w:pPr>
    </w:p>
    <w:p w14:paraId="7FC1ADFD" w14:textId="443CCEE0" w:rsidR="00862094" w:rsidRDefault="00862094" w:rsidP="0075029B">
      <w:pPr>
        <w:pStyle w:val="corpo"/>
        <w:spacing w:before="0" w:after="0"/>
        <w:jc w:val="both"/>
        <w:rPr>
          <w:rFonts w:ascii="Bookman Old Style" w:hAnsi="Bookman Old Style" w:cs="Arial"/>
          <w:sz w:val="22"/>
          <w:szCs w:val="22"/>
        </w:rPr>
      </w:pPr>
    </w:p>
    <w:p w14:paraId="6BD94CE7" w14:textId="0A68187B" w:rsidR="00862094" w:rsidRDefault="00862094" w:rsidP="0075029B">
      <w:pPr>
        <w:pStyle w:val="corpo"/>
        <w:spacing w:before="0" w:after="0"/>
        <w:jc w:val="both"/>
        <w:rPr>
          <w:rFonts w:ascii="Bookman Old Style" w:hAnsi="Bookman Old Style" w:cs="Arial"/>
          <w:sz w:val="22"/>
          <w:szCs w:val="22"/>
        </w:rPr>
      </w:pPr>
    </w:p>
    <w:p w14:paraId="086BB785" w14:textId="77777777" w:rsidR="002F32FB" w:rsidRDefault="002F32FB" w:rsidP="0075029B">
      <w:pPr>
        <w:pStyle w:val="corpo"/>
        <w:spacing w:before="0" w:after="0"/>
        <w:jc w:val="both"/>
        <w:rPr>
          <w:rFonts w:ascii="Bookman Old Style" w:hAnsi="Bookman Old Style" w:cs="Arial"/>
          <w:sz w:val="22"/>
          <w:szCs w:val="22"/>
        </w:rPr>
      </w:pPr>
    </w:p>
    <w:p w14:paraId="7BC15096" w14:textId="77777777" w:rsidR="002F32FB" w:rsidRDefault="002F32FB" w:rsidP="0075029B">
      <w:pPr>
        <w:pStyle w:val="corpo"/>
        <w:spacing w:before="0" w:after="0"/>
        <w:jc w:val="both"/>
        <w:rPr>
          <w:rFonts w:ascii="Bookman Old Style" w:hAnsi="Bookman Old Style" w:cs="Arial"/>
          <w:sz w:val="22"/>
          <w:szCs w:val="22"/>
        </w:rPr>
      </w:pPr>
    </w:p>
    <w:p w14:paraId="4A558A92" w14:textId="77777777" w:rsidR="002F32FB" w:rsidRDefault="002F32FB" w:rsidP="0075029B">
      <w:pPr>
        <w:pStyle w:val="corpo"/>
        <w:spacing w:before="0" w:after="0"/>
        <w:jc w:val="both"/>
        <w:rPr>
          <w:rFonts w:ascii="Bookman Old Style" w:hAnsi="Bookman Old Style" w:cs="Arial"/>
          <w:sz w:val="22"/>
          <w:szCs w:val="22"/>
        </w:rPr>
      </w:pPr>
    </w:p>
    <w:p w14:paraId="198A48DE" w14:textId="77777777" w:rsidR="002F32FB" w:rsidRDefault="002F32FB" w:rsidP="0075029B">
      <w:pPr>
        <w:pStyle w:val="corpo"/>
        <w:spacing w:before="0" w:after="0"/>
        <w:jc w:val="both"/>
        <w:rPr>
          <w:rFonts w:ascii="Bookman Old Style" w:hAnsi="Bookman Old Style" w:cs="Arial"/>
          <w:sz w:val="22"/>
          <w:szCs w:val="22"/>
        </w:rPr>
      </w:pPr>
    </w:p>
    <w:p w14:paraId="2D93B7AA" w14:textId="77777777" w:rsidR="002F32FB" w:rsidRDefault="002F32FB" w:rsidP="0075029B">
      <w:pPr>
        <w:pStyle w:val="corpo"/>
        <w:spacing w:before="0" w:after="0"/>
        <w:jc w:val="both"/>
        <w:rPr>
          <w:rFonts w:ascii="Bookman Old Style" w:hAnsi="Bookman Old Style" w:cs="Arial"/>
          <w:sz w:val="22"/>
          <w:szCs w:val="22"/>
        </w:rPr>
      </w:pPr>
    </w:p>
    <w:p w14:paraId="06E8073C" w14:textId="77777777" w:rsidR="002F32FB" w:rsidRDefault="002F32FB" w:rsidP="0075029B">
      <w:pPr>
        <w:pStyle w:val="corpo"/>
        <w:spacing w:before="0" w:after="0"/>
        <w:jc w:val="both"/>
        <w:rPr>
          <w:rFonts w:ascii="Bookman Old Style" w:hAnsi="Bookman Old Style" w:cs="Arial"/>
          <w:sz w:val="22"/>
          <w:szCs w:val="22"/>
        </w:rPr>
      </w:pPr>
    </w:p>
    <w:p w14:paraId="1C214068" w14:textId="77777777" w:rsidR="002F32FB" w:rsidRDefault="002F32FB" w:rsidP="0075029B">
      <w:pPr>
        <w:pStyle w:val="corpo"/>
        <w:spacing w:before="0" w:after="0"/>
        <w:jc w:val="both"/>
        <w:rPr>
          <w:rFonts w:ascii="Bookman Old Style" w:hAnsi="Bookman Old Style" w:cs="Arial"/>
          <w:sz w:val="22"/>
          <w:szCs w:val="22"/>
        </w:rPr>
      </w:pPr>
    </w:p>
    <w:p w14:paraId="6CF04CE8" w14:textId="77777777" w:rsidR="00CA6247" w:rsidRDefault="00CA6247" w:rsidP="0075029B">
      <w:pPr>
        <w:pStyle w:val="corpo"/>
        <w:spacing w:before="0" w:after="0"/>
        <w:jc w:val="both"/>
        <w:rPr>
          <w:rFonts w:ascii="Bookman Old Style" w:hAnsi="Bookman Old Style" w:cs="Arial"/>
          <w:sz w:val="22"/>
          <w:szCs w:val="22"/>
        </w:rPr>
      </w:pPr>
    </w:p>
    <w:p w14:paraId="567FE326" w14:textId="77777777" w:rsidR="00862094" w:rsidRDefault="00862094" w:rsidP="0075029B">
      <w:pPr>
        <w:pStyle w:val="corpo"/>
        <w:spacing w:before="0" w:after="0"/>
        <w:jc w:val="both"/>
        <w:rPr>
          <w:rFonts w:ascii="Bookman Old Style" w:hAnsi="Bookman Old Style" w:cs="Arial"/>
          <w:sz w:val="22"/>
          <w:szCs w:val="22"/>
        </w:rPr>
      </w:pPr>
    </w:p>
    <w:p w14:paraId="2995B141" w14:textId="7308B54A"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 xml:space="preserve">PROCESSO ADMINISTRATIVO Nº </w:t>
      </w:r>
      <w:r w:rsidR="00862094">
        <w:rPr>
          <w:rFonts w:ascii="Bookman Old Style" w:hAnsi="Bookman Old Style" w:cs="Arial"/>
          <w:b/>
          <w:sz w:val="22"/>
          <w:szCs w:val="22"/>
        </w:rPr>
        <w:t>048</w:t>
      </w:r>
      <w:r w:rsidRPr="00345616">
        <w:rPr>
          <w:rFonts w:ascii="Bookman Old Style" w:hAnsi="Bookman Old Style" w:cs="Arial"/>
          <w:b/>
          <w:sz w:val="22"/>
          <w:szCs w:val="22"/>
        </w:rPr>
        <w:t>/2024</w:t>
      </w:r>
    </w:p>
    <w:p w14:paraId="045CBA0D" w14:textId="7CA86A44"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DISPENSA DE LICITAÇÃO Nº 0</w:t>
      </w:r>
      <w:r w:rsidR="00862094">
        <w:rPr>
          <w:rFonts w:ascii="Bookman Old Style" w:hAnsi="Bookman Old Style" w:cs="Arial"/>
          <w:b/>
          <w:sz w:val="22"/>
          <w:szCs w:val="22"/>
        </w:rPr>
        <w:t>07</w:t>
      </w:r>
      <w:r w:rsidRPr="00345616">
        <w:rPr>
          <w:rFonts w:ascii="Bookman Old Style" w:hAnsi="Bookman Old Style" w:cs="Arial"/>
          <w:b/>
          <w:sz w:val="22"/>
          <w:szCs w:val="22"/>
        </w:rPr>
        <w:t>/2024</w:t>
      </w:r>
    </w:p>
    <w:p w14:paraId="44F40525" w14:textId="4A710A5A"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MINUTA CONTRATUAL</w:t>
      </w:r>
    </w:p>
    <w:p w14:paraId="34BF1ACA" w14:textId="6DA6ECC5"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ANEXO II</w:t>
      </w:r>
    </w:p>
    <w:p w14:paraId="47C7BBAC" w14:textId="77777777" w:rsidR="00345616" w:rsidRDefault="00345616" w:rsidP="0075029B">
      <w:pPr>
        <w:pStyle w:val="corpo"/>
        <w:spacing w:before="0" w:after="0"/>
        <w:jc w:val="both"/>
        <w:rPr>
          <w:rFonts w:ascii="Bookman Old Style" w:hAnsi="Bookman Old Style" w:cs="Arial"/>
          <w:sz w:val="22"/>
          <w:szCs w:val="22"/>
        </w:rPr>
      </w:pPr>
    </w:p>
    <w:p w14:paraId="4914F6DB" w14:textId="77777777" w:rsidR="00345616" w:rsidRDefault="00345616" w:rsidP="00345616">
      <w:pPr>
        <w:pStyle w:val="corpo"/>
        <w:spacing w:before="0" w:after="0"/>
        <w:ind w:left="3969"/>
        <w:jc w:val="both"/>
        <w:rPr>
          <w:rFonts w:ascii="Bookman Old Style" w:hAnsi="Bookman Old Style" w:cs="Arial"/>
          <w:sz w:val="22"/>
          <w:szCs w:val="22"/>
        </w:rPr>
      </w:pPr>
      <w:r w:rsidRPr="00345616">
        <w:rPr>
          <w:rFonts w:ascii="Bookman Old Style" w:hAnsi="Bookman Old Style" w:cs="Arial"/>
          <w:sz w:val="22"/>
          <w:szCs w:val="22"/>
        </w:rPr>
        <w:t xml:space="preserve">CONTRATO ADMINISTRATIVO Nº 0XX/20XX QUE FAZEM ENTRE SI O MUNICÍPIO DE XXXXX E A EMPRESA XXXXXXXXXX. </w:t>
      </w:r>
    </w:p>
    <w:p w14:paraId="293947EF" w14:textId="77777777" w:rsidR="00345616" w:rsidRDefault="00345616" w:rsidP="0075029B">
      <w:pPr>
        <w:pStyle w:val="corpo"/>
        <w:spacing w:before="0" w:after="0"/>
        <w:jc w:val="both"/>
        <w:rPr>
          <w:rFonts w:ascii="Bookman Old Style" w:hAnsi="Bookman Old Style" w:cs="Arial"/>
          <w:sz w:val="22"/>
          <w:szCs w:val="22"/>
        </w:rPr>
      </w:pPr>
    </w:p>
    <w:p w14:paraId="37D625BF" w14:textId="6CB4D214"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O MUNICÍPIO DE </w:t>
      </w:r>
      <w:r w:rsidR="00925927">
        <w:rPr>
          <w:rFonts w:ascii="Bookman Old Style" w:hAnsi="Bookman Old Style" w:cs="Arial"/>
          <w:sz w:val="22"/>
          <w:szCs w:val="22"/>
        </w:rPr>
        <w:t>IPANEMA</w:t>
      </w:r>
      <w:r w:rsidRPr="00345616">
        <w:rPr>
          <w:rFonts w:ascii="Bookman Old Style" w:hAnsi="Bookman Old Style" w:cs="Arial"/>
          <w:sz w:val="22"/>
          <w:szCs w:val="22"/>
        </w:rPr>
        <w:t>, inscrito no Cadastro Nacional de Pessoas Jurídicas – CNPJ sob o nº 18.</w:t>
      </w:r>
      <w:r w:rsidR="00925927">
        <w:rPr>
          <w:rFonts w:ascii="Bookman Old Style" w:hAnsi="Bookman Old Style" w:cs="Arial"/>
          <w:sz w:val="22"/>
          <w:szCs w:val="22"/>
        </w:rPr>
        <w:t>334.</w:t>
      </w:r>
      <w:r w:rsidR="007324C7">
        <w:rPr>
          <w:rFonts w:ascii="Bookman Old Style" w:hAnsi="Bookman Old Style" w:cs="Arial"/>
          <w:sz w:val="22"/>
          <w:szCs w:val="22"/>
        </w:rPr>
        <w:t>292/0001-64</w:t>
      </w:r>
      <w:r w:rsidRPr="00345616">
        <w:rPr>
          <w:rFonts w:ascii="Bookman Old Style" w:hAnsi="Bookman Old Style" w:cs="Arial"/>
          <w:sz w:val="22"/>
          <w:szCs w:val="22"/>
        </w:rPr>
        <w:t xml:space="preserve">, neste ato representado pelo Exmo. Prefeito Municipal, Sr. </w:t>
      </w:r>
      <w:r w:rsidR="00F94B87">
        <w:rPr>
          <w:rFonts w:ascii="Bookman Old Style" w:hAnsi="Bookman Old Style" w:cs="Arial"/>
          <w:sz w:val="22"/>
          <w:szCs w:val="22"/>
        </w:rPr>
        <w:t>Julio Fontoura de Moraes</w:t>
      </w:r>
      <w:r w:rsidR="00506DB6">
        <w:rPr>
          <w:rFonts w:ascii="Bookman Old Style" w:hAnsi="Bookman Old Style" w:cs="Arial"/>
          <w:sz w:val="22"/>
          <w:szCs w:val="22"/>
        </w:rPr>
        <w:t>,</w:t>
      </w:r>
      <w:r w:rsidRPr="00345616">
        <w:rPr>
          <w:rFonts w:ascii="Bookman Old Style" w:hAnsi="Bookman Old Style" w:cs="Arial"/>
          <w:sz w:val="22"/>
          <w:szCs w:val="22"/>
        </w:rPr>
        <w:t xml:space="preserve"> doravante denominado CONTRATANTE e a empresa xxxxxxxxxxxxxxxxx, inscrita no Cadastro Nacional de Pessoas Jurídicas – CNPJ sob o nº xx.xxx.xxx/xxxx-xx, sediada á xxxxxxxxxxxxxxxxxxx, neste ato </w:t>
      </w:r>
      <w:r w:rsidRPr="00862094">
        <w:rPr>
          <w:rFonts w:ascii="Bookman Old Style" w:hAnsi="Bookman Old Style" w:cs="Arial"/>
          <w:sz w:val="22"/>
          <w:szCs w:val="22"/>
        </w:rPr>
        <w:t xml:space="preserve">representada pelo(a) Sr.(a) xxxxxxxxxxxxxxxxx, inscrito(a) no CPF sob o nº xxx.xxx.xxx-xx, doravante denominado CONTRATADA, resolvem celebrar o presente contrato, em conformidade com o Processo Administrativo nº </w:t>
      </w:r>
      <w:r w:rsidR="00862094" w:rsidRPr="00862094">
        <w:rPr>
          <w:rFonts w:ascii="Bookman Old Style" w:hAnsi="Bookman Old Style" w:cs="Arial"/>
          <w:sz w:val="22"/>
          <w:szCs w:val="22"/>
        </w:rPr>
        <w:t>048</w:t>
      </w:r>
      <w:r w:rsidRPr="00862094">
        <w:rPr>
          <w:rFonts w:ascii="Bookman Old Style" w:hAnsi="Bookman Old Style" w:cs="Arial"/>
          <w:sz w:val="22"/>
          <w:szCs w:val="22"/>
        </w:rPr>
        <w:t xml:space="preserve">/2024, Dispensa Eletrônica nº </w:t>
      </w:r>
      <w:r w:rsidR="00862094" w:rsidRPr="00862094">
        <w:rPr>
          <w:rFonts w:ascii="Bookman Old Style" w:hAnsi="Bookman Old Style" w:cs="Arial"/>
          <w:sz w:val="22"/>
          <w:szCs w:val="22"/>
        </w:rPr>
        <w:t>007</w:t>
      </w:r>
      <w:r w:rsidRPr="00862094">
        <w:rPr>
          <w:rFonts w:ascii="Bookman Old Style" w:hAnsi="Bookman Old Style" w:cs="Arial"/>
          <w:sz w:val="22"/>
          <w:szCs w:val="22"/>
        </w:rPr>
        <w:t>/2024, sob a regência da Lei Federal nº 14.133/2021, mediante as cláusulas e condições pactuadas a seguir:</w:t>
      </w:r>
      <w:r w:rsidRPr="00345616">
        <w:rPr>
          <w:rFonts w:ascii="Bookman Old Style" w:hAnsi="Bookman Old Style" w:cs="Arial"/>
          <w:sz w:val="22"/>
          <w:szCs w:val="22"/>
        </w:rPr>
        <w:t xml:space="preserve"> </w:t>
      </w:r>
    </w:p>
    <w:p w14:paraId="2BBBCE50" w14:textId="77777777" w:rsidR="00345616" w:rsidRDefault="00345616" w:rsidP="0075029B">
      <w:pPr>
        <w:pStyle w:val="corpo"/>
        <w:spacing w:before="0" w:after="0"/>
        <w:jc w:val="both"/>
        <w:rPr>
          <w:rFonts w:ascii="Bookman Old Style" w:hAnsi="Bookman Old Style" w:cs="Arial"/>
          <w:sz w:val="22"/>
          <w:szCs w:val="22"/>
        </w:rPr>
      </w:pPr>
    </w:p>
    <w:p w14:paraId="5EE6AA81" w14:textId="77777777"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PRIMEIRA – DO OBJETO E DO VALOR </w:t>
      </w:r>
    </w:p>
    <w:p w14:paraId="61249CBE"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1.1. Constitui objeto do presente instrumento a </w:t>
      </w:r>
    </w:p>
    <w:p w14:paraId="4FD64F3E" w14:textId="549E0D9F"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1.2. O objeto da contratação deverá seguir as especificações, quantitativos e valores delimitados através da planilha a seguir:</w:t>
      </w:r>
    </w:p>
    <w:p w14:paraId="6BAACFDE" w14:textId="77777777" w:rsidR="00345616" w:rsidRDefault="00345616" w:rsidP="0075029B">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1369"/>
        <w:gridCol w:w="1611"/>
        <w:gridCol w:w="1015"/>
        <w:gridCol w:w="1017"/>
        <w:gridCol w:w="2236"/>
        <w:gridCol w:w="1611"/>
        <w:gridCol w:w="1421"/>
      </w:tblGrid>
      <w:tr w:rsidR="00345616" w14:paraId="4CD18545" w14:textId="77777777" w:rsidTr="00345616">
        <w:tc>
          <w:tcPr>
            <w:tcW w:w="1369" w:type="dxa"/>
          </w:tcPr>
          <w:p w14:paraId="46D75082" w14:textId="05926131"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ITEM</w:t>
            </w:r>
          </w:p>
        </w:tc>
        <w:tc>
          <w:tcPr>
            <w:tcW w:w="1611" w:type="dxa"/>
          </w:tcPr>
          <w:p w14:paraId="4D386C09" w14:textId="3942441E"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DESCRIÇÃO</w:t>
            </w:r>
          </w:p>
        </w:tc>
        <w:tc>
          <w:tcPr>
            <w:tcW w:w="1015" w:type="dxa"/>
          </w:tcPr>
          <w:p w14:paraId="089562D3" w14:textId="3E3BF390"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UND</w:t>
            </w:r>
          </w:p>
        </w:tc>
        <w:tc>
          <w:tcPr>
            <w:tcW w:w="1017" w:type="dxa"/>
          </w:tcPr>
          <w:p w14:paraId="65FCEC0D" w14:textId="1CFBABCA"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QTD</w:t>
            </w:r>
          </w:p>
        </w:tc>
        <w:tc>
          <w:tcPr>
            <w:tcW w:w="2236" w:type="dxa"/>
          </w:tcPr>
          <w:p w14:paraId="32F89FCA" w14:textId="7DFA1B01"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MARCA/MODELO</w:t>
            </w:r>
          </w:p>
        </w:tc>
        <w:tc>
          <w:tcPr>
            <w:tcW w:w="1611" w:type="dxa"/>
          </w:tcPr>
          <w:p w14:paraId="0716E5E6" w14:textId="13801405"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V.UNITÁRIO</w:t>
            </w:r>
          </w:p>
        </w:tc>
        <w:tc>
          <w:tcPr>
            <w:tcW w:w="1421" w:type="dxa"/>
          </w:tcPr>
          <w:p w14:paraId="147E500B" w14:textId="0C6FDDB3" w:rsidR="00345616" w:rsidRPr="00345616" w:rsidRDefault="00345616" w:rsidP="00345616">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V.</w:t>
            </w:r>
            <w:r>
              <w:rPr>
                <w:rFonts w:ascii="Bookman Old Style" w:hAnsi="Bookman Old Style" w:cs="Arial"/>
                <w:b/>
                <w:sz w:val="22"/>
                <w:szCs w:val="22"/>
              </w:rPr>
              <w:t>TOTAL</w:t>
            </w:r>
          </w:p>
        </w:tc>
      </w:tr>
      <w:tr w:rsidR="00345616" w14:paraId="7DB4A267" w14:textId="77777777" w:rsidTr="00345616">
        <w:tc>
          <w:tcPr>
            <w:tcW w:w="1369" w:type="dxa"/>
          </w:tcPr>
          <w:p w14:paraId="1CF288A7"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1F712751" w14:textId="77777777" w:rsidR="00345616" w:rsidRDefault="00345616" w:rsidP="0075029B">
            <w:pPr>
              <w:pStyle w:val="corpo"/>
              <w:spacing w:before="0" w:after="0"/>
              <w:jc w:val="both"/>
              <w:rPr>
                <w:rFonts w:ascii="Bookman Old Style" w:hAnsi="Bookman Old Style" w:cs="Arial"/>
                <w:sz w:val="22"/>
                <w:szCs w:val="22"/>
              </w:rPr>
            </w:pPr>
          </w:p>
        </w:tc>
        <w:tc>
          <w:tcPr>
            <w:tcW w:w="1015" w:type="dxa"/>
          </w:tcPr>
          <w:p w14:paraId="52FE0E30" w14:textId="77777777" w:rsidR="00345616" w:rsidRDefault="00345616" w:rsidP="0075029B">
            <w:pPr>
              <w:pStyle w:val="corpo"/>
              <w:spacing w:before="0" w:after="0"/>
              <w:jc w:val="both"/>
              <w:rPr>
                <w:rFonts w:ascii="Bookman Old Style" w:hAnsi="Bookman Old Style" w:cs="Arial"/>
                <w:sz w:val="22"/>
                <w:szCs w:val="22"/>
              </w:rPr>
            </w:pPr>
          </w:p>
        </w:tc>
        <w:tc>
          <w:tcPr>
            <w:tcW w:w="1017" w:type="dxa"/>
          </w:tcPr>
          <w:p w14:paraId="77733761" w14:textId="77777777" w:rsidR="00345616" w:rsidRDefault="00345616" w:rsidP="0075029B">
            <w:pPr>
              <w:pStyle w:val="corpo"/>
              <w:spacing w:before="0" w:after="0"/>
              <w:jc w:val="both"/>
              <w:rPr>
                <w:rFonts w:ascii="Bookman Old Style" w:hAnsi="Bookman Old Style" w:cs="Arial"/>
                <w:sz w:val="22"/>
                <w:szCs w:val="22"/>
              </w:rPr>
            </w:pPr>
          </w:p>
        </w:tc>
        <w:tc>
          <w:tcPr>
            <w:tcW w:w="2236" w:type="dxa"/>
          </w:tcPr>
          <w:p w14:paraId="1A206C51"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68E81E70" w14:textId="77777777" w:rsidR="00345616" w:rsidRDefault="00345616" w:rsidP="0075029B">
            <w:pPr>
              <w:pStyle w:val="corpo"/>
              <w:spacing w:before="0" w:after="0"/>
              <w:jc w:val="both"/>
              <w:rPr>
                <w:rFonts w:ascii="Bookman Old Style" w:hAnsi="Bookman Old Style" w:cs="Arial"/>
                <w:sz w:val="22"/>
                <w:szCs w:val="22"/>
              </w:rPr>
            </w:pPr>
          </w:p>
        </w:tc>
        <w:tc>
          <w:tcPr>
            <w:tcW w:w="1421" w:type="dxa"/>
          </w:tcPr>
          <w:p w14:paraId="2BE4A5AD" w14:textId="77777777" w:rsidR="00345616" w:rsidRDefault="00345616" w:rsidP="0075029B">
            <w:pPr>
              <w:pStyle w:val="corpo"/>
              <w:spacing w:before="0" w:after="0"/>
              <w:jc w:val="both"/>
              <w:rPr>
                <w:rFonts w:ascii="Bookman Old Style" w:hAnsi="Bookman Old Style" w:cs="Arial"/>
                <w:sz w:val="22"/>
                <w:szCs w:val="22"/>
              </w:rPr>
            </w:pPr>
          </w:p>
        </w:tc>
      </w:tr>
      <w:tr w:rsidR="00345616" w14:paraId="1645AC1E" w14:textId="77777777" w:rsidTr="00345616">
        <w:tc>
          <w:tcPr>
            <w:tcW w:w="1369" w:type="dxa"/>
          </w:tcPr>
          <w:p w14:paraId="15C75157"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1A883D44" w14:textId="77777777" w:rsidR="00345616" w:rsidRDefault="00345616" w:rsidP="0075029B">
            <w:pPr>
              <w:pStyle w:val="corpo"/>
              <w:spacing w:before="0" w:after="0"/>
              <w:jc w:val="both"/>
              <w:rPr>
                <w:rFonts w:ascii="Bookman Old Style" w:hAnsi="Bookman Old Style" w:cs="Arial"/>
                <w:sz w:val="22"/>
                <w:szCs w:val="22"/>
              </w:rPr>
            </w:pPr>
          </w:p>
        </w:tc>
        <w:tc>
          <w:tcPr>
            <w:tcW w:w="1015" w:type="dxa"/>
          </w:tcPr>
          <w:p w14:paraId="77A31831" w14:textId="77777777" w:rsidR="00345616" w:rsidRDefault="00345616" w:rsidP="0075029B">
            <w:pPr>
              <w:pStyle w:val="corpo"/>
              <w:spacing w:before="0" w:after="0"/>
              <w:jc w:val="both"/>
              <w:rPr>
                <w:rFonts w:ascii="Bookman Old Style" w:hAnsi="Bookman Old Style" w:cs="Arial"/>
                <w:sz w:val="22"/>
                <w:szCs w:val="22"/>
              </w:rPr>
            </w:pPr>
          </w:p>
        </w:tc>
        <w:tc>
          <w:tcPr>
            <w:tcW w:w="1017" w:type="dxa"/>
          </w:tcPr>
          <w:p w14:paraId="46E3FC5F" w14:textId="77777777" w:rsidR="00345616" w:rsidRDefault="00345616" w:rsidP="0075029B">
            <w:pPr>
              <w:pStyle w:val="corpo"/>
              <w:spacing w:before="0" w:after="0"/>
              <w:jc w:val="both"/>
              <w:rPr>
                <w:rFonts w:ascii="Bookman Old Style" w:hAnsi="Bookman Old Style" w:cs="Arial"/>
                <w:sz w:val="22"/>
                <w:szCs w:val="22"/>
              </w:rPr>
            </w:pPr>
          </w:p>
        </w:tc>
        <w:tc>
          <w:tcPr>
            <w:tcW w:w="2236" w:type="dxa"/>
          </w:tcPr>
          <w:p w14:paraId="3355A9FF"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78675B2C" w14:textId="77777777" w:rsidR="00345616" w:rsidRDefault="00345616" w:rsidP="0075029B">
            <w:pPr>
              <w:pStyle w:val="corpo"/>
              <w:spacing w:before="0" w:after="0"/>
              <w:jc w:val="both"/>
              <w:rPr>
                <w:rFonts w:ascii="Bookman Old Style" w:hAnsi="Bookman Old Style" w:cs="Arial"/>
                <w:sz w:val="22"/>
                <w:szCs w:val="22"/>
              </w:rPr>
            </w:pPr>
          </w:p>
        </w:tc>
        <w:tc>
          <w:tcPr>
            <w:tcW w:w="1421" w:type="dxa"/>
          </w:tcPr>
          <w:p w14:paraId="3021A863" w14:textId="77777777" w:rsidR="00345616" w:rsidRDefault="00345616" w:rsidP="0075029B">
            <w:pPr>
              <w:pStyle w:val="corpo"/>
              <w:spacing w:before="0" w:after="0"/>
              <w:jc w:val="both"/>
              <w:rPr>
                <w:rFonts w:ascii="Bookman Old Style" w:hAnsi="Bookman Old Style" w:cs="Arial"/>
                <w:sz w:val="22"/>
                <w:szCs w:val="22"/>
              </w:rPr>
            </w:pPr>
          </w:p>
        </w:tc>
      </w:tr>
      <w:tr w:rsidR="00345616" w14:paraId="466D9CD1" w14:textId="77777777" w:rsidTr="00345616">
        <w:tc>
          <w:tcPr>
            <w:tcW w:w="1369" w:type="dxa"/>
          </w:tcPr>
          <w:p w14:paraId="09E8BFB0"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410E6CAC" w14:textId="77777777" w:rsidR="00345616" w:rsidRDefault="00345616" w:rsidP="0075029B">
            <w:pPr>
              <w:pStyle w:val="corpo"/>
              <w:spacing w:before="0" w:after="0"/>
              <w:jc w:val="both"/>
              <w:rPr>
                <w:rFonts w:ascii="Bookman Old Style" w:hAnsi="Bookman Old Style" w:cs="Arial"/>
                <w:sz w:val="22"/>
                <w:szCs w:val="22"/>
              </w:rPr>
            </w:pPr>
          </w:p>
        </w:tc>
        <w:tc>
          <w:tcPr>
            <w:tcW w:w="1015" w:type="dxa"/>
          </w:tcPr>
          <w:p w14:paraId="616BE2FE" w14:textId="77777777" w:rsidR="00345616" w:rsidRDefault="00345616" w:rsidP="0075029B">
            <w:pPr>
              <w:pStyle w:val="corpo"/>
              <w:spacing w:before="0" w:after="0"/>
              <w:jc w:val="both"/>
              <w:rPr>
                <w:rFonts w:ascii="Bookman Old Style" w:hAnsi="Bookman Old Style" w:cs="Arial"/>
                <w:sz w:val="22"/>
                <w:szCs w:val="22"/>
              </w:rPr>
            </w:pPr>
          </w:p>
        </w:tc>
        <w:tc>
          <w:tcPr>
            <w:tcW w:w="1017" w:type="dxa"/>
          </w:tcPr>
          <w:p w14:paraId="02F00251" w14:textId="77777777" w:rsidR="00345616" w:rsidRDefault="00345616" w:rsidP="0075029B">
            <w:pPr>
              <w:pStyle w:val="corpo"/>
              <w:spacing w:before="0" w:after="0"/>
              <w:jc w:val="both"/>
              <w:rPr>
                <w:rFonts w:ascii="Bookman Old Style" w:hAnsi="Bookman Old Style" w:cs="Arial"/>
                <w:sz w:val="22"/>
                <w:szCs w:val="22"/>
              </w:rPr>
            </w:pPr>
          </w:p>
        </w:tc>
        <w:tc>
          <w:tcPr>
            <w:tcW w:w="2236" w:type="dxa"/>
          </w:tcPr>
          <w:p w14:paraId="4C95A14F"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235A4346" w14:textId="77777777" w:rsidR="00345616" w:rsidRDefault="00345616" w:rsidP="0075029B">
            <w:pPr>
              <w:pStyle w:val="corpo"/>
              <w:spacing w:before="0" w:after="0"/>
              <w:jc w:val="both"/>
              <w:rPr>
                <w:rFonts w:ascii="Bookman Old Style" w:hAnsi="Bookman Old Style" w:cs="Arial"/>
                <w:sz w:val="22"/>
                <w:szCs w:val="22"/>
              </w:rPr>
            </w:pPr>
          </w:p>
        </w:tc>
        <w:tc>
          <w:tcPr>
            <w:tcW w:w="1421" w:type="dxa"/>
          </w:tcPr>
          <w:p w14:paraId="58D38A4D" w14:textId="77777777" w:rsidR="00345616" w:rsidRDefault="00345616" w:rsidP="0075029B">
            <w:pPr>
              <w:pStyle w:val="corpo"/>
              <w:spacing w:before="0" w:after="0"/>
              <w:jc w:val="both"/>
              <w:rPr>
                <w:rFonts w:ascii="Bookman Old Style" w:hAnsi="Bookman Old Style" w:cs="Arial"/>
                <w:sz w:val="22"/>
                <w:szCs w:val="22"/>
              </w:rPr>
            </w:pPr>
          </w:p>
        </w:tc>
      </w:tr>
      <w:tr w:rsidR="00345616" w14:paraId="0E8B002C" w14:textId="77777777" w:rsidTr="00345616">
        <w:tc>
          <w:tcPr>
            <w:tcW w:w="5012" w:type="dxa"/>
            <w:gridSpan w:val="4"/>
          </w:tcPr>
          <w:p w14:paraId="7625C687" w14:textId="14F92F41" w:rsidR="00345616" w:rsidRPr="00345616" w:rsidRDefault="00345616" w:rsidP="00345616">
            <w:pPr>
              <w:pStyle w:val="corpo"/>
              <w:spacing w:before="0" w:after="0"/>
              <w:jc w:val="right"/>
              <w:rPr>
                <w:rFonts w:ascii="Bookman Old Style" w:hAnsi="Bookman Old Style" w:cs="Arial"/>
                <w:b/>
                <w:sz w:val="22"/>
                <w:szCs w:val="22"/>
              </w:rPr>
            </w:pPr>
            <w:r w:rsidRPr="00345616">
              <w:rPr>
                <w:rFonts w:ascii="Bookman Old Style" w:hAnsi="Bookman Old Style" w:cs="Arial"/>
                <w:b/>
                <w:sz w:val="22"/>
                <w:szCs w:val="22"/>
              </w:rPr>
              <w:t>V.GLOBAL</w:t>
            </w:r>
          </w:p>
        </w:tc>
        <w:tc>
          <w:tcPr>
            <w:tcW w:w="5268" w:type="dxa"/>
            <w:gridSpan w:val="3"/>
          </w:tcPr>
          <w:p w14:paraId="223E299F" w14:textId="36969746"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R$</w:t>
            </w:r>
          </w:p>
        </w:tc>
      </w:tr>
    </w:tbl>
    <w:p w14:paraId="592D2C1E" w14:textId="77777777" w:rsidR="002C0DC6" w:rsidRDefault="002C0DC6" w:rsidP="0075029B">
      <w:pPr>
        <w:pStyle w:val="corpo"/>
        <w:spacing w:before="0" w:after="0"/>
        <w:jc w:val="both"/>
        <w:rPr>
          <w:rFonts w:ascii="Bookman Old Style" w:hAnsi="Bookman Old Style" w:cs="Arial"/>
          <w:sz w:val="22"/>
          <w:szCs w:val="22"/>
        </w:rPr>
      </w:pPr>
    </w:p>
    <w:p w14:paraId="2839F40A"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1.3. Integram este contrato, como se nele estivessem transcritos: o Termo de Referência, o Aviso de Dispensa Eletrônica e seus Anexos, a Proposta Comercial do Contratado e demais documentos apresentados durante a sessão pública, constantes nos autos do procedimento. 1.4. O presente instrumento perfaz um valor global de R$ xxxxx,xx (xxxxxxxxxxxxxxx), conforme detalhamento constante na planilha do item 1.2. </w:t>
      </w:r>
    </w:p>
    <w:p w14:paraId="79C2CD0D" w14:textId="77777777" w:rsidR="00345616" w:rsidRDefault="00345616" w:rsidP="0075029B">
      <w:pPr>
        <w:pStyle w:val="corpo"/>
        <w:spacing w:before="0" w:after="0"/>
        <w:jc w:val="both"/>
        <w:rPr>
          <w:rFonts w:ascii="Bookman Old Style" w:hAnsi="Bookman Old Style" w:cs="Arial"/>
          <w:sz w:val="22"/>
          <w:szCs w:val="22"/>
        </w:rPr>
      </w:pPr>
    </w:p>
    <w:p w14:paraId="39F7749A" w14:textId="5253F3F5" w:rsidR="002C0DC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CLÁUSULA SEGUNDA – DA VIGÊNCIA</w:t>
      </w:r>
    </w:p>
    <w:p w14:paraId="41415DC4"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2.1. O contrato oriundo do presente procedimento terá vigência de 12 (doze) meses, contados a partir da data de sua assinatura. </w:t>
      </w:r>
    </w:p>
    <w:p w14:paraId="1BBCD55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2.2. O contrato poderá ser prorrogado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14:paraId="072365DB" w14:textId="77777777" w:rsidR="00345616" w:rsidRDefault="00345616" w:rsidP="0075029B">
      <w:pPr>
        <w:pStyle w:val="corpo"/>
        <w:spacing w:before="0" w:after="0"/>
        <w:jc w:val="both"/>
        <w:rPr>
          <w:rFonts w:ascii="Bookman Old Style" w:hAnsi="Bookman Old Style" w:cs="Arial"/>
          <w:sz w:val="22"/>
          <w:szCs w:val="22"/>
        </w:rPr>
      </w:pPr>
    </w:p>
    <w:p w14:paraId="740734D5" w14:textId="77777777"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TERCEIRA- DO MODELO DE EXECUÇÃO DO OBJETO </w:t>
      </w:r>
    </w:p>
    <w:p w14:paraId="5BB300D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3.1. Os serviços serão prestados em estrita conformidade com as condições estabelecidas neste termo, dentro das melhores técnicas pertinentes ao objeto. </w:t>
      </w:r>
    </w:p>
    <w:p w14:paraId="511468EC" w14:textId="4F08CB9F"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3.2. Os serviços serão prestados de forma gradativa e eventual, de acordo com as demandas da secretaria requisitante, sendo iniciados no prazo máximo de 48 (quarenta e oito) horas contados a partir do recebimento da Ordem de Fornecimento emitida pelo Setor de Compras da Prefeitura Municipal de </w:t>
      </w:r>
      <w:r w:rsidR="00551AD5">
        <w:rPr>
          <w:rFonts w:ascii="Bookman Old Style" w:hAnsi="Bookman Old Style" w:cs="Arial"/>
          <w:sz w:val="22"/>
          <w:szCs w:val="22"/>
        </w:rPr>
        <w:t>Ipanema/</w:t>
      </w:r>
      <w:r w:rsidRPr="00345616">
        <w:rPr>
          <w:rFonts w:ascii="Bookman Old Style" w:hAnsi="Bookman Old Style" w:cs="Arial"/>
          <w:sz w:val="22"/>
          <w:szCs w:val="22"/>
        </w:rPr>
        <w:t xml:space="preserve">MG. </w:t>
      </w:r>
    </w:p>
    <w:p w14:paraId="77142B42" w14:textId="1F78766B"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lastRenderedPageBreak/>
        <w:t xml:space="preserve">3.3. Os serviços serão executados em local previamente estabelecido pela secretaria requisitante, podendo ser em perímetro urbano ou zona rural do Município de </w:t>
      </w:r>
      <w:r w:rsidR="00551AD5">
        <w:rPr>
          <w:rFonts w:ascii="Bookman Old Style" w:hAnsi="Bookman Old Style" w:cs="Arial"/>
          <w:sz w:val="22"/>
          <w:szCs w:val="22"/>
        </w:rPr>
        <w:t>Ipanema/</w:t>
      </w:r>
      <w:r w:rsidRPr="00345616">
        <w:rPr>
          <w:rFonts w:ascii="Bookman Old Style" w:hAnsi="Bookman Old Style" w:cs="Arial"/>
          <w:sz w:val="22"/>
          <w:szCs w:val="22"/>
        </w:rPr>
        <w:t xml:space="preserve">MG a depender da necessidade. </w:t>
      </w:r>
    </w:p>
    <w:p w14:paraId="4FF3CBE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3.4. O objeto será recebido provisoriamente pelo fiscal do contrato, com verificação posterior do atendimento às conformidades estabelecidas neste instrumento. </w:t>
      </w:r>
    </w:p>
    <w:p w14:paraId="446BE7D3"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3.5. O objeto será recebido definitivamente pelo gestor ou comissão do contrato, mediante termo detalhado, que comprove o atendimento às exigências estabelecidas neste instrumento. </w:t>
      </w:r>
    </w:p>
    <w:p w14:paraId="4CB728D6"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3.6. O objeto poderá ser rejeitado, no todo ou em parte, quando estiver sendo executado em desconformidade com as exigências estabelecidas neste instrumento. </w:t>
      </w:r>
    </w:p>
    <w:p w14:paraId="7305DD4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3.7. O recebimento provisório ou definitivo não excluirá a responsabilidade civil do proponente pela solidez e segurança da execução. </w:t>
      </w:r>
    </w:p>
    <w:p w14:paraId="7C4E7DEA" w14:textId="77777777" w:rsidR="00345616" w:rsidRDefault="00345616" w:rsidP="0075029B">
      <w:pPr>
        <w:pStyle w:val="corpo"/>
        <w:spacing w:before="0" w:after="0"/>
        <w:jc w:val="both"/>
        <w:rPr>
          <w:rFonts w:ascii="Bookman Old Style" w:hAnsi="Bookman Old Style" w:cs="Arial"/>
          <w:sz w:val="22"/>
          <w:szCs w:val="22"/>
        </w:rPr>
      </w:pPr>
    </w:p>
    <w:p w14:paraId="6A41727E" w14:textId="77777777"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QUARTA – DA FISCALIZAÇÃO E GESTÃO DO CONTRATO </w:t>
      </w:r>
    </w:p>
    <w:p w14:paraId="786CC48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4.1. Caberá ao Fiscal do contrato: </w:t>
      </w:r>
    </w:p>
    <w:p w14:paraId="7F03E79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 fiscalizar e atestar o recebimento provisório dos produtos ou serviços em face das suas características e especificações, em estrita conformidade com este instrumento; </w:t>
      </w:r>
    </w:p>
    <w:p w14:paraId="50678653" w14:textId="53D8895C"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II - fiscalizar e atestar o recebimento provisório dos produtos ou serviços em face dos quantitativos solicitados;</w:t>
      </w:r>
    </w:p>
    <w:p w14:paraId="528E9375"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 fiscalizar e atestar o recebimento provisório dos produtos ou serviços nos prazos e condições estabelecidas neste instrumento; </w:t>
      </w:r>
    </w:p>
    <w:p w14:paraId="3A86B6D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IV - auxiliar o gestor no contrato, subsidiando as informações pertinentes às suas competências; </w:t>
      </w:r>
    </w:p>
    <w:p w14:paraId="7F0B230E"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 anotar histórico de gerenciamento do contrato, contendo todas as ocorrências relacionadas à sua execução; </w:t>
      </w:r>
    </w:p>
    <w:p w14:paraId="3F9DDE22"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 - emitir notificações sobre qualquer irregularidade encontrada na execução do contrato; </w:t>
      </w:r>
    </w:p>
    <w:p w14:paraId="3E38AC22"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 - rejeitar os produtos ou serviços entregues em desconformidade com este instrumento; </w:t>
      </w:r>
    </w:p>
    <w:p w14:paraId="21842E04"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VIII - comunicar formalmente o gestor do contrato a respeito de qualquer ocorrência relacionada ao recebimento do objeto ou suas atribuições; </w:t>
      </w:r>
    </w:p>
    <w:p w14:paraId="23D6F5EF"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4.1.1. O fiscal de contrato informará a seus superiores, em tempo hábil para a adoção das medidas convenientes, a situação que demandar decisão ou providência que ultrapasse sua competência, entre elas: </w:t>
      </w:r>
    </w:p>
    <w:p w14:paraId="52593CB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 atraso injustificado na execução do cronograma ou entrega dos objetos; </w:t>
      </w:r>
    </w:p>
    <w:p w14:paraId="61AE870B"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 - entrega de produtos em desconformidade com as especificações constantes no instrumento convocatório ou quantitativo divergente do solicitado; </w:t>
      </w:r>
    </w:p>
    <w:p w14:paraId="5CF50EC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 execução do objeto em desconformidade com este instrumento; </w:t>
      </w:r>
    </w:p>
    <w:p w14:paraId="2FB1D523"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IV - descumprimento de cláusula contratual ou regra editalícia; </w:t>
      </w:r>
    </w:p>
    <w:p w14:paraId="450CB1F4"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 subcontratação indevida, sem autorização prévia ou fora dos limites legais; </w:t>
      </w:r>
    </w:p>
    <w:p w14:paraId="745C136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 - alteração nas condições da habilitação da proponente previstas no instrumento convocatório; </w:t>
      </w:r>
    </w:p>
    <w:p w14:paraId="35D6A35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 - quaisquer irregularidades, ilegalidades, atrasos, desvios de finalidades e condutas ilícitas detectadas e não citados anteriormente. </w:t>
      </w:r>
    </w:p>
    <w:p w14:paraId="45EEF32B"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4.2. Caberá ao Gestor do Contrato: </w:t>
      </w:r>
    </w:p>
    <w:p w14:paraId="6DEA632A"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 analisar a documentação que antecede a liquidação e ao pagamento; </w:t>
      </w:r>
    </w:p>
    <w:p w14:paraId="029E036A"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 - analisar os pedidos de reequilíbrio econômico-financeiro, decidindo manifestadamente a respeito nos autos do procedimento; </w:t>
      </w:r>
    </w:p>
    <w:p w14:paraId="22F4D403"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 criar rotinas de verificação de valores, conforme a especificidade de cada objeto, para eventualmente propor reequilíbrios econômico-financeiros quando o valor praticado estiver em desconformidade com a prática de mercado; </w:t>
      </w:r>
    </w:p>
    <w:p w14:paraId="44148045"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IV - analisar eventuais solicitações de alterações contratuais, decidindo manifestadamente a respeito nos autos do procedimento; </w:t>
      </w:r>
    </w:p>
    <w:p w14:paraId="794C11D9"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 acompanhar o desenvolvimento da execução através dos relatos apresentados pelo fiscal do contrato, bem como os demais documentos pertinentes; </w:t>
      </w:r>
    </w:p>
    <w:p w14:paraId="4FDE1D8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lastRenderedPageBreak/>
        <w:t xml:space="preserve">VI - decidir, provisoriamente, pela suspensão da entrega de bens ou a realização dos serviços, manifestando a respeito nos autos do procedimento; </w:t>
      </w:r>
    </w:p>
    <w:p w14:paraId="56F85A2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 - solicitar e acompanhar processos administrativos sancionadores, na dosimetria descrita no instrumento convocatório, nos casos em que o objeto estiver sendo executado em desconformidade com as exigências; </w:t>
      </w:r>
    </w:p>
    <w:p w14:paraId="041E4B16"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VIII - alimentar o Portal Nacional de Contratações Públicas - PNCP ou equivalente com os dados referentes aos contratos administrativos; </w:t>
      </w:r>
    </w:p>
    <w:p w14:paraId="5FD8FD47" w14:textId="778B6B0D"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IX - </w:t>
      </w:r>
      <w:r w:rsidR="00084042" w:rsidRPr="00345616">
        <w:rPr>
          <w:rFonts w:ascii="Bookman Old Style" w:hAnsi="Bookman Old Style" w:cs="Arial"/>
          <w:sz w:val="22"/>
          <w:szCs w:val="22"/>
        </w:rPr>
        <w:t>Realizar</w:t>
      </w:r>
      <w:r w:rsidRPr="00345616">
        <w:rPr>
          <w:rFonts w:ascii="Bookman Old Style" w:hAnsi="Bookman Old Style" w:cs="Arial"/>
          <w:sz w:val="22"/>
          <w:szCs w:val="22"/>
        </w:rPr>
        <w:t xml:space="preserve"> o recebimento definitivo dos produtos ou serviços. </w:t>
      </w:r>
    </w:p>
    <w:p w14:paraId="2A90766A" w14:textId="77777777" w:rsidR="00345616" w:rsidRDefault="00345616" w:rsidP="0075029B">
      <w:pPr>
        <w:pStyle w:val="corpo"/>
        <w:spacing w:before="0" w:after="0"/>
        <w:jc w:val="both"/>
        <w:rPr>
          <w:rFonts w:ascii="Bookman Old Style" w:hAnsi="Bookman Old Style" w:cs="Arial"/>
          <w:sz w:val="22"/>
          <w:szCs w:val="22"/>
        </w:rPr>
      </w:pPr>
    </w:p>
    <w:p w14:paraId="1C753D13" w14:textId="22798282"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CLÁUSULA QUINTA – DA SUBCONTRATAÇÃO</w:t>
      </w:r>
    </w:p>
    <w:p w14:paraId="55255831"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 Na execução deste contrato, sem prejuízo das responsabilidades contratuais e legais, o CONTRATADO poderá subcontratar parcelas do objeto, desde que, autorizado formalmente pelo CONTRATANTE. </w:t>
      </w:r>
    </w:p>
    <w:p w14:paraId="07D4412F"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5.1.1. Na autorização, caso concedida, o CONTRATANTE deverá indicar o limite percentual do objeto ou a parcela que poderá ser subcontratada. </w:t>
      </w:r>
    </w:p>
    <w:p w14:paraId="38C9DA86"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5.1.2. O contratado apresentará à Administração documentação que comprove a capacidade técnica do subcontrato, quando cabível, que será avaliada e juntada aos autos do processo. </w:t>
      </w:r>
    </w:p>
    <w:p w14:paraId="7D895FD0"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5.1.3.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no procedimento ou atue na fiscalização ou na gestão do contrato, ou se deles forem cônjuge, companheiro ou parente em linha reta, colateral, ou por afinidade, até o terceiro grau. </w:t>
      </w:r>
    </w:p>
    <w:p w14:paraId="657F67FC" w14:textId="77777777" w:rsidR="00916F1A" w:rsidRDefault="00916F1A" w:rsidP="0075029B">
      <w:pPr>
        <w:pStyle w:val="corpo"/>
        <w:spacing w:before="0" w:after="0"/>
        <w:jc w:val="both"/>
        <w:rPr>
          <w:rFonts w:ascii="Bookman Old Style" w:hAnsi="Bookman Old Style" w:cs="Arial"/>
          <w:sz w:val="22"/>
          <w:szCs w:val="22"/>
        </w:rPr>
      </w:pPr>
    </w:p>
    <w:p w14:paraId="63C50982" w14:textId="77777777" w:rsidR="00916F1A"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SEXTA – DO PAGAMENTO </w:t>
      </w:r>
    </w:p>
    <w:p w14:paraId="49B66DF7"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6.1. Após o recebimento definitivo realizado pelo gestor do contrato, a Nota Fiscal e os documentos pertinentes serão devidamente encaminhados para o responsável por sua liquidação e posteriormente para o setor responsável pelo pagamento. </w:t>
      </w:r>
    </w:p>
    <w:p w14:paraId="43DC9B0F"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 O pagamento será efetuado pelo setor responsável, até 30 (trinta) dias após a liquidação da Nota Fiscal. </w:t>
      </w:r>
    </w:p>
    <w:p w14:paraId="768D4BF8"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6.2.1. Para execução do pagamento o proponente deverá indicar na Nota Fiscal o número de sua conta, agência bancária, nome do banco e código da operação, bem como o número do pedido de execução encaminhado pelo setor responsável ou o número do empenho. </w:t>
      </w:r>
    </w:p>
    <w:p w14:paraId="477DB5AC"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6.2.2. Será considerada data do pagamento o dia em que constar como emitida a ordem bancária para pagamento. </w:t>
      </w:r>
    </w:p>
    <w:p w14:paraId="30A28E67"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6.2.3. O pagamento será realizado por meio de ordem bancária na conta indicada na Nota Fiscal, em nome do proponente. </w:t>
      </w:r>
    </w:p>
    <w:p w14:paraId="47E7C3F9"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6.3. Poderão ser descontados dos pagamentos devidos os valores para cobrir despesas com multas, indenizações a terceiros ou outras despesas de responsabilidade do proponente. </w:t>
      </w:r>
    </w:p>
    <w:p w14:paraId="7B5733F6"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6.4. O Município de poderá sustar todo e qualquer pagamento do preço ou suas parcelas de qualquer fatura apresentada pelo proponente caso verificadas uma ou mais das hipóteses abaixo e enquanto perdurar o ato ou fato sem direito a qualquer reajustamento complementar ou acréscimo, conforme enunciado: </w:t>
      </w:r>
    </w:p>
    <w:p w14:paraId="24A28F73"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A proponente deixe de acatar quaisquer determinações exaradas pelo órgão fiscalizador do Município; </w:t>
      </w:r>
    </w:p>
    <w:p w14:paraId="63659294"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 Não cumprimento de obrigação assumida, hipótese em que o pagamento ficará retido até que a proponente atenda à cláusula infringida; </w:t>
      </w:r>
    </w:p>
    <w:p w14:paraId="2298F4A4"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A proponente retarde indevidamente a execução do serviço ou paralise os mesmos por prazo que venha a prejudicar as atividades do Município. </w:t>
      </w:r>
    </w:p>
    <w:p w14:paraId="5247486B" w14:textId="60EE09D9"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IV- Débito da proponente para com o Município quer proveniente da execução deste instrumento, quer de obrigações de outros contratos.</w:t>
      </w:r>
    </w:p>
    <w:p w14:paraId="4A848636"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Em qualquer das hipóteses previstas nos parágrafos acima, ou de infração as demais cláusulas e obrigações estabelecidas neste instrumento. </w:t>
      </w:r>
    </w:p>
    <w:p w14:paraId="5FEE4383" w14:textId="77777777" w:rsidR="00916F1A" w:rsidRDefault="00916F1A" w:rsidP="0075029B">
      <w:pPr>
        <w:pStyle w:val="corpo"/>
        <w:spacing w:before="0" w:after="0"/>
        <w:jc w:val="both"/>
        <w:rPr>
          <w:rFonts w:ascii="Bookman Old Style" w:hAnsi="Bookman Old Style" w:cs="Arial"/>
          <w:sz w:val="22"/>
          <w:szCs w:val="22"/>
        </w:rPr>
      </w:pPr>
    </w:p>
    <w:p w14:paraId="2028D424" w14:textId="77777777" w:rsidR="00506DB6" w:rsidRDefault="00506DB6" w:rsidP="0075029B">
      <w:pPr>
        <w:pStyle w:val="corpo"/>
        <w:spacing w:before="0" w:after="0"/>
        <w:jc w:val="both"/>
        <w:rPr>
          <w:rFonts w:ascii="Bookman Old Style" w:hAnsi="Bookman Old Style" w:cs="Arial"/>
          <w:sz w:val="22"/>
          <w:szCs w:val="22"/>
        </w:rPr>
      </w:pPr>
    </w:p>
    <w:p w14:paraId="595F2A90" w14:textId="77777777" w:rsidR="00506DB6" w:rsidRDefault="00506DB6" w:rsidP="0075029B">
      <w:pPr>
        <w:pStyle w:val="corpo"/>
        <w:spacing w:before="0" w:after="0"/>
        <w:jc w:val="both"/>
        <w:rPr>
          <w:rFonts w:ascii="Bookman Old Style" w:hAnsi="Bookman Old Style" w:cs="Arial"/>
          <w:sz w:val="22"/>
          <w:szCs w:val="22"/>
        </w:rPr>
      </w:pPr>
    </w:p>
    <w:p w14:paraId="52A0DC18" w14:textId="77777777" w:rsidR="00916F1A"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SÉTIMA – DO REAJUSTE </w:t>
      </w:r>
    </w:p>
    <w:p w14:paraId="29025723"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7.1. Os preços inicialmente contratados são fixos e irreajustáveis no prazo de um ano contado da data do orçamento estimado, ou seja, até o dia 15/05/2025. </w:t>
      </w:r>
    </w:p>
    <w:p w14:paraId="7616F17C"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7.2.1. Após o interregno de um ano, a pedido do contratado, os preços iniciais serão reajustados, mediante a aplicação do Índice Nacional de Preços ao Consumidor Amplo - IPCA, exclusivamente para as obrigações iniciadas e concluídas após a ocorrência da anualidade. </w:t>
      </w:r>
    </w:p>
    <w:p w14:paraId="1DEB33FF"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7.3. Nos reajustes subsequentes ao primeiro, o interregno mínimo de um ano será contado a partir dos efeitos financeiros do último reajuste. </w:t>
      </w:r>
    </w:p>
    <w:p w14:paraId="3EB1A843"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2B8D2C6"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7.5. Nas aferições finais, o(s) índice(s) utilizado(s) para reajuste será(ão), obrigatoriamente, o(s) definitivo(s). </w:t>
      </w:r>
    </w:p>
    <w:p w14:paraId="198AD7E5"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7.6. Caso o(s) índice(s) estabelecido(s) para reajustamento venha(m) a ser extinto(s) ou de qualquer forma não possa(m) mais ser utilizado(s), será(ão) adotado(s), em substituição, o(s) que vier(em) a ser determinado(s) pela legislação então em vigor. </w:t>
      </w:r>
    </w:p>
    <w:p w14:paraId="6D099ADE"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7.7. Na ausência de previsão legal quanto ao índice substituto, as partes elegerão novo índice oficial, para reajustamento do preço do valor remanescente, por meio de termo aditivo. </w:t>
      </w:r>
    </w:p>
    <w:p w14:paraId="7289985A"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7.8. O reajuste será realizado por apostilamento. </w:t>
      </w:r>
    </w:p>
    <w:p w14:paraId="4D964BF4" w14:textId="77777777" w:rsidR="00916F1A" w:rsidRDefault="00916F1A" w:rsidP="0075029B">
      <w:pPr>
        <w:pStyle w:val="corpo"/>
        <w:spacing w:before="0" w:after="0"/>
        <w:jc w:val="both"/>
        <w:rPr>
          <w:rFonts w:ascii="Bookman Old Style" w:hAnsi="Bookman Old Style" w:cs="Arial"/>
          <w:sz w:val="22"/>
          <w:szCs w:val="22"/>
        </w:rPr>
      </w:pPr>
    </w:p>
    <w:p w14:paraId="19ECB000" w14:textId="77777777" w:rsidR="00916F1A"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OITAVA – DAS OBRIGAÇÕES </w:t>
      </w:r>
    </w:p>
    <w:p w14:paraId="3D7869F0"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8.1. São obrigações do CONTRATANTE: </w:t>
      </w:r>
    </w:p>
    <w:p w14:paraId="38445A38"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 Exigir o cumprimento de todas as obrigações assumidas pelo Contratado, de acordo com o contrato e seus anexos; </w:t>
      </w:r>
    </w:p>
    <w:p w14:paraId="6297D2B1"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II- Receber o objeto no prazo e condições estabelecidas no Termo de Referência; </w:t>
      </w:r>
    </w:p>
    <w:p w14:paraId="03363B32"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III- Notificar o Contratado, por escrito, sobre vícios, defeitos ou incorreções verificadas no objeto fornecido, para que seja por ele substituído, reparado ou corrigido, no total ou em parte, às suas expensas; </w:t>
      </w:r>
    </w:p>
    <w:p w14:paraId="04158E91"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IV- Acompanhar e fiscalizar a execução do contrato e o cumprimento das obrigações pelo Contratado; </w:t>
      </w:r>
    </w:p>
    <w:p w14:paraId="25856881"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 </w:t>
      </w:r>
    </w:p>
    <w:p w14:paraId="43F779D2"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 Efetuar o pagamento ao Contratado do valor correspondente ao fornecimento do objeto, no prazo, forma e condições estabelecidos no presente Contrato; </w:t>
      </w:r>
    </w:p>
    <w:p w14:paraId="640690AC"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 Aplicar ao Contratado as sanções previstas na lei e neste Contrato; </w:t>
      </w:r>
    </w:p>
    <w:p w14:paraId="06BA01EC"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VIII - Cientificar o órgão de assessoramento jurídico para adoção das medidas cabíveis quando do descumprimento de obrigações pelo Contratado; </w:t>
      </w:r>
    </w:p>
    <w:p w14:paraId="76912E07"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IX- Responder eventuais pedidos de reestabelecimento do equilíbrio econômico-financeiro feitos pelo contratado. </w:t>
      </w:r>
    </w:p>
    <w:p w14:paraId="1F57DB9E"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CEA438E"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8.2. São obrigações do CONTRATADO </w:t>
      </w:r>
    </w:p>
    <w:p w14:paraId="49A9B7F8"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 O Contratado deve cumprir todas as obrigações constantes deste Contrato e em seus anexos, assumindo como exclusivamente seus os riscos e as despesas decorrentes da boa e perfeita execução do objeto, observando; </w:t>
      </w:r>
    </w:p>
    <w:p w14:paraId="1711FE02"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II- Responsabilizar-se pelos vícios e danos decorrentes do objeto, de acordo com o Código de Defesa do Consumidor (Lei nº 8.078, de 1990); </w:t>
      </w:r>
    </w:p>
    <w:p w14:paraId="440C8F38"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lastRenderedPageBreak/>
        <w:t xml:space="preserve">III- Comunicar ao contratante, no prazo máximo de 24 (vinte e quatro) horas que antecede a data da para a execução, os motivos que impossibilitem o cumprimento do prazo previsto, com a devida comprovação; </w:t>
      </w:r>
    </w:p>
    <w:p w14:paraId="7C99F350"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IV- Atender às determinações regulares emitidas pelo fiscal ou gestor do contrato ou autoridade superior (art. 137, II, da Lei n.º 14.133, de 2021) e prestar todo esclarecimento ou informação por eles solicitados; </w:t>
      </w:r>
    </w:p>
    <w:p w14:paraId="72A3BA96"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 Reparar, corrigir, remover, reconstruir ou substituir, às suas expensas, no total ou em parte, no prazo fixado pelo fiscal do contrato, os objetos nos quais se verificarem vícios, defeitos ou incorreções resultantes da execução ou dos materiais empregados; </w:t>
      </w:r>
    </w:p>
    <w:p w14:paraId="61C4147B"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0B92661B"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 Manter durante toda a vigência do contrato, em compatibilidade com as obrigações assumidas, todas as condições exigidas para habilitação no procedimento; </w:t>
      </w:r>
    </w:p>
    <w:p w14:paraId="325F9457"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VIII-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078E0C6"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IX- Comunicar ao Fiscal do contrato, no prazo de 24 (vinte e quatro) horas, qualquer ocorrência anormal ou acidente que se verifique no local da execução do objeto contratual. </w:t>
      </w:r>
    </w:p>
    <w:p w14:paraId="65411288" w14:textId="4853DCDA" w:rsidR="002C0DC6"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X- Paralisar, por determinação do contratante, qualquer atividade que não esteja sendo executada de acordo com a boa técnica ou que ponha em risco a segurança de pessoas ou bens de terceiros.</w:t>
      </w:r>
    </w:p>
    <w:p w14:paraId="55CC6BBE"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 </w:t>
      </w:r>
    </w:p>
    <w:p w14:paraId="3BD29AD1"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XII- Comprovar a reserva de cargos a que se refere a cláusula acima, no prazo fixado pelo fiscal do contrato, com a indicação dos empregados que preencheram as referidas vagas, quando cabível (art. 116, parágrafo único, da Lei n.º 14.133, de 2021); </w:t>
      </w:r>
    </w:p>
    <w:p w14:paraId="60829272"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XIII- Guardar sigilo sobre todas as informações obtidas em decorrência do cumprimento do contrato; </w:t>
      </w:r>
    </w:p>
    <w:p w14:paraId="030969E8"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3367CB3D"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 Cumprir, além dos postulados legais vigentes de âmbito federal, estadual ou municipal, as normas de segurança do contratante; </w:t>
      </w:r>
    </w:p>
    <w:p w14:paraId="25443B65"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3E09A94D"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XVII- Orientar e treinar seus empregados sobre os deveres previstos na Lei nº 13.709, de 14 de agosto de 2018, adotando medidas eficazes para proteção de dados pessoais a que tenha acesso por força da execução deste contrato; </w:t>
      </w:r>
    </w:p>
    <w:p w14:paraId="7F42CEAC"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XVIII- Conduzir os trabalhos com estrita observância às normas da legislação pertinente, cumprindo as determinações dos Poderes Públicos, mantendo sempre limpo o local de execução do objeto e nas melhores condições de segurança, higiene e disciplina. </w:t>
      </w:r>
    </w:p>
    <w:p w14:paraId="2830C8DD"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XIX - Submeter previamente, por escrito, ao contratante, para análise e aprovação, quaisquer mudanças nos métodos executivos que fujam às especificações do memorial descritivo ou instrumento congênere. </w:t>
      </w:r>
    </w:p>
    <w:p w14:paraId="13B58966" w14:textId="3409D23D"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lastRenderedPageBreak/>
        <w:t>XX - Não permitir a utilização de qualquer trabalho do menor de dezesseis anos, exceto na condição de aprendiz para os maiores de quatorze anos, nem permitir a utilização do trabalho do menor de dezoito anos em trabalho noturno, perigoso ou insalubre.</w:t>
      </w:r>
      <w:r w:rsidR="003575D6">
        <w:rPr>
          <w:rFonts w:ascii="Bookman Old Style" w:hAnsi="Bookman Old Style" w:cs="Arial"/>
          <w:sz w:val="22"/>
          <w:szCs w:val="22"/>
        </w:rPr>
        <w:br/>
        <w:t>XXI- Se responsabilizar pela instalação “in loco’’ e demais despesas na entrega e execução do objeto.</w:t>
      </w:r>
    </w:p>
    <w:p w14:paraId="55F366F4" w14:textId="77777777" w:rsidR="00916F1A" w:rsidRDefault="00916F1A" w:rsidP="0075029B">
      <w:pPr>
        <w:pStyle w:val="corpo"/>
        <w:spacing w:before="0" w:after="0"/>
        <w:jc w:val="both"/>
        <w:rPr>
          <w:rFonts w:ascii="Bookman Old Style" w:hAnsi="Bookman Old Style" w:cs="Arial"/>
          <w:sz w:val="22"/>
          <w:szCs w:val="22"/>
        </w:rPr>
      </w:pPr>
    </w:p>
    <w:p w14:paraId="75C171E2"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NONA – INFRAÇÕES E SANÇÕES ADMINISTRATIVAS </w:t>
      </w:r>
    </w:p>
    <w:p w14:paraId="033F8E3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 Comete infração administrativa, nos termos da lei, o proponente que, com dolo ou culpa: </w:t>
      </w:r>
    </w:p>
    <w:p w14:paraId="04E3F36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dar causa à inexecução parcial do contrato; </w:t>
      </w:r>
    </w:p>
    <w:p w14:paraId="3B14D5B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dar causa à inexecução parcial do contrato que cause grave dano à Administração, ao funcionamento dos serviços públicos ou ao interesse coletivo; </w:t>
      </w:r>
    </w:p>
    <w:p w14:paraId="0CE1022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 dar causa à inexecução total do contrato; </w:t>
      </w:r>
    </w:p>
    <w:p w14:paraId="4E17E59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 deixar de entregar a documentação exigida para o certame; </w:t>
      </w:r>
    </w:p>
    <w:p w14:paraId="0C70DC67" w14:textId="05D0C295" w:rsidR="002C0DC6"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V - não manter a proposta, salvo em decorrência de fato superveniente devidamente justificado;</w:t>
      </w:r>
    </w:p>
    <w:p w14:paraId="4B2FC7F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 - não celebrar o contrato ou não entregar a documentação exigida para a contratação, quando convocado dentro do prazo de validade de sua proposta; </w:t>
      </w:r>
    </w:p>
    <w:p w14:paraId="481E056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 - ensejar o retardamento da execução ou da entrega do objeto do instrumento sem motivo justificado; </w:t>
      </w:r>
    </w:p>
    <w:p w14:paraId="4557F48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VIII - apresentar declaração ou documentação falsa exigida para o certame ou prestar declaração falsa durante o procedimento ou a execução do contrato; </w:t>
      </w:r>
    </w:p>
    <w:p w14:paraId="75706EB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IX - fraudar o procedimento ou praticar ato fraudulento na execução do contrato; </w:t>
      </w:r>
    </w:p>
    <w:p w14:paraId="24D56DD0"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X - comportar-se de modo inidôneo ou cometer fraude de qualquer natureza; </w:t>
      </w:r>
    </w:p>
    <w:p w14:paraId="4D4667C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XI – praticar atos ilícitos com vistas a frustrar os objetivos do procedimento; </w:t>
      </w:r>
    </w:p>
    <w:p w14:paraId="2A33263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XII - praticar ato lesivo previsto no art. 5º da Lei nº 12.846, de 1º de agosto de 2013. </w:t>
      </w:r>
    </w:p>
    <w:p w14:paraId="66C39123" w14:textId="77777777" w:rsidR="00916F1A" w:rsidRDefault="00916F1A" w:rsidP="0075029B">
      <w:pPr>
        <w:pStyle w:val="corpo"/>
        <w:spacing w:before="0" w:after="0"/>
        <w:jc w:val="both"/>
        <w:rPr>
          <w:rFonts w:ascii="Bookman Old Style" w:hAnsi="Bookman Old Style" w:cs="Arial"/>
          <w:sz w:val="22"/>
          <w:szCs w:val="22"/>
        </w:rPr>
      </w:pPr>
    </w:p>
    <w:p w14:paraId="77A3E31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 Com fulcro na Lei nº 14.133, de 2021, a Administração poderá, garantida a prévia defesa, aplicar aos proponentes e/ou adjudicatários as seguintes sanções, sem prejuízo das responsabilidades civil e criminal: </w:t>
      </w:r>
    </w:p>
    <w:p w14:paraId="1195784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advertência; </w:t>
      </w:r>
    </w:p>
    <w:p w14:paraId="2DD0310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multa; </w:t>
      </w:r>
    </w:p>
    <w:p w14:paraId="240A6FF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impedimento de licitar e contratar e </w:t>
      </w:r>
    </w:p>
    <w:p w14:paraId="3A117F1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declaração de inidoneidade para licitar ou contratar, enquanto perdurarem os motivos determinantes da punição ou até que seja promovida sua reabilitação perante a própria autoridade que aplicou a penalidade. </w:t>
      </w:r>
    </w:p>
    <w:p w14:paraId="06AC188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9.2.1. As sanções previstas nos incisos I, III e IV poderão ser aplicadas cumulativamente com a prevista no inciso II. </w:t>
      </w:r>
    </w:p>
    <w:p w14:paraId="6798D43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9.2.2. Se a multa aplicada e as indenizações cabíveis forem superiores ao valor de pagamento eventualmente devido pela Administração ao contratado, além da perda desse valor, a diferença será descontada da garantia prestada ou será cobrada judicialmente. </w:t>
      </w:r>
    </w:p>
    <w:p w14:paraId="0BA57E2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9.2.3. A aplicação das sanções não exclui, em hipótese alguma, a obrigação de reparação integral do dano causado à Administração Pública. </w:t>
      </w:r>
    </w:p>
    <w:p w14:paraId="1F7E587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9.2.4. Na aplicação da sanção prevista no inciso II, será facultada a defesa do interessado no prazo de 15 (quinze) dias úteis, contado da data de sua intimação. </w:t>
      </w:r>
    </w:p>
    <w:p w14:paraId="3B99BF9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9.2.5. A aplicação das sanções previstas nos incisos III e IV requererá a instauração de processo de responsabilização, a ser conduzido por comissão composta de 02 (dois) ou mais servidores estáveis, que avaliará fatos e circunstancias conhecidos e intimará o proponente ou o contratado para, no prazo de 15 (quinze) dias úteis, contado da data de intimação, apresentar defesa escrita e especificar as provas que pretenda produzir. </w:t>
      </w:r>
    </w:p>
    <w:p w14:paraId="07034AC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9.2.5.1. Na hipótese de deferimento de pedido de produção de novas provas ou de juntada de provas julgadas indispensáveis pela comissão, o proponente ou o contratado poderá apresentar alegações finais no prazo de 15 (quinze) dias úteis, contado da data da intimação. 9.2.5.2. Serão indeferidas pela comissão, mediante decisão fundamentada, provas ilícitas, impertinentes, desnecessárias, protelatórias ou intempestivas. </w:t>
      </w:r>
    </w:p>
    <w:p w14:paraId="34C57BFC" w14:textId="2457BD75"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lastRenderedPageBreak/>
        <w:t>9.3. Na aplicação das sanções serão considerados:</w:t>
      </w:r>
    </w:p>
    <w:p w14:paraId="5C614EF5"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a natureza e a gravidade da infração cometida. </w:t>
      </w:r>
    </w:p>
    <w:p w14:paraId="6CC66D6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as peculiaridades do caso concreto </w:t>
      </w:r>
    </w:p>
    <w:p w14:paraId="468A9A6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as circunstâncias agravantes ou atenuantes </w:t>
      </w:r>
    </w:p>
    <w:p w14:paraId="5173A67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os danos que dela provierem para a Administração Pública </w:t>
      </w:r>
    </w:p>
    <w:p w14:paraId="4D0D1BD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 a implantação ou o aperfeiçoamento de programa de integridade, conforme normas e orientações dos órgãos de controle. </w:t>
      </w:r>
    </w:p>
    <w:p w14:paraId="2C66EBA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9.4. A sanção administrativa de advertência, inciso I do item 10.2, será aplicada exclusivamente pela infração que der causa à inexecução parcial do contrato, inciso I do item 10.1, quando não se justificar imposição de penalidade mais grave. </w:t>
      </w:r>
    </w:p>
    <w:p w14:paraId="0D818BA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9.5. A sanção administrativa de multa, inciso II do item 10.2., será aplicada, ao responsável por qualquer das infrações previstas no item 10.1. deste instrumento, não podendo ser inferior a 0,5% (cinco décimos por cento) nem superior a 30% (trinta por cento) do valor do contrato. </w:t>
      </w:r>
    </w:p>
    <w:p w14:paraId="2E21352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9.5.1. A multa será calculada pelo gestor do contrato que deverá observar para sua aplicação o disposto no item 10.3. </w:t>
      </w:r>
    </w:p>
    <w:p w14:paraId="08E8AD2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9.6. A sanção prevista no inciso III do item 10.2,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 </w:t>
      </w:r>
    </w:p>
    <w:p w14:paraId="68ECE73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9.7. 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 </w:t>
      </w:r>
    </w:p>
    <w:p w14:paraId="308D74D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9.7.1. A sanção administrativa prevista no inciso IV do item 10.2 será precedida de análise jurídica e será de competência exclusiva do secretário municipal responsável. </w:t>
      </w:r>
    </w:p>
    <w:p w14:paraId="4DF3ED0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9.8.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682F7F7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9.9.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w:t>
      </w:r>
      <w:r>
        <w:rPr>
          <w:rFonts w:ascii="Bookman Old Style" w:hAnsi="Bookman Old Style" w:cs="Arial"/>
          <w:sz w:val="22"/>
          <w:szCs w:val="22"/>
        </w:rPr>
        <w:t xml:space="preserve"> </w:t>
      </w:r>
      <w:r w:rsidRPr="00916F1A">
        <w:rPr>
          <w:rFonts w:ascii="Bookman Old Style" w:hAnsi="Bookman Old Style" w:cs="Arial"/>
          <w:sz w:val="22"/>
          <w:szCs w:val="22"/>
        </w:rPr>
        <w:t xml:space="preserve">(cinco) dias úteis, encaminhará o recurso com sua motivação à autoridade superior, que deverá proferir sua decisão no prazo máximo de 20 (vinte) dias úteis, contado do recebimento dos autos. </w:t>
      </w:r>
    </w:p>
    <w:p w14:paraId="089495B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9.10.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1A922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9.11. O recurso e o pedido de reconsideração terão efeito suspensivo do ato ou da decisão recorrida até que sobrevenha decisão final da autoridade competente. </w:t>
      </w:r>
    </w:p>
    <w:p w14:paraId="36DB649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9.14. 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 </w:t>
      </w:r>
    </w:p>
    <w:p w14:paraId="76AEC8D5"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9.15. Todas as intimações serão realizadas através do endereço de e-mail informado pelo proponente em seu cadastro, não será aceita, em nenhuma hipótese, a justificativa do não recebimento das intimações realizadas através deste canal. </w:t>
      </w:r>
    </w:p>
    <w:p w14:paraId="129ED67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9.15.1. Caso o proponente não confirme o recebimento das intimações no prazo de até 48 (quarenta e oito) horas, a administração o convocará por publicação no Diário Oficial adotado pelo órgão. </w:t>
      </w:r>
    </w:p>
    <w:p w14:paraId="0EEEC835"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9.16. Além das sanções previstas no item 9.2, o proponente estará sujeito a multa de mora pelo atraso injustificado na execução do contrato. </w:t>
      </w:r>
    </w:p>
    <w:p w14:paraId="3DD5AB9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9.16.1. 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 </w:t>
      </w:r>
    </w:p>
    <w:p w14:paraId="184C3FD4"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Caso a justificativa para o atraso na execução seja acatada pela administração, esta deverá disponibilizar prazo exíguo para o saneamento e regularização da execução; </w:t>
      </w:r>
    </w:p>
    <w:p w14:paraId="7321865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 </w:t>
      </w:r>
    </w:p>
    <w:p w14:paraId="54AF0F0D"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9.16.2. Será utilizado como parâmetro de cálculo o valor das respectivas parcelas em atraso. </w:t>
      </w:r>
    </w:p>
    <w:p w14:paraId="1194C35B" w14:textId="77777777" w:rsidR="00916F1A" w:rsidRDefault="00916F1A" w:rsidP="0075029B">
      <w:pPr>
        <w:pStyle w:val="corpo"/>
        <w:spacing w:before="0" w:after="0"/>
        <w:jc w:val="both"/>
        <w:rPr>
          <w:rFonts w:ascii="Bookman Old Style" w:hAnsi="Bookman Old Style" w:cs="Arial"/>
          <w:sz w:val="22"/>
          <w:szCs w:val="22"/>
        </w:rPr>
      </w:pPr>
    </w:p>
    <w:p w14:paraId="1317231F"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 DA EXTINÇÃO CONTRATUAL </w:t>
      </w:r>
    </w:p>
    <w:p w14:paraId="173252AF" w14:textId="79AB246A"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10.1. Constituirão motivos para extinção do contrato, a qual deverá ser formalmente motivada nos autos do processo, assegurados o contraditório e a ampla defesa, as seguintes situações:</w:t>
      </w:r>
    </w:p>
    <w:p w14:paraId="2D5FA90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não cumprimento ou cumprimento irregular de normas editalícias ou de cláusulas contratuais, de especificações, de projetos ou de prazos; </w:t>
      </w:r>
    </w:p>
    <w:p w14:paraId="658ECF1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desatendimento das determinações regulares emitidas pela autoridade designada para acompanhar e fiscalizar sua execução ou por autoridade superior; </w:t>
      </w:r>
    </w:p>
    <w:p w14:paraId="02B27A4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 alteração social ou modificação da finalidade ou da estrutura da empresa que restrinja sua capacidade de concluir o contrato; </w:t>
      </w:r>
    </w:p>
    <w:p w14:paraId="7EEFC48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 decretação de falência ou de insolvência civil, dissolução da sociedade ou falecimento do contratado; </w:t>
      </w:r>
    </w:p>
    <w:p w14:paraId="75437B8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 - caso fortuito ou força maior, regularmente comprovados, impeditivos da execução do contrato; </w:t>
      </w:r>
    </w:p>
    <w:p w14:paraId="1F64990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 - razões de interesse público, justificadas pela autoridade máxima do órgão ou da entidade contratante; </w:t>
      </w:r>
    </w:p>
    <w:p w14:paraId="06AC49F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 - não cumprimento das obrigações relativas à reserva de cargos prevista em lei, bem como em outras normas específicas, para pessoa com deficiência, para reabilitado da Previdência Social ou para aprendiz. </w:t>
      </w:r>
    </w:p>
    <w:p w14:paraId="1E1A3AF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VIII – atraso injustificado na execução do objeto, após esgotadas as medidas cabíveis estabelecidas no item 9.16.; </w:t>
      </w:r>
    </w:p>
    <w:p w14:paraId="4E5CF13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 O termo de rescisão, sempre que possível, será precedido: </w:t>
      </w:r>
    </w:p>
    <w:p w14:paraId="266E35A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10.2.1. Balanço dos eventos contratuais já cumpridos ou parcialmente cumpridos; </w:t>
      </w:r>
    </w:p>
    <w:p w14:paraId="35A1589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10.2.2. Relação dos pagamentos já efetuados e ainda devidos; </w:t>
      </w:r>
    </w:p>
    <w:p w14:paraId="38EAA48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10.2.3. Indenizações e multas. </w:t>
      </w:r>
    </w:p>
    <w:p w14:paraId="362223F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10.3. A extinção do contrato não configura óbice para o reconhecimento do desequilíbrio econômico-financeiro, hipótese em que será concedida indenização por meio de termo indenizatório (art. 131, caput, da Lei n.º 14.133, de 2021). </w:t>
      </w:r>
    </w:p>
    <w:p w14:paraId="4FD05E63" w14:textId="77777777" w:rsidR="00916F1A" w:rsidRDefault="00916F1A" w:rsidP="0075029B">
      <w:pPr>
        <w:pStyle w:val="corpo"/>
        <w:spacing w:before="0" w:after="0"/>
        <w:jc w:val="both"/>
        <w:rPr>
          <w:rFonts w:ascii="Bookman Old Style" w:hAnsi="Bookman Old Style" w:cs="Arial"/>
          <w:sz w:val="22"/>
          <w:szCs w:val="22"/>
        </w:rPr>
      </w:pPr>
    </w:p>
    <w:p w14:paraId="07C1EB76"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PRIMEIRA – DA INDICAÇÃO ORÇAMENTÁRIA </w:t>
      </w:r>
    </w:p>
    <w:p w14:paraId="41945A6A" w14:textId="77777777" w:rsidR="00062C1D"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11.1. As despesas decorrentes desta contratação correrão conta da seguinte dotação orçamentária: </w:t>
      </w:r>
      <w:r w:rsidR="00062C1D" w:rsidRPr="00062C1D">
        <w:rPr>
          <w:rFonts w:ascii="Bookman Old Style" w:hAnsi="Bookman Old Style" w:cs="Arial"/>
          <w:sz w:val="22"/>
          <w:szCs w:val="22"/>
        </w:rPr>
        <w:t xml:space="preserve">10305058462266 - 44905200 – 27060003110 – Ficha – 0001196- conta 32512-0 EC 105/19 </w:t>
      </w:r>
    </w:p>
    <w:p w14:paraId="4047B4AD" w14:textId="2F5A9860"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SEGUNDA – DOS CASOS OMISSOS </w:t>
      </w:r>
    </w:p>
    <w:p w14:paraId="6F838014"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12.1. Os casos omissos serão decididos pelo CONTRATANTE, segundo as disposições contidas na Lei Federal nº 14.133/21 e demais atos normativos pertinentes e, subsidiariamente, segundo as disposições contidas no Código de Defesa do Consumidor, além das normas e princípios gerais dos contratos. </w:t>
      </w:r>
    </w:p>
    <w:p w14:paraId="7231DFA7" w14:textId="77777777" w:rsidR="00916F1A" w:rsidRDefault="00916F1A" w:rsidP="0075029B">
      <w:pPr>
        <w:pStyle w:val="corpo"/>
        <w:spacing w:before="0" w:after="0"/>
        <w:jc w:val="both"/>
        <w:rPr>
          <w:rFonts w:ascii="Bookman Old Style" w:hAnsi="Bookman Old Style" w:cs="Arial"/>
          <w:sz w:val="22"/>
          <w:szCs w:val="22"/>
        </w:rPr>
      </w:pPr>
    </w:p>
    <w:p w14:paraId="009AB8C7" w14:textId="22D5768E"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CLÁUSULA DÉCIMA TERCEIRA – DAS ALTERAÇÕES</w:t>
      </w:r>
    </w:p>
    <w:p w14:paraId="01F69607"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13.1. Este contrato poderá ser alterado conforme disposições contidas no Art. 124 da Lei Federal nº 14.133/21. </w:t>
      </w:r>
    </w:p>
    <w:p w14:paraId="270D5147" w14:textId="77777777" w:rsidR="00916F1A" w:rsidRDefault="00916F1A" w:rsidP="0075029B">
      <w:pPr>
        <w:pStyle w:val="corpo"/>
        <w:spacing w:before="0" w:after="0"/>
        <w:jc w:val="both"/>
        <w:rPr>
          <w:rFonts w:ascii="Bookman Old Style" w:hAnsi="Bookman Old Style" w:cs="Arial"/>
          <w:sz w:val="22"/>
          <w:szCs w:val="22"/>
        </w:rPr>
      </w:pPr>
      <w:r>
        <w:rPr>
          <w:rFonts w:ascii="Bookman Old Style" w:hAnsi="Bookman Old Style" w:cs="Arial"/>
          <w:sz w:val="22"/>
          <w:szCs w:val="22"/>
        </w:rPr>
        <w:t>1</w:t>
      </w:r>
      <w:r w:rsidRPr="00916F1A">
        <w:rPr>
          <w:rFonts w:ascii="Bookman Old Style" w:hAnsi="Bookman Old Style" w:cs="Arial"/>
          <w:sz w:val="22"/>
          <w:szCs w:val="22"/>
        </w:rPr>
        <w:t xml:space="preserve">3.2. O CONTRATADO se obriga a aceitar, nas mesmas condições contratuais, os acréscimos ou supressões que se fizerem necessários, nos limites estabelecidos pela Lei Federal nº14.133/21. </w:t>
      </w:r>
    </w:p>
    <w:p w14:paraId="5C353DC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13.3.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67518BB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13.4. Registros que não caracterizam alteração do contrato podem ser realizados por simples apostila, dispensada a celebração de termo aditivo, como nas seguintes situações: </w:t>
      </w:r>
    </w:p>
    <w:p w14:paraId="5D9AA7C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variação do valor contratual para fazer face ao reajuste ou à repactuação de preços previstos no próprio contrato; </w:t>
      </w:r>
    </w:p>
    <w:p w14:paraId="1DE7D0E4"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atualizações, compensações ou penalizações financeiras decorrentes das condições de pagamento previstas no contrato; </w:t>
      </w:r>
    </w:p>
    <w:p w14:paraId="42A7D55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 alterações na razão ou na denominação social do contratado; </w:t>
      </w:r>
    </w:p>
    <w:p w14:paraId="00E3497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 empenho de dotações orçamentárias. </w:t>
      </w:r>
    </w:p>
    <w:p w14:paraId="79B66624" w14:textId="77777777" w:rsidR="00916F1A" w:rsidRDefault="00916F1A" w:rsidP="0075029B">
      <w:pPr>
        <w:pStyle w:val="corpo"/>
        <w:spacing w:before="0" w:after="0"/>
        <w:jc w:val="both"/>
        <w:rPr>
          <w:rFonts w:ascii="Bookman Old Style" w:hAnsi="Bookman Old Style" w:cs="Arial"/>
          <w:sz w:val="22"/>
          <w:szCs w:val="22"/>
        </w:rPr>
      </w:pPr>
    </w:p>
    <w:p w14:paraId="657962C2"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QUARTA – DA PUBLICAÇÃO </w:t>
      </w:r>
    </w:p>
    <w:p w14:paraId="504130D8" w14:textId="77777777" w:rsidR="00223245"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14.1. Este contrato e os eventuais termos aditivos decorrentes, deverão ser divulgados no Portal Nacional de Contratações Públicas – PNCP, como condição indispensável para sua eficácia no prazo máximo de 10 (dez) dias úteis contados da data de sua assinatura. </w:t>
      </w:r>
    </w:p>
    <w:p w14:paraId="25188900" w14:textId="77777777" w:rsidR="00223245" w:rsidRDefault="00223245" w:rsidP="0075029B">
      <w:pPr>
        <w:pStyle w:val="corpo"/>
        <w:spacing w:before="0" w:after="0"/>
        <w:jc w:val="both"/>
        <w:rPr>
          <w:rFonts w:ascii="Bookman Old Style" w:hAnsi="Bookman Old Style" w:cs="Arial"/>
          <w:sz w:val="22"/>
          <w:szCs w:val="22"/>
        </w:rPr>
      </w:pPr>
    </w:p>
    <w:p w14:paraId="394C99BF" w14:textId="77777777" w:rsidR="00223245"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QUINTA - DO FORO </w:t>
      </w:r>
    </w:p>
    <w:p w14:paraId="7E5E011A" w14:textId="3718E5AB"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15.1. As questões decorrentes da execução deste instrumento, que não possam ser dirimidas administrativamente, serão processadas e julgadas na Justiça Estadual, no foro da comarca de </w:t>
      </w:r>
      <w:r w:rsidR="00551AD5">
        <w:rPr>
          <w:rFonts w:ascii="Bookman Old Style" w:hAnsi="Bookman Old Style" w:cs="Arial"/>
          <w:sz w:val="22"/>
          <w:szCs w:val="22"/>
        </w:rPr>
        <w:t>Ipanema</w:t>
      </w:r>
      <w:r w:rsidRPr="00916F1A">
        <w:rPr>
          <w:rFonts w:ascii="Bookman Old Style" w:hAnsi="Bookman Old Style" w:cs="Arial"/>
          <w:sz w:val="22"/>
          <w:szCs w:val="22"/>
        </w:rPr>
        <w:t>-MG com exclusão de qualquer outro por mais privilegiado que seja.</w:t>
      </w:r>
    </w:p>
    <w:p w14:paraId="775D30F6" w14:textId="77777777" w:rsidR="00916F1A" w:rsidRDefault="00916F1A" w:rsidP="0075029B">
      <w:pPr>
        <w:pStyle w:val="corpo"/>
        <w:spacing w:before="0" w:after="0"/>
        <w:jc w:val="both"/>
        <w:rPr>
          <w:rFonts w:ascii="Bookman Old Style" w:hAnsi="Bookman Old Style" w:cs="Arial"/>
          <w:sz w:val="22"/>
          <w:szCs w:val="22"/>
        </w:rPr>
      </w:pPr>
    </w:p>
    <w:p w14:paraId="4AAF5C6B" w14:textId="77777777" w:rsidR="00916F1A" w:rsidRPr="00A8292E" w:rsidRDefault="00916F1A" w:rsidP="0075029B">
      <w:pPr>
        <w:pStyle w:val="corpo"/>
        <w:spacing w:before="0" w:after="0"/>
        <w:jc w:val="both"/>
        <w:rPr>
          <w:rFonts w:ascii="Bookman Old Style" w:hAnsi="Bookman Old Style" w:cs="Arial"/>
          <w:sz w:val="22"/>
          <w:szCs w:val="22"/>
        </w:rPr>
      </w:pPr>
    </w:p>
    <w:p w14:paraId="13C54907" w14:textId="6B63B0AC" w:rsidR="0075029B" w:rsidRPr="00A8292E" w:rsidRDefault="003615E3" w:rsidP="003615E3">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r w:rsidR="00FB7279">
        <w:rPr>
          <w:rFonts w:ascii="Bookman Old Style" w:hAnsi="Bookman Old Style" w:cs="Arial"/>
          <w:sz w:val="22"/>
          <w:szCs w:val="22"/>
        </w:rPr>
        <w:t>...</w:t>
      </w:r>
      <w:r w:rsidRPr="00A8292E">
        <w:rPr>
          <w:rFonts w:ascii="Bookman Old Style" w:hAnsi="Bookman Old Style" w:cs="Arial"/>
          <w:sz w:val="22"/>
          <w:szCs w:val="22"/>
        </w:rPr>
        <w:t xml:space="preserve"> de </w:t>
      </w:r>
      <w:r w:rsidR="00FB7279">
        <w:rPr>
          <w:rFonts w:ascii="Bookman Old Style" w:hAnsi="Bookman Old Style" w:cs="Arial"/>
          <w:sz w:val="22"/>
          <w:szCs w:val="22"/>
        </w:rPr>
        <w:t>...</w:t>
      </w:r>
      <w:r w:rsidRPr="00A8292E">
        <w:rPr>
          <w:rFonts w:ascii="Bookman Old Style" w:hAnsi="Bookman Old Style" w:cs="Arial"/>
          <w:sz w:val="22"/>
          <w:szCs w:val="22"/>
        </w:rPr>
        <w:t xml:space="preserve"> de 2024.</w:t>
      </w:r>
    </w:p>
    <w:p w14:paraId="6B2C4F2F" w14:textId="77777777" w:rsidR="003615E3" w:rsidRPr="00A8292E" w:rsidRDefault="003615E3" w:rsidP="003615E3">
      <w:pPr>
        <w:pStyle w:val="corpo"/>
        <w:spacing w:before="0" w:after="0"/>
        <w:jc w:val="right"/>
        <w:rPr>
          <w:rFonts w:ascii="Bookman Old Style" w:hAnsi="Bookman Old Style" w:cs="Arial"/>
          <w:sz w:val="22"/>
          <w:szCs w:val="22"/>
        </w:rPr>
      </w:pPr>
    </w:p>
    <w:p w14:paraId="1DE6B6C9" w14:textId="326F3CE2" w:rsidR="003615E3" w:rsidRPr="00A8292E" w:rsidRDefault="003615E3" w:rsidP="003615E3">
      <w:pPr>
        <w:pStyle w:val="corpo"/>
        <w:spacing w:before="0" w:after="0"/>
        <w:jc w:val="right"/>
        <w:rPr>
          <w:rFonts w:ascii="Bookman Old Style" w:hAnsi="Bookman Old Style" w:cs="Arial"/>
          <w:sz w:val="22"/>
          <w:szCs w:val="22"/>
        </w:rPr>
      </w:pPr>
    </w:p>
    <w:p w14:paraId="707F7926" w14:textId="09D22736" w:rsidR="003615E3" w:rsidRPr="00A8292E" w:rsidRDefault="003615E3" w:rsidP="003615E3">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___________________________________________</w:t>
      </w:r>
      <w:r w:rsidRPr="00A8292E">
        <w:rPr>
          <w:rFonts w:ascii="Bookman Old Style" w:hAnsi="Bookman Old Style" w:cs="Arial"/>
          <w:sz w:val="22"/>
          <w:szCs w:val="22"/>
        </w:rPr>
        <w:br/>
        <w:t>Contratante</w:t>
      </w:r>
      <w:r w:rsidRPr="00A8292E">
        <w:rPr>
          <w:rFonts w:ascii="Bookman Old Style" w:hAnsi="Bookman Old Style" w:cs="Arial"/>
          <w:sz w:val="22"/>
          <w:szCs w:val="22"/>
        </w:rPr>
        <w:br/>
        <w:t>Representante Legal</w:t>
      </w:r>
    </w:p>
    <w:p w14:paraId="655798D8" w14:textId="77777777" w:rsidR="003615E3" w:rsidRPr="00A8292E" w:rsidRDefault="003615E3" w:rsidP="003615E3">
      <w:pPr>
        <w:pStyle w:val="corpo"/>
        <w:spacing w:before="0" w:after="0"/>
        <w:jc w:val="center"/>
        <w:rPr>
          <w:rFonts w:ascii="Bookman Old Style" w:hAnsi="Bookman Old Style" w:cs="Arial"/>
          <w:sz w:val="22"/>
          <w:szCs w:val="22"/>
        </w:rPr>
      </w:pPr>
    </w:p>
    <w:p w14:paraId="698DE570" w14:textId="77777777" w:rsidR="003615E3" w:rsidRPr="00A8292E" w:rsidRDefault="003615E3" w:rsidP="003615E3">
      <w:pPr>
        <w:pStyle w:val="corpo"/>
        <w:spacing w:before="0" w:after="0"/>
        <w:jc w:val="center"/>
        <w:rPr>
          <w:rFonts w:ascii="Bookman Old Style" w:hAnsi="Bookman Old Style" w:cs="Arial"/>
          <w:sz w:val="22"/>
          <w:szCs w:val="22"/>
        </w:rPr>
      </w:pPr>
    </w:p>
    <w:p w14:paraId="03A7F5FF" w14:textId="77777777" w:rsidR="003615E3" w:rsidRPr="00A8292E" w:rsidRDefault="003615E3" w:rsidP="003615E3">
      <w:pPr>
        <w:pStyle w:val="corpo"/>
        <w:spacing w:before="0" w:after="0"/>
        <w:jc w:val="center"/>
        <w:rPr>
          <w:rFonts w:ascii="Bookman Old Style" w:hAnsi="Bookman Old Style" w:cs="Arial"/>
          <w:sz w:val="22"/>
          <w:szCs w:val="22"/>
        </w:rPr>
      </w:pPr>
    </w:p>
    <w:p w14:paraId="7738AC3F" w14:textId="7D34B197" w:rsidR="003615E3" w:rsidRPr="00A8292E" w:rsidRDefault="003615E3" w:rsidP="003615E3">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___________________________________________</w:t>
      </w:r>
      <w:r w:rsidRPr="00A8292E">
        <w:rPr>
          <w:rFonts w:ascii="Bookman Old Style" w:hAnsi="Bookman Old Style" w:cs="Arial"/>
          <w:sz w:val="22"/>
          <w:szCs w:val="22"/>
        </w:rPr>
        <w:br/>
        <w:t>Contratado</w:t>
      </w:r>
      <w:r w:rsidRPr="00A8292E">
        <w:rPr>
          <w:rFonts w:ascii="Bookman Old Style" w:hAnsi="Bookman Old Style" w:cs="Arial"/>
          <w:sz w:val="22"/>
          <w:szCs w:val="22"/>
        </w:rPr>
        <w:br/>
        <w:t>Representante Legal</w:t>
      </w:r>
    </w:p>
    <w:p w14:paraId="5D94F839" w14:textId="77777777" w:rsidR="003615E3" w:rsidRPr="00A8292E" w:rsidRDefault="003615E3" w:rsidP="003615E3">
      <w:pPr>
        <w:pStyle w:val="corpo"/>
        <w:spacing w:before="0" w:after="0"/>
        <w:jc w:val="center"/>
        <w:rPr>
          <w:rFonts w:ascii="Bookman Old Style" w:hAnsi="Bookman Old Style" w:cs="Arial"/>
          <w:sz w:val="22"/>
          <w:szCs w:val="22"/>
        </w:rPr>
      </w:pPr>
    </w:p>
    <w:p w14:paraId="1F1AF283" w14:textId="239425F3"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Testemunhas:</w:t>
      </w:r>
    </w:p>
    <w:p w14:paraId="67D64EA6" w14:textId="77777777" w:rsidR="003615E3" w:rsidRPr="00A8292E" w:rsidRDefault="003615E3" w:rsidP="003615E3">
      <w:pPr>
        <w:pStyle w:val="corpo"/>
        <w:spacing w:before="0" w:after="0"/>
        <w:rPr>
          <w:rFonts w:ascii="Bookman Old Style" w:hAnsi="Bookman Old Style" w:cs="Arial"/>
          <w:sz w:val="22"/>
          <w:szCs w:val="22"/>
        </w:rPr>
      </w:pPr>
    </w:p>
    <w:p w14:paraId="33A5E91C" w14:textId="021AF2A3"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_________________________________________________</w:t>
      </w:r>
      <w:r w:rsidRPr="00A8292E">
        <w:rPr>
          <w:rFonts w:ascii="Bookman Old Style" w:hAnsi="Bookman Old Style" w:cs="Arial"/>
          <w:sz w:val="22"/>
          <w:szCs w:val="22"/>
        </w:rPr>
        <w:br/>
        <w:t>CPF</w:t>
      </w:r>
    </w:p>
    <w:p w14:paraId="4BBD9C05" w14:textId="6A7DB376"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_________________________________________________</w:t>
      </w:r>
      <w:r w:rsidRPr="00A8292E">
        <w:rPr>
          <w:rFonts w:ascii="Bookman Old Style" w:hAnsi="Bookman Old Style" w:cs="Arial"/>
          <w:sz w:val="22"/>
          <w:szCs w:val="22"/>
        </w:rPr>
        <w:br/>
        <w:t>CPF</w:t>
      </w:r>
    </w:p>
    <w:sectPr w:rsidR="003615E3" w:rsidRPr="00A8292E" w:rsidSect="00BD145F">
      <w:headerReference w:type="default" r:id="rId12"/>
      <w:footerReference w:type="even" r:id="rId13"/>
      <w:footerReference w:type="default" r:id="rId14"/>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DBC78" w14:textId="77777777" w:rsidR="00CD59CA" w:rsidRDefault="00CD59CA">
      <w:r>
        <w:separator/>
      </w:r>
    </w:p>
  </w:endnote>
  <w:endnote w:type="continuationSeparator" w:id="0">
    <w:p w14:paraId="77D1FBDB" w14:textId="77777777" w:rsidR="00CD59CA" w:rsidRDefault="00CD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D1C3F" w14:textId="77777777" w:rsidR="00916F1A" w:rsidRDefault="00916F1A"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916F1A" w:rsidRDefault="00916F1A"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5379" w14:textId="77777777" w:rsidR="00916F1A" w:rsidRDefault="00916F1A"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24C7">
      <w:rPr>
        <w:rStyle w:val="Nmerodepgina"/>
        <w:noProof/>
      </w:rPr>
      <w:t>24</w:t>
    </w:r>
    <w:r>
      <w:rPr>
        <w:rStyle w:val="Nmerodepgina"/>
      </w:rPr>
      <w:fldChar w:fldCharType="end"/>
    </w:r>
  </w:p>
  <w:p w14:paraId="6F58F71C" w14:textId="77777777" w:rsidR="00916F1A" w:rsidRDefault="00916F1A">
    <w:pPr>
      <w:rPr>
        <w:sz w:val="16"/>
      </w:rPr>
    </w:pPr>
  </w:p>
  <w:p w14:paraId="430CE92E" w14:textId="77777777" w:rsidR="00916F1A" w:rsidRDefault="00916F1A">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7F1C3" w14:textId="77777777" w:rsidR="00CD59CA" w:rsidRDefault="00CD59CA">
      <w:r>
        <w:separator/>
      </w:r>
    </w:p>
  </w:footnote>
  <w:footnote w:type="continuationSeparator" w:id="0">
    <w:p w14:paraId="2733DAA3" w14:textId="77777777" w:rsidR="00CD59CA" w:rsidRDefault="00CD5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7E314" w14:textId="77777777" w:rsidR="00F94B87" w:rsidRPr="00DE348F" w:rsidRDefault="00F94B87" w:rsidP="00F94B87">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rPr>
      <w:drawing>
        <wp:anchor distT="0" distB="0" distL="114300" distR="114300" simplePos="0" relativeHeight="251657216" behindDoc="1" locked="0" layoutInCell="1" allowOverlap="1" wp14:anchorId="48EC67D3" wp14:editId="73662689">
          <wp:simplePos x="0" y="0"/>
          <wp:positionH relativeFrom="margin">
            <wp:posOffset>-260985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Calibri" w:eastAsia="Calibri" w:hAnsi="Calibri"/>
        <w:b/>
        <w:noProof/>
        <w:sz w:val="48"/>
        <w:szCs w:val="48"/>
        <w:lang w:bidi="pt-BR"/>
      </w:rPr>
      <w:pict w14:anchorId="48FBA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1025"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217F7E7D" w14:textId="77777777" w:rsidR="00F94B87" w:rsidRPr="00DE348F" w:rsidRDefault="00F94B87" w:rsidP="00F94B87">
    <w:pPr>
      <w:pStyle w:val="Cabealho"/>
      <w:jc w:val="center"/>
    </w:pPr>
    <w:r w:rsidRPr="00DE348F">
      <w:rPr>
        <w:b/>
        <w:sz w:val="36"/>
        <w:szCs w:val="36"/>
      </w:rPr>
      <w:t>ESTADO DE MINAS GERAIS</w:t>
    </w:r>
  </w:p>
  <w:p w14:paraId="6E20AC54" w14:textId="77777777" w:rsidR="00916F1A" w:rsidRDefault="00916F1A">
    <w:pPr>
      <w:pStyle w:val="Cabealh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45842326">
    <w:abstractNumId w:val="4"/>
  </w:num>
  <w:num w:numId="2" w16cid:durableId="11697086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7884413">
    <w:abstractNumId w:val="8"/>
  </w:num>
  <w:num w:numId="4" w16cid:durableId="17467590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3339731">
    <w:abstractNumId w:val="10"/>
  </w:num>
  <w:num w:numId="6" w16cid:durableId="14729392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8344657">
    <w:abstractNumId w:val="3"/>
  </w:num>
  <w:num w:numId="8" w16cid:durableId="5287578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022814">
    <w:abstractNumId w:val="13"/>
  </w:num>
  <w:num w:numId="10" w16cid:durableId="1474754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1044171">
    <w:abstractNumId w:val="6"/>
  </w:num>
  <w:num w:numId="12" w16cid:durableId="146952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7504959">
    <w:abstractNumId w:val="5"/>
  </w:num>
  <w:num w:numId="14" w16cid:durableId="13177597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5193890">
    <w:abstractNumId w:val="14"/>
  </w:num>
  <w:num w:numId="16" w16cid:durableId="12288041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80238329">
    <w:abstractNumId w:val="11"/>
  </w:num>
  <w:num w:numId="18" w16cid:durableId="7155499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4386073">
    <w:abstractNumId w:val="0"/>
  </w:num>
  <w:num w:numId="20" w16cid:durableId="86125154">
    <w:abstractNumId w:val="0"/>
    <w:lvlOverride w:ilvl="0">
      <w:startOverride w:val="1"/>
    </w:lvlOverride>
    <w:lvlOverride w:ilvl="1"/>
    <w:lvlOverride w:ilvl="2"/>
    <w:lvlOverride w:ilvl="3"/>
    <w:lvlOverride w:ilvl="4"/>
    <w:lvlOverride w:ilvl="5"/>
    <w:lvlOverride w:ilvl="6"/>
    <w:lvlOverride w:ilvl="7"/>
    <w:lvlOverride w:ilvl="8"/>
  </w:num>
  <w:num w:numId="21" w16cid:durableId="1359428538">
    <w:abstractNumId w:val="1"/>
  </w:num>
  <w:num w:numId="22" w16cid:durableId="1889409729">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67790417">
    <w:abstractNumId w:val="9"/>
  </w:num>
  <w:num w:numId="24" w16cid:durableId="1412892488">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16cid:durableId="823089876">
    <w:abstractNumId w:val="12"/>
  </w:num>
  <w:num w:numId="26" w16cid:durableId="1457485074">
    <w:abstractNumId w:val="12"/>
    <w:lvlOverride w:ilvl="0">
      <w:startOverride w:val="1"/>
    </w:lvlOverride>
    <w:lvlOverride w:ilvl="1"/>
    <w:lvlOverride w:ilvl="2"/>
    <w:lvlOverride w:ilvl="3"/>
    <w:lvlOverride w:ilvl="4"/>
    <w:lvlOverride w:ilvl="5"/>
    <w:lvlOverride w:ilvl="6"/>
    <w:lvlOverride w:ilvl="7"/>
    <w:lvlOverride w:ilvl="8"/>
  </w:num>
  <w:num w:numId="27" w16cid:durableId="1688942966">
    <w:abstractNumId w:val="7"/>
  </w:num>
  <w:num w:numId="28" w16cid:durableId="12575932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1018795">
    <w:abstractNumId w:val="2"/>
  </w:num>
  <w:num w:numId="30" w16cid:durableId="8192268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93F"/>
    <w:rsid w:val="00014BCA"/>
    <w:rsid w:val="000202D2"/>
    <w:rsid w:val="00020F11"/>
    <w:rsid w:val="00025BB3"/>
    <w:rsid w:val="000313E5"/>
    <w:rsid w:val="000338E6"/>
    <w:rsid w:val="00034D1C"/>
    <w:rsid w:val="00043836"/>
    <w:rsid w:val="00043A23"/>
    <w:rsid w:val="00044692"/>
    <w:rsid w:val="0004488B"/>
    <w:rsid w:val="00044D84"/>
    <w:rsid w:val="00045CA8"/>
    <w:rsid w:val="00052C95"/>
    <w:rsid w:val="00055E0E"/>
    <w:rsid w:val="000605DD"/>
    <w:rsid w:val="00062C1D"/>
    <w:rsid w:val="000630CB"/>
    <w:rsid w:val="00066C13"/>
    <w:rsid w:val="00082165"/>
    <w:rsid w:val="00084042"/>
    <w:rsid w:val="00093065"/>
    <w:rsid w:val="000C2F6B"/>
    <w:rsid w:val="000E2F0E"/>
    <w:rsid w:val="000F28FE"/>
    <w:rsid w:val="001017D7"/>
    <w:rsid w:val="00106164"/>
    <w:rsid w:val="00111246"/>
    <w:rsid w:val="00115465"/>
    <w:rsid w:val="00123A97"/>
    <w:rsid w:val="00123C17"/>
    <w:rsid w:val="00132F11"/>
    <w:rsid w:val="00136146"/>
    <w:rsid w:val="0014049C"/>
    <w:rsid w:val="00143F50"/>
    <w:rsid w:val="0015723B"/>
    <w:rsid w:val="00167762"/>
    <w:rsid w:val="001712BF"/>
    <w:rsid w:val="00173FC7"/>
    <w:rsid w:val="00177EE7"/>
    <w:rsid w:val="0018354C"/>
    <w:rsid w:val="00183574"/>
    <w:rsid w:val="001851B7"/>
    <w:rsid w:val="00185A6D"/>
    <w:rsid w:val="00193F8E"/>
    <w:rsid w:val="00194A59"/>
    <w:rsid w:val="001B24DF"/>
    <w:rsid w:val="001B766B"/>
    <w:rsid w:val="001C2545"/>
    <w:rsid w:val="001C3967"/>
    <w:rsid w:val="001C48FF"/>
    <w:rsid w:val="001C752E"/>
    <w:rsid w:val="001D2E76"/>
    <w:rsid w:val="001E149D"/>
    <w:rsid w:val="001E228F"/>
    <w:rsid w:val="001F62B4"/>
    <w:rsid w:val="001F63FA"/>
    <w:rsid w:val="00203D6D"/>
    <w:rsid w:val="00221E4F"/>
    <w:rsid w:val="00223245"/>
    <w:rsid w:val="00231A63"/>
    <w:rsid w:val="0024556D"/>
    <w:rsid w:val="00250D25"/>
    <w:rsid w:val="00271BBD"/>
    <w:rsid w:val="00282081"/>
    <w:rsid w:val="00290001"/>
    <w:rsid w:val="0029034E"/>
    <w:rsid w:val="002A0081"/>
    <w:rsid w:val="002A3AF9"/>
    <w:rsid w:val="002A4046"/>
    <w:rsid w:val="002A5B64"/>
    <w:rsid w:val="002A7AA7"/>
    <w:rsid w:val="002B12D5"/>
    <w:rsid w:val="002B712F"/>
    <w:rsid w:val="002C0DC6"/>
    <w:rsid w:val="002C3268"/>
    <w:rsid w:val="002F278D"/>
    <w:rsid w:val="002F32FB"/>
    <w:rsid w:val="003011BE"/>
    <w:rsid w:val="003152F8"/>
    <w:rsid w:val="00324933"/>
    <w:rsid w:val="00342AA3"/>
    <w:rsid w:val="00345616"/>
    <w:rsid w:val="0035269E"/>
    <w:rsid w:val="00352C55"/>
    <w:rsid w:val="003575D6"/>
    <w:rsid w:val="00357CD8"/>
    <w:rsid w:val="0036096E"/>
    <w:rsid w:val="003615E3"/>
    <w:rsid w:val="00365C94"/>
    <w:rsid w:val="00374528"/>
    <w:rsid w:val="0037664B"/>
    <w:rsid w:val="00376C66"/>
    <w:rsid w:val="00383ECC"/>
    <w:rsid w:val="00383FCF"/>
    <w:rsid w:val="00385830"/>
    <w:rsid w:val="003934E2"/>
    <w:rsid w:val="00393E18"/>
    <w:rsid w:val="003A5E3F"/>
    <w:rsid w:val="003B4CC4"/>
    <w:rsid w:val="003C5894"/>
    <w:rsid w:val="003D2D23"/>
    <w:rsid w:val="003D4E02"/>
    <w:rsid w:val="003F3045"/>
    <w:rsid w:val="003F5A17"/>
    <w:rsid w:val="003F640F"/>
    <w:rsid w:val="003F6FF8"/>
    <w:rsid w:val="004102D7"/>
    <w:rsid w:val="00415541"/>
    <w:rsid w:val="004411E6"/>
    <w:rsid w:val="00446E0F"/>
    <w:rsid w:val="0045222B"/>
    <w:rsid w:val="004661E5"/>
    <w:rsid w:val="0047540F"/>
    <w:rsid w:val="0047600D"/>
    <w:rsid w:val="004771F8"/>
    <w:rsid w:val="00477A50"/>
    <w:rsid w:val="00492979"/>
    <w:rsid w:val="004A0201"/>
    <w:rsid w:val="004A1604"/>
    <w:rsid w:val="004B2C71"/>
    <w:rsid w:val="004B4A49"/>
    <w:rsid w:val="004C3345"/>
    <w:rsid w:val="004D1F22"/>
    <w:rsid w:val="004E1E11"/>
    <w:rsid w:val="004F3856"/>
    <w:rsid w:val="00500034"/>
    <w:rsid w:val="00501C1F"/>
    <w:rsid w:val="00506DB6"/>
    <w:rsid w:val="00525A0B"/>
    <w:rsid w:val="00527235"/>
    <w:rsid w:val="00533767"/>
    <w:rsid w:val="00550992"/>
    <w:rsid w:val="00551AD5"/>
    <w:rsid w:val="00553E06"/>
    <w:rsid w:val="00565233"/>
    <w:rsid w:val="00582519"/>
    <w:rsid w:val="0058307D"/>
    <w:rsid w:val="00583E07"/>
    <w:rsid w:val="00592BA8"/>
    <w:rsid w:val="00594495"/>
    <w:rsid w:val="005A48EC"/>
    <w:rsid w:val="005B1427"/>
    <w:rsid w:val="005B338E"/>
    <w:rsid w:val="005C0324"/>
    <w:rsid w:val="005C4541"/>
    <w:rsid w:val="005C5FB8"/>
    <w:rsid w:val="005D6A1D"/>
    <w:rsid w:val="005E55C2"/>
    <w:rsid w:val="005F6FE0"/>
    <w:rsid w:val="006019D4"/>
    <w:rsid w:val="00621E3E"/>
    <w:rsid w:val="00631320"/>
    <w:rsid w:val="0064371A"/>
    <w:rsid w:val="00643C3B"/>
    <w:rsid w:val="0064521C"/>
    <w:rsid w:val="00660CA7"/>
    <w:rsid w:val="00666597"/>
    <w:rsid w:val="00671276"/>
    <w:rsid w:val="006725F8"/>
    <w:rsid w:val="00682DE3"/>
    <w:rsid w:val="00690804"/>
    <w:rsid w:val="006910DF"/>
    <w:rsid w:val="00696C7F"/>
    <w:rsid w:val="00697464"/>
    <w:rsid w:val="006A6ADE"/>
    <w:rsid w:val="006B64C7"/>
    <w:rsid w:val="006C1E4C"/>
    <w:rsid w:val="006C20F2"/>
    <w:rsid w:val="006C392E"/>
    <w:rsid w:val="006C6055"/>
    <w:rsid w:val="006D0B67"/>
    <w:rsid w:val="006D4970"/>
    <w:rsid w:val="006D7083"/>
    <w:rsid w:val="006D72DB"/>
    <w:rsid w:val="006E7998"/>
    <w:rsid w:val="006F13B7"/>
    <w:rsid w:val="006F1D88"/>
    <w:rsid w:val="006F24AF"/>
    <w:rsid w:val="006F273E"/>
    <w:rsid w:val="00701867"/>
    <w:rsid w:val="007112A5"/>
    <w:rsid w:val="00722ACB"/>
    <w:rsid w:val="00727EC8"/>
    <w:rsid w:val="007324C7"/>
    <w:rsid w:val="00733A0B"/>
    <w:rsid w:val="0073428E"/>
    <w:rsid w:val="0075029B"/>
    <w:rsid w:val="007661EF"/>
    <w:rsid w:val="00770B62"/>
    <w:rsid w:val="007834F3"/>
    <w:rsid w:val="007838B3"/>
    <w:rsid w:val="00787E53"/>
    <w:rsid w:val="007A2D8E"/>
    <w:rsid w:val="007A7EEC"/>
    <w:rsid w:val="007C1917"/>
    <w:rsid w:val="007C7E53"/>
    <w:rsid w:val="007D34BA"/>
    <w:rsid w:val="007D3D6F"/>
    <w:rsid w:val="007D7505"/>
    <w:rsid w:val="007E04BC"/>
    <w:rsid w:val="007F2A84"/>
    <w:rsid w:val="007F2BF4"/>
    <w:rsid w:val="00800391"/>
    <w:rsid w:val="00811E30"/>
    <w:rsid w:val="00826DFD"/>
    <w:rsid w:val="00830531"/>
    <w:rsid w:val="00831173"/>
    <w:rsid w:val="008439ED"/>
    <w:rsid w:val="00846D17"/>
    <w:rsid w:val="008513CA"/>
    <w:rsid w:val="00851C28"/>
    <w:rsid w:val="0085492D"/>
    <w:rsid w:val="00854D79"/>
    <w:rsid w:val="00857074"/>
    <w:rsid w:val="00862094"/>
    <w:rsid w:val="00865D90"/>
    <w:rsid w:val="008705A4"/>
    <w:rsid w:val="00871241"/>
    <w:rsid w:val="008718BB"/>
    <w:rsid w:val="00872B41"/>
    <w:rsid w:val="00876357"/>
    <w:rsid w:val="008833AF"/>
    <w:rsid w:val="00896B51"/>
    <w:rsid w:val="008A27BA"/>
    <w:rsid w:val="008A55EA"/>
    <w:rsid w:val="008A6B6D"/>
    <w:rsid w:val="008B3349"/>
    <w:rsid w:val="008C5454"/>
    <w:rsid w:val="008D3BBE"/>
    <w:rsid w:val="008E253A"/>
    <w:rsid w:val="008E3091"/>
    <w:rsid w:val="008E79EC"/>
    <w:rsid w:val="008E7A74"/>
    <w:rsid w:val="008F3842"/>
    <w:rsid w:val="008F416E"/>
    <w:rsid w:val="009123DF"/>
    <w:rsid w:val="009151D3"/>
    <w:rsid w:val="00916F1A"/>
    <w:rsid w:val="00923AC8"/>
    <w:rsid w:val="00925927"/>
    <w:rsid w:val="0092646C"/>
    <w:rsid w:val="009275FB"/>
    <w:rsid w:val="009365BA"/>
    <w:rsid w:val="009428A5"/>
    <w:rsid w:val="00944D77"/>
    <w:rsid w:val="00966187"/>
    <w:rsid w:val="009675DB"/>
    <w:rsid w:val="009756BD"/>
    <w:rsid w:val="009769D7"/>
    <w:rsid w:val="00981826"/>
    <w:rsid w:val="00990CE2"/>
    <w:rsid w:val="009A028C"/>
    <w:rsid w:val="009A084B"/>
    <w:rsid w:val="009A2554"/>
    <w:rsid w:val="009A2FDD"/>
    <w:rsid w:val="009A32FD"/>
    <w:rsid w:val="009A76D6"/>
    <w:rsid w:val="009B0E8A"/>
    <w:rsid w:val="009B22B7"/>
    <w:rsid w:val="009B2311"/>
    <w:rsid w:val="009B549E"/>
    <w:rsid w:val="009D1FCA"/>
    <w:rsid w:val="009D4BB8"/>
    <w:rsid w:val="009D7B52"/>
    <w:rsid w:val="009E183F"/>
    <w:rsid w:val="009E4A8B"/>
    <w:rsid w:val="009F26A6"/>
    <w:rsid w:val="009F2BB9"/>
    <w:rsid w:val="009F3FB5"/>
    <w:rsid w:val="009F6250"/>
    <w:rsid w:val="00A02498"/>
    <w:rsid w:val="00A209DA"/>
    <w:rsid w:val="00A25A3E"/>
    <w:rsid w:val="00A44107"/>
    <w:rsid w:val="00A502D5"/>
    <w:rsid w:val="00A51170"/>
    <w:rsid w:val="00A5770A"/>
    <w:rsid w:val="00A71D28"/>
    <w:rsid w:val="00A732E7"/>
    <w:rsid w:val="00A75B3B"/>
    <w:rsid w:val="00A76C14"/>
    <w:rsid w:val="00A77CB3"/>
    <w:rsid w:val="00A8292E"/>
    <w:rsid w:val="00A9158A"/>
    <w:rsid w:val="00A959CD"/>
    <w:rsid w:val="00AA61FA"/>
    <w:rsid w:val="00AB231B"/>
    <w:rsid w:val="00AB5086"/>
    <w:rsid w:val="00AB5972"/>
    <w:rsid w:val="00AB5E4A"/>
    <w:rsid w:val="00AC09BF"/>
    <w:rsid w:val="00AD0651"/>
    <w:rsid w:val="00AD2509"/>
    <w:rsid w:val="00AF406F"/>
    <w:rsid w:val="00AF7333"/>
    <w:rsid w:val="00B00B68"/>
    <w:rsid w:val="00B0112C"/>
    <w:rsid w:val="00B13A34"/>
    <w:rsid w:val="00B43E2F"/>
    <w:rsid w:val="00B45F5C"/>
    <w:rsid w:val="00B462BA"/>
    <w:rsid w:val="00B47B82"/>
    <w:rsid w:val="00B52F5C"/>
    <w:rsid w:val="00B7237A"/>
    <w:rsid w:val="00B72D5E"/>
    <w:rsid w:val="00B757B3"/>
    <w:rsid w:val="00B80AC2"/>
    <w:rsid w:val="00B82CAD"/>
    <w:rsid w:val="00B84906"/>
    <w:rsid w:val="00B969C5"/>
    <w:rsid w:val="00BA6D8A"/>
    <w:rsid w:val="00BB47D2"/>
    <w:rsid w:val="00BB5C4E"/>
    <w:rsid w:val="00BC2C10"/>
    <w:rsid w:val="00BD145F"/>
    <w:rsid w:val="00BD5373"/>
    <w:rsid w:val="00BE1D3E"/>
    <w:rsid w:val="00BE5A1A"/>
    <w:rsid w:val="00BE765A"/>
    <w:rsid w:val="00BF3048"/>
    <w:rsid w:val="00BF4EB3"/>
    <w:rsid w:val="00BF61FF"/>
    <w:rsid w:val="00C10C26"/>
    <w:rsid w:val="00C17B46"/>
    <w:rsid w:val="00C254DC"/>
    <w:rsid w:val="00C272CE"/>
    <w:rsid w:val="00C369C7"/>
    <w:rsid w:val="00C42193"/>
    <w:rsid w:val="00C42249"/>
    <w:rsid w:val="00C53649"/>
    <w:rsid w:val="00C54757"/>
    <w:rsid w:val="00C55C8F"/>
    <w:rsid w:val="00C57F1A"/>
    <w:rsid w:val="00C66D86"/>
    <w:rsid w:val="00C67296"/>
    <w:rsid w:val="00C67B25"/>
    <w:rsid w:val="00C95FA7"/>
    <w:rsid w:val="00CA057A"/>
    <w:rsid w:val="00CA6247"/>
    <w:rsid w:val="00CA73D7"/>
    <w:rsid w:val="00CD1DBA"/>
    <w:rsid w:val="00CD4CA2"/>
    <w:rsid w:val="00CD59CA"/>
    <w:rsid w:val="00CE06D8"/>
    <w:rsid w:val="00CE5C23"/>
    <w:rsid w:val="00D00470"/>
    <w:rsid w:val="00D01CEC"/>
    <w:rsid w:val="00D021CB"/>
    <w:rsid w:val="00D040F6"/>
    <w:rsid w:val="00D06C07"/>
    <w:rsid w:val="00D13242"/>
    <w:rsid w:val="00D23413"/>
    <w:rsid w:val="00D304A9"/>
    <w:rsid w:val="00D4258F"/>
    <w:rsid w:val="00D45506"/>
    <w:rsid w:val="00D62DB6"/>
    <w:rsid w:val="00D765CF"/>
    <w:rsid w:val="00D87045"/>
    <w:rsid w:val="00D91D5F"/>
    <w:rsid w:val="00D9432C"/>
    <w:rsid w:val="00DA20CC"/>
    <w:rsid w:val="00DA57BE"/>
    <w:rsid w:val="00DA60C5"/>
    <w:rsid w:val="00DA62D9"/>
    <w:rsid w:val="00DC73AE"/>
    <w:rsid w:val="00DD182C"/>
    <w:rsid w:val="00DD7EEC"/>
    <w:rsid w:val="00DE3CAC"/>
    <w:rsid w:val="00DF4151"/>
    <w:rsid w:val="00E05431"/>
    <w:rsid w:val="00E06AE1"/>
    <w:rsid w:val="00E114E3"/>
    <w:rsid w:val="00E20D6D"/>
    <w:rsid w:val="00E22E12"/>
    <w:rsid w:val="00E2571D"/>
    <w:rsid w:val="00E332B9"/>
    <w:rsid w:val="00E3505C"/>
    <w:rsid w:val="00E516BC"/>
    <w:rsid w:val="00E51822"/>
    <w:rsid w:val="00E531EC"/>
    <w:rsid w:val="00E56DB6"/>
    <w:rsid w:val="00E63440"/>
    <w:rsid w:val="00E764AF"/>
    <w:rsid w:val="00E828B4"/>
    <w:rsid w:val="00E8507C"/>
    <w:rsid w:val="00E9002C"/>
    <w:rsid w:val="00E9285B"/>
    <w:rsid w:val="00EA2B3A"/>
    <w:rsid w:val="00EA5804"/>
    <w:rsid w:val="00EB3FEE"/>
    <w:rsid w:val="00EC7E11"/>
    <w:rsid w:val="00ED2A8B"/>
    <w:rsid w:val="00ED71AA"/>
    <w:rsid w:val="00EE3451"/>
    <w:rsid w:val="00EE57AB"/>
    <w:rsid w:val="00EF0155"/>
    <w:rsid w:val="00EF15F2"/>
    <w:rsid w:val="00EF5232"/>
    <w:rsid w:val="00EF7917"/>
    <w:rsid w:val="00F1229B"/>
    <w:rsid w:val="00F30692"/>
    <w:rsid w:val="00F3106A"/>
    <w:rsid w:val="00F36F54"/>
    <w:rsid w:val="00F40C2D"/>
    <w:rsid w:val="00F430CA"/>
    <w:rsid w:val="00F46016"/>
    <w:rsid w:val="00F475AD"/>
    <w:rsid w:val="00F559A5"/>
    <w:rsid w:val="00F6105F"/>
    <w:rsid w:val="00F65C2B"/>
    <w:rsid w:val="00F668DB"/>
    <w:rsid w:val="00F733D8"/>
    <w:rsid w:val="00F74AD2"/>
    <w:rsid w:val="00F76E6A"/>
    <w:rsid w:val="00F8157E"/>
    <w:rsid w:val="00F90145"/>
    <w:rsid w:val="00F94B87"/>
    <w:rsid w:val="00FB1C8A"/>
    <w:rsid w:val="00FB7279"/>
    <w:rsid w:val="00FC2557"/>
    <w:rsid w:val="00FC2ACC"/>
    <w:rsid w:val="00FC77BB"/>
    <w:rsid w:val="00FD18BB"/>
    <w:rsid w:val="00FD5E08"/>
    <w:rsid w:val="00FF0431"/>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470"/>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0919">
      <w:bodyDiv w:val="1"/>
      <w:marLeft w:val="0"/>
      <w:marRight w:val="0"/>
      <w:marTop w:val="0"/>
      <w:marBottom w:val="0"/>
      <w:divBdr>
        <w:top w:val="none" w:sz="0" w:space="0" w:color="auto"/>
        <w:left w:val="none" w:sz="0" w:space="0" w:color="auto"/>
        <w:bottom w:val="none" w:sz="0" w:space="0" w:color="auto"/>
        <w:right w:val="none" w:sz="0" w:space="0" w:color="auto"/>
      </w:divBdr>
    </w:div>
    <w:div w:id="337930313">
      <w:bodyDiv w:val="1"/>
      <w:marLeft w:val="0"/>
      <w:marRight w:val="0"/>
      <w:marTop w:val="0"/>
      <w:marBottom w:val="0"/>
      <w:divBdr>
        <w:top w:val="none" w:sz="0" w:space="0" w:color="auto"/>
        <w:left w:val="none" w:sz="0" w:space="0" w:color="auto"/>
        <w:bottom w:val="none" w:sz="0" w:space="0" w:color="auto"/>
        <w:right w:val="none" w:sz="0" w:space="0" w:color="auto"/>
      </w:divBdr>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43DA9-D17B-4FE8-A451-1AD810239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24</Pages>
  <Words>13339</Words>
  <Characters>72031</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LICITAÇÃO 5</cp:lastModifiedBy>
  <cp:revision>128</cp:revision>
  <cp:lastPrinted>2024-04-03T18:22:00Z</cp:lastPrinted>
  <dcterms:created xsi:type="dcterms:W3CDTF">2021-07-29T12:58:00Z</dcterms:created>
  <dcterms:modified xsi:type="dcterms:W3CDTF">2024-05-23T13:29:00Z</dcterms:modified>
</cp:coreProperties>
</file>