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C8E19" w14:textId="09742F43" w:rsidR="00EA5804" w:rsidRPr="00123A97" w:rsidRDefault="00EA5804" w:rsidP="00EA5804">
      <w:pPr>
        <w:pStyle w:val="corpo"/>
        <w:jc w:val="center"/>
        <w:rPr>
          <w:rFonts w:ascii="Bookman Old Style" w:hAnsi="Bookman Old Style"/>
          <w:b/>
          <w:sz w:val="22"/>
          <w:szCs w:val="22"/>
        </w:rPr>
      </w:pPr>
      <w:r w:rsidRPr="00123A97">
        <w:rPr>
          <w:rFonts w:ascii="Bookman Old Style" w:hAnsi="Bookman Old Style"/>
          <w:b/>
          <w:sz w:val="22"/>
          <w:szCs w:val="22"/>
        </w:rPr>
        <w:t xml:space="preserve">PROCESSO ADMINISTRATIVO Nº </w:t>
      </w:r>
      <w:r w:rsidR="009756BD">
        <w:rPr>
          <w:rFonts w:ascii="Bookman Old Style" w:hAnsi="Bookman Old Style"/>
          <w:b/>
          <w:sz w:val="22"/>
          <w:szCs w:val="22"/>
        </w:rPr>
        <w:t>0</w:t>
      </w:r>
      <w:r w:rsidR="002C4771">
        <w:rPr>
          <w:rFonts w:ascii="Bookman Old Style" w:hAnsi="Bookman Old Style"/>
          <w:b/>
          <w:sz w:val="22"/>
          <w:szCs w:val="22"/>
        </w:rPr>
        <w:t>50</w:t>
      </w:r>
      <w:r w:rsidRPr="00123A97">
        <w:rPr>
          <w:rFonts w:ascii="Bookman Old Style" w:hAnsi="Bookman Old Style"/>
          <w:b/>
          <w:sz w:val="22"/>
          <w:szCs w:val="22"/>
        </w:rPr>
        <w:t>/2024</w:t>
      </w:r>
      <w:r w:rsidRPr="00123A97">
        <w:rPr>
          <w:rFonts w:ascii="Bookman Old Style" w:hAnsi="Bookman Old Style"/>
          <w:b/>
          <w:sz w:val="22"/>
          <w:szCs w:val="22"/>
        </w:rPr>
        <w:br/>
        <w:t xml:space="preserve">DISPENSA DE LICITAÇÃO Nº </w:t>
      </w:r>
      <w:r w:rsidR="009756BD">
        <w:rPr>
          <w:rFonts w:ascii="Bookman Old Style" w:hAnsi="Bookman Old Style"/>
          <w:b/>
          <w:sz w:val="22"/>
          <w:szCs w:val="22"/>
        </w:rPr>
        <w:t>0</w:t>
      </w:r>
      <w:r w:rsidR="002C4771">
        <w:rPr>
          <w:rFonts w:ascii="Bookman Old Style" w:hAnsi="Bookman Old Style"/>
          <w:b/>
          <w:sz w:val="22"/>
          <w:szCs w:val="22"/>
        </w:rPr>
        <w:t>9</w:t>
      </w:r>
      <w:r w:rsidRPr="00123A97">
        <w:rPr>
          <w:rFonts w:ascii="Bookman Old Style" w:hAnsi="Bookman Old Style"/>
          <w:b/>
          <w:sz w:val="22"/>
          <w:szCs w:val="22"/>
        </w:rPr>
        <w:t>/2024</w:t>
      </w:r>
      <w:r w:rsidRPr="00123A97">
        <w:rPr>
          <w:rFonts w:ascii="Bookman Old Style" w:hAnsi="Bookman Old Style"/>
          <w:b/>
          <w:sz w:val="22"/>
          <w:szCs w:val="22"/>
        </w:rPr>
        <w:br/>
        <w:t xml:space="preserve">FORMA ELETRÔNICA </w:t>
      </w:r>
      <w:r w:rsidRPr="00123A97">
        <w:rPr>
          <w:rFonts w:ascii="Bookman Old Style" w:hAnsi="Bookman Old Style"/>
          <w:b/>
          <w:sz w:val="22"/>
          <w:szCs w:val="22"/>
        </w:rPr>
        <w:br/>
        <w:t>AVISO DE CONTRATAÇÃO DIRETA</w:t>
      </w:r>
    </w:p>
    <w:p w14:paraId="28E43272" w14:textId="77777777" w:rsidR="00EA5804" w:rsidRDefault="00EA5804" w:rsidP="00C67296">
      <w:pPr>
        <w:pStyle w:val="corpo"/>
        <w:jc w:val="both"/>
        <w:rPr>
          <w:rFonts w:ascii="Bookman Old Style" w:hAnsi="Bookman Old Style"/>
          <w:sz w:val="22"/>
          <w:szCs w:val="22"/>
        </w:rPr>
      </w:pPr>
    </w:p>
    <w:p w14:paraId="56E189BB" w14:textId="107A5002" w:rsidR="00EA5804" w:rsidRDefault="007D7505" w:rsidP="00C67296">
      <w:pPr>
        <w:pStyle w:val="corpo"/>
        <w:jc w:val="both"/>
        <w:rPr>
          <w:rFonts w:ascii="Bookman Old Style" w:hAnsi="Bookman Old Style"/>
          <w:sz w:val="22"/>
          <w:szCs w:val="22"/>
        </w:rPr>
      </w:pPr>
      <w:r w:rsidRPr="00BB5C4E">
        <w:rPr>
          <w:rFonts w:ascii="Bookman Old Style" w:hAnsi="Bookman Old Style"/>
          <w:sz w:val="22"/>
          <w:szCs w:val="22"/>
        </w:rPr>
        <w:t xml:space="preserve">A PREFEITURA MUNICIPAL DE IPANEMA/MG, situada na </w:t>
      </w:r>
      <w:r w:rsidRPr="00BB5C4E">
        <w:rPr>
          <w:rFonts w:ascii="Bookman Old Style" w:hAnsi="Bookman Old Style" w:cs="Arial"/>
          <w:sz w:val="22"/>
          <w:szCs w:val="22"/>
        </w:rPr>
        <w:t xml:space="preserve">Avenida </w:t>
      </w:r>
      <w:r w:rsidR="00F94B87">
        <w:rPr>
          <w:rFonts w:ascii="Bookman Old Style" w:hAnsi="Bookman Old Style" w:cs="Arial"/>
          <w:sz w:val="22"/>
          <w:szCs w:val="22"/>
        </w:rPr>
        <w:t>Sete de Setembro</w:t>
      </w:r>
      <w:r w:rsidRPr="00BB5C4E">
        <w:rPr>
          <w:rFonts w:ascii="Bookman Old Style" w:hAnsi="Bookman Old Style" w:cs="Arial"/>
          <w:sz w:val="22"/>
          <w:szCs w:val="22"/>
        </w:rPr>
        <w:t xml:space="preserve">, n.º </w:t>
      </w:r>
      <w:r w:rsidR="00F94B87">
        <w:rPr>
          <w:rFonts w:ascii="Bookman Old Style" w:hAnsi="Bookman Old Style" w:cs="Arial"/>
          <w:sz w:val="22"/>
          <w:szCs w:val="22"/>
        </w:rPr>
        <w:t>751-A</w:t>
      </w:r>
      <w:r w:rsidRPr="00BB5C4E">
        <w:rPr>
          <w:rFonts w:ascii="Bookman Old Style" w:hAnsi="Bookman Old Style" w:cs="Arial"/>
          <w:sz w:val="22"/>
          <w:szCs w:val="22"/>
        </w:rPr>
        <w:t>, Centro, nesta cidade de Ipanema/MG, inscr</w:t>
      </w:r>
      <w:r w:rsidR="00F94B87">
        <w:rPr>
          <w:rFonts w:ascii="Bookman Old Style" w:hAnsi="Bookman Old Style" w:cs="Arial"/>
          <w:sz w:val="22"/>
          <w:szCs w:val="22"/>
        </w:rPr>
        <w:t>ito no CNPJ sob o n.º 18.334.292/0001-64</w:t>
      </w:r>
      <w:r w:rsidRPr="00BB5C4E">
        <w:rPr>
          <w:rFonts w:ascii="Bookman Old Style" w:hAnsi="Bookman Old Style"/>
          <w:sz w:val="22"/>
          <w:szCs w:val="22"/>
        </w:rPr>
        <w:t xml:space="preserve">, através do Prefeito Municipal, torna público a abertura do </w:t>
      </w:r>
      <w:r w:rsidR="00EA5804" w:rsidRPr="00BB5C4E">
        <w:rPr>
          <w:rFonts w:ascii="Bookman Old Style" w:hAnsi="Bookman Old Style"/>
          <w:sz w:val="22"/>
          <w:szCs w:val="22"/>
        </w:rPr>
        <w:t xml:space="preserve">Processo </w:t>
      </w:r>
      <w:r w:rsidR="00EA5804">
        <w:rPr>
          <w:rFonts w:ascii="Bookman Old Style" w:hAnsi="Bookman Old Style"/>
          <w:sz w:val="22"/>
          <w:szCs w:val="22"/>
        </w:rPr>
        <w:t>Administrativo em epigrafe, adotando-se como:</w:t>
      </w:r>
    </w:p>
    <w:p w14:paraId="23E0FCF9" w14:textId="74B1CBE6" w:rsidR="00EA5804" w:rsidRDefault="00EA5804" w:rsidP="00C67296">
      <w:pPr>
        <w:pStyle w:val="corpo"/>
        <w:jc w:val="both"/>
        <w:rPr>
          <w:rFonts w:ascii="Bookman Old Style" w:hAnsi="Bookman Old Style"/>
          <w:sz w:val="22"/>
          <w:szCs w:val="22"/>
        </w:rPr>
      </w:pPr>
      <w:r w:rsidRPr="009756BD">
        <w:rPr>
          <w:rFonts w:ascii="Bookman Old Style" w:hAnsi="Bookman Old Style"/>
          <w:sz w:val="22"/>
          <w:szCs w:val="22"/>
        </w:rPr>
        <w:t xml:space="preserve">FUNDAMENTAÇÃO LEGAL: Lei Federal nº 14.133/2021, Leis Complementares nº 123/2006 e 147/2014, Decreto Municipal nº </w:t>
      </w:r>
      <w:r w:rsidR="009756BD" w:rsidRPr="009756BD">
        <w:rPr>
          <w:rFonts w:ascii="Bookman Old Style" w:hAnsi="Bookman Old Style"/>
          <w:sz w:val="22"/>
          <w:szCs w:val="22"/>
        </w:rPr>
        <w:t>487</w:t>
      </w:r>
      <w:r w:rsidRPr="009756BD">
        <w:rPr>
          <w:rFonts w:ascii="Bookman Old Style" w:hAnsi="Bookman Old Style"/>
          <w:sz w:val="22"/>
          <w:szCs w:val="22"/>
        </w:rPr>
        <w:t>/2023</w:t>
      </w:r>
      <w:r w:rsidRPr="00EA5804">
        <w:rPr>
          <w:rFonts w:ascii="Bookman Old Style" w:hAnsi="Bookman Old Style"/>
          <w:sz w:val="22"/>
          <w:szCs w:val="22"/>
        </w:rPr>
        <w:t xml:space="preserve"> e demais condições fixadas neste instrumento.</w:t>
      </w:r>
    </w:p>
    <w:p w14:paraId="5E1EDF4B" w14:textId="51A7A56D" w:rsidR="007D7505" w:rsidRPr="007324C7" w:rsidRDefault="007D7505" w:rsidP="007D7505">
      <w:pPr>
        <w:jc w:val="both"/>
        <w:rPr>
          <w:rFonts w:ascii="Bookman Old Style" w:hAnsi="Bookman Old Style"/>
          <w:sz w:val="22"/>
          <w:szCs w:val="22"/>
        </w:rPr>
      </w:pPr>
      <w:r w:rsidRPr="007324C7">
        <w:rPr>
          <w:rFonts w:ascii="Bookman Old Style" w:hAnsi="Bookman Old Style"/>
          <w:sz w:val="22"/>
          <w:szCs w:val="22"/>
        </w:rPr>
        <w:t xml:space="preserve">O Edital fica disponível aos interessados no site </w:t>
      </w:r>
      <w:hyperlink r:id="rId8" w:history="1">
        <w:hyperlink r:id="rId9" w:history="1">
          <w:r w:rsidR="007324C7" w:rsidRPr="007324C7">
            <w:rPr>
              <w:rStyle w:val="Hyperlink"/>
              <w:rFonts w:ascii="Bookman Old Style" w:hAnsi="Bookman Old Style"/>
              <w:color w:val="auto"/>
              <w:sz w:val="22"/>
              <w:szCs w:val="22"/>
              <w:u w:val="none"/>
            </w:rPr>
            <w:t>www.ipanema.mg.gov.br</w:t>
          </w:r>
        </w:hyperlink>
        <w:r w:rsidR="00B7237A" w:rsidRPr="007324C7">
          <w:rPr>
            <w:rStyle w:val="Hyperlink"/>
            <w:rFonts w:ascii="Bookman Old Style" w:hAnsi="Bookman Old Style"/>
            <w:color w:val="auto"/>
            <w:sz w:val="22"/>
            <w:szCs w:val="22"/>
            <w:u w:val="none"/>
          </w:rPr>
          <w:t>/</w:t>
        </w:r>
      </w:hyperlink>
      <w:r w:rsidR="00B7237A" w:rsidRPr="007324C7">
        <w:rPr>
          <w:rFonts w:ascii="Bookman Old Style" w:hAnsi="Bookman Old Style"/>
          <w:sz w:val="22"/>
          <w:szCs w:val="22"/>
        </w:rPr>
        <w:t>,</w:t>
      </w:r>
      <w:r w:rsidRPr="007324C7">
        <w:rPr>
          <w:rFonts w:ascii="Bookman Old Style" w:hAnsi="Bookman Old Style"/>
          <w:sz w:val="22"/>
          <w:szCs w:val="22"/>
        </w:rPr>
        <w:t xml:space="preserve"> endereço </w:t>
      </w:r>
      <w:r w:rsidR="00B7237A" w:rsidRPr="007324C7">
        <w:rPr>
          <w:rFonts w:ascii="Bookman Old Style" w:hAnsi="Bookman Old Style"/>
          <w:sz w:val="22"/>
          <w:szCs w:val="22"/>
        </w:rPr>
        <w:t xml:space="preserve">eletrônico </w:t>
      </w:r>
      <w:hyperlink r:id="rId10" w:history="1">
        <w:r w:rsidR="00B7237A" w:rsidRPr="007324C7">
          <w:rPr>
            <w:rStyle w:val="Hyperlink"/>
            <w:rFonts w:ascii="Bookman Old Style" w:hAnsi="Bookman Old Style" w:cs="Arial"/>
            <w:color w:val="auto"/>
            <w:sz w:val="22"/>
            <w:szCs w:val="22"/>
            <w:u w:val="none"/>
          </w:rPr>
          <w:t>www.bbmnetlicitacoes.com.br</w:t>
        </w:r>
      </w:hyperlink>
      <w:r w:rsidRPr="007324C7">
        <w:rPr>
          <w:rFonts w:ascii="Bookman Old Style" w:hAnsi="Bookman Old Style"/>
          <w:sz w:val="22"/>
          <w:szCs w:val="22"/>
        </w:rPr>
        <w:t xml:space="preserve">, no Portal Nacional de Contratações Públicas (PNCP), poderá ser solicitado pelo e-mail: </w:t>
      </w:r>
      <w:r w:rsidR="007324C7" w:rsidRPr="007324C7">
        <w:rPr>
          <w:rFonts w:ascii="Bookman Old Style" w:hAnsi="Bookman Old Style"/>
          <w:sz w:val="22"/>
          <w:szCs w:val="22"/>
        </w:rPr>
        <w:t>licitacao@ipanema.mg.gov.br</w:t>
      </w:r>
      <w:r w:rsidR="00B7237A" w:rsidRPr="007324C7">
        <w:rPr>
          <w:rFonts w:ascii="Bookman Old Style" w:hAnsi="Bookman Old Style"/>
          <w:sz w:val="22"/>
          <w:szCs w:val="22"/>
        </w:rPr>
        <w:t>.</w:t>
      </w:r>
    </w:p>
    <w:p w14:paraId="01763F1A" w14:textId="226B748C"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C260FD">
        <w:rPr>
          <w:rFonts w:ascii="Bookman Old Style" w:hAnsi="Bookman Old Style" w:cs="Arial"/>
          <w:b/>
          <w:sz w:val="22"/>
          <w:szCs w:val="22"/>
          <w:u w:val="single"/>
        </w:rPr>
        <w:t xml:space="preserve">31 </w:t>
      </w:r>
      <w:r w:rsidRPr="00045CA8">
        <w:rPr>
          <w:rFonts w:ascii="Bookman Old Style" w:hAnsi="Bookman Old Style" w:cs="Arial"/>
          <w:b/>
          <w:sz w:val="22"/>
          <w:szCs w:val="22"/>
          <w:u w:val="single"/>
        </w:rPr>
        <w:t xml:space="preserve">de </w:t>
      </w:r>
      <w:r w:rsidR="009756BD">
        <w:rPr>
          <w:rFonts w:ascii="Bookman Old Style" w:hAnsi="Bookman Old Style" w:cs="Arial"/>
          <w:b/>
          <w:sz w:val="22"/>
          <w:szCs w:val="22"/>
          <w:u w:val="single"/>
        </w:rPr>
        <w:t>MAIO</w:t>
      </w:r>
      <w:r w:rsidRPr="00045CA8">
        <w:rPr>
          <w:rFonts w:ascii="Bookman Old Style" w:hAnsi="Bookman Old Style" w:cs="Arial"/>
          <w:b/>
          <w:sz w:val="22"/>
          <w:szCs w:val="22"/>
          <w:u w:val="single"/>
        </w:rPr>
        <w:t xml:space="preserve"> de </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w:t>
      </w:r>
    </w:p>
    <w:p w14:paraId="305F6DB0" w14:textId="69F750CF"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9756BD">
        <w:rPr>
          <w:rFonts w:ascii="Bookman Old Style" w:hAnsi="Bookman Old Style" w:cs="Arial"/>
          <w:b/>
          <w:sz w:val="22"/>
          <w:szCs w:val="22"/>
          <w:u w:val="single"/>
        </w:rPr>
        <w:t>2</w:t>
      </w:r>
      <w:r w:rsidR="00012121">
        <w:rPr>
          <w:rFonts w:ascii="Bookman Old Style" w:hAnsi="Bookman Old Style" w:cs="Arial"/>
          <w:b/>
          <w:sz w:val="22"/>
          <w:szCs w:val="22"/>
          <w:u w:val="single"/>
        </w:rPr>
        <w:t>4</w:t>
      </w:r>
      <w:r w:rsidR="00045CA8" w:rsidRPr="00045CA8">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045CA8" w:rsidRPr="00045CA8">
        <w:rPr>
          <w:rFonts w:ascii="Bookman Old Style" w:hAnsi="Bookman Old Style" w:cs="Arial"/>
          <w:b/>
          <w:sz w:val="22"/>
          <w:szCs w:val="22"/>
          <w:u w:val="single"/>
        </w:rPr>
        <w:t>2024</w:t>
      </w:r>
      <w:r w:rsidRPr="00045CA8">
        <w:rPr>
          <w:rFonts w:ascii="Bookman Old Style" w:hAnsi="Bookman Old Style" w:cs="Arial"/>
          <w:b/>
          <w:sz w:val="22"/>
          <w:szCs w:val="22"/>
          <w:u w:val="single"/>
        </w:rPr>
        <w:t xml:space="preserve"> – Horas </w:t>
      </w:r>
      <w:r w:rsidR="00C260FD">
        <w:rPr>
          <w:rFonts w:ascii="Bookman Old Style" w:hAnsi="Bookman Old Style" w:cs="Arial"/>
          <w:b/>
          <w:sz w:val="22"/>
          <w:szCs w:val="22"/>
          <w:u w:val="single"/>
        </w:rPr>
        <w:t>15</w:t>
      </w:r>
      <w:r w:rsidRPr="00045CA8">
        <w:rPr>
          <w:rFonts w:ascii="Bookman Old Style" w:hAnsi="Bookman Old Style" w:cs="Arial"/>
          <w:b/>
          <w:sz w:val="22"/>
          <w:szCs w:val="22"/>
          <w:u w:val="single"/>
        </w:rPr>
        <w:t>:</w:t>
      </w:r>
      <w:r w:rsidR="00C260FD">
        <w:rPr>
          <w:rFonts w:ascii="Bookman Old Style" w:hAnsi="Bookman Old Style" w:cs="Arial"/>
          <w:b/>
          <w:sz w:val="22"/>
          <w:szCs w:val="22"/>
          <w:u w:val="single"/>
        </w:rPr>
        <w:t>55</w:t>
      </w:r>
      <w:r w:rsidRPr="00045CA8">
        <w:rPr>
          <w:rFonts w:ascii="Bookman Old Style" w:hAnsi="Bookman Old Style" w:cs="Arial"/>
          <w:b/>
          <w:sz w:val="22"/>
          <w:szCs w:val="22"/>
          <w:u w:val="single"/>
        </w:rPr>
        <w:t>:00</w:t>
      </w:r>
    </w:p>
    <w:p w14:paraId="57FFB6FA" w14:textId="4CC91D0E"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C260FD">
        <w:rPr>
          <w:rFonts w:ascii="Bookman Old Style" w:hAnsi="Bookman Old Style" w:cs="Arial"/>
          <w:b/>
          <w:sz w:val="22"/>
          <w:szCs w:val="22"/>
          <w:u w:val="single"/>
        </w:rPr>
        <w:t>31</w:t>
      </w:r>
      <w:r w:rsidR="00E3505C" w:rsidRPr="00045CA8">
        <w:rPr>
          <w:rFonts w:ascii="Bookman Old Style" w:hAnsi="Bookman Old Style" w:cs="Arial"/>
          <w:b/>
          <w:sz w:val="22"/>
          <w:szCs w:val="22"/>
          <w:u w:val="single"/>
        </w:rPr>
        <w:t>/</w:t>
      </w:r>
      <w:r w:rsidR="00E63440" w:rsidRPr="00045CA8">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w:t>
      </w:r>
      <w:r w:rsidR="00C260FD">
        <w:rPr>
          <w:rFonts w:ascii="Bookman Old Style" w:hAnsi="Bookman Old Style" w:cs="Arial"/>
          <w:b/>
          <w:sz w:val="22"/>
          <w:szCs w:val="22"/>
          <w:u w:val="single"/>
        </w:rPr>
        <w:t>08</w:t>
      </w:r>
      <w:r w:rsidRPr="00045CA8">
        <w:rPr>
          <w:rFonts w:ascii="Bookman Old Style" w:hAnsi="Bookman Old Style" w:cs="Arial"/>
          <w:b/>
          <w:sz w:val="22"/>
          <w:szCs w:val="22"/>
          <w:u w:val="single"/>
        </w:rPr>
        <w:t>:</w:t>
      </w:r>
      <w:r w:rsidR="00C260FD">
        <w:rPr>
          <w:rFonts w:ascii="Bookman Old Style" w:hAnsi="Bookman Old Style" w:cs="Arial"/>
          <w:b/>
          <w:sz w:val="22"/>
          <w:szCs w:val="22"/>
          <w:u w:val="single"/>
        </w:rPr>
        <w:t>00:</w:t>
      </w:r>
      <w:r w:rsidRPr="00045CA8">
        <w:rPr>
          <w:rFonts w:ascii="Bookman Old Style" w:hAnsi="Bookman Old Style" w:cs="Arial"/>
          <w:b/>
          <w:sz w:val="22"/>
          <w:szCs w:val="22"/>
          <w:u w:val="single"/>
        </w:rPr>
        <w:t>00</w:t>
      </w:r>
    </w:p>
    <w:p w14:paraId="081B8973" w14:textId="0CDE3BAA"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C260FD">
        <w:rPr>
          <w:rFonts w:ascii="Bookman Old Style" w:hAnsi="Bookman Old Style" w:cs="Arial"/>
          <w:b/>
          <w:sz w:val="22"/>
          <w:szCs w:val="22"/>
          <w:u w:val="single"/>
        </w:rPr>
        <w:t>31</w:t>
      </w:r>
      <w:r w:rsidR="00E3505C" w:rsidRPr="00045CA8">
        <w:rPr>
          <w:rFonts w:ascii="Bookman Old Style" w:hAnsi="Bookman Old Style" w:cs="Arial"/>
          <w:b/>
          <w:sz w:val="22"/>
          <w:szCs w:val="22"/>
          <w:u w:val="single"/>
        </w:rPr>
        <w:t>/</w:t>
      </w:r>
      <w:r w:rsidR="00D304A9">
        <w:rPr>
          <w:rFonts w:ascii="Bookman Old Style" w:hAnsi="Bookman Old Style" w:cs="Arial"/>
          <w:b/>
          <w:sz w:val="22"/>
          <w:szCs w:val="22"/>
          <w:u w:val="single"/>
        </w:rPr>
        <w:t>0</w:t>
      </w:r>
      <w:r w:rsidR="009756BD">
        <w:rPr>
          <w:rFonts w:ascii="Bookman Old Style" w:hAnsi="Bookman Old Style" w:cs="Arial"/>
          <w:b/>
          <w:sz w:val="22"/>
          <w:szCs w:val="22"/>
          <w:u w:val="single"/>
        </w:rPr>
        <w:t>5</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w:t>
      </w:r>
      <w:r w:rsidR="00C260FD">
        <w:rPr>
          <w:rFonts w:ascii="Bookman Old Style" w:hAnsi="Bookman Old Style" w:cs="Arial"/>
          <w:b/>
          <w:sz w:val="22"/>
          <w:szCs w:val="22"/>
          <w:u w:val="single"/>
        </w:rPr>
        <w:t>08</w:t>
      </w:r>
      <w:r w:rsidR="00E3505C" w:rsidRPr="00045CA8">
        <w:rPr>
          <w:rFonts w:ascii="Bookman Old Style" w:hAnsi="Bookman Old Style" w:cs="Arial"/>
          <w:b/>
          <w:sz w:val="22"/>
          <w:szCs w:val="22"/>
          <w:u w:val="single"/>
        </w:rPr>
        <w:t>:</w:t>
      </w:r>
      <w:r w:rsidR="00C260FD">
        <w:rPr>
          <w:rFonts w:ascii="Bookman Old Style" w:hAnsi="Bookman Old Style" w:cs="Arial"/>
          <w:b/>
          <w:sz w:val="22"/>
          <w:szCs w:val="22"/>
          <w:u w:val="single"/>
        </w:rPr>
        <w:t>1</w:t>
      </w:r>
      <w:r w:rsidR="00E3505C" w:rsidRPr="00045CA8">
        <w:rPr>
          <w:rFonts w:ascii="Bookman Old Style" w:hAnsi="Bookman Old Style" w:cs="Arial"/>
          <w:b/>
          <w:sz w:val="22"/>
          <w:szCs w:val="22"/>
          <w:u w:val="single"/>
        </w:rPr>
        <w:t>0</w:t>
      </w:r>
      <w:r w:rsidRPr="00045CA8">
        <w:rPr>
          <w:rFonts w:ascii="Bookman Old Style" w:hAnsi="Bookman Old Style" w:cs="Arial"/>
          <w:b/>
          <w:sz w:val="22"/>
          <w:szCs w:val="22"/>
          <w:u w:val="single"/>
        </w:rPr>
        <w:t>:00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08498CA3" w14:textId="35B0C16A" w:rsidR="00EA5804" w:rsidRDefault="00EA5804"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sidRPr="00EA5804">
        <w:rPr>
          <w:rFonts w:ascii="Bookman Old Style" w:hAnsi="Bookman Old Style" w:cs="Arial"/>
          <w:b/>
          <w:sz w:val="22"/>
          <w:szCs w:val="22"/>
          <w:u w:val="single"/>
        </w:rPr>
        <w:t>CRITÉRIO DE JULGAMENTO</w:t>
      </w:r>
      <w:r w:rsidRPr="00EA5804">
        <w:rPr>
          <w:rFonts w:ascii="Bookman Old Style" w:hAnsi="Bookman Old Style" w:cs="Arial"/>
          <w:sz w:val="22"/>
          <w:szCs w:val="22"/>
          <w:u w:val="single"/>
        </w:rPr>
        <w:t>: Menor Preço Global</w:t>
      </w:r>
    </w:p>
    <w:p w14:paraId="0132E70F" w14:textId="77777777" w:rsidR="00EA5804" w:rsidRPr="00EA5804" w:rsidRDefault="00EA5804" w:rsidP="00C67296">
      <w:pPr>
        <w:pStyle w:val="corpo"/>
        <w:jc w:val="both"/>
        <w:rPr>
          <w:rFonts w:ascii="Bookman Old Style" w:hAnsi="Bookman Old Style" w:cs="Arial"/>
          <w:sz w:val="22"/>
          <w:szCs w:val="22"/>
        </w:rPr>
      </w:pPr>
      <w:r w:rsidRPr="00EA5804">
        <w:rPr>
          <w:rFonts w:ascii="Bookman Old Style" w:hAnsi="Bookman Old Style" w:cs="Arial"/>
          <w:sz w:val="22"/>
          <w:szCs w:val="22"/>
        </w:rPr>
        <w:t xml:space="preserve">Observações: </w:t>
      </w:r>
    </w:p>
    <w:p w14:paraId="58F8C0D8" w14:textId="18D6DCE1" w:rsidR="00EA5804" w:rsidRPr="00EA5804" w:rsidRDefault="00EA5804" w:rsidP="00C67296">
      <w:pPr>
        <w:pStyle w:val="corpo"/>
        <w:jc w:val="both"/>
        <w:rPr>
          <w:rFonts w:ascii="Bookman Old Style" w:hAnsi="Bookman Old Style" w:cs="Arial"/>
          <w:sz w:val="22"/>
          <w:szCs w:val="22"/>
        </w:rPr>
      </w:pPr>
      <w:r w:rsidRPr="00EA5804">
        <w:rPr>
          <w:rFonts w:ascii="Bookman Old Style" w:hAnsi="Bookman Old Style" w:cs="Arial"/>
          <w:sz w:val="22"/>
          <w:szCs w:val="22"/>
        </w:rPr>
        <w:t>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do procedimento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A0B074B" w14:textId="77777777" w:rsidR="00EA5804" w:rsidRDefault="00EA5804" w:rsidP="00C67296">
      <w:pPr>
        <w:pStyle w:val="corpo"/>
        <w:jc w:val="both"/>
        <w:rPr>
          <w:rFonts w:ascii="Bookman Old Style" w:hAnsi="Bookman Old Style" w:cs="Arial"/>
          <w:b/>
          <w:sz w:val="22"/>
          <w:szCs w:val="22"/>
        </w:rPr>
      </w:pPr>
    </w:p>
    <w:p w14:paraId="05E46096" w14:textId="77777777" w:rsidR="00EA5804" w:rsidRDefault="00EA5804" w:rsidP="00C67296">
      <w:pPr>
        <w:pStyle w:val="corpo"/>
        <w:jc w:val="both"/>
        <w:rPr>
          <w:rFonts w:ascii="Bookman Old Style" w:hAnsi="Bookman Old Style" w:cs="Arial"/>
          <w:b/>
          <w:sz w:val="22"/>
          <w:szCs w:val="22"/>
        </w:rPr>
      </w:pPr>
    </w:p>
    <w:p w14:paraId="05521FD3" w14:textId="77777777" w:rsidR="007324C7" w:rsidRDefault="007324C7" w:rsidP="00C67296">
      <w:pPr>
        <w:pStyle w:val="corpo"/>
        <w:jc w:val="both"/>
        <w:rPr>
          <w:rFonts w:ascii="Bookman Old Style" w:hAnsi="Bookman Old Style" w:cs="Arial"/>
          <w:b/>
          <w:sz w:val="22"/>
          <w:szCs w:val="22"/>
        </w:rPr>
      </w:pPr>
    </w:p>
    <w:p w14:paraId="3A9B84B8" w14:textId="77777777" w:rsidR="007324C7" w:rsidRDefault="007324C7" w:rsidP="00C67296">
      <w:pPr>
        <w:pStyle w:val="corpo"/>
        <w:jc w:val="both"/>
        <w:rPr>
          <w:rFonts w:ascii="Bookman Old Style" w:hAnsi="Bookman Old Style" w:cs="Arial"/>
          <w:b/>
          <w:sz w:val="22"/>
          <w:szCs w:val="22"/>
        </w:rPr>
      </w:pPr>
    </w:p>
    <w:p w14:paraId="12959213" w14:textId="77777777" w:rsidR="00EA5804" w:rsidRPr="00EA5804" w:rsidRDefault="00EA5804" w:rsidP="0075029B">
      <w:pPr>
        <w:pStyle w:val="corpo"/>
        <w:spacing w:before="0" w:after="0"/>
        <w:jc w:val="both"/>
        <w:rPr>
          <w:rFonts w:ascii="Bookman Old Style" w:hAnsi="Bookman Old Style" w:cs="Arial"/>
          <w:b/>
          <w:sz w:val="22"/>
          <w:szCs w:val="22"/>
        </w:rPr>
      </w:pPr>
      <w:r w:rsidRPr="00EA5804">
        <w:rPr>
          <w:rFonts w:ascii="Bookman Old Style" w:hAnsi="Bookman Old Style" w:cs="Arial"/>
          <w:b/>
          <w:sz w:val="22"/>
          <w:szCs w:val="22"/>
        </w:rPr>
        <w:t xml:space="preserve">1 - OBJETO </w:t>
      </w:r>
    </w:p>
    <w:p w14:paraId="3488AD75" w14:textId="701B12DC"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1.1. </w:t>
      </w:r>
      <w:r w:rsidRPr="009756BD">
        <w:rPr>
          <w:rFonts w:ascii="Bookman Old Style" w:hAnsi="Bookman Old Style" w:cs="Arial"/>
          <w:sz w:val="22"/>
          <w:szCs w:val="22"/>
        </w:rPr>
        <w:t>Contratação de empresa</w:t>
      </w:r>
      <w:r w:rsidR="009756BD" w:rsidRPr="009756BD">
        <w:rPr>
          <w:rFonts w:ascii="Bookman Old Style" w:hAnsi="Bookman Old Style" w:cs="Arial"/>
          <w:sz w:val="22"/>
          <w:szCs w:val="22"/>
        </w:rPr>
        <w:t xml:space="preserve"> especializada para </w:t>
      </w:r>
      <w:r w:rsidR="005F4E9B">
        <w:rPr>
          <w:rFonts w:ascii="Bookman Old Style" w:hAnsi="Bookman Old Style" w:cs="Arial"/>
          <w:sz w:val="22"/>
          <w:szCs w:val="22"/>
        </w:rPr>
        <w:t>realização de manutenções corretivas e preventivas em Equipamentos Hospitalares</w:t>
      </w:r>
      <w:r w:rsidRPr="009756BD">
        <w:rPr>
          <w:rFonts w:ascii="Bookman Old Style" w:hAnsi="Bookman Old Style" w:cs="Arial"/>
          <w:sz w:val="22"/>
          <w:szCs w:val="22"/>
        </w:rPr>
        <w:t>.</w:t>
      </w:r>
      <w:r w:rsidRPr="00EA5804">
        <w:rPr>
          <w:rFonts w:ascii="Bookman Old Style" w:hAnsi="Bookman Old Style" w:cs="Arial"/>
          <w:sz w:val="22"/>
          <w:szCs w:val="22"/>
        </w:rPr>
        <w:t xml:space="preserve"> </w:t>
      </w:r>
    </w:p>
    <w:p w14:paraId="75846DA9" w14:textId="77777777" w:rsidR="00EA5804" w:rsidRDefault="00EA5804" w:rsidP="0075029B">
      <w:pPr>
        <w:pStyle w:val="corpo"/>
        <w:spacing w:before="0" w:after="0"/>
        <w:jc w:val="both"/>
        <w:rPr>
          <w:rFonts w:ascii="Bookman Old Style" w:hAnsi="Bookman Old Style" w:cs="Arial"/>
          <w:sz w:val="22"/>
          <w:szCs w:val="22"/>
        </w:rPr>
      </w:pPr>
    </w:p>
    <w:p w14:paraId="746FE819" w14:textId="77777777" w:rsidR="00EA5804" w:rsidRPr="00EA5804" w:rsidRDefault="00EA5804" w:rsidP="0075029B">
      <w:pPr>
        <w:pStyle w:val="corpo"/>
        <w:spacing w:before="0" w:after="0"/>
        <w:jc w:val="both"/>
        <w:rPr>
          <w:rFonts w:ascii="Bookman Old Style" w:hAnsi="Bookman Old Style" w:cs="Arial"/>
          <w:b/>
          <w:sz w:val="22"/>
          <w:szCs w:val="22"/>
        </w:rPr>
      </w:pPr>
      <w:r w:rsidRPr="00EA5804">
        <w:rPr>
          <w:rFonts w:ascii="Bookman Old Style" w:hAnsi="Bookman Old Style" w:cs="Arial"/>
          <w:b/>
          <w:sz w:val="22"/>
          <w:szCs w:val="22"/>
        </w:rPr>
        <w:t xml:space="preserve">2- DA PARTICIPAÇÃO NO PROCEDIMENTO </w:t>
      </w:r>
    </w:p>
    <w:p w14:paraId="0E0B5483" w14:textId="1BF5F720"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2.1. Poderão participar deste procedimento os Microempreendedores Individuais – MEI, as Microempresas – ME e as Empresas de Pequeno Porte – EPP, do ramo pertinente ao objeto a ser contratado, que atendam todas as condições estabelecidas neste instrumento convocatório e se encontrem devidamente cadastradas na plataforma eletrônica </w:t>
      </w:r>
      <w:r w:rsidR="00123A97">
        <w:rPr>
          <w:rFonts w:ascii="Bookman Old Style" w:hAnsi="Bookman Old Style" w:cs="Arial"/>
          <w:sz w:val="22"/>
          <w:szCs w:val="22"/>
        </w:rPr>
        <w:t>BBMNET</w:t>
      </w:r>
      <w:r w:rsidRPr="00EA5804">
        <w:rPr>
          <w:rFonts w:ascii="Bookman Old Style" w:hAnsi="Bookman Old Style" w:cs="Arial"/>
          <w:sz w:val="22"/>
          <w:szCs w:val="22"/>
        </w:rPr>
        <w:t xml:space="preserve">. </w:t>
      </w:r>
    </w:p>
    <w:p w14:paraId="48A48432" w14:textId="3886F941"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2.1.1. O cadastro na plataforma eletrônica poderá ser realizado através do end</w:t>
      </w:r>
      <w:r>
        <w:rPr>
          <w:rFonts w:ascii="Bookman Old Style" w:hAnsi="Bookman Old Style" w:cs="Arial"/>
          <w:sz w:val="22"/>
          <w:szCs w:val="22"/>
        </w:rPr>
        <w:t xml:space="preserve">ereço </w:t>
      </w:r>
      <w:hyperlink r:id="rId11" w:history="1">
        <w:r w:rsidR="00123A97" w:rsidRPr="00123A97">
          <w:rPr>
            <w:rStyle w:val="Hyperlink"/>
            <w:rFonts w:ascii="Bookman Old Style" w:hAnsi="Bookman Old Style" w:cs="Arial"/>
            <w:color w:val="auto"/>
            <w:sz w:val="22"/>
            <w:szCs w:val="22"/>
            <w:u w:val="none"/>
          </w:rPr>
          <w:t>www.bbmnetlicitacoes.com.br</w:t>
        </w:r>
      </w:hyperlink>
      <w:r w:rsidRPr="00EA5804">
        <w:rPr>
          <w:rFonts w:ascii="Bookman Old Style" w:hAnsi="Bookman Old Style" w:cs="Arial"/>
          <w:sz w:val="22"/>
          <w:szCs w:val="22"/>
        </w:rPr>
        <w:t xml:space="preserve">. </w:t>
      </w:r>
    </w:p>
    <w:p w14:paraId="709F39DA" w14:textId="77777777" w:rsidR="00EA5804" w:rsidRDefault="00EA5804" w:rsidP="0075029B">
      <w:pPr>
        <w:pStyle w:val="corpo"/>
        <w:spacing w:before="0" w:after="0"/>
        <w:jc w:val="both"/>
        <w:rPr>
          <w:rFonts w:ascii="Bookman Old Style" w:hAnsi="Bookman Old Style" w:cs="Arial"/>
          <w:sz w:val="22"/>
          <w:szCs w:val="22"/>
        </w:rPr>
      </w:pPr>
    </w:p>
    <w:p w14:paraId="277B599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 Não poderão participar do procedimento: </w:t>
      </w:r>
    </w:p>
    <w:p w14:paraId="22F0E6E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 - autor do anteprojeto, do projeto básico ou do projeto executivo, pessoa física ou jurídica, quando o procedimento versar sobre obra, serviços ou fornecimento de bens a ele relacionados; </w:t>
      </w:r>
    </w:p>
    <w:p w14:paraId="746A7D6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procedimento versar sobre obra, serviços ou fornecimento de bens a ela necessários; </w:t>
      </w:r>
    </w:p>
    <w:p w14:paraId="61D0043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III - pessoa física ou jurídica que se encontre, ao tempo do procedimento, impossibilitada de participar de contratação em decorrência de sanção que lhe foi imposta; </w:t>
      </w:r>
    </w:p>
    <w:p w14:paraId="7EAF2EDC"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IV -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 </w:t>
      </w:r>
    </w:p>
    <w:p w14:paraId="68AEDA7B"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 - empresas controladoras, controladas ou coligadas, nos termos da Lei nº 6.404, de 15 de dezembro de 1976, concorrendo entre si; </w:t>
      </w:r>
    </w:p>
    <w:p w14:paraId="0B7FB4CA"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85477FA"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2.2.1. O impedimento de que trata o inciso III será também aplicado ao proponente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proponente. </w:t>
      </w:r>
    </w:p>
    <w:p w14:paraId="19F9AE26"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2.2.2. A critério da Administração e exclusivamente a seu serviço, o autor dos projetos e a empresa a que se referem os incisos I e II poderão participar no apoio das atividades de planejamento da</w:t>
      </w:r>
      <w:r>
        <w:rPr>
          <w:rFonts w:ascii="Bookman Old Style" w:hAnsi="Bookman Old Style" w:cs="Arial"/>
          <w:sz w:val="22"/>
          <w:szCs w:val="22"/>
        </w:rPr>
        <w:t xml:space="preserve"> </w:t>
      </w:r>
      <w:r w:rsidRPr="00EA5804">
        <w:rPr>
          <w:rFonts w:ascii="Bookman Old Style" w:hAnsi="Bookman Old Style" w:cs="Arial"/>
          <w:sz w:val="22"/>
          <w:szCs w:val="22"/>
        </w:rPr>
        <w:t xml:space="preserve">contratação, de execução do procedimento ou de gestão do contrato, desde que sob supervisão exclusiva de agentes públicos do órgão ou entidade. </w:t>
      </w:r>
    </w:p>
    <w:p w14:paraId="37E50F1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2.2.3. Equiparam-se aos autores do projeto as empresas integrantes do mesmo grupo econômico. </w:t>
      </w:r>
    </w:p>
    <w:p w14:paraId="14042D51" w14:textId="77777777" w:rsidR="00EA5804" w:rsidRDefault="00EA5804" w:rsidP="0075029B">
      <w:pPr>
        <w:pStyle w:val="corpo"/>
        <w:spacing w:before="0" w:after="0"/>
        <w:jc w:val="both"/>
        <w:rPr>
          <w:rFonts w:ascii="Bookman Old Style" w:hAnsi="Bookman Old Style" w:cs="Arial"/>
          <w:sz w:val="22"/>
          <w:szCs w:val="22"/>
        </w:rPr>
      </w:pPr>
    </w:p>
    <w:p w14:paraId="7F4B494C" w14:textId="7777777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3- DOS BENEFÍCIOS PARA MICROEMPRESAS OU EMPRESAS DE PEQUENO PORTE </w:t>
      </w:r>
    </w:p>
    <w:p w14:paraId="11D1ED42"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3.1. A obtenção dos benefícios aplicáveis às Microempresas - ME ou Empresas de Pequeno Porte – EPP, previstos nos Arts. 42 ao 49 da Lei Complementar nº 123/06, está condicionada àquelas que, no ano-calendário de realização do procedimento, ainda não tenham celebrado contratos com a Administração Pública cujos valores somados extrapolem a receita bruta máxima admitida para fins de enquadramento como Empresa de Pequeno Porte – EPP. </w:t>
      </w:r>
    </w:p>
    <w:p w14:paraId="1A9FF74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lastRenderedPageBreak/>
        <w:t xml:space="preserve">3.1.1. Nas contratações com prazo de vigência superior a 01 (um) ano, será considerado o valor anual do contrato para aplicação dos limites previstos. </w:t>
      </w:r>
    </w:p>
    <w:p w14:paraId="2B34B189"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3.1.2. Caso o proponente não esteja enquadrado como Microempresa-ME ou Empresa de Pequeno Porte – EPP, perderá os benefícios obtidos e poderá sofrer as sanções previstas neste instrumento convocatório e na legislação vigente. 3.3. Conforme Art. 18-E § 3° da Lei Complementar nº 123/06, o Microempreendedor Individual-MEI é uma modalidade de Microempresa - ME. </w:t>
      </w:r>
    </w:p>
    <w:p w14:paraId="4B26DA52" w14:textId="77777777" w:rsidR="00EA5804" w:rsidRDefault="00EA5804" w:rsidP="0075029B">
      <w:pPr>
        <w:pStyle w:val="corpo"/>
        <w:spacing w:before="0" w:after="0"/>
        <w:jc w:val="both"/>
        <w:rPr>
          <w:rFonts w:ascii="Bookman Old Style" w:hAnsi="Bookman Old Style" w:cs="Arial"/>
          <w:sz w:val="22"/>
          <w:szCs w:val="22"/>
        </w:rPr>
      </w:pPr>
    </w:p>
    <w:p w14:paraId="2C92528F" w14:textId="7777777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4- DA PARTICIPAÇÃO NO PROCEDIMENTO </w:t>
      </w:r>
    </w:p>
    <w:p w14:paraId="3CC9AFC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4.1. Os proponentes encaminharão, exclusivamente por meio do sistema eletrônico, a proposta com o preço, até a data e o horário estabelecidos para abertura da sessão pública. </w:t>
      </w:r>
    </w:p>
    <w:p w14:paraId="711D8002"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 No cadastramento da proposta inicial, o proponente declarará, em campo próprio do sistema: </w:t>
      </w:r>
    </w:p>
    <w:p w14:paraId="7E026EB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 A inexistência de fato impeditivo para licitar ou contratar com a Administração Pública; </w:t>
      </w:r>
    </w:p>
    <w:p w14:paraId="39B112DC"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II - O enquadramento na condição de microempresa e empresa de pequeno porte, nos termos da Lei Complementar nº 123, de 2006, apenas quando cabível; </w:t>
      </w:r>
    </w:p>
    <w:p w14:paraId="39EFD2FD"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III – O pleno conhecimento e aceitação das regras e das condições gerais da contratação</w:t>
      </w:r>
      <w:r>
        <w:rPr>
          <w:rFonts w:ascii="Bookman Old Style" w:hAnsi="Bookman Old Style" w:cs="Arial"/>
          <w:sz w:val="22"/>
          <w:szCs w:val="22"/>
        </w:rPr>
        <w:t>.</w:t>
      </w:r>
    </w:p>
    <w:p w14:paraId="3661F235"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IV - Será exigida do proponente a declaração de que cumpre as exigências de reserva de cargos para pessoa com deficiência e para reabilitado da Previdência Social, previstas em lei e em outras normas específicas. </w:t>
      </w:r>
    </w:p>
    <w:p w14:paraId="15268FDD"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 - O cumprimento das exigências de reserva de cargos para pessoa com deficiência e para reabilitado da Previdência Social. </w:t>
      </w:r>
    </w:p>
    <w:p w14:paraId="0D4C2BE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VI - O cumprimento do disposto no inciso VI do art. 68 da Lei nº 14.133/2021. </w:t>
      </w:r>
    </w:p>
    <w:p w14:paraId="74318C08"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VII - A responsabilidade pelas transações que forem efetuadas no sistema</w:t>
      </w:r>
      <w:r>
        <w:rPr>
          <w:rFonts w:ascii="Bookman Old Style" w:hAnsi="Bookman Old Style" w:cs="Arial"/>
          <w:sz w:val="22"/>
          <w:szCs w:val="22"/>
        </w:rPr>
        <w:t>.</w:t>
      </w:r>
      <w:r w:rsidRPr="00EA5804">
        <w:rPr>
          <w:rFonts w:ascii="Bookman Old Style" w:hAnsi="Bookman Old Style" w:cs="Arial"/>
          <w:sz w:val="22"/>
          <w:szCs w:val="22"/>
        </w:rPr>
        <w:t xml:space="preserve"> </w:t>
      </w:r>
    </w:p>
    <w:p w14:paraId="5EB54168" w14:textId="1AAC8313" w:rsidR="003615E3"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Bookman Old Style" w:hAnsi="Bookman Old Style" w:cs="Arial"/>
          <w:sz w:val="22"/>
          <w:szCs w:val="22"/>
        </w:rPr>
        <w:t>.</w:t>
      </w:r>
    </w:p>
    <w:p w14:paraId="6447769B"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IX - Que cumpre os requisitos de habilitação e que as declarações informadas são verídicas, conforme art. 63, inciso I, da Lei 14.133/2021. </w:t>
      </w:r>
    </w:p>
    <w:p w14:paraId="5B8A6006"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 - Que inexistem fatos impeditivos para sua habilitação no certame, ciente da obrigatoriedade de declarar ocorrências posteriores; </w:t>
      </w:r>
    </w:p>
    <w:p w14:paraId="26C33B6F"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 - Que não emprega menor de 18 anos em trabalho noturno, perigoso ou insalubre e não emprega menor de 16 anos, salvo menor, a partir de 14 anos, na condição de aprendiz, nos termos do artigo 7°,XXXIII, da Constituição; </w:t>
      </w:r>
    </w:p>
    <w:p w14:paraId="66C83874" w14:textId="77777777" w:rsidR="00EA5804"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XII - Que não possui, em sua cadeia produtiva, empregados executando trabalho degradante ou forçado, observando o disposto nos incisos III e IV do art. 1º e no inciso III do art. 5º da Constituição Federal; </w:t>
      </w:r>
    </w:p>
    <w:p w14:paraId="5ECB1218"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XIII - Que cumpre as exigências de reserva de cargos para pessoa com deficiência e para reabilitado da Previdência Social, previstas em lei e em outras normas específicas, conforme art. 63, inciso IV, Lei14.133/2021. </w:t>
      </w:r>
    </w:p>
    <w:p w14:paraId="283BB1B3"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XIV - Proibição de trabalho noturno, perigoso ou insalubre a menores de dezoito e de qualquer trabalho a menores de dezesseis anos, salvo na condição de aprendiz, a partir de quatorze anos</w:t>
      </w:r>
      <w:r w:rsidR="000313E5">
        <w:rPr>
          <w:rFonts w:ascii="Bookman Old Style" w:hAnsi="Bookman Old Style" w:cs="Arial"/>
          <w:sz w:val="22"/>
          <w:szCs w:val="22"/>
        </w:rPr>
        <w:t>.</w:t>
      </w:r>
    </w:p>
    <w:p w14:paraId="3FE97E1A"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XV - que: a proposta apresentada para participar do Processo Eletrônico, foi elaborada de maneira independente, e o conteúdo da proposta não foi, no todo ou em parte, direta ou indiretamente, informado, discutido ou recebido de qualquer outro participante potencial ou de fato do procedimento, por qualquer meio ou por qualquer pessoa. </w:t>
      </w:r>
    </w:p>
    <w:p w14:paraId="7E349AF3"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4.2.1. A falsidade da declaração sujeitará o proponente às sanções previstas neste edital, bem como àquelas previstas na Lei Federal nº 14.133/2021. </w:t>
      </w:r>
    </w:p>
    <w:p w14:paraId="2191D1AE"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4.2.2. Ao firmar a declaração constante no item II, o proponente declara simultaneamente que ainda não celebrou contratos nas condições estabelecidas no item 3.1 independentemente de transcrição. </w:t>
      </w:r>
    </w:p>
    <w:p w14:paraId="2C09517F"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lastRenderedPageBreak/>
        <w:t xml:space="preserve">4.3. Não haverá ordem de classificação na etapa de apresentação da proposta e dos documentos de habilitação pelo proponente, o que ocorrerá somente após os procedimentos de abertura da sessão pública. </w:t>
      </w:r>
    </w:p>
    <w:p w14:paraId="14C35910"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4.5. Serão disponibilizados para acesso público os documentos que compõem a proposta dos proponentes convocados para apresentação de propostas, após a fase de envio de lances. </w:t>
      </w:r>
    </w:p>
    <w:p w14:paraId="1D1D3F00"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4.6. Caberá ao proponente interessado em participar do procedimento, acompanhar as operações no sistema eletrônico durante o processo administrativo e se responsabilizar pelo ônus decorrente da perda de negócios diante da inobservância de mensagens emitidas pela Administração ou de sua desconexão. </w:t>
      </w:r>
    </w:p>
    <w:p w14:paraId="4A3FA485" w14:textId="77777777" w:rsidR="000313E5" w:rsidRDefault="00EA5804" w:rsidP="0075029B">
      <w:pPr>
        <w:pStyle w:val="corpo"/>
        <w:spacing w:before="0" w:after="0"/>
        <w:jc w:val="both"/>
        <w:rPr>
          <w:rFonts w:ascii="Bookman Old Style" w:hAnsi="Bookman Old Style" w:cs="Arial"/>
          <w:sz w:val="22"/>
          <w:szCs w:val="22"/>
        </w:rPr>
      </w:pPr>
      <w:r w:rsidRPr="00EA5804">
        <w:rPr>
          <w:rFonts w:ascii="Bookman Old Style" w:hAnsi="Bookman Old Style" w:cs="Arial"/>
          <w:sz w:val="22"/>
          <w:szCs w:val="22"/>
        </w:rPr>
        <w:t xml:space="preserve">4.7. O proponente deverá comunicar imediatamente ao provedor do sistema qualquer acontecimento que possa comprometer o sigilo ou a segurança, para imediato bloqueio de acesso. </w:t>
      </w:r>
    </w:p>
    <w:p w14:paraId="7C8F1328" w14:textId="77777777" w:rsidR="000313E5" w:rsidRDefault="000313E5" w:rsidP="0075029B">
      <w:pPr>
        <w:pStyle w:val="corpo"/>
        <w:spacing w:before="0" w:after="0"/>
        <w:jc w:val="both"/>
        <w:rPr>
          <w:rFonts w:ascii="Bookman Old Style" w:hAnsi="Bookman Old Style" w:cs="Arial"/>
          <w:sz w:val="22"/>
          <w:szCs w:val="22"/>
        </w:rPr>
      </w:pPr>
    </w:p>
    <w:p w14:paraId="4A00C5AE" w14:textId="06976527" w:rsidR="00EA5804" w:rsidRPr="00123A97" w:rsidRDefault="00EA5804"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5- DO PREENCHIMENTO DA PROPOSTA</w:t>
      </w:r>
    </w:p>
    <w:p w14:paraId="2C8EFB3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5.1. O proponente deverá enviar sua proposta mediante o preenchimento, no sistema eletrônico, dos seguintes campos: </w:t>
      </w:r>
    </w:p>
    <w:p w14:paraId="76921FF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Valor Unitário e Total; </w:t>
      </w:r>
    </w:p>
    <w:p w14:paraId="1DD3E06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 Marca/Fabricante e Modelo dos produtos ofertados; </w:t>
      </w:r>
    </w:p>
    <w:p w14:paraId="16629D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Descrição detalhada do objeto, contendo as informações similares à especificação do Termo de Referência, indicando, no que for aplicável, as informações adicionais necessárias. </w:t>
      </w:r>
    </w:p>
    <w:p w14:paraId="5EABD3C6" w14:textId="77777777" w:rsidR="000313E5" w:rsidRDefault="000313E5" w:rsidP="0075029B">
      <w:pPr>
        <w:pStyle w:val="corpo"/>
        <w:spacing w:before="0" w:after="0"/>
        <w:jc w:val="both"/>
        <w:rPr>
          <w:rFonts w:ascii="Bookman Old Style" w:hAnsi="Bookman Old Style" w:cs="Arial"/>
          <w:sz w:val="22"/>
          <w:szCs w:val="22"/>
        </w:rPr>
      </w:pPr>
    </w:p>
    <w:p w14:paraId="00E83B4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5.2. Todas as especificações do objeto contidas na proposta vinculam o proponente. </w:t>
      </w:r>
    </w:p>
    <w:p w14:paraId="4684635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5.3. Nos valores propostos estarão inclusos todos os custos operacionais, encargos previdenciários, trabalhistas, tributários, comerciais e quaisquer outros que incidam direta ou indiretamente na execução do objeto. </w:t>
      </w:r>
    </w:p>
    <w:p w14:paraId="429F205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5.4. Os preços ofertados, tanto na proposta inicial, quanto na etapa de lances, serão de exclusiva responsabilidade do proponente, não lhe assistindo o direito de pleitear qualquer alteração, sob alegação de erro, omissão ou qualquer outro pretexto. </w:t>
      </w:r>
    </w:p>
    <w:p w14:paraId="638E047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5.5. A apresentação das propostas implica obrigatoriedade do cumprimento das disposições nelas contidas, em conformidade com o que dispõe o Termo de Referência, assumindo o proponente o compromisso de executar o objeto contratado nos seus termos, bem como de fornecer os materiais, equipamentos, ferramentas e utensílios necessários, em quantidades e qualidades adequadas à perfeita execução contratual, promovendo, quando requerido, sua substituição. </w:t>
      </w:r>
    </w:p>
    <w:p w14:paraId="0CD645C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5.6. O prazo de validade da proposta não será inferior a 60 (sessenta) dias, a contar da data de sua apresentação. </w:t>
      </w:r>
    </w:p>
    <w:p w14:paraId="179C7311" w14:textId="77777777" w:rsidR="000313E5" w:rsidRDefault="000313E5" w:rsidP="0075029B">
      <w:pPr>
        <w:pStyle w:val="corpo"/>
        <w:spacing w:before="0" w:after="0"/>
        <w:jc w:val="both"/>
        <w:rPr>
          <w:rFonts w:ascii="Bookman Old Style" w:hAnsi="Bookman Old Style" w:cs="Arial"/>
          <w:sz w:val="22"/>
          <w:szCs w:val="22"/>
        </w:rPr>
      </w:pPr>
    </w:p>
    <w:p w14:paraId="67F71170"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6- DA ABERTURA DA SESSÃO, CLASSIFICAÇÃO DAS PROPOSTAS E FORMULAÇÃO DE LANCES </w:t>
      </w:r>
    </w:p>
    <w:p w14:paraId="17E6A14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6F87132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6.2. Iniciada a etapa competitiva, os fornecedores deverão encaminhar lances exclusivamente por meio de sistema eletrônico, sendo imediatamente informados do seu recebimento e do valor consignado no registro. </w:t>
      </w:r>
    </w:p>
    <w:p w14:paraId="4CC974F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6.3. O lance deverá ser ofertado pelo valor global do lote. </w:t>
      </w:r>
    </w:p>
    <w:p w14:paraId="79102CAE" w14:textId="679846C5"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6.4. O fornecedor somente poderá oferecer valor inferior ou percentual de desconto superior ao último lance por ele ofertado e registrado pelo sistema.</w:t>
      </w:r>
    </w:p>
    <w:p w14:paraId="416825C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6.5.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4D8EC4A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6.6. O intervalo mínimo de diferença de valores ou percentuais entre os lances, que incidirá tanto em relação aos lances intermediários quanto em relação ao que cobrir a melhor oferta é de um centavo. </w:t>
      </w:r>
    </w:p>
    <w:p w14:paraId="797F00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6.7. Havendo lances iguais ao menor já ofertado, prevalecerá aquele que for recebido e registrado primeiro no sistema. </w:t>
      </w:r>
    </w:p>
    <w:p w14:paraId="6703AE3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6.8. Caso o fornecedor não apresente lances, concorrerá com o valor de sua proposta. </w:t>
      </w:r>
    </w:p>
    <w:p w14:paraId="5B54792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6.9. Durante o procedimento, os fornecedores serão informados, em tempo real, do valor do menor lance ou do maior desconto registrado, vedada a identificação do fornecedor. </w:t>
      </w:r>
    </w:p>
    <w:p w14:paraId="2FF7C3D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6.10. Imediatamente após o término do prazo estabelecido para a fase de lances, haverá o seu encerramento, com o ordenamento e divulgação dos lances, pelo sistema, em ordem crescente de classificação. </w:t>
      </w:r>
    </w:p>
    <w:p w14:paraId="1CBC9C9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6.11.</w:t>
      </w:r>
      <w:r>
        <w:rPr>
          <w:rFonts w:ascii="Bookman Old Style" w:hAnsi="Bookman Old Style" w:cs="Arial"/>
          <w:sz w:val="22"/>
          <w:szCs w:val="22"/>
        </w:rPr>
        <w:t xml:space="preserve"> </w:t>
      </w:r>
      <w:r w:rsidRPr="000313E5">
        <w:rPr>
          <w:rFonts w:ascii="Bookman Old Style" w:hAnsi="Bookman Old Style" w:cs="Arial"/>
          <w:sz w:val="22"/>
          <w:szCs w:val="22"/>
        </w:rPr>
        <w:t xml:space="preserve">O encerramento da fase de lances ocorrerá de forma automática pontualmente no horário indicado, sem qualquer possibilidade de prorrogação e não havendo tempo aleatório ou mecanismo similar. </w:t>
      </w:r>
    </w:p>
    <w:p w14:paraId="02B66285"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 Encerrada a fase de lances, quando a proposta do primeiro colocado permanecer acima do preço máximo ou abaixo do desconto definido para a contratação, o agente de contratação poderá negociar condições mais vantajosas. </w:t>
      </w:r>
    </w:p>
    <w:p w14:paraId="32257BA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6.12.1. Neste caso, será encaminhada contraproposta ao fornecedor que tenha apresentado o menor preço ou o maior desconto, para que seja obtida a melhor proposta compatível em relação ao estipulado pela Administração. </w:t>
      </w:r>
    </w:p>
    <w:p w14:paraId="11217EF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 </w:t>
      </w:r>
    </w:p>
    <w:p w14:paraId="672DBB3A"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6.12.3. Em qualquer caso, concluída a negociação, se houver, o resultado será divulgado a todos e registrado na ata do procedimento da dispensa eletrônica, devendo esta ser anexada aos autos do processo de contratação. </w:t>
      </w:r>
    </w:p>
    <w:p w14:paraId="70D7416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6.12.4. 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4EB788E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6.12.5. Encerrada a etapa de negociação, se houver, o agente de contratação verificará se o fornecedor provisoriamente classificado em primeiro lugar atende às condições de participação</w:t>
      </w:r>
      <w:r>
        <w:rPr>
          <w:rFonts w:ascii="Bookman Old Style" w:hAnsi="Bookman Old Style" w:cs="Arial"/>
          <w:sz w:val="22"/>
          <w:szCs w:val="22"/>
        </w:rPr>
        <w:t xml:space="preserve"> </w:t>
      </w:r>
      <w:r w:rsidRPr="000313E5">
        <w:rPr>
          <w:rFonts w:ascii="Bookman Old Style" w:hAnsi="Bookman Old Style" w:cs="Arial"/>
          <w:sz w:val="22"/>
          <w:szCs w:val="22"/>
        </w:rPr>
        <w:t xml:space="preserve">no certame, conforme previsto no art. 14 da Lei nº 14.133/2021, legislação correlata e nos itens Erro! Fonte de referência não encontrada. e seguintes deste Aviso, especialmente quanto à existência de sanção que impeça a participação no processo de contratação direta ou a futura contratação, mediante a consulta aos seguintes cadastros: </w:t>
      </w:r>
    </w:p>
    <w:p w14:paraId="4F3A48A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Cadastro Nacional de Empresas Inidôneas e Suspensas - CEIS, mantido pela Controladoria-Geral da União (https://www.portaltransparencia.gov.br/sancoes/ceis); e </w:t>
      </w:r>
    </w:p>
    <w:p w14:paraId="667DD9F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b) Cadastro Nacional de Empresas Punidas – CNEP, mantido pela Controladoria-Geral da União (https://www.portaltransparencia.gov.br/sancoes/cnep). 6.12.5.1. A consulta aos cadastros será realizada em nome da empresa fornecedora e também de seu sócio majoritário, por força da vedação de que trata o artigo 12 da Lei n° 8.429, de 1992. </w:t>
      </w:r>
    </w:p>
    <w:p w14:paraId="50F6556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6.12.5.1.1. Caso conste na Consulta de Situação do fornecedor a existência de Ocorrências Impeditivas Indiretas, o órgão diligenciará para verificar se houve fraude por parte das empresas apontadas no Relatório de Ocorrências Impeditivas Indiretas. (IN nº 3/2018, art. 29, caput) </w:t>
      </w:r>
    </w:p>
    <w:p w14:paraId="608D8607"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6.12.5.2. A tentativa de burla será verificada por meio dos vínculos societários, linhas de fornecimento similares, dentre outros. (IN nº 3/2018, art. 29, §1º). </w:t>
      </w:r>
    </w:p>
    <w:p w14:paraId="4627107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6.12.5.3. O fornecedor será convocado para manifestação previamente a uma eventual desclassificação. </w:t>
      </w:r>
    </w:p>
    <w:p w14:paraId="4BA8222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6.12.5.4. Constatada a existência de sanção, o fornecedor será reputado inabilitado, por falta de condição de participação. </w:t>
      </w:r>
    </w:p>
    <w:p w14:paraId="28085FA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6.13. Verificadas as condições de participação, o gestor examinará a proposta classificada em primeiro lugar quanto à adequação ao objeto e à compatibilidade do preço em relação ao máximo estipulado para contratação neste Aviso de Contratação Direta e em seus anexos. </w:t>
      </w:r>
    </w:p>
    <w:p w14:paraId="2C19581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 Será desclassificada a proposta vencedora que: </w:t>
      </w:r>
    </w:p>
    <w:p w14:paraId="33E1911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contiver vícios insanáveis; </w:t>
      </w:r>
    </w:p>
    <w:p w14:paraId="2EF0CF9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b) não obedecer às especificações técnicas pormenorizadas neste aviso ou em seus anexos; </w:t>
      </w:r>
    </w:p>
    <w:p w14:paraId="579240B0"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c) apresentar preços inexequíveis </w:t>
      </w:r>
    </w:p>
    <w:p w14:paraId="460B97E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d) não tiver sua exequibilidade demonstrada, quando exigido pela Administração; </w:t>
      </w:r>
    </w:p>
    <w:p w14:paraId="66A2961B"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e) apresentar desconformidade com quaisquer outras exigências deste aviso ou seus anexos, desde que insanável. </w:t>
      </w:r>
    </w:p>
    <w:p w14:paraId="7FD6ED7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6.14.1. Quando o fornecedor não conseguir comprovar que possui ou possuirá recursos suficientes para executar a contento o objeto, será considerada inexequível a proposta de preços ou menor lance que: </w:t>
      </w:r>
    </w:p>
    <w:p w14:paraId="02F3FB3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a)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4672E18" w14:textId="64F850E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b) apresentar um ou mais valores da planilha de custo que sejam inferiores àqueles fixados em instrumentos de caráter normativo obrigatório, tais como leis, medidas provisórias e convenções coletivas de trabalho vigentes.</w:t>
      </w:r>
    </w:p>
    <w:p w14:paraId="0E149264"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6.14.2. Se houver indícios de inexequibilidade da proposta de preço, ou em caso da necessidade de esclarecimentos complementares, poderão ser efetuadas diligências, para que o fornecedor comprove a exequibilidade da proposta. </w:t>
      </w:r>
    </w:p>
    <w:p w14:paraId="3E276E5C" w14:textId="192478EE"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6.14.3. Erros no preenchimento da planilha não constituem motivo para a desclassificação da proposta. A planilha poderá́́ ser ajustada pelo fornecedor, no prazo indicado pelo sistema, desde que não haja majoração do preço. </w:t>
      </w:r>
    </w:p>
    <w:p w14:paraId="274008F8"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6.14.4. O ajuste de que trata este dispositivo se limita a sanar erros ou falhas que não alterem a substância das propostas; </w:t>
      </w:r>
    </w:p>
    <w:p w14:paraId="778BE68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6.14.5. Considera-se erro no preenchimento da planilha passível de correção a indicação de recolhimento de impostos e contribuições na forma do Simples Nacional, quando não cabível esse regime. </w:t>
      </w:r>
    </w:p>
    <w:p w14:paraId="31155783"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6.14.6. Para fins de análise da proposta quanto ao cumprimento das especificações do objeto, poderá ser colhida a manifestação escrita do setor requisitante do serviço ou da área especializada no objeto. </w:t>
      </w:r>
    </w:p>
    <w:p w14:paraId="79B887B1"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6.14.7. Se a proposta ou lance vencedor for desclassificado, será examinada a proposta ou lance subsequente, e, assim sucessivamente, na ordem de classificação. </w:t>
      </w:r>
    </w:p>
    <w:p w14:paraId="5EA49FB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6.14.8. Havendo necessidade, a sessão será suspensa, informando-se no “chat” a nova data e horário para a sua continuidade. </w:t>
      </w:r>
    </w:p>
    <w:p w14:paraId="1DEDCA25"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6.14.9. Encerrada a análise quanto à aceitação da proposta, será iniciada a fase de habilitação, observado o disposto neste Aviso de Contratação Direta. </w:t>
      </w:r>
    </w:p>
    <w:p w14:paraId="6D3E41FC" w14:textId="77777777" w:rsidR="000313E5" w:rsidRDefault="000313E5" w:rsidP="0075029B">
      <w:pPr>
        <w:pStyle w:val="corpo"/>
        <w:spacing w:before="0" w:after="0"/>
        <w:jc w:val="both"/>
        <w:rPr>
          <w:rFonts w:ascii="Bookman Old Style" w:hAnsi="Bookman Old Style" w:cs="Arial"/>
          <w:sz w:val="22"/>
          <w:szCs w:val="22"/>
        </w:rPr>
      </w:pPr>
    </w:p>
    <w:p w14:paraId="08764F5F"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7- DOCUMENTOS DE HABILITAÇÃO </w:t>
      </w:r>
    </w:p>
    <w:p w14:paraId="5FA72CDC" w14:textId="77777777" w:rsidR="000313E5" w:rsidRPr="00E05431"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7.1. O proponente vencedor encaminhará, exclusivamente por meio do sistema, os seguintes documentos </w:t>
      </w:r>
      <w:r w:rsidRPr="00E05431">
        <w:rPr>
          <w:rFonts w:ascii="Bookman Old Style" w:hAnsi="Bookman Old Style" w:cs="Arial"/>
          <w:sz w:val="22"/>
          <w:szCs w:val="22"/>
        </w:rPr>
        <w:t xml:space="preserve">para fins de habilitação: </w:t>
      </w:r>
    </w:p>
    <w:p w14:paraId="236FAE0C" w14:textId="77777777" w:rsidR="000313E5" w:rsidRPr="00E05431" w:rsidRDefault="000313E5" w:rsidP="0075029B">
      <w:pPr>
        <w:pStyle w:val="corpo"/>
        <w:spacing w:before="0" w:after="0"/>
        <w:jc w:val="both"/>
        <w:rPr>
          <w:rFonts w:ascii="Bookman Old Style" w:hAnsi="Bookman Old Style" w:cs="Arial"/>
          <w:sz w:val="22"/>
          <w:szCs w:val="22"/>
        </w:rPr>
      </w:pPr>
    </w:p>
    <w:p w14:paraId="0E74BBD5" w14:textId="77777777" w:rsidR="000313E5" w:rsidRPr="00E05431" w:rsidRDefault="000313E5" w:rsidP="0075029B">
      <w:pPr>
        <w:pStyle w:val="corpo"/>
        <w:spacing w:before="0" w:after="0"/>
        <w:jc w:val="both"/>
        <w:rPr>
          <w:rFonts w:ascii="Bookman Old Style" w:hAnsi="Bookman Old Style" w:cs="Arial"/>
          <w:b/>
          <w:sz w:val="22"/>
          <w:szCs w:val="22"/>
        </w:rPr>
      </w:pPr>
      <w:r w:rsidRPr="00E05431">
        <w:rPr>
          <w:rFonts w:ascii="Bookman Old Style" w:hAnsi="Bookman Old Style" w:cs="Arial"/>
          <w:b/>
          <w:sz w:val="22"/>
          <w:szCs w:val="22"/>
        </w:rPr>
        <w:t xml:space="preserve">7.1.1. REGULARIDADE JURÍDICA </w:t>
      </w:r>
    </w:p>
    <w:p w14:paraId="618B211D" w14:textId="7FAE4CCB" w:rsidR="00E05431" w:rsidRPr="00E05431" w:rsidRDefault="00E05431" w:rsidP="00E05431">
      <w:pPr>
        <w:jc w:val="both"/>
        <w:rPr>
          <w:rFonts w:ascii="Bookman Old Style" w:hAnsi="Bookman Old Style"/>
          <w:sz w:val="22"/>
          <w:szCs w:val="22"/>
        </w:rPr>
      </w:pPr>
      <w:r>
        <w:rPr>
          <w:rFonts w:ascii="Bookman Old Style" w:hAnsi="Bookman Old Style"/>
          <w:sz w:val="22"/>
          <w:szCs w:val="22"/>
        </w:rPr>
        <w:t xml:space="preserve">I - </w:t>
      </w:r>
      <w:r w:rsidRPr="00E05431">
        <w:rPr>
          <w:rFonts w:ascii="Bookman Old Style" w:hAnsi="Bookman Old Style"/>
          <w:sz w:val="22"/>
          <w:szCs w:val="22"/>
        </w:rPr>
        <w:t xml:space="preserve">Cópia da cédula de identidade e CPF do(s) sócio(s) ou de seus administradores, conforme o caso; </w:t>
      </w:r>
    </w:p>
    <w:p w14:paraId="31825165" w14:textId="00C5811F" w:rsidR="00E05431" w:rsidRPr="00E05431" w:rsidRDefault="00E05431" w:rsidP="00E05431">
      <w:pPr>
        <w:jc w:val="both"/>
        <w:rPr>
          <w:rFonts w:ascii="Bookman Old Style" w:hAnsi="Bookman Old Style"/>
          <w:sz w:val="22"/>
          <w:szCs w:val="22"/>
        </w:rPr>
      </w:pPr>
      <w:r>
        <w:rPr>
          <w:rFonts w:ascii="Bookman Old Style" w:hAnsi="Bookman Old Style"/>
          <w:sz w:val="22"/>
          <w:szCs w:val="22"/>
        </w:rPr>
        <w:t>II -</w:t>
      </w:r>
      <w:r w:rsidRPr="00E05431">
        <w:rPr>
          <w:rFonts w:ascii="Bookman Old Style" w:hAnsi="Bookman Old Style"/>
          <w:sz w:val="22"/>
          <w:szCs w:val="22"/>
        </w:rPr>
        <w:t xml:space="preserve"> Registro comercial, no caso de empresa individual ou Inscrição de Microempreendedor Individual, conforme o caso; </w:t>
      </w:r>
    </w:p>
    <w:p w14:paraId="6F794CD5" w14:textId="1C0E8120" w:rsidR="00E05431" w:rsidRPr="00E05431" w:rsidRDefault="00E05431" w:rsidP="00E05431">
      <w:pPr>
        <w:jc w:val="both"/>
        <w:rPr>
          <w:rFonts w:ascii="Bookman Old Style" w:hAnsi="Bookman Old Style"/>
          <w:sz w:val="22"/>
          <w:szCs w:val="22"/>
        </w:rPr>
      </w:pPr>
      <w:r>
        <w:rPr>
          <w:rFonts w:ascii="Bookman Old Style" w:hAnsi="Bookman Old Style"/>
          <w:sz w:val="22"/>
          <w:szCs w:val="22"/>
        </w:rPr>
        <w:t>III -</w:t>
      </w:r>
      <w:r w:rsidRPr="00E05431">
        <w:rPr>
          <w:rFonts w:ascii="Bookman Old Style" w:hAnsi="Bookman Old Style"/>
          <w:sz w:val="22"/>
          <w:szCs w:val="22"/>
        </w:rPr>
        <w:t xml:space="preserve"> Ato constitutivo, estatuto ou contrato social consolidado ou, caso não esteja consolidado, apresentar o contrato social acompanhado de todas as alterações contratuais, devidamente </w:t>
      </w:r>
      <w:r w:rsidRPr="00E05431">
        <w:rPr>
          <w:rFonts w:ascii="Bookman Old Style" w:hAnsi="Bookman Old Style"/>
          <w:sz w:val="22"/>
          <w:szCs w:val="22"/>
        </w:rPr>
        <w:lastRenderedPageBreak/>
        <w:t xml:space="preserve">registrado no órgão competente, em se tratando de sociedades comerciais, e, no caso de sociedade por ações, acompanhado de documentos relativos à eleição de seus administradores; </w:t>
      </w:r>
    </w:p>
    <w:p w14:paraId="1B85699D" w14:textId="4EB6C9B5" w:rsidR="00E05431" w:rsidRPr="00E05431" w:rsidRDefault="00E05431" w:rsidP="00E05431">
      <w:pPr>
        <w:jc w:val="both"/>
        <w:rPr>
          <w:rFonts w:ascii="Bookman Old Style" w:hAnsi="Bookman Old Style"/>
          <w:sz w:val="22"/>
          <w:szCs w:val="22"/>
        </w:rPr>
      </w:pPr>
      <w:r>
        <w:rPr>
          <w:rFonts w:ascii="Bookman Old Style" w:hAnsi="Bookman Old Style"/>
          <w:sz w:val="22"/>
          <w:szCs w:val="22"/>
        </w:rPr>
        <w:t>IV -</w:t>
      </w:r>
      <w:r w:rsidRPr="00E05431">
        <w:rPr>
          <w:rFonts w:ascii="Bookman Old Style" w:hAnsi="Bookman Old Style"/>
          <w:sz w:val="22"/>
          <w:szCs w:val="22"/>
        </w:rPr>
        <w:t xml:space="preserve"> Inscrição do ato constitutivo no caso de sociedades civis, acompanhada de documentação que identifique a Diretoria em exercício;</w:t>
      </w:r>
    </w:p>
    <w:p w14:paraId="6831649B" w14:textId="5144174B" w:rsidR="00E05431" w:rsidRPr="00E05431" w:rsidRDefault="00E05431" w:rsidP="00E05431">
      <w:pPr>
        <w:jc w:val="both"/>
        <w:rPr>
          <w:rFonts w:ascii="Bookman Old Style" w:hAnsi="Bookman Old Style"/>
          <w:sz w:val="22"/>
          <w:szCs w:val="22"/>
        </w:rPr>
      </w:pPr>
      <w:r>
        <w:rPr>
          <w:rFonts w:ascii="Bookman Old Style" w:hAnsi="Bookman Old Style"/>
          <w:sz w:val="22"/>
          <w:szCs w:val="22"/>
        </w:rPr>
        <w:t xml:space="preserve">V - </w:t>
      </w:r>
      <w:r w:rsidRPr="00E05431">
        <w:rPr>
          <w:rFonts w:ascii="Bookman Old Style" w:hAnsi="Bookman Old Style"/>
          <w:sz w:val="22"/>
          <w:szCs w:val="22"/>
        </w:rPr>
        <w:t xml:space="preserve">Decreto de autorização, em se tratando de empresa ou sociedade estrangeira em funcionamento no país, e ato de registro ou autorização para funcionamento expedido pelo órgão competente, quando a atividade assim exigir; </w:t>
      </w:r>
    </w:p>
    <w:p w14:paraId="49ED6D78" w14:textId="41F4E743" w:rsidR="00E05431" w:rsidRPr="00E05431" w:rsidRDefault="00E05431" w:rsidP="00E05431">
      <w:pPr>
        <w:jc w:val="both"/>
        <w:rPr>
          <w:rFonts w:ascii="Bookman Old Style" w:hAnsi="Bookman Old Style"/>
          <w:sz w:val="22"/>
          <w:szCs w:val="22"/>
        </w:rPr>
      </w:pPr>
      <w:r>
        <w:rPr>
          <w:rFonts w:ascii="Bookman Old Style" w:hAnsi="Bookman Old Style"/>
          <w:sz w:val="22"/>
          <w:szCs w:val="22"/>
        </w:rPr>
        <w:t>VI -</w:t>
      </w:r>
      <w:r w:rsidRPr="00E05431">
        <w:rPr>
          <w:rFonts w:ascii="Bookman Old Style" w:hAnsi="Bookman Old Style"/>
          <w:sz w:val="22"/>
          <w:szCs w:val="22"/>
        </w:rPr>
        <w:t xml:space="preserve"> Certidão Simplificada da Junta Comercial do Estado da sede da licitante, emitida a no máximo trinta dias.</w:t>
      </w:r>
    </w:p>
    <w:p w14:paraId="6B5CDA1F" w14:textId="77777777" w:rsidR="000313E5" w:rsidRDefault="000313E5" w:rsidP="0075029B">
      <w:pPr>
        <w:pStyle w:val="corpo"/>
        <w:spacing w:before="0" w:after="0"/>
        <w:jc w:val="both"/>
        <w:rPr>
          <w:rFonts w:ascii="Bookman Old Style" w:hAnsi="Bookman Old Style" w:cs="Arial"/>
          <w:sz w:val="22"/>
          <w:szCs w:val="22"/>
        </w:rPr>
      </w:pPr>
    </w:p>
    <w:p w14:paraId="6428D344" w14:textId="77777777" w:rsidR="000313E5" w:rsidRPr="00E05431"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7.1.2. </w:t>
      </w:r>
      <w:r w:rsidRPr="00E05431">
        <w:rPr>
          <w:rFonts w:ascii="Bookman Old Style" w:hAnsi="Bookman Old Style" w:cs="Arial"/>
          <w:b/>
          <w:sz w:val="22"/>
          <w:szCs w:val="22"/>
        </w:rPr>
        <w:t xml:space="preserve">REGULARIDADE FISCAL, SOCIAL E TRABALHISTA </w:t>
      </w:r>
    </w:p>
    <w:p w14:paraId="0C297106" w14:textId="63E13C0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 - Prova de inscrição do Cadastro Nacional de Pessoa Jurídica (CNPJ); </w:t>
      </w:r>
    </w:p>
    <w:p w14:paraId="2CE1ACA6" w14:textId="4A9B14E6"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II - </w:t>
      </w:r>
      <w:r w:rsidRPr="00E0543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Pr="00E05431">
        <w:rPr>
          <w:rFonts w:ascii="Bookman Old Style" w:hAnsi="Bookman Old Style" w:cs="Arial"/>
          <w:sz w:val="22"/>
          <w:szCs w:val="22"/>
        </w:rPr>
        <w:t>Prova de regularidade relativa à seguridade social)</w:t>
      </w:r>
      <w:r w:rsidRPr="00E05431">
        <w:rPr>
          <w:rFonts w:ascii="Bookman Old Style" w:hAnsi="Bookman Old Style"/>
          <w:sz w:val="22"/>
          <w:szCs w:val="22"/>
        </w:rPr>
        <w:t xml:space="preserve"> </w:t>
      </w:r>
    </w:p>
    <w:p w14:paraId="68A9145E" w14:textId="69F9E42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III - </w:t>
      </w:r>
      <w:r w:rsidRPr="00E05431">
        <w:rPr>
          <w:rFonts w:ascii="Bookman Old Style" w:hAnsi="Bookman Old Style" w:cs="Arial"/>
          <w:sz w:val="22"/>
          <w:szCs w:val="22"/>
        </w:rPr>
        <w:t>Prova de regularidade com a Fazenda do Estado ou do Distrito Federal, se for o caso, onde a Empresa tiver sede</w:t>
      </w:r>
      <w:r w:rsidRPr="00E05431">
        <w:rPr>
          <w:rFonts w:ascii="Bookman Old Style" w:hAnsi="Bookman Old Style"/>
          <w:sz w:val="22"/>
          <w:szCs w:val="22"/>
        </w:rPr>
        <w:t xml:space="preserve">; </w:t>
      </w:r>
    </w:p>
    <w:p w14:paraId="397F4D64" w14:textId="5FEC2192"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IV - </w:t>
      </w:r>
      <w:r w:rsidRPr="00E05431">
        <w:rPr>
          <w:rFonts w:ascii="Bookman Old Style" w:hAnsi="Bookman Old Style" w:cs="Arial"/>
          <w:sz w:val="22"/>
          <w:szCs w:val="22"/>
        </w:rPr>
        <w:t>Prova de Regularidade com a Fazenda Municipal, sede da Empresa participante</w:t>
      </w:r>
      <w:r w:rsidRPr="00E05431">
        <w:rPr>
          <w:rFonts w:ascii="Bookman Old Style" w:hAnsi="Bookman Old Style"/>
          <w:sz w:val="22"/>
          <w:szCs w:val="22"/>
        </w:rPr>
        <w:t xml:space="preserve">; </w:t>
      </w:r>
    </w:p>
    <w:p w14:paraId="63C8B6BD" w14:textId="7BF21D60" w:rsidR="00E05431" w:rsidRPr="00E05431" w:rsidRDefault="00E05431" w:rsidP="00E05431">
      <w:pPr>
        <w:jc w:val="both"/>
        <w:rPr>
          <w:rFonts w:ascii="Bookman Old Style" w:hAnsi="Bookman Old Style"/>
          <w:sz w:val="22"/>
          <w:szCs w:val="22"/>
        </w:rPr>
      </w:pPr>
      <w:r w:rsidRPr="00E05431">
        <w:rPr>
          <w:rFonts w:ascii="Bookman Old Style" w:hAnsi="Bookman Old Style"/>
          <w:sz w:val="22"/>
          <w:szCs w:val="22"/>
        </w:rPr>
        <w:t xml:space="preserve">V - </w:t>
      </w:r>
      <w:r w:rsidRPr="00E05431">
        <w:rPr>
          <w:rFonts w:ascii="Bookman Old Style" w:hAnsi="Bookman Old Style" w:cs="Arial"/>
          <w:sz w:val="22"/>
          <w:szCs w:val="22"/>
        </w:rPr>
        <w:t>Prova de regularidade relativa ao Fundo de Garantia por Tempo de Serviço - FGTS, emitida pela Caixa Econômica Federal</w:t>
      </w:r>
      <w:r w:rsidRPr="00E05431">
        <w:rPr>
          <w:rFonts w:ascii="Bookman Old Style" w:hAnsi="Bookman Old Style"/>
          <w:sz w:val="22"/>
          <w:szCs w:val="22"/>
        </w:rPr>
        <w:t xml:space="preserve">; </w:t>
      </w:r>
    </w:p>
    <w:p w14:paraId="3F1BCBE9" w14:textId="4642E5CE" w:rsidR="00E05431" w:rsidRPr="00E05431" w:rsidRDefault="00E05431" w:rsidP="00E05431">
      <w:pPr>
        <w:pStyle w:val="corpo"/>
        <w:spacing w:before="0" w:after="0"/>
        <w:jc w:val="both"/>
        <w:rPr>
          <w:rFonts w:ascii="Bookman Old Style" w:hAnsi="Bookman Old Style" w:cs="Arial"/>
          <w:sz w:val="22"/>
          <w:szCs w:val="22"/>
        </w:rPr>
      </w:pPr>
      <w:r w:rsidRPr="00E05431">
        <w:rPr>
          <w:rFonts w:ascii="Bookman Old Style" w:hAnsi="Bookman Old Style"/>
          <w:sz w:val="22"/>
          <w:szCs w:val="22"/>
        </w:rPr>
        <w:t xml:space="preserve">VI - </w:t>
      </w:r>
      <w:r w:rsidRPr="00E05431">
        <w:rPr>
          <w:rFonts w:ascii="Bookman Old Style" w:hAnsi="Bookman Old Style" w:cs="Arial"/>
          <w:sz w:val="22"/>
          <w:szCs w:val="22"/>
        </w:rPr>
        <w:t>Certidão Negativa de Débitos Trabalhistas (CNDT), emitida pela Justiça do Trabalho ou comprovação de regularidade perante a Justiça através da Certidão Positiva com efeitos de Negativa. A Certidão deve ser emitida em caráter Nacional</w:t>
      </w:r>
      <w:r w:rsidRPr="00E05431">
        <w:rPr>
          <w:rFonts w:ascii="Bookman Old Style" w:hAnsi="Bookman Old Style"/>
          <w:sz w:val="22"/>
          <w:szCs w:val="22"/>
        </w:rPr>
        <w:t>;</w:t>
      </w:r>
    </w:p>
    <w:p w14:paraId="46F8313D" w14:textId="0334283D" w:rsidR="000313E5" w:rsidRPr="00E05431" w:rsidRDefault="000313E5" w:rsidP="0075029B">
      <w:pPr>
        <w:pStyle w:val="corpo"/>
        <w:spacing w:before="0" w:after="0"/>
        <w:jc w:val="both"/>
        <w:rPr>
          <w:rFonts w:ascii="Bookman Old Style" w:hAnsi="Bookman Old Style" w:cs="Arial"/>
          <w:sz w:val="22"/>
          <w:szCs w:val="22"/>
        </w:rPr>
      </w:pPr>
      <w:r w:rsidRPr="00E05431">
        <w:rPr>
          <w:rFonts w:ascii="Bookman Old Style" w:hAnsi="Bookman Old Style" w:cs="Arial"/>
          <w:sz w:val="22"/>
          <w:szCs w:val="22"/>
        </w:rPr>
        <w:t xml:space="preserve">VII- Declaração que não emprega menor de 18 (dezoito) anos em trabalho noturno, perigoso ou insalubre e não emprego menor de 16 (dezesseis) anos, salvo menor, a partir dos 14 (quatorze) anos, na condição de aprendiz, nos termos do inciso XXXIII, do art. 7º, da Constituição Federal/88. </w:t>
      </w:r>
    </w:p>
    <w:p w14:paraId="05BB8D5F" w14:textId="77777777" w:rsidR="000313E5" w:rsidRPr="00E05431" w:rsidRDefault="000313E5" w:rsidP="0075029B">
      <w:pPr>
        <w:pStyle w:val="corpo"/>
        <w:spacing w:before="0" w:after="0"/>
        <w:jc w:val="both"/>
        <w:rPr>
          <w:rFonts w:ascii="Bookman Old Style" w:hAnsi="Bookman Old Style" w:cs="Arial"/>
          <w:sz w:val="22"/>
          <w:szCs w:val="22"/>
        </w:rPr>
      </w:pPr>
    </w:p>
    <w:p w14:paraId="072B1669" w14:textId="77777777" w:rsidR="000313E5" w:rsidRPr="00123A97" w:rsidRDefault="000313E5" w:rsidP="0075029B">
      <w:pPr>
        <w:pStyle w:val="corpo"/>
        <w:spacing w:before="0" w:after="0"/>
        <w:jc w:val="both"/>
        <w:rPr>
          <w:rFonts w:ascii="Bookman Old Style" w:hAnsi="Bookman Old Style" w:cs="Arial"/>
          <w:b/>
          <w:sz w:val="22"/>
          <w:szCs w:val="22"/>
        </w:rPr>
      </w:pPr>
      <w:r w:rsidRPr="00E05431">
        <w:rPr>
          <w:rFonts w:ascii="Bookman Old Style" w:hAnsi="Bookman Old Style" w:cs="Arial"/>
          <w:b/>
          <w:sz w:val="22"/>
          <w:szCs w:val="22"/>
        </w:rPr>
        <w:t>7.1.3. QUALIFICAÇÃO ECONÔMICO</w:t>
      </w:r>
      <w:r w:rsidRPr="00123A97">
        <w:rPr>
          <w:rFonts w:ascii="Bookman Old Style" w:hAnsi="Bookman Old Style" w:cs="Arial"/>
          <w:b/>
          <w:sz w:val="22"/>
          <w:szCs w:val="22"/>
        </w:rPr>
        <w:t xml:space="preserve">-FINANCEIRA: </w:t>
      </w:r>
    </w:p>
    <w:p w14:paraId="0586EFA3" w14:textId="6480E982"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CERTIDÃO NEGATIVA DE FALÊNCIA/CONCORDATA da Sede da pessoa jurídica proponente, expedida pelo cartório distribuidor, com data de emissão de no máximo 90 (noventa) dias da data estipulada para abertura do certame, exceto se outra data não constar expressamente no documento. </w:t>
      </w:r>
    </w:p>
    <w:p w14:paraId="408B12CB" w14:textId="77777777" w:rsidR="00E05431" w:rsidRDefault="00E05431" w:rsidP="0075029B">
      <w:pPr>
        <w:pStyle w:val="corpo"/>
        <w:spacing w:before="0" w:after="0"/>
        <w:jc w:val="both"/>
        <w:rPr>
          <w:rFonts w:ascii="Bookman Old Style" w:hAnsi="Bookman Old Style" w:cs="Arial"/>
          <w:sz w:val="22"/>
          <w:szCs w:val="22"/>
        </w:rPr>
      </w:pPr>
    </w:p>
    <w:p w14:paraId="3E988DB6" w14:textId="284FE26F"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7.2. Os documentos exigidos para fins de habilitação poderão ser apresentados em seu formato original, por cópia ou por digitalização.</w:t>
      </w:r>
    </w:p>
    <w:p w14:paraId="0E71183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7.2.1. Somente haverá a necessidade de comprovação do preenchimento de requisitos mediante apresentação dos documentos originais não-digitais quando houver dúvida em relação à integridade do documento digital ou quando a lei expressamente o exigir. </w:t>
      </w:r>
    </w:p>
    <w:p w14:paraId="67387A4F"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7.3. Será verificado se o proponente apresentou declaração de que atende aos requisitos de habilitação, e o declarante responderá pela veracidade das informações prestadas, na forma da lei (art. 63, I, da Lei nº 14.133/21). </w:t>
      </w:r>
    </w:p>
    <w:p w14:paraId="6177F03C"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7.4. Será verificado se o proponente apresentou no sistema, sob pena de inabilitação, a declaração de que cumpre as exigências de reserva de cargos para pessoa com deficiência e para reabilitado da Previdência Social, previstas em lei e em outras normas específicas. </w:t>
      </w:r>
    </w:p>
    <w:p w14:paraId="5393474D"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7.5. Será verificado se o proponente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3DBFDD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7.6. É de responsabilidade do proponente conferir a exatidão dos seus dados cadastrais e mantê-los atualizados junto aos órgãos responsáveis pela informação, devendo proceder, </w:t>
      </w:r>
      <w:r w:rsidRPr="000313E5">
        <w:rPr>
          <w:rFonts w:ascii="Bookman Old Style" w:hAnsi="Bookman Old Style" w:cs="Arial"/>
          <w:sz w:val="22"/>
          <w:szCs w:val="22"/>
        </w:rPr>
        <w:lastRenderedPageBreak/>
        <w:t xml:space="preserve">imediatamente, à correção ou à alteração dos registros tão logo identifique incorreção ou aqueles se tornem desatualizados. </w:t>
      </w:r>
    </w:p>
    <w:p w14:paraId="3E6DF509"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7.6.1. A não observância do disposto no item anterior poderá ensejar desclassificação no momento da habilitação. </w:t>
      </w:r>
    </w:p>
    <w:p w14:paraId="08ED9D3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7.7. Serão exigidos os documentos relativos à regularidade fiscal, em qualquer caso, somente em momento posterior ao julgamento das propostas, e apenas do proponente mais bem classificado. </w:t>
      </w:r>
    </w:p>
    <w:p w14:paraId="493FD0C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7.8. Após a entrega dos documentos para habilitação, não será permitida a substituição ou a apresentação de novos documentos, salvo em sede de diligência, para: </w:t>
      </w:r>
    </w:p>
    <w:p w14:paraId="19A03142"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complementação de informações acerca dos documentos já apresentados pelos proponentes e desde que necessária para apurar fatos existentes à época da abertura do certame; e </w:t>
      </w:r>
    </w:p>
    <w:p w14:paraId="3FC47B6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atualização de documentos cuja validade tenha expirado após a data de recebimento das propostas; </w:t>
      </w:r>
    </w:p>
    <w:p w14:paraId="04A9E556"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8FA568A" w14:textId="04CFC0D4"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7.10. Na hipótese de o proponente não atender às exigências para habilitação, o agente de contratação examinará a proposta subsequente e assim sucessivamente, na ordem de classificação, até a apuração de uma proposta que atenda ao presente instrumento convocatório.</w:t>
      </w:r>
    </w:p>
    <w:p w14:paraId="6667FC3E" w14:textId="77777777"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7.11. Somente serão disponibilizados para acesso público os documentos de habilitação do proponente cuja proposta atenda ao aviso de contratação direta, após concluídos os procedimentos de que trata o subitem anterior. </w:t>
      </w:r>
    </w:p>
    <w:p w14:paraId="6CC14ADC" w14:textId="77777777" w:rsidR="000313E5" w:rsidRDefault="000313E5" w:rsidP="0075029B">
      <w:pPr>
        <w:pStyle w:val="corpo"/>
        <w:spacing w:before="0" w:after="0"/>
        <w:jc w:val="both"/>
        <w:rPr>
          <w:rFonts w:ascii="Bookman Old Style" w:hAnsi="Bookman Old Style" w:cs="Arial"/>
          <w:sz w:val="22"/>
          <w:szCs w:val="22"/>
        </w:rPr>
      </w:pPr>
    </w:p>
    <w:p w14:paraId="4E61C751" w14:textId="77777777" w:rsidR="000313E5"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8- DOS RECURSOS </w:t>
      </w:r>
    </w:p>
    <w:p w14:paraId="0EAEED32"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8.1. A interposição de recurso referente ao julgamento das propostas, à habilitação ou inabilitação de proponentes, observará o disposto no art. 165 da Lei nº 14.133, de 2021. </w:t>
      </w:r>
    </w:p>
    <w:p w14:paraId="720F105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8.2. O prazo recursal é de 3 (três) dias úteis, contados da data de intimação ou de lavratura da ata. </w:t>
      </w:r>
    </w:p>
    <w:p w14:paraId="047444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8.3. Quando o recurso apresentado impugnar o julgamento das propostas ou o ato de habilitação ou inabilitação do proponente: </w:t>
      </w:r>
    </w:p>
    <w:p w14:paraId="40E0950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 intenção de recorrer deverá ser manifestada imediatamente, sob pena de preclusão; </w:t>
      </w:r>
    </w:p>
    <w:p w14:paraId="100006DC"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o prazo para apresentação das razões recursais será iniciado na data de intimação ou de lavratura da ata de habilitação ou inabilitação; </w:t>
      </w:r>
    </w:p>
    <w:p w14:paraId="52A46E6A"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8.4. Os recursos deverão ser encaminhados em campo próprio do sistema. </w:t>
      </w:r>
    </w:p>
    <w:p w14:paraId="15F8ED0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49FED95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8.6. Os recursos interpostos fora do prazo não serão conhecidos. </w:t>
      </w:r>
    </w:p>
    <w:p w14:paraId="62732CA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8.7. O prazo para apresentação de contrarrazões ao recurso pelos demais proponentes será de 3 (três) dias úteis, contados da data da intimação pessoal ou da divulgação da interposição do recurso, assegurada a vista imediata dos elementos indispensáveis à defesa de seus interesses. </w:t>
      </w:r>
    </w:p>
    <w:p w14:paraId="2EA775B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8.8. O recurso e o pedido de reconsideração terão efeito suspensivo do ato ou da decisão recorrida até que sobrevenha decisão final da autoridade competente. </w:t>
      </w:r>
    </w:p>
    <w:p w14:paraId="7FFD71D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8.9. O acolhimento do recurso invalida tão somente os atos insuscetíveis de aproveitamento. </w:t>
      </w:r>
    </w:p>
    <w:p w14:paraId="170A9E70" w14:textId="77777777" w:rsidR="002C0DC6" w:rsidRDefault="002C0DC6" w:rsidP="0075029B">
      <w:pPr>
        <w:pStyle w:val="corpo"/>
        <w:spacing w:before="0" w:after="0"/>
        <w:jc w:val="both"/>
        <w:rPr>
          <w:rFonts w:ascii="Bookman Old Style" w:hAnsi="Bookman Old Style" w:cs="Arial"/>
          <w:sz w:val="22"/>
          <w:szCs w:val="22"/>
        </w:rPr>
      </w:pPr>
    </w:p>
    <w:p w14:paraId="0D6CDE0C" w14:textId="77777777" w:rsidR="002C0DC6" w:rsidRPr="00123A97" w:rsidRDefault="000313E5"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9 - DAS INFRAÇÕES E SANÇÕES ADMINISTRATIVAS </w:t>
      </w:r>
    </w:p>
    <w:p w14:paraId="218061D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9.1. Comete infração administrativa, nos termos da lei, o proponente que, com dolo ou culpa: </w:t>
      </w:r>
    </w:p>
    <w:p w14:paraId="42E993B1"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 dar causa à inexecução parcial do contrato; </w:t>
      </w:r>
    </w:p>
    <w:p w14:paraId="7993F5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lastRenderedPageBreak/>
        <w:t xml:space="preserve">II - dar causa à inexecução parcial do contrato que cause grave dano à Administração, ao funcionamento dos serviços públicos ou ao interesse coletivo; </w:t>
      </w:r>
    </w:p>
    <w:p w14:paraId="38FD120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 dar causa à inexecução total do contrato; </w:t>
      </w:r>
    </w:p>
    <w:p w14:paraId="0A28369F"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IV - deixar de entregar a documentação exigida para o certame; </w:t>
      </w:r>
    </w:p>
    <w:p w14:paraId="55069BA7"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 - não manter a proposta, salvo em decorrência de fato superveniente devidamente justificado; </w:t>
      </w:r>
    </w:p>
    <w:p w14:paraId="138EE55F" w14:textId="798E3A5E" w:rsidR="00EA5804"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VI - não celebrar o contrato ou não entregar a documentação exigida para a contratação, quando convocado dentro do prazo de validade de sua proposta;</w:t>
      </w:r>
    </w:p>
    <w:p w14:paraId="316ACE2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VII - ensejar o retardamento da execução ou da entrega do objeto sem motivo justificado; </w:t>
      </w:r>
    </w:p>
    <w:p w14:paraId="2326CC3A"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VIII - apresentar declaração ou documentação falsa exigida para o certame ou prestar declaração falsa durante o procedimento ou a execução do contrato; </w:t>
      </w:r>
    </w:p>
    <w:p w14:paraId="153AF9B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IX - fraudar o procedimento ou praticar ato fraudulento na execução do contrato; </w:t>
      </w:r>
    </w:p>
    <w:p w14:paraId="62713E0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 - comportar-se de modo inidôneo ou cometer fraude de qualquer natureza; </w:t>
      </w:r>
    </w:p>
    <w:p w14:paraId="1EAF7CD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XI - praticar atos ilícitos com vistas a frustrar os objetivos do procedimento; </w:t>
      </w:r>
    </w:p>
    <w:p w14:paraId="5D4F63A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XII - praticar ato lesivo previsto no art. 5º da Lei nº 12.846, de 1º de agosto de 2013. </w:t>
      </w:r>
    </w:p>
    <w:p w14:paraId="6D421FDE"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 Com fulcro na Lei nº 14.133, de 2021, a Administração poderá, garantida a prévia defesa, aplicar aos proponentes e/ou adjudicatários as seguintes sanções, sem prejuízo das responsabilidades civil e criminal: </w:t>
      </w:r>
    </w:p>
    <w:p w14:paraId="1474216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advertência; </w:t>
      </w:r>
    </w:p>
    <w:p w14:paraId="2DC200F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multa; </w:t>
      </w:r>
    </w:p>
    <w:p w14:paraId="2133D4C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III- impedimento de licitar e contratar e </w:t>
      </w:r>
    </w:p>
    <w:p w14:paraId="65018BA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IV- declaração de inidoneidade para licitar ou contratar, enquanto perdurarem os motivos determinantes da punição ou até que seja promovida sua reabilitação perante a própria autoridade que aplicou a penalidade. </w:t>
      </w:r>
    </w:p>
    <w:p w14:paraId="6084A1F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9.2.1. As sanções previstas nos incisos I, III e IV poderão ser aplicadas cumulativamente com a prevista no inciso II. </w:t>
      </w:r>
    </w:p>
    <w:p w14:paraId="31E5A90D"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9.2.2. Se a multa aplicada e as indenizações cabíveis forem superiores ao valor de pagamento eventualmente devido pela Administração ao contratado, além da perda desse valor, a diferença será descontada da garantia prestada ou será cobrada judicialmente. </w:t>
      </w:r>
    </w:p>
    <w:p w14:paraId="74E10779"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9.2.3. A aplicação das sanções não exclui, em hipótese alguma, a obrigação de reparação integral do dano causado à Administração Pública. </w:t>
      </w:r>
    </w:p>
    <w:p w14:paraId="30FD959C"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9.2.4. Na aplicação da sanção prevista no inciso II, será facultada a defesa do interessado no prazo de 15 (quinze) dias úteis, contado da data de sua intimação. </w:t>
      </w:r>
    </w:p>
    <w:p w14:paraId="30038DA5"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9.2.5. A aplicação das sanções previstas nos incisos III e IV requererá a instauração de processo de responsabilização, a ser conduzido por comissão composta de 02 (dois) ou mais servidores estáveis, que avaliará fatos e circunstancias conhecidos e intimará o proponente ou o contratado para, no prazo de 15 (quinze) dias úteis, contado da data de intimação, apresentar defesa escrita e especificar as provas que pretenda produzir. </w:t>
      </w:r>
    </w:p>
    <w:p w14:paraId="0D4FCB52"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9.2.5.1. Na hipótese de deferimento de pedido de produção de novas provas ou de juntada de provas julgadas indispensáveis pela comissão, o proponente ou o contratado poderá apresentar alegações finais no prazo de 15 (quinze) dias úteis, contado da data da intimação. </w:t>
      </w:r>
    </w:p>
    <w:p w14:paraId="7894E183"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9.2.5.2. Serão indeferidas pela comissão, mediante decisão fundamentada, provas ilícitas, impertinentes, desnecessárias, protelatórias ou intempestivas.</w:t>
      </w:r>
    </w:p>
    <w:p w14:paraId="091ABB7B"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9.3. Na aplicação das sanções serão considerados: </w:t>
      </w:r>
    </w:p>
    <w:p w14:paraId="794F5C86"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 a natureza e a gravidade da infração cometida. </w:t>
      </w:r>
    </w:p>
    <w:p w14:paraId="57CB2244" w14:textId="77777777" w:rsidR="002C0DC6"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 xml:space="preserve">II- as peculiaridades do caso concreto </w:t>
      </w:r>
    </w:p>
    <w:p w14:paraId="14E05E16" w14:textId="26EE7208" w:rsidR="000313E5" w:rsidRDefault="000313E5" w:rsidP="0075029B">
      <w:pPr>
        <w:pStyle w:val="corpo"/>
        <w:spacing w:before="0" w:after="0"/>
        <w:jc w:val="both"/>
        <w:rPr>
          <w:rFonts w:ascii="Bookman Old Style" w:hAnsi="Bookman Old Style" w:cs="Arial"/>
          <w:sz w:val="22"/>
          <w:szCs w:val="22"/>
        </w:rPr>
      </w:pPr>
      <w:r w:rsidRPr="000313E5">
        <w:rPr>
          <w:rFonts w:ascii="Bookman Old Style" w:hAnsi="Bookman Old Style" w:cs="Arial"/>
          <w:sz w:val="22"/>
          <w:szCs w:val="22"/>
        </w:rPr>
        <w:t>III- as circunstâncias agravantes ou atenuantes</w:t>
      </w:r>
    </w:p>
    <w:p w14:paraId="448DAB0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os danos que dela provierem para a Administração Pública </w:t>
      </w:r>
    </w:p>
    <w:p w14:paraId="7113700C"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a implantação ou o aperfeiçoamento de programa de integridade, conforme normas e orientações dos órgãos de controle. </w:t>
      </w:r>
    </w:p>
    <w:p w14:paraId="53FCAF37"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9.4. A sanção administrativa de advertência, inciso I do item 10.2, será aplicada exclusivamente pela infração que der causa à inexecução parcial do contrato, inciso I do item 10.1, quando não se justificar imposição de penalidade mais grave. </w:t>
      </w:r>
    </w:p>
    <w:p w14:paraId="21BB78C4"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9.5. A sanção administrativa de multa, inciso II do item 10.2., será aplicada, ao responsável por qualquer das infrações previstas no item 10.1. deste instrumento, não podendo ser inferior a 0,5% (cinco décimos por cento) nem superior a 30% (trinta por cento) do valor do contrato. </w:t>
      </w:r>
    </w:p>
    <w:p w14:paraId="27799DA1"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9.5.1. A multa será calculada pelo gestor do contrato que deverá observar para sua aplicação o disposto no item 10.3. </w:t>
      </w:r>
    </w:p>
    <w:p w14:paraId="5D6E71AE"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9.6. 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 </w:t>
      </w:r>
    </w:p>
    <w:p w14:paraId="7589FF1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9.7. 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 </w:t>
      </w:r>
    </w:p>
    <w:p w14:paraId="6D286A2A"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9.7.1. A sanção administrativa prevista no inciso IV do item 10.2 será precedida de análise jurídica e será de competência exclusiva do secretário municipal responsável. </w:t>
      </w:r>
    </w:p>
    <w:p w14:paraId="6FB014A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9.8.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6C022E2C" w14:textId="5114DE00" w:rsidR="00EA5804"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9.9.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58416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1ED980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9.11. O recurso e o pedido de reconsideração terão efeito suspensivo do ato ou da decisão recorrida até que sobrevenha decisão final da autoridade competente. </w:t>
      </w:r>
    </w:p>
    <w:p w14:paraId="4DF7C0D2"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9.14.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 </w:t>
      </w:r>
    </w:p>
    <w:p w14:paraId="70E4D3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9.15. Todas as intimações serão realizadas através do endereço de e-mail informado pelo proponente em seu cadastro, não será aceita, em nenhuma hipótese, a justificativa do não recebimento das intimações realizadas através deste canal. </w:t>
      </w:r>
    </w:p>
    <w:p w14:paraId="2E6EF7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9.15.1. Caso o proponente não confirme o recebimento das intimações no prazo de até 48 (quarenta e oito) horas, a administração o convocará por publicação no Diário Oficial adotado pelo órgão. </w:t>
      </w:r>
    </w:p>
    <w:p w14:paraId="576B0790"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 Além das sanções previstas no item 10.2, o proponente estará sujeito a multa de mora pelo atraso injustificado na execução do contrato. </w:t>
      </w:r>
    </w:p>
    <w:p w14:paraId="73ABD85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9.16.1.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 </w:t>
      </w:r>
    </w:p>
    <w:p w14:paraId="55263B9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I – Caso a justificativa para o atraso na execução seja acatada pela administração, esta deverá disponibilizar prazo exíguo para o saneamento e regularização da execução; </w:t>
      </w:r>
    </w:p>
    <w:p w14:paraId="3F05BD5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 </w:t>
      </w:r>
    </w:p>
    <w:p w14:paraId="6D294420"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9.16.2. Será utilizado como parâmetro de cálculo o valor das respectivas parcelas em atraso. </w:t>
      </w:r>
    </w:p>
    <w:p w14:paraId="7DCFD4CA" w14:textId="77777777" w:rsidR="002C0DC6" w:rsidRDefault="002C0DC6" w:rsidP="0075029B">
      <w:pPr>
        <w:pStyle w:val="corpo"/>
        <w:spacing w:before="0" w:after="0"/>
        <w:jc w:val="both"/>
        <w:rPr>
          <w:rFonts w:ascii="Bookman Old Style" w:hAnsi="Bookman Old Style" w:cs="Arial"/>
          <w:sz w:val="22"/>
          <w:szCs w:val="22"/>
        </w:rPr>
      </w:pPr>
    </w:p>
    <w:p w14:paraId="29234FCE"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10 - DAS DISPOSIÇÕES GERAIS </w:t>
      </w:r>
    </w:p>
    <w:p w14:paraId="28957ABF" w14:textId="4AB96694"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10.1.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286F4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10.2. Todas as referências de tempo no Edital, no aviso e durante a sessão pública observarão o horário oficial de Brasília - DF. </w:t>
      </w:r>
    </w:p>
    <w:p w14:paraId="6559D706"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10.3. A homologação do resultado deste procedimento não implicará direito à contratação. </w:t>
      </w:r>
    </w:p>
    <w:p w14:paraId="4C69229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10.4. As normas disciplinadoras do procedimento serão sempre interpretadas em favor da ampliação da disputa entre os interessados, desde que não comprometam o interesse da Administração, o princípio da isonomia, a finalidade e a segurança da contratação. </w:t>
      </w:r>
    </w:p>
    <w:p w14:paraId="363FA3E5" w14:textId="77777777" w:rsidR="002C0DC6" w:rsidRDefault="002C0DC6" w:rsidP="0075029B">
      <w:pPr>
        <w:pStyle w:val="corpo"/>
        <w:spacing w:before="0" w:after="0"/>
        <w:jc w:val="both"/>
        <w:rPr>
          <w:rFonts w:ascii="Bookman Old Style" w:hAnsi="Bookman Old Style" w:cs="Arial"/>
          <w:sz w:val="22"/>
          <w:szCs w:val="22"/>
        </w:rPr>
      </w:pPr>
      <w:r>
        <w:rPr>
          <w:rFonts w:ascii="Bookman Old Style" w:hAnsi="Bookman Old Style" w:cs="Arial"/>
          <w:sz w:val="22"/>
          <w:szCs w:val="22"/>
        </w:rPr>
        <w:t>1</w:t>
      </w:r>
      <w:r w:rsidRPr="002C0DC6">
        <w:rPr>
          <w:rFonts w:ascii="Bookman Old Style" w:hAnsi="Bookman Old Style" w:cs="Arial"/>
          <w:sz w:val="22"/>
          <w:szCs w:val="22"/>
        </w:rPr>
        <w:t xml:space="preserve">0.5. Os proponentes assumem todos os custos de preparação e apresentação de suas propostas e a Administração não será, em nenhum caso, responsável por esses custos, independentemente da condução ou do resultado do procedimento. </w:t>
      </w:r>
    </w:p>
    <w:p w14:paraId="282C0942"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10.6. Na contagem dos prazos estabelecidos neste Edital e seus Anexos, excluir-se-á o dia do início e incluir-se-á o do vencimento. Só se iniciam e vencem os prazos em dias de expediente na Administração. </w:t>
      </w:r>
    </w:p>
    <w:p w14:paraId="137902D9"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10.7. O desatendimento de exigências formais não essenciais não importará o afastamento do proponente, desde que seja possível o aproveitamento do ato, observados os princípios da isonomia e do interesse público. </w:t>
      </w:r>
    </w:p>
    <w:p w14:paraId="4EE55749"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10.8. Em caso de divergência entre disposições deste Edital e de seus anexos ou demais peças que compõem o processo, prevalecerão as deste Edital. </w:t>
      </w:r>
    </w:p>
    <w:p w14:paraId="276EC771"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10.9. É facultada ao agente de contratação ou à Autoridade Superior, em qualquer fase do procedimento, a promoção de diligência, destinada a esclarecer ou complementar a instrução do processo, vedada a inclusão posterior de documento ou informação que deveria constar no ato da sessão pública. </w:t>
      </w:r>
    </w:p>
    <w:p w14:paraId="13885DB3"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10.10. A autoridade competente poderá revogar o procedimento por razões de interesse público derivado de fato superveniente devidamente comprovado, pertinente e suficiente para justificar tal conduta, devendo anulá-la por ilegalidade de ofício ou por provocação de terceiros, mediante ato escrito e fundamentado. </w:t>
      </w:r>
    </w:p>
    <w:p w14:paraId="3DFCC3C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10.11. Os proponentes são responsáveis pela fidelidade e legitimidade das informações e dos documentos apresentados em qualquer fase do procedimento. </w:t>
      </w:r>
    </w:p>
    <w:p w14:paraId="45A12650" w14:textId="24F0B3F1"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10.12. O proponente vencedor deverá assinar os contratos ou os instrumentos equivalentes no prazo máximo de 05 (cinco) dias úteis.</w:t>
      </w:r>
    </w:p>
    <w:p w14:paraId="71E1B71C"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10.12.1. O documento será encaminhado para o e-mail indicado pelo proponente vencedor em seu cadastro e não será aceita em nenhuma hipótese, a alegação de não visualização do e-mail encaminhado. </w:t>
      </w:r>
    </w:p>
    <w:p w14:paraId="10F27D7A" w14:textId="77777777" w:rsidR="002C0DC6" w:rsidRDefault="002C0DC6" w:rsidP="0075029B">
      <w:pPr>
        <w:pStyle w:val="corpo"/>
        <w:spacing w:before="0" w:after="0"/>
        <w:jc w:val="both"/>
        <w:rPr>
          <w:rFonts w:ascii="Bookman Old Style" w:hAnsi="Bookman Old Style" w:cs="Arial"/>
          <w:sz w:val="22"/>
          <w:szCs w:val="22"/>
        </w:rPr>
      </w:pPr>
    </w:p>
    <w:p w14:paraId="41C461A6"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11- DOS ANEXOS </w:t>
      </w:r>
    </w:p>
    <w:p w14:paraId="1018EDA4"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11.1. São partes integrantes deste instrumento: </w:t>
      </w:r>
    </w:p>
    <w:p w14:paraId="5F5557BF"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ANEXO I - Termo de Referência </w:t>
      </w:r>
    </w:p>
    <w:p w14:paraId="667B19AE"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ANEXO II – Minuta Contratual </w:t>
      </w:r>
    </w:p>
    <w:p w14:paraId="3F489536" w14:textId="77777777" w:rsidR="002C0DC6" w:rsidRDefault="002C0DC6" w:rsidP="0075029B">
      <w:pPr>
        <w:pStyle w:val="corpo"/>
        <w:spacing w:before="0" w:after="0"/>
        <w:jc w:val="both"/>
        <w:rPr>
          <w:rFonts w:ascii="Bookman Old Style" w:hAnsi="Bookman Old Style" w:cs="Arial"/>
          <w:sz w:val="22"/>
          <w:szCs w:val="22"/>
        </w:rPr>
      </w:pPr>
    </w:p>
    <w:p w14:paraId="5E912051" w14:textId="77777777" w:rsidR="002C0DC6" w:rsidRPr="00123A97" w:rsidRDefault="002C0DC6" w:rsidP="0075029B">
      <w:pPr>
        <w:pStyle w:val="corpo"/>
        <w:spacing w:before="0" w:after="0"/>
        <w:jc w:val="both"/>
        <w:rPr>
          <w:rFonts w:ascii="Bookman Old Style" w:hAnsi="Bookman Old Style" w:cs="Arial"/>
          <w:b/>
          <w:sz w:val="22"/>
          <w:szCs w:val="22"/>
        </w:rPr>
      </w:pPr>
      <w:r w:rsidRPr="00123A97">
        <w:rPr>
          <w:rFonts w:ascii="Bookman Old Style" w:hAnsi="Bookman Old Style" w:cs="Arial"/>
          <w:b/>
          <w:sz w:val="22"/>
          <w:szCs w:val="22"/>
        </w:rPr>
        <w:t xml:space="preserve">12- DO FORO </w:t>
      </w:r>
    </w:p>
    <w:p w14:paraId="6F89F182" w14:textId="68073DA3"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12.1. As questões decorrentes da execução deste instrumento, que não possam ser dirimidas administrativamente, serão processadas e julgadas na Justiça Estadual, no foro da comarca de </w:t>
      </w:r>
      <w:r w:rsidR="00925927">
        <w:rPr>
          <w:rFonts w:ascii="Bookman Old Style" w:hAnsi="Bookman Old Style" w:cs="Arial"/>
          <w:sz w:val="22"/>
          <w:szCs w:val="22"/>
        </w:rPr>
        <w:t>Ipanema</w:t>
      </w:r>
      <w:r w:rsidRPr="002C0DC6">
        <w:rPr>
          <w:rFonts w:ascii="Bookman Old Style" w:hAnsi="Bookman Old Style" w:cs="Arial"/>
          <w:sz w:val="22"/>
          <w:szCs w:val="22"/>
        </w:rPr>
        <w:t>-MG, com exclusão de qualquer outro por mais privilegiado que seja.</w:t>
      </w:r>
    </w:p>
    <w:p w14:paraId="7E8D2218" w14:textId="77777777" w:rsidR="002C0DC6" w:rsidRDefault="002C0DC6" w:rsidP="0075029B">
      <w:pPr>
        <w:pStyle w:val="corpo"/>
        <w:spacing w:before="0" w:after="0"/>
        <w:jc w:val="both"/>
        <w:rPr>
          <w:rFonts w:ascii="Bookman Old Style" w:hAnsi="Bookman Old Style" w:cs="Arial"/>
          <w:sz w:val="22"/>
          <w:szCs w:val="22"/>
        </w:rPr>
      </w:pPr>
    </w:p>
    <w:p w14:paraId="5066DF73" w14:textId="0B3B6BC3" w:rsidR="002C0DC6" w:rsidRPr="00185A6D" w:rsidRDefault="00925927" w:rsidP="0075029B">
      <w:pPr>
        <w:pStyle w:val="corpo"/>
        <w:spacing w:before="0" w:after="0"/>
        <w:jc w:val="both"/>
        <w:rPr>
          <w:rFonts w:ascii="Bookman Old Style" w:hAnsi="Bookman Old Style" w:cs="Arial"/>
          <w:sz w:val="22"/>
          <w:szCs w:val="22"/>
        </w:rPr>
      </w:pPr>
      <w:r w:rsidRPr="00185A6D">
        <w:rPr>
          <w:rFonts w:ascii="Bookman Old Style" w:hAnsi="Bookman Old Style" w:cs="Arial"/>
          <w:sz w:val="22"/>
          <w:szCs w:val="22"/>
        </w:rPr>
        <w:t>Ipanema</w:t>
      </w:r>
      <w:r w:rsidR="002C0DC6" w:rsidRPr="00185A6D">
        <w:rPr>
          <w:rFonts w:ascii="Bookman Old Style" w:hAnsi="Bookman Old Style" w:cs="Arial"/>
          <w:sz w:val="22"/>
          <w:szCs w:val="22"/>
        </w:rPr>
        <w:t xml:space="preserve">, </w:t>
      </w:r>
      <w:r w:rsidR="00185A6D" w:rsidRPr="00185A6D">
        <w:rPr>
          <w:rFonts w:ascii="Bookman Old Style" w:hAnsi="Bookman Old Style" w:cs="Arial"/>
          <w:sz w:val="22"/>
          <w:szCs w:val="22"/>
        </w:rPr>
        <w:t>22</w:t>
      </w:r>
      <w:r w:rsidR="002C0DC6" w:rsidRPr="00185A6D">
        <w:rPr>
          <w:rFonts w:ascii="Bookman Old Style" w:hAnsi="Bookman Old Style" w:cs="Arial"/>
          <w:sz w:val="22"/>
          <w:szCs w:val="22"/>
        </w:rPr>
        <w:t xml:space="preserve"> de maio de 2024</w:t>
      </w:r>
    </w:p>
    <w:p w14:paraId="5F986294" w14:textId="77777777" w:rsidR="002C0DC6" w:rsidRPr="00185A6D" w:rsidRDefault="002C0DC6" w:rsidP="0075029B">
      <w:pPr>
        <w:pStyle w:val="corpo"/>
        <w:spacing w:before="0" w:after="0"/>
        <w:jc w:val="both"/>
        <w:rPr>
          <w:rFonts w:ascii="Bookman Old Style" w:hAnsi="Bookman Old Style" w:cs="Arial"/>
          <w:sz w:val="22"/>
          <w:szCs w:val="22"/>
        </w:rPr>
      </w:pPr>
    </w:p>
    <w:p w14:paraId="61BA6BF8" w14:textId="77777777" w:rsidR="002C0DC6" w:rsidRPr="00185A6D" w:rsidRDefault="002C0DC6" w:rsidP="002C0DC6">
      <w:pPr>
        <w:pStyle w:val="corpo"/>
        <w:spacing w:before="0" w:after="0"/>
        <w:jc w:val="center"/>
        <w:rPr>
          <w:rFonts w:ascii="Bookman Old Style" w:hAnsi="Bookman Old Style" w:cs="Arial"/>
          <w:sz w:val="22"/>
          <w:szCs w:val="22"/>
        </w:rPr>
      </w:pPr>
    </w:p>
    <w:p w14:paraId="740AB6A8" w14:textId="7E2B6479" w:rsidR="002C0DC6" w:rsidRPr="00185A6D" w:rsidRDefault="002C0DC6" w:rsidP="002C0DC6">
      <w:pPr>
        <w:pStyle w:val="corpo"/>
        <w:spacing w:before="0" w:after="0"/>
        <w:jc w:val="center"/>
        <w:rPr>
          <w:rFonts w:ascii="Bookman Old Style" w:hAnsi="Bookman Old Style" w:cs="Arial"/>
          <w:sz w:val="22"/>
          <w:szCs w:val="22"/>
        </w:rPr>
      </w:pPr>
      <w:r w:rsidRPr="00185A6D">
        <w:rPr>
          <w:rFonts w:ascii="Bookman Old Style" w:hAnsi="Bookman Old Style" w:cs="Arial"/>
          <w:sz w:val="22"/>
          <w:szCs w:val="22"/>
        </w:rPr>
        <w:t>__________________________________________________</w:t>
      </w:r>
    </w:p>
    <w:p w14:paraId="6D0B7A77" w14:textId="77777777" w:rsidR="00B34FD7" w:rsidRDefault="00B34FD7" w:rsidP="002C0DC6">
      <w:pPr>
        <w:pStyle w:val="corpo"/>
        <w:spacing w:before="0" w:after="0"/>
        <w:jc w:val="center"/>
        <w:rPr>
          <w:rFonts w:ascii="Bookman Old Style" w:hAnsi="Bookman Old Style" w:cs="Arial"/>
          <w:sz w:val="22"/>
          <w:szCs w:val="22"/>
        </w:rPr>
      </w:pPr>
      <w:r>
        <w:rPr>
          <w:rFonts w:ascii="Bookman Old Style" w:hAnsi="Bookman Old Style" w:cs="Arial"/>
          <w:sz w:val="22"/>
          <w:szCs w:val="22"/>
        </w:rPr>
        <w:t>Márcio Luiz da Gama Oliveira</w:t>
      </w:r>
    </w:p>
    <w:p w14:paraId="233D3031" w14:textId="317422D1" w:rsidR="002C0DC6" w:rsidRDefault="002C0DC6" w:rsidP="002C0DC6">
      <w:pPr>
        <w:pStyle w:val="corpo"/>
        <w:spacing w:before="0" w:after="0"/>
        <w:jc w:val="center"/>
        <w:rPr>
          <w:rFonts w:ascii="Bookman Old Style" w:hAnsi="Bookman Old Style" w:cs="Arial"/>
          <w:sz w:val="22"/>
          <w:szCs w:val="22"/>
        </w:rPr>
      </w:pPr>
      <w:r w:rsidRPr="00185A6D">
        <w:rPr>
          <w:rFonts w:ascii="Bookman Old Style" w:hAnsi="Bookman Old Style" w:cs="Arial"/>
          <w:sz w:val="22"/>
          <w:szCs w:val="22"/>
        </w:rPr>
        <w:t xml:space="preserve">Secretário Municipal de </w:t>
      </w:r>
      <w:r w:rsidR="0060653F">
        <w:rPr>
          <w:rFonts w:ascii="Bookman Old Style" w:hAnsi="Bookman Old Style" w:cs="Arial"/>
          <w:sz w:val="22"/>
          <w:szCs w:val="22"/>
        </w:rPr>
        <w:t>Saúde</w:t>
      </w:r>
    </w:p>
    <w:p w14:paraId="7D6E9CD7" w14:textId="77777777" w:rsidR="002C0DC6" w:rsidRDefault="002C0DC6" w:rsidP="002C0DC6">
      <w:pPr>
        <w:pStyle w:val="corpo"/>
        <w:spacing w:before="0" w:after="0"/>
        <w:jc w:val="center"/>
        <w:rPr>
          <w:rFonts w:ascii="Bookman Old Style" w:hAnsi="Bookman Old Style" w:cs="Arial"/>
          <w:sz w:val="22"/>
          <w:szCs w:val="22"/>
        </w:rPr>
      </w:pPr>
    </w:p>
    <w:p w14:paraId="1783EA88" w14:textId="77777777" w:rsidR="002C0DC6" w:rsidRDefault="002C0DC6" w:rsidP="002C0DC6">
      <w:pPr>
        <w:pStyle w:val="corpo"/>
        <w:spacing w:before="0" w:after="0"/>
        <w:jc w:val="center"/>
        <w:rPr>
          <w:rFonts w:ascii="Bookman Old Style" w:hAnsi="Bookman Old Style" w:cs="Arial"/>
          <w:sz w:val="22"/>
          <w:szCs w:val="22"/>
        </w:rPr>
      </w:pPr>
    </w:p>
    <w:p w14:paraId="3AC911CA" w14:textId="77777777" w:rsidR="002C0DC6" w:rsidRDefault="002C0DC6" w:rsidP="0075029B">
      <w:pPr>
        <w:pStyle w:val="corpo"/>
        <w:spacing w:before="0" w:after="0"/>
        <w:jc w:val="both"/>
        <w:rPr>
          <w:rFonts w:ascii="Bookman Old Style" w:hAnsi="Bookman Old Style" w:cs="Arial"/>
          <w:sz w:val="22"/>
          <w:szCs w:val="22"/>
        </w:rPr>
      </w:pPr>
    </w:p>
    <w:p w14:paraId="4EBC3691" w14:textId="77777777" w:rsidR="002C0DC6" w:rsidRDefault="002C0DC6" w:rsidP="0075029B">
      <w:pPr>
        <w:pStyle w:val="corpo"/>
        <w:spacing w:before="0" w:after="0"/>
        <w:jc w:val="both"/>
        <w:rPr>
          <w:rFonts w:ascii="Bookman Old Style" w:hAnsi="Bookman Old Style" w:cs="Arial"/>
          <w:sz w:val="22"/>
          <w:szCs w:val="22"/>
        </w:rPr>
      </w:pPr>
    </w:p>
    <w:p w14:paraId="25863DC2" w14:textId="77777777" w:rsidR="002C0DC6" w:rsidRDefault="002C0DC6" w:rsidP="0075029B">
      <w:pPr>
        <w:pStyle w:val="corpo"/>
        <w:spacing w:before="0" w:after="0"/>
        <w:jc w:val="both"/>
        <w:rPr>
          <w:rFonts w:ascii="Bookman Old Style" w:hAnsi="Bookman Old Style" w:cs="Arial"/>
          <w:sz w:val="22"/>
          <w:szCs w:val="22"/>
        </w:rPr>
      </w:pPr>
    </w:p>
    <w:p w14:paraId="29FBF03A" w14:textId="77777777" w:rsidR="002C0DC6" w:rsidRDefault="002C0DC6" w:rsidP="0075029B">
      <w:pPr>
        <w:pStyle w:val="corpo"/>
        <w:spacing w:before="0" w:after="0"/>
        <w:jc w:val="both"/>
        <w:rPr>
          <w:rFonts w:ascii="Bookman Old Style" w:hAnsi="Bookman Old Style" w:cs="Arial"/>
          <w:sz w:val="22"/>
          <w:szCs w:val="22"/>
        </w:rPr>
      </w:pPr>
    </w:p>
    <w:p w14:paraId="413BB61D" w14:textId="77777777" w:rsidR="002C0DC6" w:rsidRDefault="002C0DC6" w:rsidP="0075029B">
      <w:pPr>
        <w:pStyle w:val="corpo"/>
        <w:spacing w:before="0" w:after="0"/>
        <w:jc w:val="both"/>
        <w:rPr>
          <w:rFonts w:ascii="Bookman Old Style" w:hAnsi="Bookman Old Style" w:cs="Arial"/>
          <w:sz w:val="22"/>
          <w:szCs w:val="22"/>
        </w:rPr>
      </w:pPr>
    </w:p>
    <w:p w14:paraId="2AC65698" w14:textId="77777777" w:rsidR="002C0DC6" w:rsidRDefault="002C0DC6" w:rsidP="0075029B">
      <w:pPr>
        <w:pStyle w:val="corpo"/>
        <w:spacing w:before="0" w:after="0"/>
        <w:jc w:val="both"/>
        <w:rPr>
          <w:rFonts w:ascii="Bookman Old Style" w:hAnsi="Bookman Old Style" w:cs="Arial"/>
          <w:sz w:val="22"/>
          <w:szCs w:val="22"/>
        </w:rPr>
      </w:pPr>
    </w:p>
    <w:p w14:paraId="15F4D9D1" w14:textId="77777777" w:rsidR="002C0DC6" w:rsidRDefault="002C0DC6" w:rsidP="0075029B">
      <w:pPr>
        <w:pStyle w:val="corpo"/>
        <w:spacing w:before="0" w:after="0"/>
        <w:jc w:val="both"/>
        <w:rPr>
          <w:rFonts w:ascii="Bookman Old Style" w:hAnsi="Bookman Old Style" w:cs="Arial"/>
          <w:sz w:val="22"/>
          <w:szCs w:val="22"/>
        </w:rPr>
      </w:pPr>
    </w:p>
    <w:p w14:paraId="6D54DD2C" w14:textId="77777777" w:rsidR="002C0DC6" w:rsidRDefault="002C0DC6" w:rsidP="0075029B">
      <w:pPr>
        <w:pStyle w:val="corpo"/>
        <w:spacing w:before="0" w:after="0"/>
        <w:jc w:val="both"/>
        <w:rPr>
          <w:rFonts w:ascii="Bookman Old Style" w:hAnsi="Bookman Old Style" w:cs="Arial"/>
          <w:sz w:val="22"/>
          <w:szCs w:val="22"/>
        </w:rPr>
      </w:pPr>
    </w:p>
    <w:p w14:paraId="6BB5CE4D" w14:textId="77777777" w:rsidR="002C0DC6" w:rsidRDefault="002C0DC6" w:rsidP="0075029B">
      <w:pPr>
        <w:pStyle w:val="corpo"/>
        <w:spacing w:before="0" w:after="0"/>
        <w:jc w:val="both"/>
        <w:rPr>
          <w:rFonts w:ascii="Bookman Old Style" w:hAnsi="Bookman Old Style" w:cs="Arial"/>
          <w:sz w:val="22"/>
          <w:szCs w:val="22"/>
        </w:rPr>
      </w:pPr>
    </w:p>
    <w:p w14:paraId="38B860C6" w14:textId="77777777" w:rsidR="002C0DC6" w:rsidRDefault="002C0DC6" w:rsidP="0075029B">
      <w:pPr>
        <w:pStyle w:val="corpo"/>
        <w:spacing w:before="0" w:after="0"/>
        <w:jc w:val="both"/>
        <w:rPr>
          <w:rFonts w:ascii="Bookman Old Style" w:hAnsi="Bookman Old Style" w:cs="Arial"/>
          <w:sz w:val="22"/>
          <w:szCs w:val="22"/>
        </w:rPr>
      </w:pPr>
    </w:p>
    <w:p w14:paraId="47CCE63B" w14:textId="77777777" w:rsidR="002C0DC6" w:rsidRDefault="002C0DC6" w:rsidP="0075029B">
      <w:pPr>
        <w:pStyle w:val="corpo"/>
        <w:spacing w:before="0" w:after="0"/>
        <w:jc w:val="both"/>
        <w:rPr>
          <w:rFonts w:ascii="Bookman Old Style" w:hAnsi="Bookman Old Style" w:cs="Arial"/>
          <w:sz w:val="22"/>
          <w:szCs w:val="22"/>
        </w:rPr>
      </w:pPr>
    </w:p>
    <w:p w14:paraId="1AA936CF" w14:textId="77777777" w:rsidR="002C0DC6" w:rsidRDefault="002C0DC6" w:rsidP="0075029B">
      <w:pPr>
        <w:pStyle w:val="corpo"/>
        <w:spacing w:before="0" w:after="0"/>
        <w:jc w:val="both"/>
        <w:rPr>
          <w:rFonts w:ascii="Bookman Old Style" w:hAnsi="Bookman Old Style" w:cs="Arial"/>
          <w:sz w:val="22"/>
          <w:szCs w:val="22"/>
        </w:rPr>
      </w:pPr>
    </w:p>
    <w:p w14:paraId="68A860B7" w14:textId="77777777" w:rsidR="002C0DC6" w:rsidRDefault="002C0DC6" w:rsidP="0075029B">
      <w:pPr>
        <w:pStyle w:val="corpo"/>
        <w:spacing w:before="0" w:after="0"/>
        <w:jc w:val="both"/>
        <w:rPr>
          <w:rFonts w:ascii="Bookman Old Style" w:hAnsi="Bookman Old Style" w:cs="Arial"/>
          <w:sz w:val="22"/>
          <w:szCs w:val="22"/>
        </w:rPr>
      </w:pPr>
    </w:p>
    <w:p w14:paraId="1E932B31" w14:textId="77777777" w:rsidR="002C0DC6" w:rsidRDefault="002C0DC6" w:rsidP="0075029B">
      <w:pPr>
        <w:pStyle w:val="corpo"/>
        <w:spacing w:before="0" w:after="0"/>
        <w:jc w:val="both"/>
        <w:rPr>
          <w:rFonts w:ascii="Bookman Old Style" w:hAnsi="Bookman Old Style" w:cs="Arial"/>
          <w:sz w:val="22"/>
          <w:szCs w:val="22"/>
        </w:rPr>
      </w:pPr>
    </w:p>
    <w:p w14:paraId="0EECC10F" w14:textId="77777777" w:rsidR="002C0DC6" w:rsidRDefault="002C0DC6" w:rsidP="0075029B">
      <w:pPr>
        <w:pStyle w:val="corpo"/>
        <w:spacing w:before="0" w:after="0"/>
        <w:jc w:val="both"/>
        <w:rPr>
          <w:rFonts w:ascii="Bookman Old Style" w:hAnsi="Bookman Old Style" w:cs="Arial"/>
          <w:sz w:val="22"/>
          <w:szCs w:val="22"/>
        </w:rPr>
      </w:pPr>
    </w:p>
    <w:p w14:paraId="2BB71027" w14:textId="77777777" w:rsidR="002C0DC6" w:rsidRDefault="002C0DC6" w:rsidP="0075029B">
      <w:pPr>
        <w:pStyle w:val="corpo"/>
        <w:spacing w:before="0" w:after="0"/>
        <w:jc w:val="both"/>
        <w:rPr>
          <w:rFonts w:ascii="Bookman Old Style" w:hAnsi="Bookman Old Style" w:cs="Arial"/>
          <w:sz w:val="22"/>
          <w:szCs w:val="22"/>
        </w:rPr>
      </w:pPr>
    </w:p>
    <w:p w14:paraId="28F36862" w14:textId="77777777" w:rsidR="002C0DC6" w:rsidRDefault="002C0DC6" w:rsidP="0075029B">
      <w:pPr>
        <w:pStyle w:val="corpo"/>
        <w:spacing w:before="0" w:after="0"/>
        <w:jc w:val="both"/>
        <w:rPr>
          <w:rFonts w:ascii="Bookman Old Style" w:hAnsi="Bookman Old Style" w:cs="Arial"/>
          <w:sz w:val="22"/>
          <w:szCs w:val="22"/>
        </w:rPr>
      </w:pPr>
    </w:p>
    <w:p w14:paraId="1CF844A1" w14:textId="77777777" w:rsidR="002C0DC6" w:rsidRDefault="002C0DC6" w:rsidP="0075029B">
      <w:pPr>
        <w:pStyle w:val="corpo"/>
        <w:spacing w:before="0" w:after="0"/>
        <w:jc w:val="both"/>
        <w:rPr>
          <w:rFonts w:ascii="Bookman Old Style" w:hAnsi="Bookman Old Style" w:cs="Arial"/>
          <w:sz w:val="22"/>
          <w:szCs w:val="22"/>
        </w:rPr>
      </w:pPr>
    </w:p>
    <w:p w14:paraId="7B6DA3D6" w14:textId="77777777" w:rsidR="002C0DC6" w:rsidRDefault="002C0DC6" w:rsidP="0075029B">
      <w:pPr>
        <w:pStyle w:val="corpo"/>
        <w:spacing w:before="0" w:after="0"/>
        <w:jc w:val="both"/>
        <w:rPr>
          <w:rFonts w:ascii="Bookman Old Style" w:hAnsi="Bookman Old Style" w:cs="Arial"/>
          <w:sz w:val="22"/>
          <w:szCs w:val="22"/>
        </w:rPr>
      </w:pPr>
    </w:p>
    <w:p w14:paraId="3833304B" w14:textId="77777777" w:rsidR="002C0DC6" w:rsidRDefault="002C0DC6" w:rsidP="0075029B">
      <w:pPr>
        <w:pStyle w:val="corpo"/>
        <w:spacing w:before="0" w:after="0"/>
        <w:jc w:val="both"/>
        <w:rPr>
          <w:rFonts w:ascii="Bookman Old Style" w:hAnsi="Bookman Old Style" w:cs="Arial"/>
          <w:sz w:val="22"/>
          <w:szCs w:val="22"/>
        </w:rPr>
      </w:pPr>
    </w:p>
    <w:p w14:paraId="1ED08849" w14:textId="77777777" w:rsidR="002C0DC6" w:rsidRDefault="002C0DC6" w:rsidP="0075029B">
      <w:pPr>
        <w:pStyle w:val="corpo"/>
        <w:spacing w:before="0" w:after="0"/>
        <w:jc w:val="both"/>
        <w:rPr>
          <w:rFonts w:ascii="Bookman Old Style" w:hAnsi="Bookman Old Style" w:cs="Arial"/>
          <w:sz w:val="22"/>
          <w:szCs w:val="22"/>
        </w:rPr>
      </w:pPr>
    </w:p>
    <w:p w14:paraId="41092698" w14:textId="77777777" w:rsidR="002C0DC6" w:rsidRDefault="002C0DC6" w:rsidP="0075029B">
      <w:pPr>
        <w:pStyle w:val="corpo"/>
        <w:spacing w:before="0" w:after="0"/>
        <w:jc w:val="both"/>
        <w:rPr>
          <w:rFonts w:ascii="Bookman Old Style" w:hAnsi="Bookman Old Style" w:cs="Arial"/>
          <w:sz w:val="22"/>
          <w:szCs w:val="22"/>
        </w:rPr>
      </w:pPr>
    </w:p>
    <w:p w14:paraId="6DB01246" w14:textId="13CA72EF" w:rsidR="002C0DC6" w:rsidRDefault="002C0DC6" w:rsidP="0075029B">
      <w:pPr>
        <w:pStyle w:val="corpo"/>
        <w:spacing w:before="0" w:after="0"/>
        <w:jc w:val="both"/>
        <w:rPr>
          <w:rFonts w:ascii="Bookman Old Style" w:hAnsi="Bookman Old Style" w:cs="Arial"/>
          <w:sz w:val="22"/>
          <w:szCs w:val="22"/>
        </w:rPr>
      </w:pPr>
    </w:p>
    <w:p w14:paraId="58A7EF93" w14:textId="3D9EAF72" w:rsidR="00E05431" w:rsidRDefault="00E05431" w:rsidP="0075029B">
      <w:pPr>
        <w:pStyle w:val="corpo"/>
        <w:spacing w:before="0" w:after="0"/>
        <w:jc w:val="both"/>
        <w:rPr>
          <w:rFonts w:ascii="Bookman Old Style" w:hAnsi="Bookman Old Style" w:cs="Arial"/>
          <w:sz w:val="22"/>
          <w:szCs w:val="22"/>
        </w:rPr>
      </w:pPr>
    </w:p>
    <w:p w14:paraId="0BBD887A" w14:textId="01295E8E" w:rsidR="00E05431" w:rsidRDefault="00E05431" w:rsidP="0075029B">
      <w:pPr>
        <w:pStyle w:val="corpo"/>
        <w:spacing w:before="0" w:after="0"/>
        <w:jc w:val="both"/>
        <w:rPr>
          <w:rFonts w:ascii="Bookman Old Style" w:hAnsi="Bookman Old Style" w:cs="Arial"/>
          <w:sz w:val="22"/>
          <w:szCs w:val="22"/>
        </w:rPr>
      </w:pPr>
    </w:p>
    <w:p w14:paraId="2B1D23D6" w14:textId="17F48FB4" w:rsidR="00E05431" w:rsidRDefault="00E05431" w:rsidP="0075029B">
      <w:pPr>
        <w:pStyle w:val="corpo"/>
        <w:spacing w:before="0" w:after="0"/>
        <w:jc w:val="both"/>
        <w:rPr>
          <w:rFonts w:ascii="Bookman Old Style" w:hAnsi="Bookman Old Style" w:cs="Arial"/>
          <w:sz w:val="22"/>
          <w:szCs w:val="22"/>
        </w:rPr>
      </w:pPr>
    </w:p>
    <w:p w14:paraId="1C39ABE5" w14:textId="6B843490" w:rsidR="00E05431" w:rsidRDefault="00E05431" w:rsidP="0075029B">
      <w:pPr>
        <w:pStyle w:val="corpo"/>
        <w:spacing w:before="0" w:after="0"/>
        <w:jc w:val="both"/>
        <w:rPr>
          <w:rFonts w:ascii="Bookman Old Style" w:hAnsi="Bookman Old Style" w:cs="Arial"/>
          <w:sz w:val="22"/>
          <w:szCs w:val="22"/>
        </w:rPr>
      </w:pPr>
    </w:p>
    <w:p w14:paraId="49E15BA1" w14:textId="65851384" w:rsidR="00E05431" w:rsidRDefault="00E05431" w:rsidP="0075029B">
      <w:pPr>
        <w:pStyle w:val="corpo"/>
        <w:spacing w:before="0" w:after="0"/>
        <w:jc w:val="both"/>
        <w:rPr>
          <w:rFonts w:ascii="Bookman Old Style" w:hAnsi="Bookman Old Style" w:cs="Arial"/>
          <w:sz w:val="22"/>
          <w:szCs w:val="22"/>
        </w:rPr>
      </w:pPr>
    </w:p>
    <w:p w14:paraId="3D4A9B9A" w14:textId="724024F4" w:rsidR="00E05431" w:rsidRDefault="00E05431" w:rsidP="0075029B">
      <w:pPr>
        <w:pStyle w:val="corpo"/>
        <w:spacing w:before="0" w:after="0"/>
        <w:jc w:val="both"/>
        <w:rPr>
          <w:rFonts w:ascii="Bookman Old Style" w:hAnsi="Bookman Old Style" w:cs="Arial"/>
          <w:sz w:val="22"/>
          <w:szCs w:val="22"/>
        </w:rPr>
      </w:pPr>
    </w:p>
    <w:p w14:paraId="21D6A5D2" w14:textId="42A42276" w:rsidR="00E05431" w:rsidRDefault="00E05431" w:rsidP="0075029B">
      <w:pPr>
        <w:pStyle w:val="corpo"/>
        <w:spacing w:before="0" w:after="0"/>
        <w:jc w:val="both"/>
        <w:rPr>
          <w:rFonts w:ascii="Bookman Old Style" w:hAnsi="Bookman Old Style" w:cs="Arial"/>
          <w:sz w:val="22"/>
          <w:szCs w:val="22"/>
        </w:rPr>
      </w:pPr>
    </w:p>
    <w:p w14:paraId="2DCAD30C" w14:textId="590F4674" w:rsidR="00E05431" w:rsidRDefault="00E05431" w:rsidP="0075029B">
      <w:pPr>
        <w:pStyle w:val="corpo"/>
        <w:spacing w:before="0" w:after="0"/>
        <w:jc w:val="both"/>
        <w:rPr>
          <w:rFonts w:ascii="Bookman Old Style" w:hAnsi="Bookman Old Style" w:cs="Arial"/>
          <w:sz w:val="22"/>
          <w:szCs w:val="22"/>
        </w:rPr>
      </w:pPr>
    </w:p>
    <w:p w14:paraId="3A0EBAD7" w14:textId="622296C1" w:rsidR="00E05431" w:rsidRDefault="00E05431" w:rsidP="0075029B">
      <w:pPr>
        <w:pStyle w:val="corpo"/>
        <w:spacing w:before="0" w:after="0"/>
        <w:jc w:val="both"/>
        <w:rPr>
          <w:rFonts w:ascii="Bookman Old Style" w:hAnsi="Bookman Old Style" w:cs="Arial"/>
          <w:sz w:val="22"/>
          <w:szCs w:val="22"/>
        </w:rPr>
      </w:pPr>
    </w:p>
    <w:p w14:paraId="63FE6358" w14:textId="31362320" w:rsidR="00E05431" w:rsidRDefault="00E05431" w:rsidP="0075029B">
      <w:pPr>
        <w:pStyle w:val="corpo"/>
        <w:spacing w:before="0" w:after="0"/>
        <w:jc w:val="both"/>
        <w:rPr>
          <w:rFonts w:ascii="Bookman Old Style" w:hAnsi="Bookman Old Style" w:cs="Arial"/>
          <w:sz w:val="22"/>
          <w:szCs w:val="22"/>
        </w:rPr>
      </w:pPr>
    </w:p>
    <w:p w14:paraId="04EE5BA5" w14:textId="473E7453" w:rsidR="00E05431" w:rsidRDefault="00E05431" w:rsidP="0075029B">
      <w:pPr>
        <w:pStyle w:val="corpo"/>
        <w:spacing w:before="0" w:after="0"/>
        <w:jc w:val="both"/>
        <w:rPr>
          <w:rFonts w:ascii="Bookman Old Style" w:hAnsi="Bookman Old Style" w:cs="Arial"/>
          <w:sz w:val="22"/>
          <w:szCs w:val="22"/>
        </w:rPr>
      </w:pPr>
    </w:p>
    <w:p w14:paraId="42017483" w14:textId="4CDF8FB2" w:rsidR="00E05431" w:rsidRDefault="00E05431" w:rsidP="0075029B">
      <w:pPr>
        <w:pStyle w:val="corpo"/>
        <w:spacing w:before="0" w:after="0"/>
        <w:jc w:val="both"/>
        <w:rPr>
          <w:rFonts w:ascii="Bookman Old Style" w:hAnsi="Bookman Old Style" w:cs="Arial"/>
          <w:sz w:val="22"/>
          <w:szCs w:val="22"/>
        </w:rPr>
      </w:pPr>
    </w:p>
    <w:p w14:paraId="37986BCB" w14:textId="6D6C1333" w:rsidR="00E05431" w:rsidRDefault="00E05431" w:rsidP="0075029B">
      <w:pPr>
        <w:pStyle w:val="corpo"/>
        <w:spacing w:before="0" w:after="0"/>
        <w:jc w:val="both"/>
        <w:rPr>
          <w:rFonts w:ascii="Bookman Old Style" w:hAnsi="Bookman Old Style" w:cs="Arial"/>
          <w:sz w:val="22"/>
          <w:szCs w:val="22"/>
        </w:rPr>
      </w:pPr>
    </w:p>
    <w:p w14:paraId="66297E2A" w14:textId="60DA0E29" w:rsidR="00E05431" w:rsidRDefault="00E05431" w:rsidP="0075029B">
      <w:pPr>
        <w:pStyle w:val="corpo"/>
        <w:spacing w:before="0" w:after="0"/>
        <w:jc w:val="both"/>
        <w:rPr>
          <w:rFonts w:ascii="Bookman Old Style" w:hAnsi="Bookman Old Style" w:cs="Arial"/>
          <w:sz w:val="22"/>
          <w:szCs w:val="22"/>
        </w:rPr>
      </w:pPr>
    </w:p>
    <w:p w14:paraId="285E333B" w14:textId="40E02D55" w:rsidR="00E05431" w:rsidRDefault="00E05431" w:rsidP="0075029B">
      <w:pPr>
        <w:pStyle w:val="corpo"/>
        <w:spacing w:before="0" w:after="0"/>
        <w:jc w:val="both"/>
        <w:rPr>
          <w:rFonts w:ascii="Bookman Old Style" w:hAnsi="Bookman Old Style" w:cs="Arial"/>
          <w:sz w:val="22"/>
          <w:szCs w:val="22"/>
        </w:rPr>
      </w:pPr>
    </w:p>
    <w:p w14:paraId="7337F9FB" w14:textId="457E05CC" w:rsidR="00E05431" w:rsidRDefault="00E05431" w:rsidP="0075029B">
      <w:pPr>
        <w:pStyle w:val="corpo"/>
        <w:spacing w:before="0" w:after="0"/>
        <w:jc w:val="both"/>
        <w:rPr>
          <w:rFonts w:ascii="Bookman Old Style" w:hAnsi="Bookman Old Style" w:cs="Arial"/>
          <w:sz w:val="22"/>
          <w:szCs w:val="22"/>
        </w:rPr>
      </w:pPr>
    </w:p>
    <w:p w14:paraId="0EB14771" w14:textId="420E75D8" w:rsidR="00E05431" w:rsidRDefault="00E05431" w:rsidP="0075029B">
      <w:pPr>
        <w:pStyle w:val="corpo"/>
        <w:spacing w:before="0" w:after="0"/>
        <w:jc w:val="both"/>
        <w:rPr>
          <w:rFonts w:ascii="Bookman Old Style" w:hAnsi="Bookman Old Style" w:cs="Arial"/>
          <w:sz w:val="22"/>
          <w:szCs w:val="22"/>
        </w:rPr>
      </w:pPr>
    </w:p>
    <w:p w14:paraId="3FCBB75C" w14:textId="054620BD" w:rsidR="00E05431" w:rsidRDefault="00E05431" w:rsidP="0075029B">
      <w:pPr>
        <w:pStyle w:val="corpo"/>
        <w:spacing w:before="0" w:after="0"/>
        <w:jc w:val="both"/>
        <w:rPr>
          <w:rFonts w:ascii="Bookman Old Style" w:hAnsi="Bookman Old Style" w:cs="Arial"/>
          <w:sz w:val="22"/>
          <w:szCs w:val="22"/>
        </w:rPr>
      </w:pPr>
    </w:p>
    <w:p w14:paraId="6E629DBE" w14:textId="584A6CDF" w:rsidR="00E05431" w:rsidRDefault="00E05431" w:rsidP="0075029B">
      <w:pPr>
        <w:pStyle w:val="corpo"/>
        <w:spacing w:before="0" w:after="0"/>
        <w:jc w:val="both"/>
        <w:rPr>
          <w:rFonts w:ascii="Bookman Old Style" w:hAnsi="Bookman Old Style" w:cs="Arial"/>
          <w:sz w:val="22"/>
          <w:szCs w:val="22"/>
        </w:rPr>
      </w:pPr>
    </w:p>
    <w:p w14:paraId="493ED327" w14:textId="1EAC3A68"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lastRenderedPageBreak/>
        <w:t xml:space="preserve">PROCESSO ADMINISTRATIVO Nº </w:t>
      </w:r>
      <w:r w:rsidR="00862094">
        <w:rPr>
          <w:rFonts w:ascii="Bookman Old Style" w:hAnsi="Bookman Old Style" w:cs="Arial"/>
          <w:b/>
          <w:sz w:val="22"/>
          <w:szCs w:val="22"/>
        </w:rPr>
        <w:t>0</w:t>
      </w:r>
      <w:r w:rsidR="000E6736">
        <w:rPr>
          <w:rFonts w:ascii="Bookman Old Style" w:hAnsi="Bookman Old Style" w:cs="Arial"/>
          <w:b/>
          <w:sz w:val="22"/>
          <w:szCs w:val="22"/>
        </w:rPr>
        <w:t>50</w:t>
      </w:r>
      <w:r w:rsidRPr="002C0DC6">
        <w:rPr>
          <w:rFonts w:ascii="Bookman Old Style" w:hAnsi="Bookman Old Style" w:cs="Arial"/>
          <w:b/>
          <w:sz w:val="22"/>
          <w:szCs w:val="22"/>
        </w:rPr>
        <w:t>/2023</w:t>
      </w:r>
    </w:p>
    <w:p w14:paraId="068CC85A" w14:textId="2DED6EB9"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 xml:space="preserve">DISPENSA DE LICITAÇÃO Nº </w:t>
      </w:r>
      <w:r w:rsidR="00862094">
        <w:rPr>
          <w:rFonts w:ascii="Bookman Old Style" w:hAnsi="Bookman Old Style" w:cs="Arial"/>
          <w:b/>
          <w:sz w:val="22"/>
          <w:szCs w:val="22"/>
        </w:rPr>
        <w:t>00</w:t>
      </w:r>
      <w:r w:rsidR="000E6736">
        <w:rPr>
          <w:rFonts w:ascii="Bookman Old Style" w:hAnsi="Bookman Old Style" w:cs="Arial"/>
          <w:b/>
          <w:sz w:val="22"/>
          <w:szCs w:val="22"/>
        </w:rPr>
        <w:t>9</w:t>
      </w:r>
      <w:r w:rsidRPr="002C0DC6">
        <w:rPr>
          <w:rFonts w:ascii="Bookman Old Style" w:hAnsi="Bookman Old Style" w:cs="Arial"/>
          <w:b/>
          <w:sz w:val="22"/>
          <w:szCs w:val="22"/>
        </w:rPr>
        <w:t>/2023</w:t>
      </w:r>
    </w:p>
    <w:p w14:paraId="2526C7CB" w14:textId="4F0E4C72"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TERMO DE REFERÊNCIA</w:t>
      </w:r>
    </w:p>
    <w:p w14:paraId="289C7D04" w14:textId="72978076"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ANEXO I</w:t>
      </w:r>
    </w:p>
    <w:p w14:paraId="1806AB08" w14:textId="77777777" w:rsidR="002C0DC6" w:rsidRDefault="002C0DC6" w:rsidP="0075029B">
      <w:pPr>
        <w:pStyle w:val="corpo"/>
        <w:spacing w:before="0" w:after="0"/>
        <w:jc w:val="both"/>
        <w:rPr>
          <w:rFonts w:ascii="Bookman Old Style" w:hAnsi="Bookman Old Style" w:cs="Arial"/>
          <w:sz w:val="22"/>
          <w:szCs w:val="22"/>
        </w:rPr>
      </w:pPr>
    </w:p>
    <w:p w14:paraId="52DC036F" w14:textId="77777777" w:rsidR="002C0DC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1- DEFINIÇÃO DO OBJETO </w:t>
      </w:r>
    </w:p>
    <w:p w14:paraId="0F855FAA" w14:textId="6D398AE1"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1.1. </w:t>
      </w:r>
      <w:r w:rsidR="00E05431" w:rsidRPr="009756BD">
        <w:rPr>
          <w:rFonts w:ascii="Bookman Old Style" w:hAnsi="Bookman Old Style" w:cs="Arial"/>
          <w:sz w:val="22"/>
          <w:szCs w:val="22"/>
        </w:rPr>
        <w:t xml:space="preserve">Contratação de empresa especializada para </w:t>
      </w:r>
      <w:r w:rsidR="000D58D8">
        <w:rPr>
          <w:rFonts w:ascii="Bookman Old Style" w:hAnsi="Bookman Old Style" w:cs="Arial"/>
          <w:sz w:val="22"/>
          <w:szCs w:val="22"/>
        </w:rPr>
        <w:t>realização de manutenções corretivas e preventivas em Equipamentos Hospitalares</w:t>
      </w:r>
      <w:r w:rsidRPr="002C0DC6">
        <w:rPr>
          <w:rFonts w:ascii="Bookman Old Style" w:hAnsi="Bookman Old Style" w:cs="Arial"/>
          <w:sz w:val="22"/>
          <w:szCs w:val="22"/>
        </w:rPr>
        <w:t xml:space="preserve">. </w:t>
      </w:r>
    </w:p>
    <w:p w14:paraId="12627834" w14:textId="77777777" w:rsidR="002C0DC6" w:rsidRDefault="002C0DC6" w:rsidP="0075029B">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1101"/>
        <w:gridCol w:w="5811"/>
        <w:gridCol w:w="1985"/>
        <w:gridCol w:w="1307"/>
      </w:tblGrid>
      <w:tr w:rsidR="002C0DC6" w14:paraId="1B18DC3A" w14:textId="77777777" w:rsidTr="002C0DC6">
        <w:tc>
          <w:tcPr>
            <w:tcW w:w="10204" w:type="dxa"/>
            <w:gridSpan w:val="4"/>
          </w:tcPr>
          <w:p w14:paraId="31691079" w14:textId="1A26F2BD" w:rsidR="002C0DC6" w:rsidRPr="002C0DC6" w:rsidRDefault="002C0DC6" w:rsidP="002C0DC6">
            <w:pPr>
              <w:pStyle w:val="corpo"/>
              <w:spacing w:before="0" w:after="0"/>
              <w:jc w:val="center"/>
              <w:rPr>
                <w:rFonts w:ascii="Bookman Old Style" w:hAnsi="Bookman Old Style" w:cs="Arial"/>
                <w:b/>
                <w:sz w:val="22"/>
                <w:szCs w:val="22"/>
              </w:rPr>
            </w:pPr>
            <w:r>
              <w:rPr>
                <w:rFonts w:ascii="Bookman Old Style" w:hAnsi="Bookman Old Style" w:cs="Arial"/>
                <w:b/>
                <w:sz w:val="22"/>
                <w:szCs w:val="22"/>
              </w:rPr>
              <w:t>LOTE ÚNICO</w:t>
            </w:r>
          </w:p>
        </w:tc>
      </w:tr>
      <w:tr w:rsidR="002C0DC6" w14:paraId="33EF82FA" w14:textId="77777777" w:rsidTr="002C0DC6">
        <w:tc>
          <w:tcPr>
            <w:tcW w:w="1101" w:type="dxa"/>
          </w:tcPr>
          <w:p w14:paraId="53C77C7C" w14:textId="087693AE"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ITEM</w:t>
            </w:r>
          </w:p>
        </w:tc>
        <w:tc>
          <w:tcPr>
            <w:tcW w:w="5811" w:type="dxa"/>
          </w:tcPr>
          <w:p w14:paraId="26FF841B" w14:textId="480C3C99"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DESCRIÇÃO</w:t>
            </w:r>
          </w:p>
        </w:tc>
        <w:tc>
          <w:tcPr>
            <w:tcW w:w="1985" w:type="dxa"/>
          </w:tcPr>
          <w:p w14:paraId="337BB83B" w14:textId="187D9C61"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UND</w:t>
            </w:r>
          </w:p>
        </w:tc>
        <w:tc>
          <w:tcPr>
            <w:tcW w:w="1307" w:type="dxa"/>
          </w:tcPr>
          <w:p w14:paraId="2C5780A8" w14:textId="25E4E87E" w:rsidR="002C0DC6" w:rsidRPr="002C0DC6" w:rsidRDefault="002C0DC6" w:rsidP="002C0DC6">
            <w:pPr>
              <w:pStyle w:val="corpo"/>
              <w:spacing w:before="0" w:after="0"/>
              <w:jc w:val="center"/>
              <w:rPr>
                <w:rFonts w:ascii="Bookman Old Style" w:hAnsi="Bookman Old Style" w:cs="Arial"/>
                <w:b/>
                <w:sz w:val="22"/>
                <w:szCs w:val="22"/>
              </w:rPr>
            </w:pPr>
            <w:r w:rsidRPr="002C0DC6">
              <w:rPr>
                <w:rFonts w:ascii="Bookman Old Style" w:hAnsi="Bookman Old Style" w:cs="Arial"/>
                <w:b/>
                <w:sz w:val="22"/>
                <w:szCs w:val="22"/>
              </w:rPr>
              <w:t>QTD</w:t>
            </w:r>
          </w:p>
        </w:tc>
      </w:tr>
      <w:tr w:rsidR="000E6736" w14:paraId="31875E01" w14:textId="77777777" w:rsidTr="005351F6">
        <w:tc>
          <w:tcPr>
            <w:tcW w:w="1101" w:type="dxa"/>
          </w:tcPr>
          <w:p w14:paraId="23C56647" w14:textId="034AEBAA"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01</w:t>
            </w:r>
          </w:p>
        </w:tc>
        <w:tc>
          <w:tcPr>
            <w:tcW w:w="5811" w:type="dxa"/>
            <w:vAlign w:val="center"/>
          </w:tcPr>
          <w:p w14:paraId="66F17706" w14:textId="3900683F" w:rsidR="000E6736" w:rsidRPr="00937462" w:rsidRDefault="00937462" w:rsidP="00937462">
            <w:pPr>
              <w:pStyle w:val="corpo"/>
              <w:spacing w:before="0" w:after="0"/>
              <w:jc w:val="both"/>
              <w:rPr>
                <w:rFonts w:ascii="Bookman Old Style" w:hAnsi="Bookman Old Style" w:cs="Arial"/>
                <w:sz w:val="22"/>
                <w:szCs w:val="22"/>
              </w:rPr>
            </w:pPr>
            <w:r w:rsidRPr="00937462">
              <w:rPr>
                <w:rFonts w:ascii="Bookman Old Style" w:hAnsi="Bookman Old Style" w:cs="Arial"/>
                <w:color w:val="0D0D0D"/>
                <w:sz w:val="22"/>
                <w:szCs w:val="22"/>
                <w:shd w:val="clear" w:color="auto" w:fill="FFFFFF"/>
              </w:rPr>
              <w:t xml:space="preserve">Serviço de manutenção corretiva e preventiva dos equipamentos hospitalares, fisioterapêuticos e laboratoriais; tais como autoclaves, monitores cardíacos, desfibrilador, bisturi, bombas de infusão, compressores, aspirador, balança adulto, balança infantil, aparelhos de raio x, respiratórios e conexos. </w:t>
            </w:r>
          </w:p>
        </w:tc>
        <w:tc>
          <w:tcPr>
            <w:tcW w:w="1985" w:type="dxa"/>
          </w:tcPr>
          <w:p w14:paraId="58701B16" w14:textId="6B45F428"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5FCC0923" w14:textId="6B540D9B"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100</w:t>
            </w:r>
          </w:p>
        </w:tc>
      </w:tr>
      <w:tr w:rsidR="000E6736" w14:paraId="774B6AE7" w14:textId="77777777" w:rsidTr="005351F6">
        <w:tc>
          <w:tcPr>
            <w:tcW w:w="1101" w:type="dxa"/>
          </w:tcPr>
          <w:p w14:paraId="312E217C" w14:textId="5EBCB6E8"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02</w:t>
            </w:r>
          </w:p>
        </w:tc>
        <w:tc>
          <w:tcPr>
            <w:tcW w:w="5811" w:type="dxa"/>
            <w:vAlign w:val="center"/>
          </w:tcPr>
          <w:p w14:paraId="51C752B6" w14:textId="10315101" w:rsidR="000E6736" w:rsidRPr="00937462" w:rsidRDefault="00937462" w:rsidP="00937462">
            <w:pPr>
              <w:pStyle w:val="corpo"/>
              <w:spacing w:before="0" w:after="0"/>
              <w:jc w:val="both"/>
              <w:rPr>
                <w:rFonts w:ascii="Bookman Old Style" w:hAnsi="Bookman Old Style" w:cs="Arial"/>
                <w:sz w:val="22"/>
                <w:szCs w:val="22"/>
              </w:rPr>
            </w:pPr>
            <w:r w:rsidRPr="00937462">
              <w:rPr>
                <w:rFonts w:ascii="Bookman Old Style" w:hAnsi="Bookman Old Style" w:cs="Arial"/>
                <w:color w:val="0D0D0D"/>
                <w:sz w:val="22"/>
                <w:szCs w:val="22"/>
                <w:shd w:val="clear" w:color="auto" w:fill="FFFFFF"/>
              </w:rPr>
              <w:t>Serviço de manutenção corretiva e preventiva dos equipamentos de eletrodomésticos, tais como lavar, tanquinho, ar condicionado e conexos</w:t>
            </w:r>
            <w:r w:rsidR="000E6736" w:rsidRPr="00937462">
              <w:rPr>
                <w:rFonts w:ascii="Bookman Old Style" w:eastAsia="Arial" w:hAnsi="Bookman Old Style" w:cs="Arial"/>
                <w:sz w:val="22"/>
                <w:szCs w:val="22"/>
              </w:rPr>
              <w:t>.</w:t>
            </w:r>
          </w:p>
        </w:tc>
        <w:tc>
          <w:tcPr>
            <w:tcW w:w="1985" w:type="dxa"/>
          </w:tcPr>
          <w:p w14:paraId="66BCE097" w14:textId="30A18CEF"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7700DDD7" w14:textId="58A2F234"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60</w:t>
            </w:r>
          </w:p>
        </w:tc>
      </w:tr>
      <w:tr w:rsidR="000E6736" w14:paraId="37FE5738" w14:textId="77777777" w:rsidTr="005351F6">
        <w:tc>
          <w:tcPr>
            <w:tcW w:w="1101" w:type="dxa"/>
          </w:tcPr>
          <w:p w14:paraId="2583EB3E" w14:textId="684591CB"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03</w:t>
            </w:r>
          </w:p>
        </w:tc>
        <w:tc>
          <w:tcPr>
            <w:tcW w:w="5811" w:type="dxa"/>
            <w:vAlign w:val="center"/>
          </w:tcPr>
          <w:p w14:paraId="50E47892" w14:textId="44A09BAB"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Registro das atividades e ações feitas no equipamento médico hospitalar</w:t>
            </w:r>
          </w:p>
        </w:tc>
        <w:tc>
          <w:tcPr>
            <w:tcW w:w="1985" w:type="dxa"/>
          </w:tcPr>
          <w:p w14:paraId="67F26B14" w14:textId="40A8804C"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5A02C9A3" w14:textId="77EA6774"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4E79CA59" w14:textId="77777777" w:rsidTr="005351F6">
        <w:tc>
          <w:tcPr>
            <w:tcW w:w="1101" w:type="dxa"/>
          </w:tcPr>
          <w:p w14:paraId="56AB9706" w14:textId="23FC84F5"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04</w:t>
            </w:r>
          </w:p>
        </w:tc>
        <w:tc>
          <w:tcPr>
            <w:tcW w:w="5811" w:type="dxa"/>
            <w:vAlign w:val="center"/>
          </w:tcPr>
          <w:p w14:paraId="0FCDACA1" w14:textId="6080B57A"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Lubrificação de peças necessárias</w:t>
            </w:r>
          </w:p>
        </w:tc>
        <w:tc>
          <w:tcPr>
            <w:tcW w:w="1985" w:type="dxa"/>
          </w:tcPr>
          <w:p w14:paraId="60646218" w14:textId="1B4EBB6E"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0614291C" w14:textId="01C06905"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681BA5D4" w14:textId="77777777" w:rsidTr="005351F6">
        <w:tc>
          <w:tcPr>
            <w:tcW w:w="1101" w:type="dxa"/>
          </w:tcPr>
          <w:p w14:paraId="36296D0F" w14:textId="7E1E93FD"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c>
          <w:tcPr>
            <w:tcW w:w="5811" w:type="dxa"/>
            <w:vAlign w:val="center"/>
          </w:tcPr>
          <w:p w14:paraId="6E49B1D6" w14:textId="44BEF8AA"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Troca de peças que estejam com a vida útil vencida</w:t>
            </w:r>
          </w:p>
        </w:tc>
        <w:tc>
          <w:tcPr>
            <w:tcW w:w="1985" w:type="dxa"/>
          </w:tcPr>
          <w:p w14:paraId="1C385355" w14:textId="367919F1"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37E1AFA2" w14:textId="30821F7E"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72DA6626" w14:textId="77777777" w:rsidTr="005351F6">
        <w:tc>
          <w:tcPr>
            <w:tcW w:w="1101" w:type="dxa"/>
          </w:tcPr>
          <w:p w14:paraId="585EF22D" w14:textId="4F4DA8DF"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06</w:t>
            </w:r>
          </w:p>
        </w:tc>
        <w:tc>
          <w:tcPr>
            <w:tcW w:w="5811" w:type="dxa"/>
            <w:vAlign w:val="center"/>
          </w:tcPr>
          <w:p w14:paraId="4D7D87F5" w14:textId="6D566873"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Testes para verificar o desempenho</w:t>
            </w:r>
          </w:p>
        </w:tc>
        <w:tc>
          <w:tcPr>
            <w:tcW w:w="1985" w:type="dxa"/>
          </w:tcPr>
          <w:p w14:paraId="63D59326" w14:textId="5EE5081E"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137B0E25" w14:textId="7377BED5"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343E72A8" w14:textId="77777777" w:rsidTr="005351F6">
        <w:tc>
          <w:tcPr>
            <w:tcW w:w="1101" w:type="dxa"/>
          </w:tcPr>
          <w:p w14:paraId="7673430B" w14:textId="48D3275A"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07</w:t>
            </w:r>
          </w:p>
        </w:tc>
        <w:tc>
          <w:tcPr>
            <w:tcW w:w="5811" w:type="dxa"/>
            <w:vAlign w:val="center"/>
          </w:tcPr>
          <w:p w14:paraId="3EDFE6B8" w14:textId="26F1E3B0"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Termografia</w:t>
            </w:r>
          </w:p>
        </w:tc>
        <w:tc>
          <w:tcPr>
            <w:tcW w:w="1985" w:type="dxa"/>
          </w:tcPr>
          <w:p w14:paraId="2EA30613" w14:textId="13755160"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3F2CC997" w14:textId="782D8C76"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513563DE" w14:textId="77777777" w:rsidTr="005351F6">
        <w:tc>
          <w:tcPr>
            <w:tcW w:w="1101" w:type="dxa"/>
          </w:tcPr>
          <w:p w14:paraId="68796B12" w14:textId="072DB4E5"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08</w:t>
            </w:r>
          </w:p>
        </w:tc>
        <w:tc>
          <w:tcPr>
            <w:tcW w:w="5811" w:type="dxa"/>
            <w:vAlign w:val="center"/>
          </w:tcPr>
          <w:p w14:paraId="150D85C1" w14:textId="28B89D99"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Medições de aterramento</w:t>
            </w:r>
          </w:p>
        </w:tc>
        <w:tc>
          <w:tcPr>
            <w:tcW w:w="1985" w:type="dxa"/>
          </w:tcPr>
          <w:p w14:paraId="42D10C63" w14:textId="16BF87A0"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68D5128C" w14:textId="71B8B598"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2299D6C1" w14:textId="77777777" w:rsidTr="005351F6">
        <w:tc>
          <w:tcPr>
            <w:tcW w:w="1101" w:type="dxa"/>
          </w:tcPr>
          <w:p w14:paraId="118A1D44" w14:textId="20DE8DB6"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09</w:t>
            </w:r>
          </w:p>
        </w:tc>
        <w:tc>
          <w:tcPr>
            <w:tcW w:w="5811" w:type="dxa"/>
            <w:vAlign w:val="center"/>
          </w:tcPr>
          <w:p w14:paraId="7A918261" w14:textId="4D82B512"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 xml:space="preserve">Manutenção de casa de maquinas </w:t>
            </w:r>
          </w:p>
        </w:tc>
        <w:tc>
          <w:tcPr>
            <w:tcW w:w="1985" w:type="dxa"/>
          </w:tcPr>
          <w:p w14:paraId="3B43CAC9" w14:textId="4CC2BDFF"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32C74B20" w14:textId="766AAA4A"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r w:rsidR="000E6736" w14:paraId="01990712" w14:textId="77777777" w:rsidTr="005351F6">
        <w:tc>
          <w:tcPr>
            <w:tcW w:w="1101" w:type="dxa"/>
          </w:tcPr>
          <w:p w14:paraId="2BD67F98" w14:textId="3A829FB7" w:rsidR="000E6736" w:rsidRDefault="000E6736"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5811" w:type="dxa"/>
            <w:vAlign w:val="center"/>
          </w:tcPr>
          <w:p w14:paraId="5EE9A809" w14:textId="2A69601D" w:rsidR="000E6736" w:rsidRPr="00937462" w:rsidRDefault="000E6736" w:rsidP="00937462">
            <w:pPr>
              <w:pStyle w:val="corpo"/>
              <w:spacing w:before="0" w:after="0"/>
              <w:jc w:val="both"/>
              <w:rPr>
                <w:rFonts w:ascii="Bookman Old Style" w:hAnsi="Bookman Old Style" w:cs="Arial"/>
                <w:sz w:val="22"/>
                <w:szCs w:val="22"/>
              </w:rPr>
            </w:pPr>
            <w:r w:rsidRPr="00937462">
              <w:rPr>
                <w:rFonts w:ascii="Bookman Old Style" w:eastAsia="Arial" w:hAnsi="Bookman Old Style" w:cs="Arial"/>
                <w:sz w:val="22"/>
                <w:szCs w:val="22"/>
              </w:rPr>
              <w:t>Manutenção aparelhos refrigeração e climatização</w:t>
            </w:r>
          </w:p>
        </w:tc>
        <w:tc>
          <w:tcPr>
            <w:tcW w:w="1985" w:type="dxa"/>
          </w:tcPr>
          <w:p w14:paraId="44E043E0" w14:textId="65FFB44E" w:rsidR="000E6736" w:rsidRPr="00937462" w:rsidRDefault="000E6736" w:rsidP="000E6736">
            <w:pPr>
              <w:pStyle w:val="corpo"/>
              <w:spacing w:before="0" w:after="0"/>
              <w:jc w:val="center"/>
              <w:rPr>
                <w:rFonts w:ascii="Bookman Old Style" w:hAnsi="Bookman Old Style" w:cs="Arial"/>
                <w:sz w:val="22"/>
                <w:szCs w:val="22"/>
              </w:rPr>
            </w:pPr>
            <w:r w:rsidRPr="00937462">
              <w:rPr>
                <w:rFonts w:ascii="Bookman Old Style" w:hAnsi="Bookman Old Style" w:cs="Arial"/>
                <w:sz w:val="22"/>
                <w:szCs w:val="22"/>
              </w:rPr>
              <w:t>HORAS</w:t>
            </w:r>
          </w:p>
        </w:tc>
        <w:tc>
          <w:tcPr>
            <w:tcW w:w="1307" w:type="dxa"/>
          </w:tcPr>
          <w:p w14:paraId="6A98C3B6" w14:textId="153F9588" w:rsidR="000E6736" w:rsidRDefault="00937462" w:rsidP="000E6736">
            <w:pPr>
              <w:pStyle w:val="corpo"/>
              <w:spacing w:before="0" w:after="0"/>
              <w:jc w:val="center"/>
              <w:rPr>
                <w:rFonts w:ascii="Bookman Old Style" w:hAnsi="Bookman Old Style" w:cs="Arial"/>
                <w:sz w:val="22"/>
                <w:szCs w:val="22"/>
              </w:rPr>
            </w:pPr>
            <w:r>
              <w:rPr>
                <w:rFonts w:ascii="Bookman Old Style" w:hAnsi="Bookman Old Style" w:cs="Arial"/>
                <w:sz w:val="22"/>
                <w:szCs w:val="22"/>
              </w:rPr>
              <w:t>05</w:t>
            </w:r>
          </w:p>
        </w:tc>
      </w:tr>
    </w:tbl>
    <w:p w14:paraId="66AA2FFD" w14:textId="77777777" w:rsidR="002C0DC6" w:rsidRDefault="002C0DC6" w:rsidP="0075029B">
      <w:pPr>
        <w:pStyle w:val="corpo"/>
        <w:spacing w:before="0" w:after="0"/>
        <w:jc w:val="both"/>
        <w:rPr>
          <w:rFonts w:ascii="Bookman Old Style" w:hAnsi="Bookman Old Style" w:cs="Arial"/>
          <w:sz w:val="22"/>
          <w:szCs w:val="22"/>
        </w:rPr>
      </w:pPr>
    </w:p>
    <w:p w14:paraId="2F8AF1ED"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1.2.1. As memórias de cálculo e documento que dão suporte à estimativa do valor da contratação, constam em anexo classificado que será divulgado após a conclusão do certame, </w:t>
      </w:r>
    </w:p>
    <w:p w14:paraId="614CC295"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1.2.2. O orçamento estimado poderá ser utilizado como parâmetro de negociação final com o proponente vencedor. </w:t>
      </w:r>
    </w:p>
    <w:p w14:paraId="7ECC6ABA" w14:textId="77777777" w:rsidR="002C0DC6" w:rsidRDefault="002C0DC6" w:rsidP="0075029B">
      <w:pPr>
        <w:pStyle w:val="corpo"/>
        <w:spacing w:before="0" w:after="0"/>
        <w:jc w:val="both"/>
        <w:rPr>
          <w:rFonts w:ascii="Bookman Old Style" w:hAnsi="Bookman Old Style" w:cs="Arial"/>
          <w:sz w:val="22"/>
          <w:szCs w:val="22"/>
        </w:rPr>
      </w:pPr>
    </w:p>
    <w:p w14:paraId="03275078" w14:textId="77777777" w:rsidR="002C0DC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2- PRAZO DE DURAÇÃO DO CONTRATO </w:t>
      </w:r>
    </w:p>
    <w:p w14:paraId="321FF29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2.1. O contrato oriundo do presente procedimento terá vigência de 12 (doze) meses, contados a partir da data de sua assinatura. </w:t>
      </w:r>
    </w:p>
    <w:p w14:paraId="3FE1ED68" w14:textId="77777777"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2.2. 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72C53F26" w14:textId="77777777" w:rsidR="002C0DC6" w:rsidRDefault="002C0DC6" w:rsidP="0075029B">
      <w:pPr>
        <w:pStyle w:val="corpo"/>
        <w:spacing w:before="0" w:after="0"/>
        <w:jc w:val="both"/>
        <w:rPr>
          <w:rFonts w:ascii="Bookman Old Style" w:hAnsi="Bookman Old Style" w:cs="Arial"/>
          <w:sz w:val="22"/>
          <w:szCs w:val="22"/>
        </w:rPr>
      </w:pPr>
    </w:p>
    <w:p w14:paraId="5FCF0080" w14:textId="77777777" w:rsidR="002F32FB" w:rsidRDefault="002C0DC6" w:rsidP="002F32FB">
      <w:pPr>
        <w:pStyle w:val="corpo"/>
        <w:spacing w:before="0" w:after="0"/>
        <w:rPr>
          <w:rFonts w:ascii="Bookman Old Style" w:hAnsi="Bookman Old Style" w:cs="Arial"/>
          <w:sz w:val="22"/>
          <w:szCs w:val="22"/>
        </w:rPr>
      </w:pPr>
      <w:r w:rsidRPr="002F32FB">
        <w:rPr>
          <w:rFonts w:ascii="Bookman Old Style" w:hAnsi="Bookman Old Style" w:cs="Arial"/>
          <w:b/>
          <w:sz w:val="22"/>
          <w:szCs w:val="22"/>
        </w:rPr>
        <w:t>3-</w:t>
      </w:r>
      <w:r w:rsidR="002F32FB">
        <w:rPr>
          <w:rFonts w:ascii="Bookman Old Style" w:hAnsi="Bookman Old Style" w:cs="Arial"/>
          <w:b/>
          <w:sz w:val="22"/>
          <w:szCs w:val="22"/>
        </w:rPr>
        <w:t xml:space="preserve"> </w:t>
      </w:r>
      <w:r w:rsidRPr="002F32FB">
        <w:rPr>
          <w:rFonts w:ascii="Bookman Old Style" w:hAnsi="Bookman Old Style" w:cs="Arial"/>
          <w:b/>
          <w:sz w:val="22"/>
          <w:szCs w:val="22"/>
        </w:rPr>
        <w:t>FUNDAMENTAÇÃO DA CONTRATAÇÃO</w:t>
      </w:r>
      <w:r w:rsidR="002F32FB">
        <w:rPr>
          <w:rFonts w:ascii="Bookman Old Style" w:hAnsi="Bookman Old Style" w:cs="Arial"/>
          <w:b/>
          <w:sz w:val="22"/>
          <w:szCs w:val="22"/>
        </w:rPr>
        <w:br/>
      </w:r>
    </w:p>
    <w:p w14:paraId="245B16C8" w14:textId="5898AFD8" w:rsidR="002F32FB" w:rsidRPr="004E4CD9" w:rsidRDefault="004E4CD9" w:rsidP="004E4CD9">
      <w:pPr>
        <w:pStyle w:val="corpo"/>
        <w:jc w:val="both"/>
        <w:rPr>
          <w:rFonts w:ascii="Bookman Old Style" w:hAnsi="Bookman Old Style" w:cs="Arial"/>
          <w:sz w:val="22"/>
          <w:szCs w:val="22"/>
        </w:rPr>
      </w:pPr>
      <w:r w:rsidRPr="004E4CD9">
        <w:rPr>
          <w:rFonts w:ascii="Bookman Old Style" w:hAnsi="Bookman Old Style" w:cs="Arial"/>
          <w:sz w:val="22"/>
          <w:szCs w:val="22"/>
        </w:rPr>
        <w:t>3.1. A contratação de uma empresa especializada para a realização de manutenções corretivas e preventivas em equipamentos hospitalares é crucial para garantir o funcionamento adequado das unidades de saúde. Tais serviços são essenciais para assegurar a disponibilidade e o bom estado de equipamentos vitais para o atendimento médico, como autoclaves, monitores cardíacos, desfibriladores, entre outros.</w:t>
      </w:r>
      <w:r>
        <w:rPr>
          <w:rFonts w:ascii="Bookman Old Style" w:hAnsi="Bookman Old Style" w:cs="Arial"/>
          <w:sz w:val="22"/>
          <w:szCs w:val="22"/>
        </w:rPr>
        <w:br/>
      </w:r>
      <w:r w:rsidRPr="004E4CD9">
        <w:rPr>
          <w:rFonts w:ascii="Bookman Old Style" w:hAnsi="Bookman Old Style" w:cs="Arial"/>
          <w:sz w:val="22"/>
          <w:szCs w:val="22"/>
        </w:rPr>
        <w:t xml:space="preserve">3.2. É importante ressaltar que a falta de manutenção adequada desses equipamentos pode </w:t>
      </w:r>
      <w:r w:rsidRPr="004E4CD9">
        <w:rPr>
          <w:rFonts w:ascii="Bookman Old Style" w:hAnsi="Bookman Old Style" w:cs="Arial"/>
          <w:sz w:val="22"/>
          <w:szCs w:val="22"/>
        </w:rPr>
        <w:lastRenderedPageBreak/>
        <w:t>comprometer seriamente a qualidade e a segurança dos serviços de saúde prestados à comunidade. A falha em realizar intervenções corretivas e preventivas pode resultar em danos aos equipamentos, falhas durante procedimentos médicos e, em última instância, colocar em risco a vida e a saúde dos pacientes.</w:t>
      </w:r>
      <w:r>
        <w:rPr>
          <w:rFonts w:ascii="Bookman Old Style" w:hAnsi="Bookman Old Style" w:cs="Arial"/>
          <w:sz w:val="22"/>
          <w:szCs w:val="22"/>
        </w:rPr>
        <w:br/>
      </w:r>
      <w:r w:rsidRPr="004E4CD9">
        <w:rPr>
          <w:rFonts w:ascii="Bookman Old Style" w:hAnsi="Bookman Old Style" w:cs="Arial"/>
          <w:sz w:val="22"/>
          <w:szCs w:val="22"/>
        </w:rPr>
        <w:t>3.3. A disponibilidade de uma empresa especializada em manutenção de equipamentos hospitalares é fundamental para garantir a operacionalidade contínua desses dispositivos. Além disso, a realização periódica de manutenções preventivas contribui para identificar e corrigir eventuais falhas antes que estas se tornem problemas mais graves, reduzindo assim o tempo de inatividade dos equipamentos e os custos associados a reparos emergenciais.</w:t>
      </w:r>
      <w:r>
        <w:rPr>
          <w:rFonts w:ascii="Bookman Old Style" w:hAnsi="Bookman Old Style" w:cs="Arial"/>
          <w:sz w:val="22"/>
          <w:szCs w:val="22"/>
        </w:rPr>
        <w:br/>
      </w:r>
      <w:r w:rsidRPr="004E4CD9">
        <w:rPr>
          <w:rFonts w:ascii="Bookman Old Style" w:hAnsi="Bookman Old Style" w:cs="Arial"/>
          <w:sz w:val="22"/>
          <w:szCs w:val="22"/>
        </w:rPr>
        <w:t>3.4. Investir na contratação de uma empresa especializada em manutenção de equipamentos hospitalares reflete o compromisso da instituição de saúde com a qualidade e a segurança do atendimento prestado à população. A garantia de que os equipamentos estejam em perfeitas condições de funcionamento é essencial para assegurar a eficácia dos tratamentos médicos e a segurança dos pacientes.</w:t>
      </w:r>
      <w:r>
        <w:rPr>
          <w:rFonts w:ascii="Bookman Old Style" w:hAnsi="Bookman Old Style" w:cs="Arial"/>
          <w:sz w:val="22"/>
          <w:szCs w:val="22"/>
        </w:rPr>
        <w:br/>
      </w:r>
      <w:r w:rsidRPr="004E4CD9">
        <w:rPr>
          <w:rFonts w:ascii="Bookman Old Style" w:hAnsi="Bookman Old Style" w:cs="Arial"/>
          <w:sz w:val="22"/>
          <w:szCs w:val="22"/>
        </w:rPr>
        <w:t>3.5. A falta de manutenção adequada dos equipamentos hospitalares pode impactar negativamente na qualidade dos serviços de saúde, resultando em atrasos no atendimento, cancelamento de cirurgias e exames, e até mesmo a interrupção temporária das atividades de unidades de saúde. Portanto, é imprescindível contar com uma empresa especializada para garantir a manutenção regular e eficaz desses dispositivos.</w:t>
      </w:r>
      <w:r>
        <w:rPr>
          <w:rFonts w:ascii="Bookman Old Style" w:hAnsi="Bookman Old Style" w:cs="Arial"/>
          <w:sz w:val="22"/>
          <w:szCs w:val="22"/>
        </w:rPr>
        <w:br/>
      </w:r>
      <w:r w:rsidRPr="004E4CD9">
        <w:rPr>
          <w:rFonts w:ascii="Bookman Old Style" w:hAnsi="Bookman Old Style" w:cs="Arial"/>
          <w:sz w:val="22"/>
          <w:szCs w:val="22"/>
        </w:rPr>
        <w:t>3.6. Diante do exposto, a contratação de uma empresa especializada em manutenção de equipamentos hospitalares se justifica como uma medida essencial para garantir a qualidade, a segurança e a eficiência dos serviços de saúde prestados à população. A disponibilidade de uma equipe técnica capacitada para realizar intervenções corretivas e preventivas contribui para minimizar os riscos de falhas nos equipamentos e assegurar a continuidade do atendimento médico.</w:t>
      </w:r>
    </w:p>
    <w:p w14:paraId="4F649234" w14:textId="0ECB3273"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4- REQUISITOS DA CONTRATAÇÃO </w:t>
      </w:r>
    </w:p>
    <w:p w14:paraId="786640C7" w14:textId="6049A4FD"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4.1. O formato de contratação adotado, através de Dispensa de Licitação, se justifica pela não extrapolação dos limites estabelecidos na legislação pertinente dos valores dispendidos com atividades do mesmo ramo do objeto do procedimento.</w:t>
      </w:r>
    </w:p>
    <w:p w14:paraId="5A7206E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4.2. Considerando as características gerais do objeto a ser licitado e a faculdade de elaboração de estudo técnico preliminar para dispensa de licitação estabelecida na Lei Federal nº 14.133/21, não se vislumbra a necessidade de confecção do documento, haja vista que todas as condições a serem atendidas se encontram especificadas no Termo de Referência. </w:t>
      </w:r>
    </w:p>
    <w:p w14:paraId="40FBD46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4.3. A empresa será responsável por todo o custo que envolve a execução dos serviços e fornecimento do objeto, incluindo o transporte, instalação, impostos, taxas e correlatos. </w:t>
      </w:r>
    </w:p>
    <w:p w14:paraId="3B9A746E" w14:textId="689C92BE"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4.4. A disponibilização de energia elétrica, a aquisição dos tubos e caixa de distribuição, bem como a realização da perfuração dos poços correrão a cargo da Prefeitura Municipal </w:t>
      </w:r>
      <w:r w:rsidR="002F32FB" w:rsidRPr="002C0DC6">
        <w:rPr>
          <w:rFonts w:ascii="Bookman Old Style" w:hAnsi="Bookman Old Style" w:cs="Arial"/>
          <w:sz w:val="22"/>
          <w:szCs w:val="22"/>
        </w:rPr>
        <w:t xml:space="preserve">de </w:t>
      </w:r>
      <w:r w:rsidR="002F32FB">
        <w:rPr>
          <w:rFonts w:ascii="Bookman Old Style" w:hAnsi="Bookman Old Style" w:cs="Arial"/>
          <w:sz w:val="22"/>
          <w:szCs w:val="22"/>
        </w:rPr>
        <w:t>Ipanema</w:t>
      </w:r>
      <w:r w:rsidR="00551AD5">
        <w:rPr>
          <w:rFonts w:ascii="Bookman Old Style" w:hAnsi="Bookman Old Style" w:cs="Arial"/>
          <w:sz w:val="22"/>
          <w:szCs w:val="22"/>
        </w:rPr>
        <w:t>.</w:t>
      </w:r>
      <w:r w:rsidRPr="002C0DC6">
        <w:rPr>
          <w:rFonts w:ascii="Bookman Old Style" w:hAnsi="Bookman Old Style" w:cs="Arial"/>
          <w:sz w:val="22"/>
          <w:szCs w:val="22"/>
        </w:rPr>
        <w:t xml:space="preserve"> </w:t>
      </w:r>
    </w:p>
    <w:p w14:paraId="2CA5BE50" w14:textId="77777777" w:rsidR="00345616" w:rsidRDefault="00345616" w:rsidP="0075029B">
      <w:pPr>
        <w:pStyle w:val="corpo"/>
        <w:spacing w:before="0" w:after="0"/>
        <w:jc w:val="both"/>
        <w:rPr>
          <w:rFonts w:ascii="Bookman Old Style" w:hAnsi="Bookman Old Style" w:cs="Arial"/>
          <w:sz w:val="22"/>
          <w:szCs w:val="22"/>
        </w:rPr>
      </w:pPr>
    </w:p>
    <w:p w14:paraId="6D82D82E"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5- MODELO DE EXECUÇÃO DO OBJETO </w:t>
      </w:r>
    </w:p>
    <w:p w14:paraId="1EAF7A3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5.1. Os serviços serão prestados em estrita conformidade com as condições estabelecidas neste termo, dentro das melhores técnicas pertinentes ao objeto. </w:t>
      </w:r>
    </w:p>
    <w:p w14:paraId="341D01EF" w14:textId="60D73F3C"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5.2. Os serviços serão prestados de forma gradativa e eventual, de acordo com as demandas da secretaria requisitante, sendo iniciados no prazo máximo de 48 (quarenta e oito) horas contados a partir do recebimento da Ordem de Fornecimento emitida pelo Setor de Compras da Prefeitura Municipal de </w:t>
      </w:r>
      <w:r w:rsidR="00551AD5">
        <w:rPr>
          <w:rFonts w:ascii="Bookman Old Style" w:hAnsi="Bookman Old Style" w:cs="Arial"/>
          <w:sz w:val="22"/>
          <w:szCs w:val="22"/>
        </w:rPr>
        <w:t>Ipanema/</w:t>
      </w:r>
      <w:r w:rsidRPr="002C0DC6">
        <w:rPr>
          <w:rFonts w:ascii="Bookman Old Style" w:hAnsi="Bookman Old Style" w:cs="Arial"/>
          <w:sz w:val="22"/>
          <w:szCs w:val="22"/>
        </w:rPr>
        <w:t xml:space="preserve">MG. </w:t>
      </w:r>
    </w:p>
    <w:p w14:paraId="459ED871" w14:textId="3CA1B7DD"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5.3. Os serviços serão executados em local previamente estabelecido pela secretaria requisitante, podendo ser em perímetro urbano ou zona rural do Município de </w:t>
      </w:r>
      <w:r w:rsidR="00551AD5">
        <w:rPr>
          <w:rFonts w:ascii="Bookman Old Style" w:hAnsi="Bookman Old Style" w:cs="Arial"/>
          <w:sz w:val="22"/>
          <w:szCs w:val="22"/>
        </w:rPr>
        <w:t>Ipanema/</w:t>
      </w:r>
      <w:r w:rsidRPr="002C0DC6">
        <w:rPr>
          <w:rFonts w:ascii="Bookman Old Style" w:hAnsi="Bookman Old Style" w:cs="Arial"/>
          <w:sz w:val="22"/>
          <w:szCs w:val="22"/>
        </w:rPr>
        <w:t xml:space="preserve">MG a depender da necessidade. </w:t>
      </w:r>
    </w:p>
    <w:p w14:paraId="7941CC9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5.4. O objeto será recebido provisoriamente pelo fiscal do contrato, com verificação posterior do atendimento às conformidades estabelecidas neste instrumento. </w:t>
      </w:r>
    </w:p>
    <w:p w14:paraId="3BE408F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5.5. O objeto será recebido definitivamente pelo gestor ou comissão do contrato, mediante termo detalhado, que comprove o atendimento às exigências estabelecidas neste instrumento. </w:t>
      </w:r>
    </w:p>
    <w:p w14:paraId="1529378B"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5.6. O objeto poderá ser rejeitado, no todo ou em parte, quando estiver sendo executado em desconformidade com as exigências estabelecidas neste instrumento. </w:t>
      </w:r>
    </w:p>
    <w:p w14:paraId="04615C2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5.7. O recebimento provisório ou definitivo não excluirá a responsabilidade civil do proponente pela solidez e segurança da execução. </w:t>
      </w:r>
    </w:p>
    <w:p w14:paraId="7DFFED5A" w14:textId="77777777" w:rsidR="00925927" w:rsidRDefault="00925927" w:rsidP="0075029B">
      <w:pPr>
        <w:pStyle w:val="corpo"/>
        <w:spacing w:before="0" w:after="0"/>
        <w:jc w:val="both"/>
        <w:rPr>
          <w:rFonts w:ascii="Bookman Old Style" w:hAnsi="Bookman Old Style" w:cs="Arial"/>
          <w:sz w:val="22"/>
          <w:szCs w:val="22"/>
        </w:rPr>
      </w:pPr>
    </w:p>
    <w:p w14:paraId="5E4192AD" w14:textId="77777777" w:rsidR="00925927"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6- FISCALIZAÇÃO E GESTÃO DO CONTRATO </w:t>
      </w:r>
    </w:p>
    <w:p w14:paraId="0A115278" w14:textId="14A4CFCA"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6.1. Caberá ao Fiscal do contrato: </w:t>
      </w:r>
    </w:p>
    <w:p w14:paraId="6036118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fiscalizar e atestar o recebimento provisório dos produtos ou serviços em face das suas características e especificações, em estrita conformidade com este instrumento; </w:t>
      </w:r>
    </w:p>
    <w:p w14:paraId="7FF13BB6" w14:textId="154B2291"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II - fiscalizar e atestar o recebimento provisório dos produtos ou serviços em face dos quantitativos solicitados;</w:t>
      </w:r>
    </w:p>
    <w:p w14:paraId="20343B0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fiscalizar e atestar o recebimento provisório dos produtos ou serviços nos prazos e condições estabelecidas neste instrumento; </w:t>
      </w:r>
    </w:p>
    <w:p w14:paraId="54EA3DD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auxiliar o gestor no contrato, subsidiando as informações pertinentes às suas competências; </w:t>
      </w:r>
    </w:p>
    <w:p w14:paraId="4388A6F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anotar histórico de gerenciamento do contrato, contendo todas as ocorrências relacionadas à sua execução; </w:t>
      </w:r>
    </w:p>
    <w:p w14:paraId="183EEEF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emitir notificações sobre qualquer irregularidade encontrada na execução do contrato; </w:t>
      </w:r>
    </w:p>
    <w:p w14:paraId="7D78EEA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rejeitar os produtos ou serviços entregues em desconformidade com este instrumento; </w:t>
      </w:r>
    </w:p>
    <w:p w14:paraId="528C556B"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VIII - comunicar formalmente o gestor do contrato a respeito de qualquer ocorrência relacionada ao recebimento do objeto ou suas atribuições; </w:t>
      </w:r>
    </w:p>
    <w:p w14:paraId="424A70A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6.1.1. O fiscal de contrato informará a seus superiores, em tempo hábil para a adoção das medidas convenientes, a situação que demandar decisão ou providência que ultrapasse sua competência, entre elas: </w:t>
      </w:r>
    </w:p>
    <w:p w14:paraId="1BBF8D1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atraso injustificado na execução do cronograma ou entrega dos objetos; </w:t>
      </w:r>
    </w:p>
    <w:p w14:paraId="4CEA4C0E"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entrega de produtos em desconformidade com as especificações constantes no instrumento convocatório ou quantitativo divergente do solicitado; </w:t>
      </w:r>
    </w:p>
    <w:p w14:paraId="3987CCAD"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execução do objeto em desconformidade com este instrumento; </w:t>
      </w:r>
    </w:p>
    <w:p w14:paraId="595DFCCF"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descumprimento de cláusula contratual ou regra editalícia; </w:t>
      </w:r>
    </w:p>
    <w:p w14:paraId="10847E13"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subcontratação indevida, sem autorização prévia ou fora dos limites legais; </w:t>
      </w:r>
    </w:p>
    <w:p w14:paraId="08AD4F64"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alteração nas condições da habilitação da proponente previstas no instrumento convocatório; </w:t>
      </w:r>
    </w:p>
    <w:p w14:paraId="42D13F1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quaisquer irregularidades, ilegalidades, atrasos, desvios de finalidades e condutas ilícitas detectadas e não citados anteriormente. </w:t>
      </w:r>
    </w:p>
    <w:p w14:paraId="31BE294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6.2. Caberá ao Gestor do Contrato: </w:t>
      </w:r>
    </w:p>
    <w:p w14:paraId="5708378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 analisar a documentação que antecede a liquidação e ao pagamento; </w:t>
      </w:r>
    </w:p>
    <w:p w14:paraId="5A5F56D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 analisar os pedidos de reequilíbrio econômico-financeiro, decidindo manifestadamente a respeito nos autos do procedimento; </w:t>
      </w:r>
    </w:p>
    <w:p w14:paraId="30CA166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 criar rotinas de verificação de valores, conforme a especificidade de cada objeto, para eventualmente propor reequilíbrios econômico-financeiros quando o valor praticado estiver em desconformidade com a prática de mercado; </w:t>
      </w:r>
    </w:p>
    <w:p w14:paraId="19A26A0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 analisar eventuais solicitações de alterações contratuais, decidindo manifestadamente a respeito nos autos do procedimento; </w:t>
      </w:r>
    </w:p>
    <w:p w14:paraId="75EC17BD"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 acompanhar o desenvolvimento da execução através dos relatos apresentados pelo fiscal do contrato, bem como os demais documentos pertinentes; </w:t>
      </w:r>
    </w:p>
    <w:p w14:paraId="2873808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 - decidir, provisoriamente, pela suspensão da entrega de bens ou a realização dos serviços, manifestando a respeito nos autos do procedimento; </w:t>
      </w:r>
    </w:p>
    <w:p w14:paraId="39D5401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VII - solicitar e acompanhar processos administrativos sancionadores, na dosimetria descrita no instrumento convocatório, nos casos em que o objeto estiver sendo executado em desconformidade com as exigências; </w:t>
      </w:r>
    </w:p>
    <w:p w14:paraId="48B69E0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lastRenderedPageBreak/>
        <w:t xml:space="preserve">VIII - alimentar o Portal Nacional de Contratações Públicas - PNCP ou equivalente com os dados referentes aos contratos administrativos; </w:t>
      </w:r>
    </w:p>
    <w:p w14:paraId="0B574DED" w14:textId="20D8374D" w:rsidR="002C0DC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IX - realizar o recebimento definitivo dos produtos ou serviços.</w:t>
      </w:r>
    </w:p>
    <w:p w14:paraId="7FCE4025"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6.3. 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0D500650" w14:textId="77777777" w:rsidR="00345616" w:rsidRDefault="00345616" w:rsidP="0075029B">
      <w:pPr>
        <w:pStyle w:val="corpo"/>
        <w:spacing w:before="0" w:after="0"/>
        <w:jc w:val="both"/>
        <w:rPr>
          <w:rFonts w:ascii="Bookman Old Style" w:hAnsi="Bookman Old Style" w:cs="Arial"/>
          <w:sz w:val="22"/>
          <w:szCs w:val="22"/>
        </w:rPr>
      </w:pPr>
    </w:p>
    <w:p w14:paraId="26074511" w14:textId="77777777" w:rsidR="00925927" w:rsidRDefault="00925927" w:rsidP="0075029B">
      <w:pPr>
        <w:pStyle w:val="corpo"/>
        <w:spacing w:before="0" w:after="0"/>
        <w:jc w:val="both"/>
        <w:rPr>
          <w:rFonts w:ascii="Bookman Old Style" w:hAnsi="Bookman Old Style" w:cs="Arial"/>
          <w:sz w:val="22"/>
          <w:szCs w:val="22"/>
        </w:rPr>
      </w:pPr>
    </w:p>
    <w:p w14:paraId="520EE774"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7- FORMA DE MEDIÇÃO E PAGAMENTO </w:t>
      </w:r>
    </w:p>
    <w:p w14:paraId="3B7E623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7.1. Após o recebimento definitivo realizado pelo gestor do contrato, a Nota Fiscal e os documentos pertinentes serão devidamente encaminhados para o responsável por sua liquidação e posteriormente para o setor responsável pelo pagamento. </w:t>
      </w:r>
    </w:p>
    <w:p w14:paraId="3505A04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 O pagamento será efetuado pelo setor responsável, até 30 (trinta) dias após a liquidação da Nota Fiscal. </w:t>
      </w:r>
    </w:p>
    <w:p w14:paraId="1073F5D9"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7.2.1. Para execução do pagamento o proponente deverá indicar na Nota Fiscal o número de sua conta, agência bancária, nome do banco e código da operação, bem como o número do pedido de execução encaminhado pelo setor responsável ou o número do empenho. </w:t>
      </w:r>
    </w:p>
    <w:p w14:paraId="02EA9B91"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7.2.2. Será considerada data do pagamento o dia em que constar como emitida a ordem bancária para pagamento. </w:t>
      </w:r>
    </w:p>
    <w:p w14:paraId="339474FC"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7.2.3. O pagamento será realizado por meio de ordem bancária na conta indicada na Nota Fiscal, em nome do proponente. </w:t>
      </w:r>
    </w:p>
    <w:p w14:paraId="24B50800"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7.3. Poderão ser descontados dos pagamentos devidos os valores para cobrir despesas com multas, indenizações a terceiros ou outras despesas de responsabilidade do proponente. </w:t>
      </w:r>
    </w:p>
    <w:p w14:paraId="46D73543"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7.4. O Município de poderá sustar todo e qualquer pagamento do preço ou suas parcelas de qualquer fatura apresentada pelo proponente caso verificadas uma ou mais das hipóteses abaixo e enquanto perdurar o ato ou fato sem direito a qualquer reajustamento complementar ou acréscimo, conforme enunciado: </w:t>
      </w:r>
    </w:p>
    <w:p w14:paraId="6472E616"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 A proponente deixe de acatar quaisquer determinações exaradas pelo órgão fiscalizador do Município; </w:t>
      </w:r>
    </w:p>
    <w:p w14:paraId="26CE0787"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 Não cumprimento de obrigação assumida, hipótese em que o pagamento ficará retido até que a proponente atenda à cláusula infringida; </w:t>
      </w:r>
    </w:p>
    <w:p w14:paraId="2975C5A8"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III- A proponente retarde indevidamente a execução do serviço ou paralise os mesmos por prazo que venha a prejudicar as atividades do Município. </w:t>
      </w:r>
    </w:p>
    <w:p w14:paraId="15E82D6A"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IV- Débito da proponente para com o Município quer proveniente da execução deste instrumento, quer de obrigações de outros contratos. </w:t>
      </w:r>
    </w:p>
    <w:p w14:paraId="626AC8E4"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V- Em qualquer das hipóteses previstas nos parágrafos acima, ou de infração as demais cláusulas e obrigações estabelecidas neste instrumento. </w:t>
      </w:r>
    </w:p>
    <w:p w14:paraId="49A26A2C" w14:textId="77777777" w:rsidR="00345616" w:rsidRDefault="00345616" w:rsidP="0075029B">
      <w:pPr>
        <w:pStyle w:val="corpo"/>
        <w:spacing w:before="0" w:after="0"/>
        <w:jc w:val="both"/>
        <w:rPr>
          <w:rFonts w:ascii="Bookman Old Style" w:hAnsi="Bookman Old Style" w:cs="Arial"/>
          <w:sz w:val="22"/>
          <w:szCs w:val="22"/>
        </w:rPr>
      </w:pPr>
    </w:p>
    <w:p w14:paraId="76CFF312"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9- FORMA E CRITÉRIOS DE SELEÇÃO DO FORNECEDOR OU PRESTADOR DE SERVIÇOS </w:t>
      </w:r>
    </w:p>
    <w:p w14:paraId="60CAA1A2" w14:textId="77777777"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9.1. O fornecedor ou prestador de serviços será selecionado por meio do procedimento administrativo, de Dispensa Eletrônica, com adoção do critério de julgamento MENOR PREÇO</w:t>
      </w:r>
      <w:r>
        <w:rPr>
          <w:rFonts w:ascii="Bookman Old Style" w:hAnsi="Bookman Old Style" w:cs="Arial"/>
          <w:sz w:val="22"/>
          <w:szCs w:val="22"/>
        </w:rPr>
        <w:t xml:space="preserve"> </w:t>
      </w:r>
      <w:r w:rsidRPr="002C0DC6">
        <w:rPr>
          <w:rFonts w:ascii="Bookman Old Style" w:hAnsi="Bookman Old Style" w:cs="Arial"/>
          <w:sz w:val="22"/>
          <w:szCs w:val="22"/>
        </w:rPr>
        <w:t xml:space="preserve">GLOBAL, observadas todas as condições e exigências estabelecidas no instrumento convocatório e em seus anexos. </w:t>
      </w:r>
    </w:p>
    <w:p w14:paraId="34CBD945" w14:textId="77777777" w:rsidR="00345616" w:rsidRDefault="00345616" w:rsidP="0075029B">
      <w:pPr>
        <w:pStyle w:val="corpo"/>
        <w:spacing w:before="0" w:after="0"/>
        <w:jc w:val="both"/>
        <w:rPr>
          <w:rFonts w:ascii="Bookman Old Style" w:hAnsi="Bookman Old Style" w:cs="Arial"/>
          <w:sz w:val="22"/>
          <w:szCs w:val="22"/>
        </w:rPr>
      </w:pPr>
    </w:p>
    <w:p w14:paraId="0B5B0649" w14:textId="77777777" w:rsidR="00345616" w:rsidRPr="00925927" w:rsidRDefault="002C0DC6" w:rsidP="0075029B">
      <w:pPr>
        <w:pStyle w:val="corpo"/>
        <w:spacing w:before="0" w:after="0"/>
        <w:jc w:val="both"/>
        <w:rPr>
          <w:rFonts w:ascii="Bookman Old Style" w:hAnsi="Bookman Old Style" w:cs="Arial"/>
          <w:b/>
          <w:sz w:val="22"/>
          <w:szCs w:val="22"/>
        </w:rPr>
      </w:pPr>
      <w:r w:rsidRPr="00925927">
        <w:rPr>
          <w:rFonts w:ascii="Bookman Old Style" w:hAnsi="Bookman Old Style" w:cs="Arial"/>
          <w:b/>
          <w:sz w:val="22"/>
          <w:szCs w:val="22"/>
        </w:rPr>
        <w:t xml:space="preserve">10- ADEQUAÇÃO ORÇAMENTÁRIA </w:t>
      </w:r>
    </w:p>
    <w:p w14:paraId="0B20897D" w14:textId="03A4949B" w:rsidR="00345616" w:rsidRDefault="002C0DC6" w:rsidP="0075029B">
      <w:pPr>
        <w:pStyle w:val="corpo"/>
        <w:spacing w:before="0" w:after="0"/>
        <w:jc w:val="both"/>
        <w:rPr>
          <w:rFonts w:ascii="Bookman Old Style" w:hAnsi="Bookman Old Style" w:cs="Arial"/>
          <w:sz w:val="22"/>
          <w:szCs w:val="22"/>
        </w:rPr>
      </w:pPr>
      <w:r w:rsidRPr="002C0DC6">
        <w:rPr>
          <w:rFonts w:ascii="Bookman Old Style" w:hAnsi="Bookman Old Style" w:cs="Arial"/>
          <w:sz w:val="22"/>
          <w:szCs w:val="22"/>
        </w:rPr>
        <w:t xml:space="preserve">10.1. As despesas decorrentes desta contratação correrão conta da seguinte dotação orçamentária: </w:t>
      </w:r>
      <w:r w:rsidR="0060653F" w:rsidRPr="0060653F">
        <w:rPr>
          <w:rFonts w:ascii="Bookman Old Style" w:hAnsi="Bookman Old Style" w:cs="Arial"/>
          <w:sz w:val="22"/>
          <w:szCs w:val="22"/>
        </w:rPr>
        <w:t xml:space="preserve">1030205082325- 33903900000 – 15000000000 – Ficha - 0001134 </w:t>
      </w:r>
      <w:r w:rsidRPr="002C0DC6">
        <w:rPr>
          <w:rFonts w:ascii="Bookman Old Style" w:hAnsi="Bookman Old Style" w:cs="Arial"/>
          <w:sz w:val="22"/>
          <w:szCs w:val="22"/>
        </w:rPr>
        <w:t xml:space="preserve">e nas suas correspondentes para o exercício posterior. </w:t>
      </w:r>
    </w:p>
    <w:p w14:paraId="1728ADF4" w14:textId="77777777" w:rsidR="00345616" w:rsidRDefault="00345616" w:rsidP="0075029B">
      <w:pPr>
        <w:pStyle w:val="corpo"/>
        <w:spacing w:before="0" w:after="0"/>
        <w:jc w:val="both"/>
        <w:rPr>
          <w:rFonts w:ascii="Bookman Old Style" w:hAnsi="Bookman Old Style" w:cs="Arial"/>
          <w:sz w:val="22"/>
          <w:szCs w:val="22"/>
        </w:rPr>
      </w:pPr>
    </w:p>
    <w:p w14:paraId="65540848" w14:textId="77777777" w:rsidR="00345616" w:rsidRDefault="00345616" w:rsidP="0075029B">
      <w:pPr>
        <w:pStyle w:val="corpo"/>
        <w:spacing w:before="0" w:after="0"/>
        <w:jc w:val="both"/>
        <w:rPr>
          <w:rFonts w:ascii="Bookman Old Style" w:hAnsi="Bookman Old Style" w:cs="Arial"/>
          <w:sz w:val="22"/>
          <w:szCs w:val="22"/>
        </w:rPr>
      </w:pPr>
    </w:p>
    <w:p w14:paraId="0EA61B52" w14:textId="4F4D2FB8" w:rsidR="00345616" w:rsidRPr="002F32FB" w:rsidRDefault="00925927"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lastRenderedPageBreak/>
        <w:t>Ipanema</w:t>
      </w:r>
      <w:r w:rsidR="002C0DC6" w:rsidRPr="002F32FB">
        <w:rPr>
          <w:rFonts w:ascii="Bookman Old Style" w:hAnsi="Bookman Old Style" w:cs="Arial"/>
          <w:sz w:val="22"/>
          <w:szCs w:val="22"/>
        </w:rPr>
        <w:t xml:space="preserve">-MG, </w:t>
      </w:r>
      <w:r w:rsidR="002F32FB" w:rsidRPr="002F32FB">
        <w:rPr>
          <w:rFonts w:ascii="Bookman Old Style" w:hAnsi="Bookman Old Style" w:cs="Arial"/>
          <w:sz w:val="22"/>
          <w:szCs w:val="22"/>
        </w:rPr>
        <w:t>22</w:t>
      </w:r>
      <w:r w:rsidR="002C0DC6" w:rsidRPr="002F32FB">
        <w:rPr>
          <w:rFonts w:ascii="Bookman Old Style" w:hAnsi="Bookman Old Style" w:cs="Arial"/>
          <w:sz w:val="22"/>
          <w:szCs w:val="22"/>
        </w:rPr>
        <w:t xml:space="preserve"> de maio de 2024.</w:t>
      </w:r>
    </w:p>
    <w:p w14:paraId="49192959" w14:textId="77777777" w:rsidR="00345616" w:rsidRPr="002F32FB" w:rsidRDefault="00345616" w:rsidP="00345616">
      <w:pPr>
        <w:pStyle w:val="corpo"/>
        <w:spacing w:before="0" w:after="0"/>
        <w:jc w:val="center"/>
        <w:rPr>
          <w:rFonts w:ascii="Bookman Old Style" w:hAnsi="Bookman Old Style" w:cs="Arial"/>
          <w:sz w:val="22"/>
          <w:szCs w:val="22"/>
        </w:rPr>
      </w:pPr>
    </w:p>
    <w:p w14:paraId="7288A20D" w14:textId="77777777" w:rsidR="00345616" w:rsidRPr="00345616" w:rsidRDefault="00345616" w:rsidP="00345616">
      <w:pPr>
        <w:pStyle w:val="corpo"/>
        <w:spacing w:before="0" w:after="0"/>
        <w:jc w:val="center"/>
        <w:rPr>
          <w:rFonts w:ascii="Bookman Old Style" w:hAnsi="Bookman Old Style" w:cs="Arial"/>
          <w:sz w:val="22"/>
          <w:szCs w:val="22"/>
          <w:highlight w:val="yellow"/>
        </w:rPr>
      </w:pPr>
    </w:p>
    <w:p w14:paraId="7EBDB851" w14:textId="125B069B" w:rsidR="00345616" w:rsidRPr="002F32FB" w:rsidRDefault="002C0DC6"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t>________________________________________________</w:t>
      </w:r>
    </w:p>
    <w:p w14:paraId="01EB349F" w14:textId="04547AF8" w:rsidR="002F32FB" w:rsidRPr="002F32FB" w:rsidRDefault="0060653F" w:rsidP="00345616">
      <w:pPr>
        <w:pStyle w:val="corpo"/>
        <w:spacing w:before="0" w:after="0"/>
        <w:jc w:val="center"/>
        <w:rPr>
          <w:rFonts w:ascii="Bookman Old Style" w:hAnsi="Bookman Old Style" w:cs="Arial"/>
          <w:sz w:val="22"/>
          <w:szCs w:val="22"/>
        </w:rPr>
      </w:pPr>
      <w:r>
        <w:rPr>
          <w:rFonts w:ascii="Bookman Old Style" w:hAnsi="Bookman Old Style" w:cs="Arial"/>
          <w:sz w:val="22"/>
          <w:szCs w:val="22"/>
        </w:rPr>
        <w:t>Márcio Luiz da Gama Oliveira</w:t>
      </w:r>
    </w:p>
    <w:p w14:paraId="57B0D10E" w14:textId="2FBE2B54" w:rsidR="002C0DC6" w:rsidRDefault="002C0DC6" w:rsidP="00345616">
      <w:pPr>
        <w:pStyle w:val="corpo"/>
        <w:spacing w:before="0" w:after="0"/>
        <w:jc w:val="center"/>
        <w:rPr>
          <w:rFonts w:ascii="Bookman Old Style" w:hAnsi="Bookman Old Style" w:cs="Arial"/>
          <w:sz w:val="22"/>
          <w:szCs w:val="22"/>
        </w:rPr>
      </w:pPr>
      <w:r w:rsidRPr="002F32FB">
        <w:rPr>
          <w:rFonts w:ascii="Bookman Old Style" w:hAnsi="Bookman Old Style" w:cs="Arial"/>
          <w:sz w:val="22"/>
          <w:szCs w:val="22"/>
        </w:rPr>
        <w:t xml:space="preserve">Secretário Municipal de </w:t>
      </w:r>
      <w:r w:rsidR="0060653F">
        <w:rPr>
          <w:rFonts w:ascii="Bookman Old Style" w:hAnsi="Bookman Old Style" w:cs="Arial"/>
          <w:sz w:val="22"/>
          <w:szCs w:val="22"/>
        </w:rPr>
        <w:t>Saúde</w:t>
      </w:r>
    </w:p>
    <w:p w14:paraId="05D01BA4" w14:textId="77777777" w:rsidR="002C0DC6" w:rsidRDefault="002C0DC6" w:rsidP="0075029B">
      <w:pPr>
        <w:pStyle w:val="corpo"/>
        <w:spacing w:before="0" w:after="0"/>
        <w:jc w:val="both"/>
        <w:rPr>
          <w:rFonts w:ascii="Bookman Old Style" w:hAnsi="Bookman Old Style" w:cs="Arial"/>
          <w:sz w:val="22"/>
          <w:szCs w:val="22"/>
        </w:rPr>
      </w:pPr>
    </w:p>
    <w:p w14:paraId="1BC1141C" w14:textId="77777777" w:rsidR="002C0DC6" w:rsidRDefault="002C0DC6" w:rsidP="0075029B">
      <w:pPr>
        <w:pStyle w:val="corpo"/>
        <w:spacing w:before="0" w:after="0"/>
        <w:jc w:val="both"/>
        <w:rPr>
          <w:rFonts w:ascii="Bookman Old Style" w:hAnsi="Bookman Old Style" w:cs="Arial"/>
          <w:sz w:val="22"/>
          <w:szCs w:val="22"/>
        </w:rPr>
      </w:pPr>
    </w:p>
    <w:p w14:paraId="63CEA0E6" w14:textId="77777777" w:rsidR="00345616" w:rsidRDefault="00345616" w:rsidP="0075029B">
      <w:pPr>
        <w:pStyle w:val="corpo"/>
        <w:spacing w:before="0" w:after="0"/>
        <w:jc w:val="both"/>
        <w:rPr>
          <w:rFonts w:ascii="Bookman Old Style" w:hAnsi="Bookman Old Style" w:cs="Arial"/>
          <w:sz w:val="22"/>
          <w:szCs w:val="22"/>
        </w:rPr>
      </w:pPr>
    </w:p>
    <w:p w14:paraId="08FF833B" w14:textId="77777777" w:rsidR="00345616" w:rsidRDefault="00345616" w:rsidP="0075029B">
      <w:pPr>
        <w:pStyle w:val="corpo"/>
        <w:spacing w:before="0" w:after="0"/>
        <w:jc w:val="both"/>
        <w:rPr>
          <w:rFonts w:ascii="Bookman Old Style" w:hAnsi="Bookman Old Style" w:cs="Arial"/>
          <w:sz w:val="22"/>
          <w:szCs w:val="22"/>
        </w:rPr>
      </w:pPr>
    </w:p>
    <w:p w14:paraId="4D5A2295" w14:textId="24C27B30" w:rsidR="00345616" w:rsidRDefault="00345616" w:rsidP="0075029B">
      <w:pPr>
        <w:pStyle w:val="corpo"/>
        <w:spacing w:before="0" w:after="0"/>
        <w:jc w:val="both"/>
        <w:rPr>
          <w:rFonts w:ascii="Bookman Old Style" w:hAnsi="Bookman Old Style" w:cs="Arial"/>
          <w:sz w:val="22"/>
          <w:szCs w:val="22"/>
        </w:rPr>
      </w:pPr>
    </w:p>
    <w:p w14:paraId="53FCB747" w14:textId="21100CA4" w:rsidR="00862094" w:rsidRDefault="00862094" w:rsidP="0075029B">
      <w:pPr>
        <w:pStyle w:val="corpo"/>
        <w:spacing w:before="0" w:after="0"/>
        <w:jc w:val="both"/>
        <w:rPr>
          <w:rFonts w:ascii="Bookman Old Style" w:hAnsi="Bookman Old Style" w:cs="Arial"/>
          <w:sz w:val="22"/>
          <w:szCs w:val="22"/>
        </w:rPr>
      </w:pPr>
    </w:p>
    <w:p w14:paraId="7FC1ADFD" w14:textId="443CCEE0" w:rsidR="00862094" w:rsidRDefault="00862094" w:rsidP="0075029B">
      <w:pPr>
        <w:pStyle w:val="corpo"/>
        <w:spacing w:before="0" w:after="0"/>
        <w:jc w:val="both"/>
        <w:rPr>
          <w:rFonts w:ascii="Bookman Old Style" w:hAnsi="Bookman Old Style" w:cs="Arial"/>
          <w:sz w:val="22"/>
          <w:szCs w:val="22"/>
        </w:rPr>
      </w:pPr>
    </w:p>
    <w:p w14:paraId="6BD94CE7" w14:textId="0A68187B" w:rsidR="00862094" w:rsidRDefault="00862094" w:rsidP="0075029B">
      <w:pPr>
        <w:pStyle w:val="corpo"/>
        <w:spacing w:before="0" w:after="0"/>
        <w:jc w:val="both"/>
        <w:rPr>
          <w:rFonts w:ascii="Bookman Old Style" w:hAnsi="Bookman Old Style" w:cs="Arial"/>
          <w:sz w:val="22"/>
          <w:szCs w:val="22"/>
        </w:rPr>
      </w:pPr>
    </w:p>
    <w:p w14:paraId="086BB785" w14:textId="77777777" w:rsidR="002F32FB" w:rsidRDefault="002F32FB" w:rsidP="0075029B">
      <w:pPr>
        <w:pStyle w:val="corpo"/>
        <w:spacing w:before="0" w:after="0"/>
        <w:jc w:val="both"/>
        <w:rPr>
          <w:rFonts w:ascii="Bookman Old Style" w:hAnsi="Bookman Old Style" w:cs="Arial"/>
          <w:sz w:val="22"/>
          <w:szCs w:val="22"/>
        </w:rPr>
      </w:pPr>
    </w:p>
    <w:p w14:paraId="7BC15096" w14:textId="77777777" w:rsidR="002F32FB" w:rsidRDefault="002F32FB" w:rsidP="0075029B">
      <w:pPr>
        <w:pStyle w:val="corpo"/>
        <w:spacing w:before="0" w:after="0"/>
        <w:jc w:val="both"/>
        <w:rPr>
          <w:rFonts w:ascii="Bookman Old Style" w:hAnsi="Bookman Old Style" w:cs="Arial"/>
          <w:sz w:val="22"/>
          <w:szCs w:val="22"/>
        </w:rPr>
      </w:pPr>
    </w:p>
    <w:p w14:paraId="4A558A92" w14:textId="77777777" w:rsidR="002F32FB" w:rsidRDefault="002F32FB" w:rsidP="0075029B">
      <w:pPr>
        <w:pStyle w:val="corpo"/>
        <w:spacing w:before="0" w:after="0"/>
        <w:jc w:val="both"/>
        <w:rPr>
          <w:rFonts w:ascii="Bookman Old Style" w:hAnsi="Bookman Old Style" w:cs="Arial"/>
          <w:sz w:val="22"/>
          <w:szCs w:val="22"/>
        </w:rPr>
      </w:pPr>
    </w:p>
    <w:p w14:paraId="198A48DE" w14:textId="77777777" w:rsidR="002F32FB" w:rsidRDefault="002F32FB" w:rsidP="0075029B">
      <w:pPr>
        <w:pStyle w:val="corpo"/>
        <w:spacing w:before="0" w:after="0"/>
        <w:jc w:val="both"/>
        <w:rPr>
          <w:rFonts w:ascii="Bookman Old Style" w:hAnsi="Bookman Old Style" w:cs="Arial"/>
          <w:sz w:val="22"/>
          <w:szCs w:val="22"/>
        </w:rPr>
      </w:pPr>
    </w:p>
    <w:p w14:paraId="2D93B7AA" w14:textId="77777777" w:rsidR="002F32FB" w:rsidRDefault="002F32FB" w:rsidP="0075029B">
      <w:pPr>
        <w:pStyle w:val="corpo"/>
        <w:spacing w:before="0" w:after="0"/>
        <w:jc w:val="both"/>
        <w:rPr>
          <w:rFonts w:ascii="Bookman Old Style" w:hAnsi="Bookman Old Style" w:cs="Arial"/>
          <w:sz w:val="22"/>
          <w:szCs w:val="22"/>
        </w:rPr>
      </w:pPr>
    </w:p>
    <w:p w14:paraId="06E8073C" w14:textId="77777777" w:rsidR="002F32FB" w:rsidRDefault="002F32FB" w:rsidP="0075029B">
      <w:pPr>
        <w:pStyle w:val="corpo"/>
        <w:spacing w:before="0" w:after="0"/>
        <w:jc w:val="both"/>
        <w:rPr>
          <w:rFonts w:ascii="Bookman Old Style" w:hAnsi="Bookman Old Style" w:cs="Arial"/>
          <w:sz w:val="22"/>
          <w:szCs w:val="22"/>
        </w:rPr>
      </w:pPr>
    </w:p>
    <w:p w14:paraId="1C214068" w14:textId="77777777" w:rsidR="002F32FB" w:rsidRDefault="002F32FB" w:rsidP="0075029B">
      <w:pPr>
        <w:pStyle w:val="corpo"/>
        <w:spacing w:before="0" w:after="0"/>
        <w:jc w:val="both"/>
        <w:rPr>
          <w:rFonts w:ascii="Bookman Old Style" w:hAnsi="Bookman Old Style" w:cs="Arial"/>
          <w:sz w:val="22"/>
          <w:szCs w:val="22"/>
        </w:rPr>
      </w:pPr>
    </w:p>
    <w:p w14:paraId="0F42D553" w14:textId="77777777" w:rsidR="004E4CD9" w:rsidRDefault="004E4CD9" w:rsidP="0075029B">
      <w:pPr>
        <w:pStyle w:val="corpo"/>
        <w:spacing w:before="0" w:after="0"/>
        <w:jc w:val="both"/>
        <w:rPr>
          <w:rFonts w:ascii="Bookman Old Style" w:hAnsi="Bookman Old Style" w:cs="Arial"/>
          <w:sz w:val="22"/>
          <w:szCs w:val="22"/>
        </w:rPr>
      </w:pPr>
    </w:p>
    <w:p w14:paraId="6E9A0A7B" w14:textId="77777777" w:rsidR="004E4CD9" w:rsidRDefault="004E4CD9" w:rsidP="0075029B">
      <w:pPr>
        <w:pStyle w:val="corpo"/>
        <w:spacing w:before="0" w:after="0"/>
        <w:jc w:val="both"/>
        <w:rPr>
          <w:rFonts w:ascii="Bookman Old Style" w:hAnsi="Bookman Old Style" w:cs="Arial"/>
          <w:sz w:val="22"/>
          <w:szCs w:val="22"/>
        </w:rPr>
      </w:pPr>
    </w:p>
    <w:p w14:paraId="2641A637" w14:textId="77777777" w:rsidR="004E4CD9" w:rsidRDefault="004E4CD9" w:rsidP="0075029B">
      <w:pPr>
        <w:pStyle w:val="corpo"/>
        <w:spacing w:before="0" w:after="0"/>
        <w:jc w:val="both"/>
        <w:rPr>
          <w:rFonts w:ascii="Bookman Old Style" w:hAnsi="Bookman Old Style" w:cs="Arial"/>
          <w:sz w:val="22"/>
          <w:szCs w:val="22"/>
        </w:rPr>
      </w:pPr>
    </w:p>
    <w:p w14:paraId="699351EC" w14:textId="77777777" w:rsidR="004E4CD9" w:rsidRDefault="004E4CD9" w:rsidP="0075029B">
      <w:pPr>
        <w:pStyle w:val="corpo"/>
        <w:spacing w:before="0" w:after="0"/>
        <w:jc w:val="both"/>
        <w:rPr>
          <w:rFonts w:ascii="Bookman Old Style" w:hAnsi="Bookman Old Style" w:cs="Arial"/>
          <w:sz w:val="22"/>
          <w:szCs w:val="22"/>
        </w:rPr>
      </w:pPr>
    </w:p>
    <w:p w14:paraId="3DFA2287" w14:textId="77777777" w:rsidR="004E4CD9" w:rsidRDefault="004E4CD9" w:rsidP="0075029B">
      <w:pPr>
        <w:pStyle w:val="corpo"/>
        <w:spacing w:before="0" w:after="0"/>
        <w:jc w:val="both"/>
        <w:rPr>
          <w:rFonts w:ascii="Bookman Old Style" w:hAnsi="Bookman Old Style" w:cs="Arial"/>
          <w:sz w:val="22"/>
          <w:szCs w:val="22"/>
        </w:rPr>
      </w:pPr>
    </w:p>
    <w:p w14:paraId="0FA15D2F" w14:textId="77777777" w:rsidR="004E4CD9" w:rsidRDefault="004E4CD9" w:rsidP="0075029B">
      <w:pPr>
        <w:pStyle w:val="corpo"/>
        <w:spacing w:before="0" w:after="0"/>
        <w:jc w:val="both"/>
        <w:rPr>
          <w:rFonts w:ascii="Bookman Old Style" w:hAnsi="Bookman Old Style" w:cs="Arial"/>
          <w:sz w:val="22"/>
          <w:szCs w:val="22"/>
        </w:rPr>
      </w:pPr>
    </w:p>
    <w:p w14:paraId="2C584151" w14:textId="77777777" w:rsidR="004E4CD9" w:rsidRDefault="004E4CD9" w:rsidP="0075029B">
      <w:pPr>
        <w:pStyle w:val="corpo"/>
        <w:spacing w:before="0" w:after="0"/>
        <w:jc w:val="both"/>
        <w:rPr>
          <w:rFonts w:ascii="Bookman Old Style" w:hAnsi="Bookman Old Style" w:cs="Arial"/>
          <w:sz w:val="22"/>
          <w:szCs w:val="22"/>
        </w:rPr>
      </w:pPr>
    </w:p>
    <w:p w14:paraId="225816FB" w14:textId="77777777" w:rsidR="004E4CD9" w:rsidRDefault="004E4CD9" w:rsidP="0075029B">
      <w:pPr>
        <w:pStyle w:val="corpo"/>
        <w:spacing w:before="0" w:after="0"/>
        <w:jc w:val="both"/>
        <w:rPr>
          <w:rFonts w:ascii="Bookman Old Style" w:hAnsi="Bookman Old Style" w:cs="Arial"/>
          <w:sz w:val="22"/>
          <w:szCs w:val="22"/>
        </w:rPr>
      </w:pPr>
    </w:p>
    <w:p w14:paraId="5FEAC196" w14:textId="77777777" w:rsidR="004E4CD9" w:rsidRDefault="004E4CD9" w:rsidP="0075029B">
      <w:pPr>
        <w:pStyle w:val="corpo"/>
        <w:spacing w:before="0" w:after="0"/>
        <w:jc w:val="both"/>
        <w:rPr>
          <w:rFonts w:ascii="Bookman Old Style" w:hAnsi="Bookman Old Style" w:cs="Arial"/>
          <w:sz w:val="22"/>
          <w:szCs w:val="22"/>
        </w:rPr>
      </w:pPr>
    </w:p>
    <w:p w14:paraId="58F584D8" w14:textId="77777777" w:rsidR="004E4CD9" w:rsidRDefault="004E4CD9" w:rsidP="0075029B">
      <w:pPr>
        <w:pStyle w:val="corpo"/>
        <w:spacing w:before="0" w:after="0"/>
        <w:jc w:val="both"/>
        <w:rPr>
          <w:rFonts w:ascii="Bookman Old Style" w:hAnsi="Bookman Old Style" w:cs="Arial"/>
          <w:sz w:val="22"/>
          <w:szCs w:val="22"/>
        </w:rPr>
      </w:pPr>
    </w:p>
    <w:p w14:paraId="4B366008" w14:textId="77777777" w:rsidR="004E4CD9" w:rsidRDefault="004E4CD9" w:rsidP="0075029B">
      <w:pPr>
        <w:pStyle w:val="corpo"/>
        <w:spacing w:before="0" w:after="0"/>
        <w:jc w:val="both"/>
        <w:rPr>
          <w:rFonts w:ascii="Bookman Old Style" w:hAnsi="Bookman Old Style" w:cs="Arial"/>
          <w:sz w:val="22"/>
          <w:szCs w:val="22"/>
        </w:rPr>
      </w:pPr>
    </w:p>
    <w:p w14:paraId="567ADA1F" w14:textId="77777777" w:rsidR="004E4CD9" w:rsidRDefault="004E4CD9" w:rsidP="0075029B">
      <w:pPr>
        <w:pStyle w:val="corpo"/>
        <w:spacing w:before="0" w:after="0"/>
        <w:jc w:val="both"/>
        <w:rPr>
          <w:rFonts w:ascii="Bookman Old Style" w:hAnsi="Bookman Old Style" w:cs="Arial"/>
          <w:sz w:val="22"/>
          <w:szCs w:val="22"/>
        </w:rPr>
      </w:pPr>
    </w:p>
    <w:p w14:paraId="47BE7C7D" w14:textId="77777777" w:rsidR="004E4CD9" w:rsidRDefault="004E4CD9" w:rsidP="0075029B">
      <w:pPr>
        <w:pStyle w:val="corpo"/>
        <w:spacing w:before="0" w:after="0"/>
        <w:jc w:val="both"/>
        <w:rPr>
          <w:rFonts w:ascii="Bookman Old Style" w:hAnsi="Bookman Old Style" w:cs="Arial"/>
          <w:sz w:val="22"/>
          <w:szCs w:val="22"/>
        </w:rPr>
      </w:pPr>
    </w:p>
    <w:p w14:paraId="1F924862" w14:textId="77777777" w:rsidR="004E4CD9" w:rsidRDefault="004E4CD9" w:rsidP="0075029B">
      <w:pPr>
        <w:pStyle w:val="corpo"/>
        <w:spacing w:before="0" w:after="0"/>
        <w:jc w:val="both"/>
        <w:rPr>
          <w:rFonts w:ascii="Bookman Old Style" w:hAnsi="Bookman Old Style" w:cs="Arial"/>
          <w:sz w:val="22"/>
          <w:szCs w:val="22"/>
        </w:rPr>
      </w:pPr>
    </w:p>
    <w:p w14:paraId="05E54DDF" w14:textId="77777777" w:rsidR="004E4CD9" w:rsidRDefault="004E4CD9" w:rsidP="0075029B">
      <w:pPr>
        <w:pStyle w:val="corpo"/>
        <w:spacing w:before="0" w:after="0"/>
        <w:jc w:val="both"/>
        <w:rPr>
          <w:rFonts w:ascii="Bookman Old Style" w:hAnsi="Bookman Old Style" w:cs="Arial"/>
          <w:sz w:val="22"/>
          <w:szCs w:val="22"/>
        </w:rPr>
      </w:pPr>
    </w:p>
    <w:p w14:paraId="32C3963C" w14:textId="77777777" w:rsidR="004E4CD9" w:rsidRDefault="004E4CD9" w:rsidP="0075029B">
      <w:pPr>
        <w:pStyle w:val="corpo"/>
        <w:spacing w:before="0" w:after="0"/>
        <w:jc w:val="both"/>
        <w:rPr>
          <w:rFonts w:ascii="Bookman Old Style" w:hAnsi="Bookman Old Style" w:cs="Arial"/>
          <w:sz w:val="22"/>
          <w:szCs w:val="22"/>
        </w:rPr>
      </w:pPr>
    </w:p>
    <w:p w14:paraId="5C3E9506" w14:textId="77777777" w:rsidR="004E4CD9" w:rsidRDefault="004E4CD9" w:rsidP="0075029B">
      <w:pPr>
        <w:pStyle w:val="corpo"/>
        <w:spacing w:before="0" w:after="0"/>
        <w:jc w:val="both"/>
        <w:rPr>
          <w:rFonts w:ascii="Bookman Old Style" w:hAnsi="Bookman Old Style" w:cs="Arial"/>
          <w:sz w:val="22"/>
          <w:szCs w:val="22"/>
        </w:rPr>
      </w:pPr>
    </w:p>
    <w:p w14:paraId="457C90D1" w14:textId="77777777" w:rsidR="004E4CD9" w:rsidRDefault="004E4CD9" w:rsidP="0075029B">
      <w:pPr>
        <w:pStyle w:val="corpo"/>
        <w:spacing w:before="0" w:after="0"/>
        <w:jc w:val="both"/>
        <w:rPr>
          <w:rFonts w:ascii="Bookman Old Style" w:hAnsi="Bookman Old Style" w:cs="Arial"/>
          <w:sz w:val="22"/>
          <w:szCs w:val="22"/>
        </w:rPr>
      </w:pPr>
    </w:p>
    <w:p w14:paraId="7D41E50B" w14:textId="77777777" w:rsidR="004E4CD9" w:rsidRDefault="004E4CD9" w:rsidP="0075029B">
      <w:pPr>
        <w:pStyle w:val="corpo"/>
        <w:spacing w:before="0" w:after="0"/>
        <w:jc w:val="both"/>
        <w:rPr>
          <w:rFonts w:ascii="Bookman Old Style" w:hAnsi="Bookman Old Style" w:cs="Arial"/>
          <w:sz w:val="22"/>
          <w:szCs w:val="22"/>
        </w:rPr>
      </w:pPr>
    </w:p>
    <w:p w14:paraId="777C3E64" w14:textId="77777777" w:rsidR="004E4CD9" w:rsidRDefault="004E4CD9" w:rsidP="0075029B">
      <w:pPr>
        <w:pStyle w:val="corpo"/>
        <w:spacing w:before="0" w:after="0"/>
        <w:jc w:val="both"/>
        <w:rPr>
          <w:rFonts w:ascii="Bookman Old Style" w:hAnsi="Bookman Old Style" w:cs="Arial"/>
          <w:sz w:val="22"/>
          <w:szCs w:val="22"/>
        </w:rPr>
      </w:pPr>
    </w:p>
    <w:p w14:paraId="65126F17" w14:textId="77777777" w:rsidR="004E4CD9" w:rsidRDefault="004E4CD9" w:rsidP="0075029B">
      <w:pPr>
        <w:pStyle w:val="corpo"/>
        <w:spacing w:before="0" w:after="0"/>
        <w:jc w:val="both"/>
        <w:rPr>
          <w:rFonts w:ascii="Bookman Old Style" w:hAnsi="Bookman Old Style" w:cs="Arial"/>
          <w:sz w:val="22"/>
          <w:szCs w:val="22"/>
        </w:rPr>
      </w:pPr>
    </w:p>
    <w:p w14:paraId="251882CD" w14:textId="77777777" w:rsidR="004E4CD9" w:rsidRDefault="004E4CD9" w:rsidP="0075029B">
      <w:pPr>
        <w:pStyle w:val="corpo"/>
        <w:spacing w:before="0" w:after="0"/>
        <w:jc w:val="both"/>
        <w:rPr>
          <w:rFonts w:ascii="Bookman Old Style" w:hAnsi="Bookman Old Style" w:cs="Arial"/>
          <w:sz w:val="22"/>
          <w:szCs w:val="22"/>
        </w:rPr>
      </w:pPr>
    </w:p>
    <w:p w14:paraId="25E840B9" w14:textId="77777777" w:rsidR="004E4CD9" w:rsidRDefault="004E4CD9" w:rsidP="0075029B">
      <w:pPr>
        <w:pStyle w:val="corpo"/>
        <w:spacing w:before="0" w:after="0"/>
        <w:jc w:val="both"/>
        <w:rPr>
          <w:rFonts w:ascii="Bookman Old Style" w:hAnsi="Bookman Old Style" w:cs="Arial"/>
          <w:sz w:val="22"/>
          <w:szCs w:val="22"/>
        </w:rPr>
      </w:pPr>
    </w:p>
    <w:p w14:paraId="74E876B0" w14:textId="77777777" w:rsidR="004E4CD9" w:rsidRDefault="004E4CD9" w:rsidP="0075029B">
      <w:pPr>
        <w:pStyle w:val="corpo"/>
        <w:spacing w:before="0" w:after="0"/>
        <w:jc w:val="both"/>
        <w:rPr>
          <w:rFonts w:ascii="Bookman Old Style" w:hAnsi="Bookman Old Style" w:cs="Arial"/>
          <w:sz w:val="22"/>
          <w:szCs w:val="22"/>
        </w:rPr>
      </w:pPr>
    </w:p>
    <w:p w14:paraId="45A16D0C" w14:textId="77777777" w:rsidR="004E4CD9" w:rsidRDefault="004E4CD9" w:rsidP="0075029B">
      <w:pPr>
        <w:pStyle w:val="corpo"/>
        <w:spacing w:before="0" w:after="0"/>
        <w:jc w:val="both"/>
        <w:rPr>
          <w:rFonts w:ascii="Bookman Old Style" w:hAnsi="Bookman Old Style" w:cs="Arial"/>
          <w:sz w:val="22"/>
          <w:szCs w:val="22"/>
        </w:rPr>
      </w:pPr>
    </w:p>
    <w:p w14:paraId="48A134EE" w14:textId="77777777" w:rsidR="004E4CD9" w:rsidRDefault="004E4CD9" w:rsidP="0075029B">
      <w:pPr>
        <w:pStyle w:val="corpo"/>
        <w:spacing w:before="0" w:after="0"/>
        <w:jc w:val="both"/>
        <w:rPr>
          <w:rFonts w:ascii="Bookman Old Style" w:hAnsi="Bookman Old Style" w:cs="Arial"/>
          <w:sz w:val="22"/>
          <w:szCs w:val="22"/>
        </w:rPr>
      </w:pPr>
    </w:p>
    <w:p w14:paraId="07D2A64B" w14:textId="77777777" w:rsidR="004E4CD9" w:rsidRDefault="004E4CD9" w:rsidP="0075029B">
      <w:pPr>
        <w:pStyle w:val="corpo"/>
        <w:spacing w:before="0" w:after="0"/>
        <w:jc w:val="both"/>
        <w:rPr>
          <w:rFonts w:ascii="Bookman Old Style" w:hAnsi="Bookman Old Style" w:cs="Arial"/>
          <w:sz w:val="22"/>
          <w:szCs w:val="22"/>
        </w:rPr>
      </w:pPr>
    </w:p>
    <w:p w14:paraId="01286B02" w14:textId="77777777" w:rsidR="004E4CD9" w:rsidRDefault="004E4CD9" w:rsidP="0075029B">
      <w:pPr>
        <w:pStyle w:val="corpo"/>
        <w:spacing w:before="0" w:after="0"/>
        <w:jc w:val="both"/>
        <w:rPr>
          <w:rFonts w:ascii="Bookman Old Style" w:hAnsi="Bookman Old Style" w:cs="Arial"/>
          <w:sz w:val="22"/>
          <w:szCs w:val="22"/>
        </w:rPr>
      </w:pPr>
    </w:p>
    <w:p w14:paraId="6FBCB441" w14:textId="77777777" w:rsidR="004E4CD9" w:rsidRDefault="004E4CD9" w:rsidP="0075029B">
      <w:pPr>
        <w:pStyle w:val="corpo"/>
        <w:spacing w:before="0" w:after="0"/>
        <w:jc w:val="both"/>
        <w:rPr>
          <w:rFonts w:ascii="Bookman Old Style" w:hAnsi="Bookman Old Style" w:cs="Arial"/>
          <w:sz w:val="22"/>
          <w:szCs w:val="22"/>
        </w:rPr>
      </w:pPr>
    </w:p>
    <w:p w14:paraId="2786256E" w14:textId="77777777" w:rsidR="004E4CD9" w:rsidRDefault="004E4CD9" w:rsidP="0075029B">
      <w:pPr>
        <w:pStyle w:val="corpo"/>
        <w:spacing w:before="0" w:after="0"/>
        <w:jc w:val="both"/>
        <w:rPr>
          <w:rFonts w:ascii="Bookman Old Style" w:hAnsi="Bookman Old Style" w:cs="Arial"/>
          <w:sz w:val="22"/>
          <w:szCs w:val="22"/>
        </w:rPr>
      </w:pPr>
    </w:p>
    <w:p w14:paraId="79A5B434" w14:textId="77777777" w:rsidR="004E4CD9" w:rsidRDefault="004E4CD9" w:rsidP="0075029B">
      <w:pPr>
        <w:pStyle w:val="corpo"/>
        <w:spacing w:before="0" w:after="0"/>
        <w:jc w:val="both"/>
        <w:rPr>
          <w:rFonts w:ascii="Bookman Old Style" w:hAnsi="Bookman Old Style" w:cs="Arial"/>
          <w:sz w:val="22"/>
          <w:szCs w:val="22"/>
        </w:rPr>
      </w:pPr>
    </w:p>
    <w:p w14:paraId="1CAE462B" w14:textId="77777777" w:rsidR="004E4CD9" w:rsidRDefault="004E4CD9" w:rsidP="0075029B">
      <w:pPr>
        <w:pStyle w:val="corpo"/>
        <w:spacing w:before="0" w:after="0"/>
        <w:jc w:val="both"/>
        <w:rPr>
          <w:rFonts w:ascii="Bookman Old Style" w:hAnsi="Bookman Old Style" w:cs="Arial"/>
          <w:sz w:val="22"/>
          <w:szCs w:val="22"/>
        </w:rPr>
      </w:pPr>
    </w:p>
    <w:p w14:paraId="3302C0DD" w14:textId="77777777" w:rsidR="004E4CD9" w:rsidRDefault="004E4CD9" w:rsidP="0075029B">
      <w:pPr>
        <w:pStyle w:val="corpo"/>
        <w:spacing w:before="0" w:after="0"/>
        <w:jc w:val="both"/>
        <w:rPr>
          <w:rFonts w:ascii="Bookman Old Style" w:hAnsi="Bookman Old Style" w:cs="Arial"/>
          <w:sz w:val="22"/>
          <w:szCs w:val="22"/>
        </w:rPr>
      </w:pPr>
    </w:p>
    <w:p w14:paraId="567FE326" w14:textId="77777777" w:rsidR="00862094" w:rsidRDefault="00862094" w:rsidP="0075029B">
      <w:pPr>
        <w:pStyle w:val="corpo"/>
        <w:spacing w:before="0" w:after="0"/>
        <w:jc w:val="both"/>
        <w:rPr>
          <w:rFonts w:ascii="Bookman Old Style" w:hAnsi="Bookman Old Style" w:cs="Arial"/>
          <w:sz w:val="22"/>
          <w:szCs w:val="22"/>
        </w:rPr>
      </w:pPr>
    </w:p>
    <w:p w14:paraId="2995B141" w14:textId="1920F997"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 xml:space="preserve">PROCESSO ADMINISTRATIVO Nº </w:t>
      </w:r>
      <w:r w:rsidR="00862094">
        <w:rPr>
          <w:rFonts w:ascii="Bookman Old Style" w:hAnsi="Bookman Old Style" w:cs="Arial"/>
          <w:b/>
          <w:sz w:val="22"/>
          <w:szCs w:val="22"/>
        </w:rPr>
        <w:t>0</w:t>
      </w:r>
      <w:r w:rsidR="004E4CD9">
        <w:rPr>
          <w:rFonts w:ascii="Bookman Old Style" w:hAnsi="Bookman Old Style" w:cs="Arial"/>
          <w:b/>
          <w:sz w:val="22"/>
          <w:szCs w:val="22"/>
        </w:rPr>
        <w:t>50</w:t>
      </w:r>
      <w:r w:rsidRPr="00345616">
        <w:rPr>
          <w:rFonts w:ascii="Bookman Old Style" w:hAnsi="Bookman Old Style" w:cs="Arial"/>
          <w:b/>
          <w:sz w:val="22"/>
          <w:szCs w:val="22"/>
        </w:rPr>
        <w:t>/2024</w:t>
      </w:r>
    </w:p>
    <w:p w14:paraId="045CBA0D" w14:textId="0EF195A0"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DISPENSA DE LICITAÇÃO Nº 0</w:t>
      </w:r>
      <w:r w:rsidR="00862094">
        <w:rPr>
          <w:rFonts w:ascii="Bookman Old Style" w:hAnsi="Bookman Old Style" w:cs="Arial"/>
          <w:b/>
          <w:sz w:val="22"/>
          <w:szCs w:val="22"/>
        </w:rPr>
        <w:t>0</w:t>
      </w:r>
      <w:r w:rsidR="004E4CD9">
        <w:rPr>
          <w:rFonts w:ascii="Bookman Old Style" w:hAnsi="Bookman Old Style" w:cs="Arial"/>
          <w:b/>
          <w:sz w:val="22"/>
          <w:szCs w:val="22"/>
        </w:rPr>
        <w:t>9</w:t>
      </w:r>
      <w:r w:rsidRPr="00345616">
        <w:rPr>
          <w:rFonts w:ascii="Bookman Old Style" w:hAnsi="Bookman Old Style" w:cs="Arial"/>
          <w:b/>
          <w:sz w:val="22"/>
          <w:szCs w:val="22"/>
        </w:rPr>
        <w:t>/2024</w:t>
      </w:r>
    </w:p>
    <w:p w14:paraId="44F40525" w14:textId="4A710A5A"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MINUTA CONTRATUAL</w:t>
      </w:r>
    </w:p>
    <w:p w14:paraId="34BF1ACA" w14:textId="6DA6ECC5" w:rsidR="00345616" w:rsidRPr="00345616" w:rsidRDefault="00345616" w:rsidP="00345616">
      <w:pPr>
        <w:pStyle w:val="corpo"/>
        <w:spacing w:before="0" w:after="0"/>
        <w:jc w:val="center"/>
        <w:rPr>
          <w:rFonts w:ascii="Bookman Old Style" w:hAnsi="Bookman Old Style" w:cs="Arial"/>
          <w:b/>
          <w:sz w:val="22"/>
          <w:szCs w:val="22"/>
        </w:rPr>
      </w:pPr>
      <w:r w:rsidRPr="00345616">
        <w:rPr>
          <w:rFonts w:ascii="Bookman Old Style" w:hAnsi="Bookman Old Style" w:cs="Arial"/>
          <w:b/>
          <w:sz w:val="22"/>
          <w:szCs w:val="22"/>
        </w:rPr>
        <w:t>ANEXO II</w:t>
      </w:r>
    </w:p>
    <w:p w14:paraId="47C7BBAC" w14:textId="77777777" w:rsidR="00345616" w:rsidRDefault="00345616" w:rsidP="0075029B">
      <w:pPr>
        <w:pStyle w:val="corpo"/>
        <w:spacing w:before="0" w:after="0"/>
        <w:jc w:val="both"/>
        <w:rPr>
          <w:rFonts w:ascii="Bookman Old Style" w:hAnsi="Bookman Old Style" w:cs="Arial"/>
          <w:sz w:val="22"/>
          <w:szCs w:val="22"/>
        </w:rPr>
      </w:pPr>
    </w:p>
    <w:p w14:paraId="4914F6DB" w14:textId="77777777" w:rsidR="00345616" w:rsidRDefault="00345616" w:rsidP="00345616">
      <w:pPr>
        <w:pStyle w:val="corpo"/>
        <w:spacing w:before="0" w:after="0"/>
        <w:ind w:left="3969"/>
        <w:jc w:val="both"/>
        <w:rPr>
          <w:rFonts w:ascii="Bookman Old Style" w:hAnsi="Bookman Old Style" w:cs="Arial"/>
          <w:sz w:val="22"/>
          <w:szCs w:val="22"/>
        </w:rPr>
      </w:pPr>
      <w:r w:rsidRPr="00345616">
        <w:rPr>
          <w:rFonts w:ascii="Bookman Old Style" w:hAnsi="Bookman Old Style" w:cs="Arial"/>
          <w:sz w:val="22"/>
          <w:szCs w:val="22"/>
        </w:rPr>
        <w:t xml:space="preserve">CONTRATO ADMINISTRATIVO Nº 0XX/20XX QUE FAZEM ENTRE SI O MUNICÍPIO DE XXXXX E A EMPRESA XXXXXXXXXX. </w:t>
      </w:r>
    </w:p>
    <w:p w14:paraId="293947EF" w14:textId="77777777" w:rsidR="00345616" w:rsidRDefault="00345616" w:rsidP="0075029B">
      <w:pPr>
        <w:pStyle w:val="corpo"/>
        <w:spacing w:before="0" w:after="0"/>
        <w:jc w:val="both"/>
        <w:rPr>
          <w:rFonts w:ascii="Bookman Old Style" w:hAnsi="Bookman Old Style" w:cs="Arial"/>
          <w:sz w:val="22"/>
          <w:szCs w:val="22"/>
        </w:rPr>
      </w:pPr>
    </w:p>
    <w:p w14:paraId="37D625BF" w14:textId="6CB4D214"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O MUNICÍPIO DE </w:t>
      </w:r>
      <w:r w:rsidR="00925927">
        <w:rPr>
          <w:rFonts w:ascii="Bookman Old Style" w:hAnsi="Bookman Old Style" w:cs="Arial"/>
          <w:sz w:val="22"/>
          <w:szCs w:val="22"/>
        </w:rPr>
        <w:t>IPANEMA</w:t>
      </w:r>
      <w:r w:rsidRPr="00345616">
        <w:rPr>
          <w:rFonts w:ascii="Bookman Old Style" w:hAnsi="Bookman Old Style" w:cs="Arial"/>
          <w:sz w:val="22"/>
          <w:szCs w:val="22"/>
        </w:rPr>
        <w:t>, inscrito no Cadastro Nacional de Pessoas Jurídicas – CNPJ sob o nº 18.</w:t>
      </w:r>
      <w:r w:rsidR="00925927">
        <w:rPr>
          <w:rFonts w:ascii="Bookman Old Style" w:hAnsi="Bookman Old Style" w:cs="Arial"/>
          <w:sz w:val="22"/>
          <w:szCs w:val="22"/>
        </w:rPr>
        <w:t>334.</w:t>
      </w:r>
      <w:r w:rsidR="007324C7">
        <w:rPr>
          <w:rFonts w:ascii="Bookman Old Style" w:hAnsi="Bookman Old Style" w:cs="Arial"/>
          <w:sz w:val="22"/>
          <w:szCs w:val="22"/>
        </w:rPr>
        <w:t>292/0001-64</w:t>
      </w:r>
      <w:r w:rsidRPr="00345616">
        <w:rPr>
          <w:rFonts w:ascii="Bookman Old Style" w:hAnsi="Bookman Old Style" w:cs="Arial"/>
          <w:sz w:val="22"/>
          <w:szCs w:val="22"/>
        </w:rPr>
        <w:t xml:space="preserve">, neste ato representado pelo Exmo. Prefeito Municipal, Sr. </w:t>
      </w:r>
      <w:r w:rsidR="00F94B87">
        <w:rPr>
          <w:rFonts w:ascii="Bookman Old Style" w:hAnsi="Bookman Old Style" w:cs="Arial"/>
          <w:sz w:val="22"/>
          <w:szCs w:val="22"/>
        </w:rPr>
        <w:t>Julio Fontoura de Moraes</w:t>
      </w:r>
      <w:r w:rsidR="00506DB6">
        <w:rPr>
          <w:rFonts w:ascii="Bookman Old Style" w:hAnsi="Bookman Old Style" w:cs="Arial"/>
          <w:sz w:val="22"/>
          <w:szCs w:val="22"/>
        </w:rPr>
        <w:t>,</w:t>
      </w:r>
      <w:r w:rsidRPr="00345616">
        <w:rPr>
          <w:rFonts w:ascii="Bookman Old Style" w:hAnsi="Bookman Old Style" w:cs="Arial"/>
          <w:sz w:val="22"/>
          <w:szCs w:val="22"/>
        </w:rPr>
        <w:t xml:space="preserve"> doravante denominado CONTRATANTE e a empresa xxxxxxxxxxxxxxxxx, inscrita no Cadastro Nacional de Pessoas Jurídicas – CNPJ sob o nº xx.xxx.xxx/xxxx-xx, sediada á xxxxxxxxxxxxxxxxxxx, neste ato </w:t>
      </w:r>
      <w:r w:rsidRPr="00862094">
        <w:rPr>
          <w:rFonts w:ascii="Bookman Old Style" w:hAnsi="Bookman Old Style" w:cs="Arial"/>
          <w:sz w:val="22"/>
          <w:szCs w:val="22"/>
        </w:rPr>
        <w:t xml:space="preserve">representada pelo(a) Sr.(a) xxxxxxxxxxxxxxxxx, inscrito(a) no CPF sob o nº xxx.xxx.xxx-xx, doravante denominado CONTRATADA, resolvem celebrar o presente contrato, em conformidade com o Processo Administrativo nº </w:t>
      </w:r>
      <w:r w:rsidR="00862094" w:rsidRPr="00862094">
        <w:rPr>
          <w:rFonts w:ascii="Bookman Old Style" w:hAnsi="Bookman Old Style" w:cs="Arial"/>
          <w:sz w:val="22"/>
          <w:szCs w:val="22"/>
        </w:rPr>
        <w:t>048</w:t>
      </w:r>
      <w:r w:rsidRPr="00862094">
        <w:rPr>
          <w:rFonts w:ascii="Bookman Old Style" w:hAnsi="Bookman Old Style" w:cs="Arial"/>
          <w:sz w:val="22"/>
          <w:szCs w:val="22"/>
        </w:rPr>
        <w:t xml:space="preserve">/2024, Dispensa Eletrônica nº </w:t>
      </w:r>
      <w:r w:rsidR="00862094" w:rsidRPr="00862094">
        <w:rPr>
          <w:rFonts w:ascii="Bookman Old Style" w:hAnsi="Bookman Old Style" w:cs="Arial"/>
          <w:sz w:val="22"/>
          <w:szCs w:val="22"/>
        </w:rPr>
        <w:t>007</w:t>
      </w:r>
      <w:r w:rsidRPr="00862094">
        <w:rPr>
          <w:rFonts w:ascii="Bookman Old Style" w:hAnsi="Bookman Old Style" w:cs="Arial"/>
          <w:sz w:val="22"/>
          <w:szCs w:val="22"/>
        </w:rPr>
        <w:t>/2024, sob a regência da Lei Federal nº 14.133/2021, mediante as cláusulas e condições pactuadas a seguir:</w:t>
      </w:r>
      <w:r w:rsidRPr="00345616">
        <w:rPr>
          <w:rFonts w:ascii="Bookman Old Style" w:hAnsi="Bookman Old Style" w:cs="Arial"/>
          <w:sz w:val="22"/>
          <w:szCs w:val="22"/>
        </w:rPr>
        <w:t xml:space="preserve"> </w:t>
      </w:r>
    </w:p>
    <w:p w14:paraId="2BBBCE50" w14:textId="77777777" w:rsidR="00345616" w:rsidRDefault="00345616" w:rsidP="0075029B">
      <w:pPr>
        <w:pStyle w:val="corpo"/>
        <w:spacing w:before="0" w:after="0"/>
        <w:jc w:val="both"/>
        <w:rPr>
          <w:rFonts w:ascii="Bookman Old Style" w:hAnsi="Bookman Old Style" w:cs="Arial"/>
          <w:sz w:val="22"/>
          <w:szCs w:val="22"/>
        </w:rPr>
      </w:pPr>
    </w:p>
    <w:p w14:paraId="5EE6AA81"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PRIMEIRA – DO OBJETO E DO VALOR </w:t>
      </w:r>
    </w:p>
    <w:p w14:paraId="61249CBE"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1.1. Constitui objeto do presente instrumento a </w:t>
      </w:r>
    </w:p>
    <w:p w14:paraId="4FD64F3E" w14:textId="549E0D9F"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1.2. O objeto da contratação deverá seguir as especificações, quantitativos e valores delimitados através da planilha a seguir:</w:t>
      </w:r>
    </w:p>
    <w:p w14:paraId="6BAACFDE" w14:textId="77777777" w:rsidR="00345616" w:rsidRDefault="00345616" w:rsidP="0075029B">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1369"/>
        <w:gridCol w:w="1611"/>
        <w:gridCol w:w="1015"/>
        <w:gridCol w:w="1017"/>
        <w:gridCol w:w="2236"/>
        <w:gridCol w:w="1611"/>
        <w:gridCol w:w="1421"/>
      </w:tblGrid>
      <w:tr w:rsidR="00345616" w14:paraId="4CD18545" w14:textId="77777777" w:rsidTr="00345616">
        <w:tc>
          <w:tcPr>
            <w:tcW w:w="1369" w:type="dxa"/>
          </w:tcPr>
          <w:p w14:paraId="46D75082" w14:textId="05926131"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ITEM</w:t>
            </w:r>
          </w:p>
        </w:tc>
        <w:tc>
          <w:tcPr>
            <w:tcW w:w="1611" w:type="dxa"/>
          </w:tcPr>
          <w:p w14:paraId="4D386C09" w14:textId="3942441E"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DESCRIÇÃO</w:t>
            </w:r>
          </w:p>
        </w:tc>
        <w:tc>
          <w:tcPr>
            <w:tcW w:w="1015" w:type="dxa"/>
          </w:tcPr>
          <w:p w14:paraId="089562D3" w14:textId="3E3BF390"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UND</w:t>
            </w:r>
          </w:p>
        </w:tc>
        <w:tc>
          <w:tcPr>
            <w:tcW w:w="1017" w:type="dxa"/>
          </w:tcPr>
          <w:p w14:paraId="65FCEC0D" w14:textId="1CFBABCA"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QTD</w:t>
            </w:r>
          </w:p>
        </w:tc>
        <w:tc>
          <w:tcPr>
            <w:tcW w:w="2236" w:type="dxa"/>
          </w:tcPr>
          <w:p w14:paraId="32F89FCA" w14:textId="7DFA1B01"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MARCA/MODELO</w:t>
            </w:r>
          </w:p>
        </w:tc>
        <w:tc>
          <w:tcPr>
            <w:tcW w:w="1611" w:type="dxa"/>
          </w:tcPr>
          <w:p w14:paraId="0716E5E6" w14:textId="13801405"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V.UNITÁRIO</w:t>
            </w:r>
          </w:p>
        </w:tc>
        <w:tc>
          <w:tcPr>
            <w:tcW w:w="1421" w:type="dxa"/>
          </w:tcPr>
          <w:p w14:paraId="147E500B" w14:textId="0C6FDDB3" w:rsidR="00345616" w:rsidRPr="00345616" w:rsidRDefault="00345616" w:rsidP="00345616">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V.</w:t>
            </w:r>
            <w:r>
              <w:rPr>
                <w:rFonts w:ascii="Bookman Old Style" w:hAnsi="Bookman Old Style" w:cs="Arial"/>
                <w:b/>
                <w:sz w:val="22"/>
                <w:szCs w:val="22"/>
              </w:rPr>
              <w:t>TOTAL</w:t>
            </w:r>
          </w:p>
        </w:tc>
      </w:tr>
      <w:tr w:rsidR="00345616" w14:paraId="7DB4A267" w14:textId="77777777" w:rsidTr="00345616">
        <w:tc>
          <w:tcPr>
            <w:tcW w:w="1369" w:type="dxa"/>
          </w:tcPr>
          <w:p w14:paraId="1CF288A7"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1F712751"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52FE0E30"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77733761"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1A206C51"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68E81E70"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2BE4A5AD" w14:textId="77777777" w:rsidR="00345616" w:rsidRDefault="00345616" w:rsidP="0075029B">
            <w:pPr>
              <w:pStyle w:val="corpo"/>
              <w:spacing w:before="0" w:after="0"/>
              <w:jc w:val="both"/>
              <w:rPr>
                <w:rFonts w:ascii="Bookman Old Style" w:hAnsi="Bookman Old Style" w:cs="Arial"/>
                <w:sz w:val="22"/>
                <w:szCs w:val="22"/>
              </w:rPr>
            </w:pPr>
          </w:p>
        </w:tc>
      </w:tr>
      <w:tr w:rsidR="00345616" w14:paraId="1645AC1E" w14:textId="77777777" w:rsidTr="00345616">
        <w:tc>
          <w:tcPr>
            <w:tcW w:w="1369" w:type="dxa"/>
          </w:tcPr>
          <w:p w14:paraId="15C75157"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1A883D44"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77A31831"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46E3FC5F"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3355A9FF"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78675B2C"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3021A863" w14:textId="77777777" w:rsidR="00345616" w:rsidRDefault="00345616" w:rsidP="0075029B">
            <w:pPr>
              <w:pStyle w:val="corpo"/>
              <w:spacing w:before="0" w:after="0"/>
              <w:jc w:val="both"/>
              <w:rPr>
                <w:rFonts w:ascii="Bookman Old Style" w:hAnsi="Bookman Old Style" w:cs="Arial"/>
                <w:sz w:val="22"/>
                <w:szCs w:val="22"/>
              </w:rPr>
            </w:pPr>
          </w:p>
        </w:tc>
      </w:tr>
      <w:tr w:rsidR="00345616" w14:paraId="466D9CD1" w14:textId="77777777" w:rsidTr="00345616">
        <w:tc>
          <w:tcPr>
            <w:tcW w:w="1369" w:type="dxa"/>
          </w:tcPr>
          <w:p w14:paraId="09E8BFB0"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410E6CAC" w14:textId="77777777" w:rsidR="00345616" w:rsidRDefault="00345616" w:rsidP="0075029B">
            <w:pPr>
              <w:pStyle w:val="corpo"/>
              <w:spacing w:before="0" w:after="0"/>
              <w:jc w:val="both"/>
              <w:rPr>
                <w:rFonts w:ascii="Bookman Old Style" w:hAnsi="Bookman Old Style" w:cs="Arial"/>
                <w:sz w:val="22"/>
                <w:szCs w:val="22"/>
              </w:rPr>
            </w:pPr>
          </w:p>
        </w:tc>
        <w:tc>
          <w:tcPr>
            <w:tcW w:w="1015" w:type="dxa"/>
          </w:tcPr>
          <w:p w14:paraId="616BE2FE" w14:textId="77777777" w:rsidR="00345616" w:rsidRDefault="00345616" w:rsidP="0075029B">
            <w:pPr>
              <w:pStyle w:val="corpo"/>
              <w:spacing w:before="0" w:after="0"/>
              <w:jc w:val="both"/>
              <w:rPr>
                <w:rFonts w:ascii="Bookman Old Style" w:hAnsi="Bookman Old Style" w:cs="Arial"/>
                <w:sz w:val="22"/>
                <w:szCs w:val="22"/>
              </w:rPr>
            </w:pPr>
          </w:p>
        </w:tc>
        <w:tc>
          <w:tcPr>
            <w:tcW w:w="1017" w:type="dxa"/>
          </w:tcPr>
          <w:p w14:paraId="02F00251" w14:textId="77777777" w:rsidR="00345616" w:rsidRDefault="00345616" w:rsidP="0075029B">
            <w:pPr>
              <w:pStyle w:val="corpo"/>
              <w:spacing w:before="0" w:after="0"/>
              <w:jc w:val="both"/>
              <w:rPr>
                <w:rFonts w:ascii="Bookman Old Style" w:hAnsi="Bookman Old Style" w:cs="Arial"/>
                <w:sz w:val="22"/>
                <w:szCs w:val="22"/>
              </w:rPr>
            </w:pPr>
          </w:p>
        </w:tc>
        <w:tc>
          <w:tcPr>
            <w:tcW w:w="2236" w:type="dxa"/>
          </w:tcPr>
          <w:p w14:paraId="4C95A14F" w14:textId="77777777" w:rsidR="00345616" w:rsidRDefault="00345616" w:rsidP="0075029B">
            <w:pPr>
              <w:pStyle w:val="corpo"/>
              <w:spacing w:before="0" w:after="0"/>
              <w:jc w:val="both"/>
              <w:rPr>
                <w:rFonts w:ascii="Bookman Old Style" w:hAnsi="Bookman Old Style" w:cs="Arial"/>
                <w:sz w:val="22"/>
                <w:szCs w:val="22"/>
              </w:rPr>
            </w:pPr>
          </w:p>
        </w:tc>
        <w:tc>
          <w:tcPr>
            <w:tcW w:w="1611" w:type="dxa"/>
          </w:tcPr>
          <w:p w14:paraId="235A4346" w14:textId="77777777" w:rsidR="00345616" w:rsidRDefault="00345616" w:rsidP="0075029B">
            <w:pPr>
              <w:pStyle w:val="corpo"/>
              <w:spacing w:before="0" w:after="0"/>
              <w:jc w:val="both"/>
              <w:rPr>
                <w:rFonts w:ascii="Bookman Old Style" w:hAnsi="Bookman Old Style" w:cs="Arial"/>
                <w:sz w:val="22"/>
                <w:szCs w:val="22"/>
              </w:rPr>
            </w:pPr>
          </w:p>
        </w:tc>
        <w:tc>
          <w:tcPr>
            <w:tcW w:w="1421" w:type="dxa"/>
          </w:tcPr>
          <w:p w14:paraId="58D38A4D" w14:textId="77777777" w:rsidR="00345616" w:rsidRDefault="00345616" w:rsidP="0075029B">
            <w:pPr>
              <w:pStyle w:val="corpo"/>
              <w:spacing w:before="0" w:after="0"/>
              <w:jc w:val="both"/>
              <w:rPr>
                <w:rFonts w:ascii="Bookman Old Style" w:hAnsi="Bookman Old Style" w:cs="Arial"/>
                <w:sz w:val="22"/>
                <w:szCs w:val="22"/>
              </w:rPr>
            </w:pPr>
          </w:p>
        </w:tc>
      </w:tr>
      <w:tr w:rsidR="00345616" w14:paraId="0E8B002C" w14:textId="77777777" w:rsidTr="00345616">
        <w:tc>
          <w:tcPr>
            <w:tcW w:w="5012" w:type="dxa"/>
            <w:gridSpan w:val="4"/>
          </w:tcPr>
          <w:p w14:paraId="7625C687" w14:textId="14F92F41" w:rsidR="00345616" w:rsidRPr="00345616" w:rsidRDefault="00345616" w:rsidP="00345616">
            <w:pPr>
              <w:pStyle w:val="corpo"/>
              <w:spacing w:before="0" w:after="0"/>
              <w:jc w:val="right"/>
              <w:rPr>
                <w:rFonts w:ascii="Bookman Old Style" w:hAnsi="Bookman Old Style" w:cs="Arial"/>
                <w:b/>
                <w:sz w:val="22"/>
                <w:szCs w:val="22"/>
              </w:rPr>
            </w:pPr>
            <w:r w:rsidRPr="00345616">
              <w:rPr>
                <w:rFonts w:ascii="Bookman Old Style" w:hAnsi="Bookman Old Style" w:cs="Arial"/>
                <w:b/>
                <w:sz w:val="22"/>
                <w:szCs w:val="22"/>
              </w:rPr>
              <w:t>V.GLOBAL</w:t>
            </w:r>
          </w:p>
        </w:tc>
        <w:tc>
          <w:tcPr>
            <w:tcW w:w="5268" w:type="dxa"/>
            <w:gridSpan w:val="3"/>
          </w:tcPr>
          <w:p w14:paraId="223E299F" w14:textId="36969746" w:rsidR="00345616" w:rsidRPr="00345616" w:rsidRDefault="00345616" w:rsidP="0075029B">
            <w:pPr>
              <w:pStyle w:val="corpo"/>
              <w:spacing w:before="0" w:after="0"/>
              <w:jc w:val="both"/>
              <w:rPr>
                <w:rFonts w:ascii="Bookman Old Style" w:hAnsi="Bookman Old Style" w:cs="Arial"/>
                <w:b/>
                <w:sz w:val="22"/>
                <w:szCs w:val="22"/>
              </w:rPr>
            </w:pPr>
            <w:r w:rsidRPr="00345616">
              <w:rPr>
                <w:rFonts w:ascii="Bookman Old Style" w:hAnsi="Bookman Old Style" w:cs="Arial"/>
                <w:b/>
                <w:sz w:val="22"/>
                <w:szCs w:val="22"/>
              </w:rPr>
              <w:t>R$</w:t>
            </w:r>
          </w:p>
        </w:tc>
      </w:tr>
    </w:tbl>
    <w:p w14:paraId="592D2C1E" w14:textId="77777777" w:rsidR="002C0DC6" w:rsidRDefault="002C0DC6" w:rsidP="0075029B">
      <w:pPr>
        <w:pStyle w:val="corpo"/>
        <w:spacing w:before="0" w:after="0"/>
        <w:jc w:val="both"/>
        <w:rPr>
          <w:rFonts w:ascii="Bookman Old Style" w:hAnsi="Bookman Old Style" w:cs="Arial"/>
          <w:sz w:val="22"/>
          <w:szCs w:val="22"/>
        </w:rPr>
      </w:pPr>
    </w:p>
    <w:p w14:paraId="2839F40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1.3. Integram este contrato, como se nele estivessem transcritos: o Termo de Referência, o Aviso de Dispensa Eletrônica e seus Anexos, a Proposta Comercial do Contratado e demais documentos apresentados durante a sessão pública, constantes nos autos do procedimento. 1.4. O presente instrumento perfaz um valor global de R$ xxxxx,xx (xxxxxxxxxxxxxxx), conforme detalhamento constante na planilha do item 1.2. </w:t>
      </w:r>
    </w:p>
    <w:p w14:paraId="79C2CD0D" w14:textId="77777777" w:rsidR="00345616" w:rsidRDefault="00345616" w:rsidP="0075029B">
      <w:pPr>
        <w:pStyle w:val="corpo"/>
        <w:spacing w:before="0" w:after="0"/>
        <w:jc w:val="both"/>
        <w:rPr>
          <w:rFonts w:ascii="Bookman Old Style" w:hAnsi="Bookman Old Style" w:cs="Arial"/>
          <w:sz w:val="22"/>
          <w:szCs w:val="22"/>
        </w:rPr>
      </w:pPr>
    </w:p>
    <w:p w14:paraId="39F7749A" w14:textId="5253F3F5" w:rsidR="002C0DC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CLÁUSULA SEGUNDA – DA VIGÊNCIA</w:t>
      </w:r>
    </w:p>
    <w:p w14:paraId="41415DC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2.1. O contrato oriundo do presente procedimento terá vigência de 12 (doze) meses, contados a partir da data de sua assinatura. </w:t>
      </w:r>
    </w:p>
    <w:p w14:paraId="1BBCD55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2.2. 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072365DB" w14:textId="77777777" w:rsidR="00345616" w:rsidRDefault="00345616" w:rsidP="0075029B">
      <w:pPr>
        <w:pStyle w:val="corpo"/>
        <w:spacing w:before="0" w:after="0"/>
        <w:jc w:val="both"/>
        <w:rPr>
          <w:rFonts w:ascii="Bookman Old Style" w:hAnsi="Bookman Old Style" w:cs="Arial"/>
          <w:sz w:val="22"/>
          <w:szCs w:val="22"/>
        </w:rPr>
      </w:pPr>
    </w:p>
    <w:p w14:paraId="740734D5"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TERCEIRA- DO MODELO DE EXECUÇÃO DO OBJETO </w:t>
      </w:r>
    </w:p>
    <w:p w14:paraId="5BB300D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3.1. Os serviços serão prestados em estrita conformidade com as condições estabelecidas neste termo, dentro das melhores técnicas pertinentes ao objeto. </w:t>
      </w:r>
    </w:p>
    <w:p w14:paraId="511468EC" w14:textId="4F08CB9F"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3.2. Os serviços serão prestados de forma gradativa e eventual, de acordo com as demandas da secretaria requisitante, sendo iniciados no prazo máximo de 48 (quarenta e oito) horas contados a partir do recebimento da Ordem de Fornecimento emitida pelo Setor de Compras da Prefeitura Municipal de </w:t>
      </w:r>
      <w:r w:rsidR="00551AD5">
        <w:rPr>
          <w:rFonts w:ascii="Bookman Old Style" w:hAnsi="Bookman Old Style" w:cs="Arial"/>
          <w:sz w:val="22"/>
          <w:szCs w:val="22"/>
        </w:rPr>
        <w:t>Ipanema/</w:t>
      </w:r>
      <w:r w:rsidRPr="00345616">
        <w:rPr>
          <w:rFonts w:ascii="Bookman Old Style" w:hAnsi="Bookman Old Style" w:cs="Arial"/>
          <w:sz w:val="22"/>
          <w:szCs w:val="22"/>
        </w:rPr>
        <w:t xml:space="preserve">MG. </w:t>
      </w:r>
    </w:p>
    <w:p w14:paraId="77142B42" w14:textId="1F78766B"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lastRenderedPageBreak/>
        <w:t xml:space="preserve">3.3. Os serviços serão executados em local previamente estabelecido pela secretaria requisitante, podendo ser em perímetro urbano ou zona rural do Município de </w:t>
      </w:r>
      <w:r w:rsidR="00551AD5">
        <w:rPr>
          <w:rFonts w:ascii="Bookman Old Style" w:hAnsi="Bookman Old Style" w:cs="Arial"/>
          <w:sz w:val="22"/>
          <w:szCs w:val="22"/>
        </w:rPr>
        <w:t>Ipanema/</w:t>
      </w:r>
      <w:r w:rsidRPr="00345616">
        <w:rPr>
          <w:rFonts w:ascii="Bookman Old Style" w:hAnsi="Bookman Old Style" w:cs="Arial"/>
          <w:sz w:val="22"/>
          <w:szCs w:val="22"/>
        </w:rPr>
        <w:t xml:space="preserve">MG a depender da necessidade. </w:t>
      </w:r>
    </w:p>
    <w:p w14:paraId="4FF3CBE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3.4. O objeto será recebido provisoriamente pelo fiscal do contrato, com verificação posterior do atendimento às conformidades estabelecidas neste instrumento. </w:t>
      </w:r>
    </w:p>
    <w:p w14:paraId="446BE7D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3.5. O objeto será recebido definitivamente pelo gestor ou comissão do contrato, mediante termo detalhado, que comprove o atendimento às exigências estabelecidas neste instrumento. </w:t>
      </w:r>
    </w:p>
    <w:p w14:paraId="4CB728D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3.6. O objeto poderá ser rejeitado, no todo ou em parte, quando estiver sendo executado em desconformidade com as exigências estabelecidas neste instrumento. </w:t>
      </w:r>
    </w:p>
    <w:p w14:paraId="7305DD4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3.7. O recebimento provisório ou definitivo não excluirá a responsabilidade civil do proponente pela solidez e segurança da execução. </w:t>
      </w:r>
    </w:p>
    <w:p w14:paraId="7C4E7DEA" w14:textId="77777777" w:rsidR="00345616" w:rsidRDefault="00345616" w:rsidP="0075029B">
      <w:pPr>
        <w:pStyle w:val="corpo"/>
        <w:spacing w:before="0" w:after="0"/>
        <w:jc w:val="both"/>
        <w:rPr>
          <w:rFonts w:ascii="Bookman Old Style" w:hAnsi="Bookman Old Style" w:cs="Arial"/>
          <w:sz w:val="22"/>
          <w:szCs w:val="22"/>
        </w:rPr>
      </w:pPr>
    </w:p>
    <w:p w14:paraId="6A41727E" w14:textId="77777777"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QUARTA – DA FISCALIZAÇÃO E GESTÃO DO CONTRATO </w:t>
      </w:r>
    </w:p>
    <w:p w14:paraId="786CC48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4.1. Caberá ao Fiscal do contrato: </w:t>
      </w:r>
    </w:p>
    <w:p w14:paraId="7F03E79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fiscalizar e atestar o recebimento provisório dos produtos ou serviços em face das suas características e especificações, em estrita conformidade com este instrumento; </w:t>
      </w:r>
    </w:p>
    <w:p w14:paraId="50678653" w14:textId="53D8895C"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II - fiscalizar e atestar o recebimento provisório dos produtos ou serviços em face dos quantitativos solicitados;</w:t>
      </w:r>
    </w:p>
    <w:p w14:paraId="528E9375"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fiscalizar e atestar o recebimento provisório dos produtos ou serviços nos prazos e condições estabelecidas neste instrumento; </w:t>
      </w:r>
    </w:p>
    <w:p w14:paraId="3A86B6D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auxiliar o gestor no contrato, subsidiando as informações pertinentes às suas competências; </w:t>
      </w:r>
    </w:p>
    <w:p w14:paraId="7F0B230E"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anotar histórico de gerenciamento do contrato, contendo todas as ocorrências relacionadas à sua execução; </w:t>
      </w:r>
    </w:p>
    <w:p w14:paraId="3F9DDE22"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 - emitir notificações sobre qualquer irregularidade encontrada na execução do contrato; </w:t>
      </w:r>
    </w:p>
    <w:p w14:paraId="3E38AC22"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rejeitar os produtos ou serviços entregues em desconformidade com este instrumento; </w:t>
      </w:r>
    </w:p>
    <w:p w14:paraId="21842E0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VIII - comunicar formalmente o gestor do contrato a respeito de qualquer ocorrência relacionada ao recebimento do objeto ou suas atribuições; </w:t>
      </w:r>
    </w:p>
    <w:p w14:paraId="23D6F5EF"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4.1.1. O fiscal de contrato informará a seus superiores, em tempo hábil para a adoção das medidas convenientes, a situação que demandar decisão ou providência que ultrapasse sua competência, entre elas: </w:t>
      </w:r>
    </w:p>
    <w:p w14:paraId="52593CB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atraso injustificado na execução do cronograma ou entrega dos objetos; </w:t>
      </w:r>
    </w:p>
    <w:p w14:paraId="61AE870B"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 entrega de produtos em desconformidade com as especificações constantes no instrumento convocatório ou quantitativo divergente do solicitado; </w:t>
      </w:r>
    </w:p>
    <w:p w14:paraId="5CF50EC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execução do objeto em desconformidade com este instrumento; </w:t>
      </w:r>
    </w:p>
    <w:p w14:paraId="2FB1D52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descumprimento de cláusula contratual ou regra editalícia; </w:t>
      </w:r>
    </w:p>
    <w:p w14:paraId="450CB1F4"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subcontratação indevida, sem autorização prévia ou fora dos limites legais; </w:t>
      </w:r>
    </w:p>
    <w:p w14:paraId="745C1368"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 - alteração nas condições da habilitação da proponente previstas no instrumento convocatório; </w:t>
      </w:r>
    </w:p>
    <w:p w14:paraId="35D6A35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quaisquer irregularidades, ilegalidades, atrasos, desvios de finalidades e condutas ilícitas detectadas e não citados anteriormente. </w:t>
      </w:r>
    </w:p>
    <w:p w14:paraId="45EEF32B"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4.2. Caberá ao Gestor do Contrato: </w:t>
      </w:r>
    </w:p>
    <w:p w14:paraId="6DEA632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 analisar a documentação que antecede a liquidação e ao pagamento; </w:t>
      </w:r>
    </w:p>
    <w:p w14:paraId="029E036A"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 analisar os pedidos de reequilíbrio econômico-financeiro, decidindo manifestadamente a respeito nos autos do procedimento; </w:t>
      </w:r>
    </w:p>
    <w:p w14:paraId="22F4D403"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 criar rotinas de verificação de valores, conforme a especificidade de cada objeto, para eventualmente propor reequilíbrios econômico-financeiros quando o valor praticado estiver em desconformidade com a prática de mercado; </w:t>
      </w:r>
    </w:p>
    <w:p w14:paraId="44148045"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IV - analisar eventuais solicitações de alterações contratuais, decidindo manifestadamente a respeito nos autos do procedimento; </w:t>
      </w:r>
    </w:p>
    <w:p w14:paraId="794C11D9"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 acompanhar o desenvolvimento da execução através dos relatos apresentados pelo fiscal do contrato, bem como os demais documentos pertinentes; </w:t>
      </w:r>
    </w:p>
    <w:p w14:paraId="4FDE1D8D"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lastRenderedPageBreak/>
        <w:t xml:space="preserve">VI - decidir, provisoriamente, pela suspensão da entrega de bens ou a realização dos serviços, manifestando a respeito nos autos do procedimento; </w:t>
      </w:r>
    </w:p>
    <w:p w14:paraId="56F85A2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 - solicitar e acompanhar processos administrativos sancionadores, na dosimetria descrita no instrumento convocatório, nos casos em que o objeto estiver sendo executado em desconformidade com as exigências; </w:t>
      </w:r>
    </w:p>
    <w:p w14:paraId="041E4B1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VIII - alimentar o Portal Nacional de Contratações Públicas - PNCP ou equivalente com os dados referentes aos contratos administrativos; </w:t>
      </w:r>
    </w:p>
    <w:p w14:paraId="5FD8FD47"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IX - realizar o recebimento definitivo dos produtos ou serviços. </w:t>
      </w:r>
    </w:p>
    <w:p w14:paraId="2A90766A" w14:textId="77777777" w:rsidR="00345616" w:rsidRDefault="00345616" w:rsidP="0075029B">
      <w:pPr>
        <w:pStyle w:val="corpo"/>
        <w:spacing w:before="0" w:after="0"/>
        <w:jc w:val="both"/>
        <w:rPr>
          <w:rFonts w:ascii="Bookman Old Style" w:hAnsi="Bookman Old Style" w:cs="Arial"/>
          <w:sz w:val="22"/>
          <w:szCs w:val="22"/>
        </w:rPr>
      </w:pPr>
    </w:p>
    <w:p w14:paraId="1C753D13" w14:textId="22798282" w:rsidR="00345616"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CLÁUSULA QUINTA – DA SUBCONTRATAÇÃO</w:t>
      </w:r>
    </w:p>
    <w:p w14:paraId="55255831"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 Na execução deste contrato, sem prejuízo das responsabilidades contratuais e legais, o CONTRATADO poderá subcontratar parcelas do objeto, desde que, autorizado formalmente pelo CONTRATANTE. </w:t>
      </w:r>
    </w:p>
    <w:p w14:paraId="07D4412F"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5.1.1. Na autorização, caso concedida, o CONTRATANTE deverá indicar o limite percentual do objeto ou a parcela que poderá ser subcontratada. </w:t>
      </w:r>
    </w:p>
    <w:p w14:paraId="38C9DA86" w14:textId="77777777"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5.1.2. O contratado apresentará à Administração documentação que comprove a capacidade técnica do subcontrato, quando cabível, que será avaliada e juntada aos autos do processo. </w:t>
      </w:r>
    </w:p>
    <w:p w14:paraId="7D895FD0"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5.1.3.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no procedimento ou atue na fiscalização ou na gestão do contrato, ou se deles forem cônjuge, companheiro ou parente em linha reta, colateral, ou por afinidade, até o terceiro grau. </w:t>
      </w:r>
    </w:p>
    <w:p w14:paraId="657F67FC" w14:textId="77777777" w:rsidR="00916F1A" w:rsidRDefault="00916F1A" w:rsidP="0075029B">
      <w:pPr>
        <w:pStyle w:val="corpo"/>
        <w:spacing w:before="0" w:after="0"/>
        <w:jc w:val="both"/>
        <w:rPr>
          <w:rFonts w:ascii="Bookman Old Style" w:hAnsi="Bookman Old Style" w:cs="Arial"/>
          <w:sz w:val="22"/>
          <w:szCs w:val="22"/>
        </w:rPr>
      </w:pPr>
    </w:p>
    <w:p w14:paraId="63C50982"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SEXTA – DO PAGAMENTO </w:t>
      </w:r>
    </w:p>
    <w:p w14:paraId="49B66DF7"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6.1. Após o recebimento definitivo realizado pelo gestor do contrato, a Nota Fiscal e os documentos pertinentes serão devidamente encaminhados para o responsável por sua liquidação e posteriormente para o setor responsável pelo pagamento. </w:t>
      </w:r>
    </w:p>
    <w:p w14:paraId="43DC9B0F"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 O pagamento será efetuado pelo setor responsável, até 30 (trinta) dias após a liquidação da Nota Fiscal. </w:t>
      </w:r>
    </w:p>
    <w:p w14:paraId="768D4BF8"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6.2.1. Para execução do pagamento o proponente deverá indicar na Nota Fiscal o número de sua conta, agência bancária, nome do banco e código da operação, bem como o número do pedido de execução encaminhado pelo setor responsável ou o número do empenho. </w:t>
      </w:r>
    </w:p>
    <w:p w14:paraId="477DB5AC"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6.2.2. Será considerada data do pagamento o dia em que constar como emitida a ordem bancária para pagamento. </w:t>
      </w:r>
    </w:p>
    <w:p w14:paraId="30A28E67"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6.2.3. O pagamento será realizado por meio de ordem bancária na conta indicada na Nota Fiscal, em nome do proponente. </w:t>
      </w:r>
    </w:p>
    <w:p w14:paraId="47E7C3F9"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6.3. Poderão ser descontados dos pagamentos devidos os valores para cobrir despesas com multas, indenizações a terceiros ou outras despesas de responsabilidade do proponente. </w:t>
      </w:r>
    </w:p>
    <w:p w14:paraId="7B5733F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6.4. O Município de poderá sustar todo e qualquer pagamento do preço ou suas parcelas de qualquer fatura apresentada pelo proponente caso verificadas uma ou mais das hipóteses abaixo e enquanto perdurar o ato ou fato sem direito a qualquer reajustamento complementar ou acréscimo, conforme enunciado: </w:t>
      </w:r>
    </w:p>
    <w:p w14:paraId="24A28F7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 A proponente deixe de acatar quaisquer determinações exaradas pelo órgão fiscalizador do Município; </w:t>
      </w:r>
    </w:p>
    <w:p w14:paraId="63659294"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 Não cumprimento de obrigação assumida, hipótese em que o pagamento ficará retido até que a proponente atenda à cláusula infringida; </w:t>
      </w:r>
    </w:p>
    <w:p w14:paraId="2298F4A4"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III- A proponente retarde indevidamente a execução do serviço ou paralise os mesmos por prazo que venha a prejudicar as atividades do Município. </w:t>
      </w:r>
    </w:p>
    <w:p w14:paraId="5247486B" w14:textId="60EE09D9" w:rsidR="00345616"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IV- Débito da proponente para com o Município quer proveniente da execução deste instrumento, quer de obrigações de outros contratos.</w:t>
      </w:r>
    </w:p>
    <w:p w14:paraId="4A84863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V- Em qualquer das hipóteses previstas nos parágrafos acima, ou de infração as demais cláusulas e obrigações estabelecidas neste instrumento. </w:t>
      </w:r>
    </w:p>
    <w:p w14:paraId="5FEE4383" w14:textId="77777777" w:rsidR="00916F1A" w:rsidRDefault="00916F1A" w:rsidP="0075029B">
      <w:pPr>
        <w:pStyle w:val="corpo"/>
        <w:spacing w:before="0" w:after="0"/>
        <w:jc w:val="both"/>
        <w:rPr>
          <w:rFonts w:ascii="Bookman Old Style" w:hAnsi="Bookman Old Style" w:cs="Arial"/>
          <w:sz w:val="22"/>
          <w:szCs w:val="22"/>
        </w:rPr>
      </w:pPr>
    </w:p>
    <w:p w14:paraId="2028D424" w14:textId="77777777" w:rsidR="00506DB6" w:rsidRDefault="00506DB6" w:rsidP="0075029B">
      <w:pPr>
        <w:pStyle w:val="corpo"/>
        <w:spacing w:before="0" w:after="0"/>
        <w:jc w:val="both"/>
        <w:rPr>
          <w:rFonts w:ascii="Bookman Old Style" w:hAnsi="Bookman Old Style" w:cs="Arial"/>
          <w:sz w:val="22"/>
          <w:szCs w:val="22"/>
        </w:rPr>
      </w:pPr>
    </w:p>
    <w:p w14:paraId="595F2A90" w14:textId="77777777" w:rsidR="00506DB6" w:rsidRDefault="00506DB6" w:rsidP="0075029B">
      <w:pPr>
        <w:pStyle w:val="corpo"/>
        <w:spacing w:before="0" w:after="0"/>
        <w:jc w:val="both"/>
        <w:rPr>
          <w:rFonts w:ascii="Bookman Old Style" w:hAnsi="Bookman Old Style" w:cs="Arial"/>
          <w:sz w:val="22"/>
          <w:szCs w:val="22"/>
        </w:rPr>
      </w:pPr>
    </w:p>
    <w:p w14:paraId="52A0DC18"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SÉTIMA – DO REAJUSTE </w:t>
      </w:r>
    </w:p>
    <w:p w14:paraId="2902572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7.1. Os preços inicialmente contratados são fixos e irreajustáveis no prazo de um ano contado da data do orçamento estimado, ou seja, até o dia 15/05/2025. </w:t>
      </w:r>
    </w:p>
    <w:p w14:paraId="7616F17C"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7.2.1. Após o interregno de um ano, a pedido do contratado, os preços iniciais serão reajustados, mediante a aplicação do Índice Nacional de Preços ao Consumidor Amplo - IPCA, exclusivamente para as obrigações iniciadas e concluídas após a ocorrência da anualidade. </w:t>
      </w:r>
    </w:p>
    <w:p w14:paraId="1DEB33FF"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7.3. Nos reajustes subsequentes ao primeiro, o interregno mínimo de um ano será contado a partir dos efeitos financeiros do último reajuste. </w:t>
      </w:r>
    </w:p>
    <w:p w14:paraId="3EB1A843"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2B8D2C6"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7.5. Nas aferições finais, o(s) índice(s) utilizado(s) para reajuste será(ão), obrigatoriamente, o(s) definitivo(s). </w:t>
      </w:r>
    </w:p>
    <w:p w14:paraId="198AD7E5"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7.6. Caso o(s) índice(s) estabelecido(s) para reajustamento venha(m) a ser extinto(s) ou de qualquer forma não possa(m) mais ser utilizado(s), será(ão) adotado(s), em substituição, o(s) que vier(em) a ser determinado(s) pela legislação então em vigor. </w:t>
      </w:r>
    </w:p>
    <w:p w14:paraId="6D099ADE"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7.7. Na ausência de previsão legal quanto ao índice substituto, as partes elegerão novo índice oficial, para reajustamento do preço do valor remanescente, por meio de termo aditivo. </w:t>
      </w:r>
    </w:p>
    <w:p w14:paraId="7289985A" w14:textId="77777777" w:rsidR="00916F1A" w:rsidRDefault="00345616" w:rsidP="0075029B">
      <w:pPr>
        <w:pStyle w:val="corpo"/>
        <w:spacing w:before="0" w:after="0"/>
        <w:jc w:val="both"/>
        <w:rPr>
          <w:rFonts w:ascii="Bookman Old Style" w:hAnsi="Bookman Old Style" w:cs="Arial"/>
          <w:sz w:val="22"/>
          <w:szCs w:val="22"/>
        </w:rPr>
      </w:pPr>
      <w:r w:rsidRPr="00345616">
        <w:rPr>
          <w:rFonts w:ascii="Bookman Old Style" w:hAnsi="Bookman Old Style" w:cs="Arial"/>
          <w:sz w:val="22"/>
          <w:szCs w:val="22"/>
        </w:rPr>
        <w:t xml:space="preserve">7.8. O reajuste será realizado por apostilamento. </w:t>
      </w:r>
    </w:p>
    <w:p w14:paraId="4D964BF4" w14:textId="77777777" w:rsidR="00916F1A" w:rsidRDefault="00916F1A" w:rsidP="0075029B">
      <w:pPr>
        <w:pStyle w:val="corpo"/>
        <w:spacing w:before="0" w:after="0"/>
        <w:jc w:val="both"/>
        <w:rPr>
          <w:rFonts w:ascii="Bookman Old Style" w:hAnsi="Bookman Old Style" w:cs="Arial"/>
          <w:sz w:val="22"/>
          <w:szCs w:val="22"/>
        </w:rPr>
      </w:pPr>
    </w:p>
    <w:p w14:paraId="19ECB000" w14:textId="77777777" w:rsidR="00916F1A" w:rsidRPr="00506DB6" w:rsidRDefault="00345616" w:rsidP="0075029B">
      <w:pPr>
        <w:pStyle w:val="corpo"/>
        <w:spacing w:before="0" w:after="0"/>
        <w:jc w:val="both"/>
        <w:rPr>
          <w:rFonts w:ascii="Bookman Old Style" w:hAnsi="Bookman Old Style" w:cs="Arial"/>
          <w:b/>
          <w:sz w:val="22"/>
          <w:szCs w:val="22"/>
        </w:rPr>
      </w:pPr>
      <w:r w:rsidRPr="00506DB6">
        <w:rPr>
          <w:rFonts w:ascii="Bookman Old Style" w:hAnsi="Bookman Old Style" w:cs="Arial"/>
          <w:b/>
          <w:sz w:val="22"/>
          <w:szCs w:val="22"/>
        </w:rPr>
        <w:t xml:space="preserve">CLÁUSULA OITAVA – DAS OBRIGAÇÕES </w:t>
      </w:r>
    </w:p>
    <w:p w14:paraId="3D7869F0"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8.1. São obrigações do CONTRATANTE: </w:t>
      </w:r>
    </w:p>
    <w:p w14:paraId="38445A3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 Exigir o cumprimento de todas as obrigações assumidas pelo Contratado, de acordo com o contrato e seus anexos; </w:t>
      </w:r>
    </w:p>
    <w:p w14:paraId="6297D2B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 Receber o objeto no prazo e condições estabelecidas no Termo de Referência; </w:t>
      </w:r>
    </w:p>
    <w:p w14:paraId="03363B3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III- Notificar o Contratado, por escrito, sobre vícios, defeitos ou incorreções verificadas no objeto fornecido, para que seja por ele substituído, reparado ou corrigido, no total ou em parte, às suas expensas; </w:t>
      </w:r>
    </w:p>
    <w:p w14:paraId="04158E9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IV- Acompanhar e fiscalizar a execução do contrato e o cumprimento das obrigações pelo Contratado; </w:t>
      </w:r>
    </w:p>
    <w:p w14:paraId="25856881"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43F779D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 Efetuar o pagamento ao Contratado do valor correspondente ao fornecimento do objeto, no prazo, forma e condições estabelecidos no presente Contrato; </w:t>
      </w:r>
    </w:p>
    <w:p w14:paraId="640690AC"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 Aplicar ao Contratado as sanções previstas na lei e neste Contrato; </w:t>
      </w:r>
    </w:p>
    <w:p w14:paraId="06BA01EC"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VIII - Cientificar o órgão de assessoramento jurídico para adoção das medidas cabíveis quando do descumprimento de obrigações pelo Contratado; </w:t>
      </w:r>
    </w:p>
    <w:p w14:paraId="76912E07"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IX- Responder eventuais pedidos de reestabelecimento do equilíbrio econômico-financeiro feitos pelo contratado. </w:t>
      </w:r>
    </w:p>
    <w:p w14:paraId="1F57DB9E"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CEA438E"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8.2. São obrigações do CONTRATADO </w:t>
      </w:r>
    </w:p>
    <w:p w14:paraId="49A9B7F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 O Contratado deve cumprir todas as obrigações constantes deste Contrato e em seus anexos, assumindo como exclusivamente seus os riscos e as despesas decorrentes da boa e perfeita execução do objeto, observando; </w:t>
      </w:r>
    </w:p>
    <w:p w14:paraId="1711FE02"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II- Responsabilizar-se pelos vícios e danos decorrentes do objeto, de acordo com o Código de Defesa do Consumidor (Lei nº 8.078, de 1990); </w:t>
      </w:r>
    </w:p>
    <w:p w14:paraId="440C8F38"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lastRenderedPageBreak/>
        <w:t xml:space="preserve">III- Comunicar ao contratante, no prazo máximo de 24 (vinte e quatro) horas que antecede a data da para a execução, os motivos que impossibilitem o cumprimento do prazo previsto, com a devida comprovação; </w:t>
      </w:r>
    </w:p>
    <w:p w14:paraId="7C99F350"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IV- Atender às determinações regulares emitidas pelo fiscal ou gestor do contrato ou autoridade superior (art. 137, II, da Lei n.º 14.133, de 2021) e prestar todo esclarecimento ou informação por eles solicitados; </w:t>
      </w:r>
    </w:p>
    <w:p w14:paraId="72A3BA96"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 Reparar, corrigir, remover, reconstruir ou substituir, às suas expensas, no total ou em parte, no prazo fixado pelo fiscal do contrato, os objetos nos quais se verificarem vícios, defeitos ou incorreções resultantes da execução ou dos materiais empregados; </w:t>
      </w:r>
    </w:p>
    <w:p w14:paraId="61C4147B"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B92661B"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 Manter durante toda a vigência do contrato, em compatibilidade com as obrigações assumidas, todas as condições exigidas para habilitação no procedimento; </w:t>
      </w:r>
    </w:p>
    <w:p w14:paraId="325F9457"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VIII-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078E0C6" w14:textId="77777777" w:rsidR="00916F1A"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IX- Comunicar ao Fiscal do contrato, no prazo de 24 (vinte e quatro) horas, qualquer ocorrência anormal ou acidente que se verifique no local da execução do objeto contratual. </w:t>
      </w:r>
    </w:p>
    <w:p w14:paraId="65411288" w14:textId="4853DCDA" w:rsidR="002C0DC6" w:rsidRPr="003575D6" w:rsidRDefault="00345616"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X- Paralisar, por determinação do contratante, qualquer atividade que não esteja sendo executada de acordo com a boa técnica ou que ponha em risco a segurança de pessoas ou bens de terceiros.</w:t>
      </w:r>
    </w:p>
    <w:p w14:paraId="55CC6BBE"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 </w:t>
      </w:r>
    </w:p>
    <w:p w14:paraId="3BD29AD1"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XII- Comprovar a reserva de cargos a que se refere a cláusula acima, no prazo fixado pelo fiscal do contrato, com a indicação dos empregados que preencheram as referidas vagas, quando cabível (art. 116, parágrafo único, da Lei n.º 14.133, de 2021); </w:t>
      </w:r>
    </w:p>
    <w:p w14:paraId="60829272"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XIII- Guardar sigilo sobre todas as informações obtidas em decorrência do cumprimento do contrato; </w:t>
      </w:r>
    </w:p>
    <w:p w14:paraId="030969E8"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3367CB3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 Cumprir, além dos postulados legais vigentes de âmbito federal, estadual ou municipal, as normas de segurança do contratante; </w:t>
      </w:r>
    </w:p>
    <w:p w14:paraId="25443B65"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3E09A94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XVII- Orientar e treinar seus empregados sobre os deveres previstos na Lei nº 13.709, de 14 de agosto de 2018, adotando medidas eficazes para proteção de dados pessoais a que tenha acesso por força da execução deste contrato; </w:t>
      </w:r>
    </w:p>
    <w:p w14:paraId="7F42CEAC"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XVIII- Conduzir os trabalhos com estrita observância às normas da legislação pertinente, cumprindo as determinações dos Poderes Públicos, mantendo sempre limpo o local de execução do objeto e nas melhores condições de segurança, higiene e disciplina. </w:t>
      </w:r>
    </w:p>
    <w:p w14:paraId="2830C8DD" w14:textId="77777777"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t xml:space="preserve">XIX - Submeter previamente, por escrito, ao contratante, para análise e aprovação, quaisquer mudanças nos métodos executivos que fujam às especificações do memorial descritivo ou instrumento congênere. </w:t>
      </w:r>
    </w:p>
    <w:p w14:paraId="13B58966" w14:textId="3409D23D" w:rsidR="00916F1A" w:rsidRPr="003575D6" w:rsidRDefault="00916F1A" w:rsidP="0075029B">
      <w:pPr>
        <w:pStyle w:val="corpo"/>
        <w:spacing w:before="0" w:after="0"/>
        <w:jc w:val="both"/>
        <w:rPr>
          <w:rFonts w:ascii="Bookman Old Style" w:hAnsi="Bookman Old Style" w:cs="Arial"/>
          <w:sz w:val="22"/>
          <w:szCs w:val="22"/>
        </w:rPr>
      </w:pPr>
      <w:r w:rsidRPr="003575D6">
        <w:rPr>
          <w:rFonts w:ascii="Bookman Old Style" w:hAnsi="Bookman Old Style" w:cs="Arial"/>
          <w:sz w:val="22"/>
          <w:szCs w:val="22"/>
        </w:rPr>
        <w:lastRenderedPageBreak/>
        <w:t>XX - Não permitir a utilização de qualquer trabalho do menor de dezesseis anos, exceto na condição de aprendiz para os maiores de quatorze anos, nem permitir a utilização do trabalho do menor de dezoito anos em trabalho noturno, perigoso ou insalubre.</w:t>
      </w:r>
      <w:r w:rsidR="003575D6">
        <w:rPr>
          <w:rFonts w:ascii="Bookman Old Style" w:hAnsi="Bookman Old Style" w:cs="Arial"/>
          <w:sz w:val="22"/>
          <w:szCs w:val="22"/>
        </w:rPr>
        <w:br/>
        <w:t>XXI- Se responsabilizar pela instalação “in loco’’ e demais despesas na entrega e execução do objeto.</w:t>
      </w:r>
    </w:p>
    <w:p w14:paraId="55F366F4" w14:textId="77777777" w:rsidR="00916F1A" w:rsidRDefault="00916F1A" w:rsidP="0075029B">
      <w:pPr>
        <w:pStyle w:val="corpo"/>
        <w:spacing w:before="0" w:after="0"/>
        <w:jc w:val="both"/>
        <w:rPr>
          <w:rFonts w:ascii="Bookman Old Style" w:hAnsi="Bookman Old Style" w:cs="Arial"/>
          <w:sz w:val="22"/>
          <w:szCs w:val="22"/>
        </w:rPr>
      </w:pPr>
    </w:p>
    <w:p w14:paraId="75C171E2"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NONA – INFRAÇÕES E SANÇÕES ADMINISTRATIVAS </w:t>
      </w:r>
    </w:p>
    <w:p w14:paraId="033F8E3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 Comete infração administrativa, nos termos da lei, o proponente que, com dolo ou culpa: </w:t>
      </w:r>
    </w:p>
    <w:p w14:paraId="04E3F36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dar causa à inexecução parcial do contrato; </w:t>
      </w:r>
    </w:p>
    <w:p w14:paraId="3B14D5B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dar causa à inexecução parcial do contrato que cause grave dano à Administração, ao funcionamento dos serviços públicos ou ao interesse coletivo; </w:t>
      </w:r>
    </w:p>
    <w:p w14:paraId="0CE1022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dar causa à inexecução total do contrato; </w:t>
      </w:r>
    </w:p>
    <w:p w14:paraId="4E17E59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deixar de entregar a documentação exigida para o certame; </w:t>
      </w:r>
    </w:p>
    <w:p w14:paraId="0C70DC67" w14:textId="05D0C295" w:rsidR="002C0DC6"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V - não manter a proposta, salvo em decorrência de fato superveniente devidamente justificado;</w:t>
      </w:r>
    </w:p>
    <w:p w14:paraId="4B2FC7F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 - não celebrar o contrato ou não entregar a documentação exigida para a contratação, quando convocado dentro do prazo de validade de sua proposta; </w:t>
      </w:r>
    </w:p>
    <w:p w14:paraId="481E056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 - ensejar o retardamento da execução ou da entrega do objeto do instrumento sem motivo justificado; </w:t>
      </w:r>
    </w:p>
    <w:p w14:paraId="4557F48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VIII - apresentar declaração ou documentação falsa exigida para o certame ou prestar declaração falsa durante o procedimento ou a execução do contrato; </w:t>
      </w:r>
    </w:p>
    <w:p w14:paraId="75706EB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IX - fraudar o procedimento ou praticar ato fraudulento na execução do contrato; </w:t>
      </w:r>
    </w:p>
    <w:p w14:paraId="24D56DD0"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 - comportar-se de modo inidôneo ou cometer fraude de qualquer natureza; </w:t>
      </w:r>
    </w:p>
    <w:p w14:paraId="4D4667C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XI – praticar atos ilícitos com vistas a frustrar os objetivos do procedimento; </w:t>
      </w:r>
    </w:p>
    <w:p w14:paraId="2A33263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XII - praticar ato lesivo previsto no art. 5º da Lei nº 12.846, de 1º de agosto de 2013. </w:t>
      </w:r>
    </w:p>
    <w:p w14:paraId="66C39123" w14:textId="77777777" w:rsidR="00916F1A" w:rsidRDefault="00916F1A" w:rsidP="0075029B">
      <w:pPr>
        <w:pStyle w:val="corpo"/>
        <w:spacing w:before="0" w:after="0"/>
        <w:jc w:val="both"/>
        <w:rPr>
          <w:rFonts w:ascii="Bookman Old Style" w:hAnsi="Bookman Old Style" w:cs="Arial"/>
          <w:sz w:val="22"/>
          <w:szCs w:val="22"/>
        </w:rPr>
      </w:pPr>
    </w:p>
    <w:p w14:paraId="77A3E31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 Com fulcro na Lei nº 14.133, de 2021, a Administração poderá, garantida a prévia defesa, aplicar aos proponentes e/ou adjudicatários as seguintes sanções, sem prejuízo das responsabilidades civil e criminal: </w:t>
      </w:r>
    </w:p>
    <w:p w14:paraId="1195784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advertência; </w:t>
      </w:r>
    </w:p>
    <w:p w14:paraId="2DD0310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multa; </w:t>
      </w:r>
    </w:p>
    <w:p w14:paraId="240A6FF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impedimento de licitar e contratar e </w:t>
      </w:r>
    </w:p>
    <w:p w14:paraId="3A117F1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declaração de inidoneidade para licitar ou contratar, enquanto perdurarem os motivos determinantes da punição ou até que seja promovida sua reabilitação perante a própria autoridade que aplicou a penalidade. </w:t>
      </w:r>
    </w:p>
    <w:p w14:paraId="06AC188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9.2.1. As sanções previstas nos incisos I, III e IV poderão ser aplicadas cumulativamente com a prevista no inciso II. </w:t>
      </w:r>
    </w:p>
    <w:p w14:paraId="6798D43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9.2.2. Se a multa aplicada e as indenizações cabíveis forem superiores ao valor de pagamento eventualmente devido pela Administração ao contratado, além da perda desse valor, a diferença será descontada da garantia prestada ou será cobrada judicialmente. </w:t>
      </w:r>
    </w:p>
    <w:p w14:paraId="0BA57E2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9.2.3. A aplicação das sanções não exclui, em hipótese alguma, a obrigação de reparação integral do dano causado à Administração Pública. </w:t>
      </w:r>
    </w:p>
    <w:p w14:paraId="1F7E587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9.2.4. Na aplicação da sanção prevista no inciso II, será facultada a defesa do interessado no prazo de 15 (quinze) dias úteis, contado da data de sua intimação. </w:t>
      </w:r>
    </w:p>
    <w:p w14:paraId="3B99BF9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9.2.5. A aplicação das sanções previstas nos incisos III e IV requererá a instauração de processo de responsabilização, a ser conduzido por comissão composta de 02 (dois) ou mais servidores estáveis, que avaliará fatos e circunstancias conhecidos e intimará o proponente ou o contratado para, no prazo de 15 (quinze) dias úteis, contado da data de intimação, apresentar defesa escrita e especificar as provas que pretenda produzir. </w:t>
      </w:r>
    </w:p>
    <w:p w14:paraId="07034AC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9.2.5.1. Na hipótese de deferimento de pedido de produção de novas provas ou de juntada de provas julgadas indispensáveis pela comissão, o proponente ou o contratado poderá apresentar alegações finais no prazo de 15 (quinze) dias úteis, contado da data da intimação. 9.2.5.2. Serão indeferidas pela comissão, mediante decisão fundamentada, provas ilícitas, impertinentes, desnecessárias, protelatórias ou intempestivas. </w:t>
      </w:r>
    </w:p>
    <w:p w14:paraId="34C57BFC" w14:textId="2457BD75"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lastRenderedPageBreak/>
        <w:t>9.3. Na aplicação das sanções serão considerados:</w:t>
      </w:r>
    </w:p>
    <w:p w14:paraId="5C614EF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a natureza e a gravidade da infração cometida. </w:t>
      </w:r>
    </w:p>
    <w:p w14:paraId="6CC66D6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as peculiaridades do caso concreto </w:t>
      </w:r>
    </w:p>
    <w:p w14:paraId="468A9A6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as circunstâncias agravantes ou atenuantes </w:t>
      </w:r>
    </w:p>
    <w:p w14:paraId="5173A67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os danos que dela provierem para a Administração Pública </w:t>
      </w:r>
    </w:p>
    <w:p w14:paraId="4D0D1BD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 a implantação ou o aperfeiçoamento de programa de integridade, conforme normas e orientações dos órgãos de controle. </w:t>
      </w:r>
    </w:p>
    <w:p w14:paraId="2C66EBA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9.4. A sanção administrativa de advertência, inciso I do item 10.2, será aplicada exclusivamente pela infração que der causa à inexecução parcial do contrato, inciso I do item 10.1, quando não se justificar imposição de penalidade mais grave. </w:t>
      </w:r>
    </w:p>
    <w:p w14:paraId="0D818BA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9.5. A sanção administrativa de multa, inciso II do item 10.2., será aplicada, ao responsável por qualquer das infrações previstas no item 10.1. deste instrumento, não podendo ser inferior a 0,5% (cinco décimos por cento) nem superior a 30% (trinta por cento) do valor do contrato. </w:t>
      </w:r>
    </w:p>
    <w:p w14:paraId="2E21352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9.5.1. A multa será calculada pelo gestor do contrato que deverá observar para sua aplicação o disposto no item 10.3. </w:t>
      </w:r>
    </w:p>
    <w:p w14:paraId="08E8AD2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9.6. A sanção prevista no inciso III do item 10.2,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 </w:t>
      </w:r>
    </w:p>
    <w:p w14:paraId="68ECE73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9.7. 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 </w:t>
      </w:r>
    </w:p>
    <w:p w14:paraId="308D74D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9.7.1. A sanção administrativa prevista no inciso IV do item 10.2 será precedida de análise jurídica e será de competência exclusiva do secretário municipal responsável. </w:t>
      </w:r>
    </w:p>
    <w:p w14:paraId="4DF3ED0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9.8.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682F7F7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9.9.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w:t>
      </w:r>
      <w:r>
        <w:rPr>
          <w:rFonts w:ascii="Bookman Old Style" w:hAnsi="Bookman Old Style" w:cs="Arial"/>
          <w:sz w:val="22"/>
          <w:szCs w:val="22"/>
        </w:rPr>
        <w:t xml:space="preserve"> </w:t>
      </w:r>
      <w:r w:rsidRPr="00916F1A">
        <w:rPr>
          <w:rFonts w:ascii="Bookman Old Style" w:hAnsi="Bookman Old Style" w:cs="Arial"/>
          <w:sz w:val="22"/>
          <w:szCs w:val="22"/>
        </w:rPr>
        <w:t xml:space="preserve">(cinco) dias úteis, encaminhará o recurso com sua motivação à autoridade superior, que deverá proferir sua decisão no prazo máximo de 20 (vinte) dias úteis, contado do recebimento dos autos. </w:t>
      </w:r>
    </w:p>
    <w:p w14:paraId="089495B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1A9223"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9.11. O recurso e o pedido de reconsideração terão efeito suspensivo do ato ou da decisão recorrida até que sobrevenha decisão final da autoridade competente. </w:t>
      </w:r>
    </w:p>
    <w:p w14:paraId="36DB649B"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9.14.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 </w:t>
      </w:r>
    </w:p>
    <w:p w14:paraId="76AEC8D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9.15. Todas as intimações serão realizadas através do endereço de e-mail informado pelo proponente em seu cadastro, não será aceita, em nenhuma hipótese, a justificativa do não recebimento das intimações realizadas através deste canal. </w:t>
      </w:r>
    </w:p>
    <w:p w14:paraId="129ED67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lastRenderedPageBreak/>
        <w:t xml:space="preserve">9.15.1. Caso o proponente não confirme o recebimento das intimações no prazo de até 48 (quarenta e oito) horas, a administração o convocará por publicação no Diário Oficial adotado pelo órgão. </w:t>
      </w:r>
    </w:p>
    <w:p w14:paraId="0EEEC835"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 Além das sanções previstas no item 9.2, o proponente estará sujeito a multa de mora pelo atraso injustificado na execução do contrato. </w:t>
      </w:r>
    </w:p>
    <w:p w14:paraId="3DD5AB9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9.16.1.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 </w:t>
      </w:r>
    </w:p>
    <w:p w14:paraId="184C3FD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Caso a justificativa para o atraso na execução seja acatada pela administração, esta deverá disponibilizar prazo exíguo para o saneamento e regularização da execução; </w:t>
      </w:r>
    </w:p>
    <w:p w14:paraId="73218652"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 </w:t>
      </w:r>
    </w:p>
    <w:p w14:paraId="54AF0F0D"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9.16.2. Será utilizado como parâmetro de cálculo o valor das respectivas parcelas em atraso. </w:t>
      </w:r>
    </w:p>
    <w:p w14:paraId="1194C35B" w14:textId="77777777" w:rsidR="00916F1A" w:rsidRDefault="00916F1A" w:rsidP="0075029B">
      <w:pPr>
        <w:pStyle w:val="corpo"/>
        <w:spacing w:before="0" w:after="0"/>
        <w:jc w:val="both"/>
        <w:rPr>
          <w:rFonts w:ascii="Bookman Old Style" w:hAnsi="Bookman Old Style" w:cs="Arial"/>
          <w:sz w:val="22"/>
          <w:szCs w:val="22"/>
        </w:rPr>
      </w:pPr>
    </w:p>
    <w:p w14:paraId="1317231F"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 DA EXTINÇÃO CONTRATUAL </w:t>
      </w:r>
    </w:p>
    <w:p w14:paraId="173252AF" w14:textId="79AB246A"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10.1. Constituirão motivos para extinção do contrato, a qual deverá ser formalmente motivada nos autos do processo, assegurados o contraditório e a ampla defesa, as seguintes situações:</w:t>
      </w:r>
    </w:p>
    <w:p w14:paraId="2D5FA90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não cumprimento ou cumprimento irregular de normas editalícias ou de cláusulas contratuais, de especificações, de projetos ou de prazos; </w:t>
      </w:r>
    </w:p>
    <w:p w14:paraId="658ECF1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desatendimento das determinações regulares emitidas pela autoridade designada para acompanhar e fiscalizar sua execução ou por autoridade superior; </w:t>
      </w:r>
    </w:p>
    <w:p w14:paraId="02B27A4F"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alteração social ou modificação da finalidade ou da estrutura da empresa que restrinja sua capacidade de concluir o contrato; </w:t>
      </w:r>
    </w:p>
    <w:p w14:paraId="7EEFC48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decretação de falência ou de insolvência civil, dissolução da sociedade ou falecimento do contratado; </w:t>
      </w:r>
    </w:p>
    <w:p w14:paraId="75437B8A"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 - caso fortuito ou força maior, regularmente comprovados, impeditivos da execução do contrato; </w:t>
      </w:r>
    </w:p>
    <w:p w14:paraId="1F649906"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 - razões de interesse público, justificadas pela autoridade máxima do órgão ou da entidade contratante; </w:t>
      </w:r>
    </w:p>
    <w:p w14:paraId="06AC49F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 - não cumprimento das obrigações relativas à reserva de cargos prevista em lei, bem como em outras normas específicas, para pessoa com deficiência, para reabilitado da Previdência Social ou para aprendiz. </w:t>
      </w:r>
    </w:p>
    <w:p w14:paraId="1E1A3AFE"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VIII – atraso injustificado na execução do objeto, após esgotadas as medidas cabíveis estabelecidas no item 9.16.; </w:t>
      </w:r>
    </w:p>
    <w:p w14:paraId="4E5CF13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 O termo de rescisão, sempre que possível, será precedido: </w:t>
      </w:r>
    </w:p>
    <w:p w14:paraId="266E35A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10.2.1. Balanço dos eventos contratuais já cumpridos ou parcialmente cumpridos; </w:t>
      </w:r>
    </w:p>
    <w:p w14:paraId="35A1589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10.2.2. Relação dos pagamentos já efetuados e ainda devidos; </w:t>
      </w:r>
    </w:p>
    <w:p w14:paraId="38EAA48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10.2.3. Indenizações e multas. </w:t>
      </w:r>
    </w:p>
    <w:p w14:paraId="362223FC"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10.3. A extinção do contrato não configura óbice para o reconhecimento do desequilíbrio econômico-financeiro, hipótese em que será concedida indenização por meio de termo indenizatório (art. 131, caput, da Lei n.º 14.133, de 2021). </w:t>
      </w:r>
    </w:p>
    <w:p w14:paraId="4FD05E63" w14:textId="77777777" w:rsidR="00916F1A" w:rsidRDefault="00916F1A" w:rsidP="0075029B">
      <w:pPr>
        <w:pStyle w:val="corpo"/>
        <w:spacing w:before="0" w:after="0"/>
        <w:jc w:val="both"/>
        <w:rPr>
          <w:rFonts w:ascii="Bookman Old Style" w:hAnsi="Bookman Old Style" w:cs="Arial"/>
          <w:sz w:val="22"/>
          <w:szCs w:val="22"/>
        </w:rPr>
      </w:pPr>
    </w:p>
    <w:p w14:paraId="07C1EB76"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PRIMEIRA – DA INDICAÇÃO ORÇAMENTÁRIA </w:t>
      </w:r>
    </w:p>
    <w:p w14:paraId="100E0C05" w14:textId="7BD9C3F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11.1. As despesas decorrentes desta contratação correrão conta da seguinte dotação orçamentária: </w:t>
      </w:r>
      <w:r w:rsidR="0060653F">
        <w:rPr>
          <w:rFonts w:ascii="Bookman Old Style" w:hAnsi="Bookman Old Style" w:cs="Arial"/>
          <w:sz w:val="22"/>
          <w:szCs w:val="22"/>
        </w:rPr>
        <w:t>1030205082325</w:t>
      </w:r>
      <w:r w:rsidRPr="00916F1A">
        <w:rPr>
          <w:rFonts w:ascii="Bookman Old Style" w:hAnsi="Bookman Old Style" w:cs="Arial"/>
          <w:sz w:val="22"/>
          <w:szCs w:val="22"/>
        </w:rPr>
        <w:t>- 33903900000 – 15000000000 – Ficha - 000</w:t>
      </w:r>
      <w:r w:rsidR="0060653F">
        <w:rPr>
          <w:rFonts w:ascii="Bookman Old Style" w:hAnsi="Bookman Old Style" w:cs="Arial"/>
          <w:sz w:val="22"/>
          <w:szCs w:val="22"/>
        </w:rPr>
        <w:t>1134</w:t>
      </w:r>
      <w:r w:rsidRPr="00916F1A">
        <w:rPr>
          <w:rFonts w:ascii="Bookman Old Style" w:hAnsi="Bookman Old Style" w:cs="Arial"/>
          <w:sz w:val="22"/>
          <w:szCs w:val="22"/>
        </w:rPr>
        <w:t xml:space="preserve"> </w:t>
      </w:r>
    </w:p>
    <w:p w14:paraId="4047B4AD"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SEGUNDA – DOS CASOS OMISSOS </w:t>
      </w:r>
    </w:p>
    <w:p w14:paraId="6F83801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12.1. Os casos omissos serão decididos pelo CONTRATANTE, segundo as disposições contidas na Lei Federal nº 14.133/21 e demais atos normativos pertinentes e, </w:t>
      </w:r>
      <w:r w:rsidRPr="00916F1A">
        <w:rPr>
          <w:rFonts w:ascii="Bookman Old Style" w:hAnsi="Bookman Old Style" w:cs="Arial"/>
          <w:sz w:val="22"/>
          <w:szCs w:val="22"/>
        </w:rPr>
        <w:lastRenderedPageBreak/>
        <w:t xml:space="preserve">subsidiariamente, segundo as disposições contidas no Código de Defesa do Consumidor, além das normas e princípios gerais dos contratos. </w:t>
      </w:r>
    </w:p>
    <w:p w14:paraId="7231DFA7" w14:textId="77777777" w:rsidR="00916F1A" w:rsidRDefault="00916F1A" w:rsidP="0075029B">
      <w:pPr>
        <w:pStyle w:val="corpo"/>
        <w:spacing w:before="0" w:after="0"/>
        <w:jc w:val="both"/>
        <w:rPr>
          <w:rFonts w:ascii="Bookman Old Style" w:hAnsi="Bookman Old Style" w:cs="Arial"/>
          <w:sz w:val="22"/>
          <w:szCs w:val="22"/>
        </w:rPr>
      </w:pPr>
    </w:p>
    <w:p w14:paraId="009AB8C7" w14:textId="22D5768E"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CLÁUSULA DÉCIMA TERCEIRA – DAS ALTERAÇÕES</w:t>
      </w:r>
    </w:p>
    <w:p w14:paraId="01F69607"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13.1. Este contrato poderá ser alterado conforme disposições contidas no Art. 124 da Lei Federal nº 14.133/21. </w:t>
      </w:r>
    </w:p>
    <w:p w14:paraId="270D5147" w14:textId="77777777" w:rsidR="00916F1A" w:rsidRDefault="00916F1A" w:rsidP="0075029B">
      <w:pPr>
        <w:pStyle w:val="corpo"/>
        <w:spacing w:before="0" w:after="0"/>
        <w:jc w:val="both"/>
        <w:rPr>
          <w:rFonts w:ascii="Bookman Old Style" w:hAnsi="Bookman Old Style" w:cs="Arial"/>
          <w:sz w:val="22"/>
          <w:szCs w:val="22"/>
        </w:rPr>
      </w:pPr>
      <w:r>
        <w:rPr>
          <w:rFonts w:ascii="Bookman Old Style" w:hAnsi="Bookman Old Style" w:cs="Arial"/>
          <w:sz w:val="22"/>
          <w:szCs w:val="22"/>
        </w:rPr>
        <w:t>1</w:t>
      </w:r>
      <w:r w:rsidRPr="00916F1A">
        <w:rPr>
          <w:rFonts w:ascii="Bookman Old Style" w:hAnsi="Bookman Old Style" w:cs="Arial"/>
          <w:sz w:val="22"/>
          <w:szCs w:val="22"/>
        </w:rPr>
        <w:t xml:space="preserve">3.2. O CONTRATADO se obriga a aceitar, nas mesmas condições contratuais, os acréscimos ou supressões que se fizerem necessários, nos limites estabelecidos pela Lei Federal nº14.133/21. </w:t>
      </w:r>
    </w:p>
    <w:p w14:paraId="5C353DC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13.3.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67518BB1"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13.4. Registros que não caracterizam alteração do contrato podem ser realizados por simples apostila, dispensada a celebração de termo aditivo, como nas seguintes situações: </w:t>
      </w:r>
    </w:p>
    <w:p w14:paraId="5D9AA7C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 - variação do valor contratual para fazer face ao reajuste ou à repactuação de preços previstos no próprio contrato; </w:t>
      </w:r>
    </w:p>
    <w:p w14:paraId="1DE7D0E4"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 - atualizações, compensações ou penalizações financeiras decorrentes das condições de pagamento previstas no contrato; </w:t>
      </w:r>
    </w:p>
    <w:p w14:paraId="42A7D559"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III - alterações na razão ou na denominação social do contratado; </w:t>
      </w:r>
    </w:p>
    <w:p w14:paraId="00E34978" w14:textId="77777777"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IV - empenho de dotações orçamentárias. </w:t>
      </w:r>
    </w:p>
    <w:p w14:paraId="79B66624" w14:textId="77777777" w:rsidR="00916F1A" w:rsidRDefault="00916F1A" w:rsidP="0075029B">
      <w:pPr>
        <w:pStyle w:val="corpo"/>
        <w:spacing w:before="0" w:after="0"/>
        <w:jc w:val="both"/>
        <w:rPr>
          <w:rFonts w:ascii="Bookman Old Style" w:hAnsi="Bookman Old Style" w:cs="Arial"/>
          <w:sz w:val="22"/>
          <w:szCs w:val="22"/>
        </w:rPr>
      </w:pPr>
    </w:p>
    <w:p w14:paraId="657962C2" w14:textId="77777777" w:rsidR="00916F1A"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DÉCIMA QUARTA – DA PUBLICAÇÃO </w:t>
      </w:r>
    </w:p>
    <w:p w14:paraId="504130D8" w14:textId="77777777" w:rsidR="00223245"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14.1. Este contrato e os eventuais termos aditivos decorrentes, deverão ser divulgados no Portal Nacional de Contratações Públicas – PNCP, como condição indispensável para sua eficácia no prazo máximo de 10 (dez) dias úteis contados da data de sua assinatura. </w:t>
      </w:r>
    </w:p>
    <w:p w14:paraId="25188900" w14:textId="77777777" w:rsidR="00223245" w:rsidRDefault="00223245" w:rsidP="0075029B">
      <w:pPr>
        <w:pStyle w:val="corpo"/>
        <w:spacing w:before="0" w:after="0"/>
        <w:jc w:val="both"/>
        <w:rPr>
          <w:rFonts w:ascii="Bookman Old Style" w:hAnsi="Bookman Old Style" w:cs="Arial"/>
          <w:sz w:val="22"/>
          <w:szCs w:val="22"/>
        </w:rPr>
      </w:pPr>
    </w:p>
    <w:p w14:paraId="394C99BF" w14:textId="77777777" w:rsidR="00223245" w:rsidRPr="00223245" w:rsidRDefault="00916F1A" w:rsidP="0075029B">
      <w:pPr>
        <w:pStyle w:val="corpo"/>
        <w:spacing w:before="0" w:after="0"/>
        <w:jc w:val="both"/>
        <w:rPr>
          <w:rFonts w:ascii="Bookman Old Style" w:hAnsi="Bookman Old Style" w:cs="Arial"/>
          <w:b/>
          <w:sz w:val="22"/>
          <w:szCs w:val="22"/>
        </w:rPr>
      </w:pPr>
      <w:r w:rsidRPr="00223245">
        <w:rPr>
          <w:rFonts w:ascii="Bookman Old Style" w:hAnsi="Bookman Old Style" w:cs="Arial"/>
          <w:b/>
          <w:sz w:val="22"/>
          <w:szCs w:val="22"/>
        </w:rPr>
        <w:t xml:space="preserve">CLÁUSULA QUINTA - DO FORO </w:t>
      </w:r>
    </w:p>
    <w:p w14:paraId="7E5E011A" w14:textId="3718E5AB" w:rsidR="00916F1A" w:rsidRDefault="00916F1A" w:rsidP="0075029B">
      <w:pPr>
        <w:pStyle w:val="corpo"/>
        <w:spacing w:before="0" w:after="0"/>
        <w:jc w:val="both"/>
        <w:rPr>
          <w:rFonts w:ascii="Bookman Old Style" w:hAnsi="Bookman Old Style" w:cs="Arial"/>
          <w:sz w:val="22"/>
          <w:szCs w:val="22"/>
        </w:rPr>
      </w:pPr>
      <w:r w:rsidRPr="00916F1A">
        <w:rPr>
          <w:rFonts w:ascii="Bookman Old Style" w:hAnsi="Bookman Old Style" w:cs="Arial"/>
          <w:sz w:val="22"/>
          <w:szCs w:val="22"/>
        </w:rPr>
        <w:t xml:space="preserve">15.1. As questões decorrentes da execução deste instrumento, que não possam ser dirimidas administrativamente, serão processadas e julgadas na Justiça Estadual, no foro da comarca de </w:t>
      </w:r>
      <w:r w:rsidR="00551AD5">
        <w:rPr>
          <w:rFonts w:ascii="Bookman Old Style" w:hAnsi="Bookman Old Style" w:cs="Arial"/>
          <w:sz w:val="22"/>
          <w:szCs w:val="22"/>
        </w:rPr>
        <w:t>Ipanema</w:t>
      </w:r>
      <w:r w:rsidRPr="00916F1A">
        <w:rPr>
          <w:rFonts w:ascii="Bookman Old Style" w:hAnsi="Bookman Old Style" w:cs="Arial"/>
          <w:sz w:val="22"/>
          <w:szCs w:val="22"/>
        </w:rPr>
        <w:t>-MG com exclusão de qualquer outro por mais privilegiado que seja.</w:t>
      </w:r>
    </w:p>
    <w:p w14:paraId="775D30F6" w14:textId="77777777" w:rsidR="00916F1A" w:rsidRDefault="00916F1A" w:rsidP="0075029B">
      <w:pPr>
        <w:pStyle w:val="corpo"/>
        <w:spacing w:before="0" w:after="0"/>
        <w:jc w:val="both"/>
        <w:rPr>
          <w:rFonts w:ascii="Bookman Old Style" w:hAnsi="Bookman Old Style" w:cs="Arial"/>
          <w:sz w:val="22"/>
          <w:szCs w:val="22"/>
        </w:rPr>
      </w:pPr>
    </w:p>
    <w:p w14:paraId="4D2C4A92" w14:textId="77777777" w:rsidR="00916F1A" w:rsidRDefault="00916F1A" w:rsidP="0075029B">
      <w:pPr>
        <w:pStyle w:val="corpo"/>
        <w:spacing w:before="0" w:after="0"/>
        <w:jc w:val="both"/>
        <w:rPr>
          <w:rFonts w:ascii="Bookman Old Style" w:hAnsi="Bookman Old Style" w:cs="Arial"/>
          <w:sz w:val="22"/>
          <w:szCs w:val="22"/>
        </w:rPr>
      </w:pPr>
    </w:p>
    <w:p w14:paraId="4AAF5C6B" w14:textId="77777777" w:rsidR="00916F1A" w:rsidRPr="00A8292E" w:rsidRDefault="00916F1A" w:rsidP="0075029B">
      <w:pPr>
        <w:pStyle w:val="corpo"/>
        <w:spacing w:before="0" w:after="0"/>
        <w:jc w:val="both"/>
        <w:rPr>
          <w:rFonts w:ascii="Bookman Old Style" w:hAnsi="Bookman Old Style" w:cs="Arial"/>
          <w:sz w:val="22"/>
          <w:szCs w:val="22"/>
        </w:rPr>
      </w:pPr>
    </w:p>
    <w:p w14:paraId="13C54907" w14:textId="6B63B0AC" w:rsidR="0075029B" w:rsidRPr="00A8292E" w:rsidRDefault="003615E3" w:rsidP="003615E3">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FB7279">
        <w:rPr>
          <w:rFonts w:ascii="Bookman Old Style" w:hAnsi="Bookman Old Style" w:cs="Arial"/>
          <w:sz w:val="22"/>
          <w:szCs w:val="22"/>
        </w:rPr>
        <w:t>...</w:t>
      </w:r>
      <w:r w:rsidRPr="00A8292E">
        <w:rPr>
          <w:rFonts w:ascii="Bookman Old Style" w:hAnsi="Bookman Old Style" w:cs="Arial"/>
          <w:sz w:val="22"/>
          <w:szCs w:val="22"/>
        </w:rPr>
        <w:t xml:space="preserve"> de </w:t>
      </w:r>
      <w:r w:rsidR="00FB7279">
        <w:rPr>
          <w:rFonts w:ascii="Bookman Old Style" w:hAnsi="Bookman Old Style" w:cs="Arial"/>
          <w:sz w:val="22"/>
          <w:szCs w:val="22"/>
        </w:rPr>
        <w:t>...</w:t>
      </w:r>
      <w:r w:rsidRPr="00A8292E">
        <w:rPr>
          <w:rFonts w:ascii="Bookman Old Style" w:hAnsi="Bookman Old Style" w:cs="Arial"/>
          <w:sz w:val="22"/>
          <w:szCs w:val="22"/>
        </w:rPr>
        <w:t xml:space="preserve"> de 2024.</w:t>
      </w:r>
    </w:p>
    <w:p w14:paraId="6B2C4F2F" w14:textId="77777777" w:rsidR="003615E3" w:rsidRPr="00A8292E" w:rsidRDefault="003615E3" w:rsidP="003615E3">
      <w:pPr>
        <w:pStyle w:val="corpo"/>
        <w:spacing w:before="0" w:after="0"/>
        <w:jc w:val="right"/>
        <w:rPr>
          <w:rFonts w:ascii="Bookman Old Style" w:hAnsi="Bookman Old Style" w:cs="Arial"/>
          <w:sz w:val="22"/>
          <w:szCs w:val="22"/>
        </w:rPr>
      </w:pPr>
    </w:p>
    <w:p w14:paraId="1DE6B6C9" w14:textId="326F3CE2" w:rsidR="003615E3" w:rsidRPr="00A8292E" w:rsidRDefault="003615E3" w:rsidP="003615E3">
      <w:pPr>
        <w:pStyle w:val="corpo"/>
        <w:spacing w:before="0" w:after="0"/>
        <w:jc w:val="right"/>
        <w:rPr>
          <w:rFonts w:ascii="Bookman Old Style" w:hAnsi="Bookman Old Style" w:cs="Arial"/>
          <w:sz w:val="22"/>
          <w:szCs w:val="22"/>
        </w:rPr>
      </w:pPr>
    </w:p>
    <w:p w14:paraId="707F7926" w14:textId="09D22736"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Contratante</w:t>
      </w:r>
      <w:r w:rsidRPr="00A8292E">
        <w:rPr>
          <w:rFonts w:ascii="Bookman Old Style" w:hAnsi="Bookman Old Style" w:cs="Arial"/>
          <w:sz w:val="22"/>
          <w:szCs w:val="22"/>
        </w:rPr>
        <w:br/>
        <w:t>Representante Legal</w:t>
      </w:r>
    </w:p>
    <w:p w14:paraId="655798D8" w14:textId="77777777" w:rsidR="003615E3" w:rsidRPr="00A8292E" w:rsidRDefault="003615E3" w:rsidP="003615E3">
      <w:pPr>
        <w:pStyle w:val="corpo"/>
        <w:spacing w:before="0" w:after="0"/>
        <w:jc w:val="center"/>
        <w:rPr>
          <w:rFonts w:ascii="Bookman Old Style" w:hAnsi="Bookman Old Style" w:cs="Arial"/>
          <w:sz w:val="22"/>
          <w:szCs w:val="22"/>
        </w:rPr>
      </w:pPr>
    </w:p>
    <w:p w14:paraId="698DE570" w14:textId="77777777" w:rsidR="003615E3" w:rsidRPr="00A8292E" w:rsidRDefault="003615E3" w:rsidP="003615E3">
      <w:pPr>
        <w:pStyle w:val="corpo"/>
        <w:spacing w:before="0" w:after="0"/>
        <w:jc w:val="center"/>
        <w:rPr>
          <w:rFonts w:ascii="Bookman Old Style" w:hAnsi="Bookman Old Style" w:cs="Arial"/>
          <w:sz w:val="22"/>
          <w:szCs w:val="22"/>
        </w:rPr>
      </w:pPr>
    </w:p>
    <w:p w14:paraId="03A7F5FF" w14:textId="77777777" w:rsidR="003615E3" w:rsidRPr="00A8292E" w:rsidRDefault="003615E3" w:rsidP="003615E3">
      <w:pPr>
        <w:pStyle w:val="corpo"/>
        <w:spacing w:before="0" w:after="0"/>
        <w:jc w:val="center"/>
        <w:rPr>
          <w:rFonts w:ascii="Bookman Old Style" w:hAnsi="Bookman Old Style" w:cs="Arial"/>
          <w:sz w:val="22"/>
          <w:szCs w:val="22"/>
        </w:rPr>
      </w:pPr>
    </w:p>
    <w:p w14:paraId="7738AC3F" w14:textId="7D34B197"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Contratado</w:t>
      </w:r>
      <w:r w:rsidRPr="00A8292E">
        <w:rPr>
          <w:rFonts w:ascii="Bookman Old Style" w:hAnsi="Bookman Old Style" w:cs="Arial"/>
          <w:sz w:val="22"/>
          <w:szCs w:val="22"/>
        </w:rPr>
        <w:br/>
        <w:t>Representante Legal</w:t>
      </w:r>
    </w:p>
    <w:p w14:paraId="5D94F839" w14:textId="77777777" w:rsidR="003615E3" w:rsidRPr="00A8292E" w:rsidRDefault="003615E3" w:rsidP="003615E3">
      <w:pPr>
        <w:pStyle w:val="corpo"/>
        <w:spacing w:before="0" w:after="0"/>
        <w:jc w:val="center"/>
        <w:rPr>
          <w:rFonts w:ascii="Bookman Old Style" w:hAnsi="Bookman Old Style" w:cs="Arial"/>
          <w:sz w:val="22"/>
          <w:szCs w:val="22"/>
        </w:rPr>
      </w:pPr>
    </w:p>
    <w:p w14:paraId="1F1AF283" w14:textId="239425F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Testemunhas:</w:t>
      </w:r>
    </w:p>
    <w:p w14:paraId="67D64EA6" w14:textId="77777777" w:rsidR="003615E3" w:rsidRPr="00A8292E" w:rsidRDefault="003615E3" w:rsidP="003615E3">
      <w:pPr>
        <w:pStyle w:val="corpo"/>
        <w:spacing w:before="0" w:after="0"/>
        <w:rPr>
          <w:rFonts w:ascii="Bookman Old Style" w:hAnsi="Bookman Old Style" w:cs="Arial"/>
          <w:sz w:val="22"/>
          <w:szCs w:val="22"/>
        </w:rPr>
      </w:pPr>
    </w:p>
    <w:p w14:paraId="33A5E91C" w14:textId="021AF2A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p w14:paraId="577C044B" w14:textId="77777777" w:rsidR="003615E3" w:rsidRPr="00A8292E" w:rsidRDefault="003615E3" w:rsidP="003615E3">
      <w:pPr>
        <w:pStyle w:val="corpo"/>
        <w:spacing w:before="0" w:after="0"/>
        <w:rPr>
          <w:rFonts w:ascii="Bookman Old Style" w:hAnsi="Bookman Old Style" w:cs="Arial"/>
          <w:sz w:val="22"/>
          <w:szCs w:val="22"/>
        </w:rPr>
      </w:pPr>
    </w:p>
    <w:p w14:paraId="4BBD9C05" w14:textId="6A7DB376"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sectPr w:rsidR="003615E3" w:rsidRPr="00A8292E" w:rsidSect="00BD145F">
      <w:headerReference w:type="default" r:id="rId12"/>
      <w:footerReference w:type="even" r:id="rId13"/>
      <w:footerReference w:type="default" r:id="rId14"/>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190E3" w14:textId="77777777" w:rsidR="00655874" w:rsidRDefault="00655874">
      <w:r>
        <w:separator/>
      </w:r>
    </w:p>
  </w:endnote>
  <w:endnote w:type="continuationSeparator" w:id="0">
    <w:p w14:paraId="73AF2985" w14:textId="77777777" w:rsidR="00655874" w:rsidRDefault="0065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916F1A" w:rsidRDefault="00916F1A"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916F1A" w:rsidRDefault="00916F1A"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916F1A" w:rsidRDefault="00916F1A"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24C7">
      <w:rPr>
        <w:rStyle w:val="Nmerodepgina"/>
        <w:noProof/>
      </w:rPr>
      <w:t>24</w:t>
    </w:r>
    <w:r>
      <w:rPr>
        <w:rStyle w:val="Nmerodepgina"/>
      </w:rPr>
      <w:fldChar w:fldCharType="end"/>
    </w:r>
  </w:p>
  <w:p w14:paraId="6F58F71C" w14:textId="77777777" w:rsidR="00916F1A" w:rsidRDefault="00916F1A">
    <w:pPr>
      <w:rPr>
        <w:sz w:val="16"/>
      </w:rPr>
    </w:pPr>
  </w:p>
  <w:p w14:paraId="430CE92E" w14:textId="77777777" w:rsidR="00916F1A" w:rsidRDefault="00916F1A">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147C9" w14:textId="77777777" w:rsidR="00655874" w:rsidRDefault="00655874">
      <w:r>
        <w:separator/>
      </w:r>
    </w:p>
  </w:footnote>
  <w:footnote w:type="continuationSeparator" w:id="0">
    <w:p w14:paraId="2CEC33BC" w14:textId="77777777" w:rsidR="00655874" w:rsidRDefault="00655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E314" w14:textId="77777777" w:rsidR="00F94B87" w:rsidRPr="00DE348F" w:rsidRDefault="00F94B87" w:rsidP="00F94B87">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rPr>
      <w:drawing>
        <wp:anchor distT="0" distB="0" distL="114300" distR="114300" simplePos="0" relativeHeight="251657216" behindDoc="1" locked="0" layoutInCell="1" allowOverlap="1" wp14:anchorId="48EC67D3" wp14:editId="73662689">
          <wp:simplePos x="0" y="0"/>
          <wp:positionH relativeFrom="margin">
            <wp:posOffset>-260985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Calibri" w:eastAsia="Calibri" w:hAnsi="Calibri"/>
        <w:b/>
        <w:noProof/>
        <w:sz w:val="48"/>
        <w:szCs w:val="48"/>
        <w:lang w:bidi="pt-BR"/>
      </w:rPr>
      <w:pict w14:anchorId="48FBA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1025"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217F7E7D" w14:textId="77777777" w:rsidR="00F94B87" w:rsidRPr="00DE348F" w:rsidRDefault="00F94B87" w:rsidP="00F94B87">
    <w:pPr>
      <w:pStyle w:val="Cabealho"/>
      <w:jc w:val="center"/>
    </w:pPr>
    <w:r w:rsidRPr="00DE348F">
      <w:rPr>
        <w:b/>
        <w:sz w:val="36"/>
        <w:szCs w:val="36"/>
      </w:rPr>
      <w:t>ESTADO DE MINAS GERAIS</w:t>
    </w:r>
  </w:p>
  <w:p w14:paraId="6E20AC54" w14:textId="77777777" w:rsidR="00916F1A" w:rsidRDefault="00916F1A">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45842326">
    <w:abstractNumId w:val="4"/>
  </w:num>
  <w:num w:numId="2" w16cid:durableId="11697086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7884413">
    <w:abstractNumId w:val="8"/>
  </w:num>
  <w:num w:numId="4" w16cid:durableId="1746759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3339731">
    <w:abstractNumId w:val="10"/>
  </w:num>
  <w:num w:numId="6" w16cid:durableId="14729392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8344657">
    <w:abstractNumId w:val="3"/>
  </w:num>
  <w:num w:numId="8" w16cid:durableId="5287578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022814">
    <w:abstractNumId w:val="13"/>
  </w:num>
  <w:num w:numId="10" w16cid:durableId="147475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1044171">
    <w:abstractNumId w:val="6"/>
  </w:num>
  <w:num w:numId="12" w16cid:durableId="146952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7504959">
    <w:abstractNumId w:val="5"/>
  </w:num>
  <w:num w:numId="14" w16cid:durableId="13177597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5193890">
    <w:abstractNumId w:val="14"/>
  </w:num>
  <w:num w:numId="16" w16cid:durableId="12288041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80238329">
    <w:abstractNumId w:val="11"/>
  </w:num>
  <w:num w:numId="18" w16cid:durableId="7155499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4386073">
    <w:abstractNumId w:val="0"/>
  </w:num>
  <w:num w:numId="20" w16cid:durableId="86125154">
    <w:abstractNumId w:val="0"/>
    <w:lvlOverride w:ilvl="0">
      <w:startOverride w:val="1"/>
    </w:lvlOverride>
    <w:lvlOverride w:ilvl="1"/>
    <w:lvlOverride w:ilvl="2"/>
    <w:lvlOverride w:ilvl="3"/>
    <w:lvlOverride w:ilvl="4"/>
    <w:lvlOverride w:ilvl="5"/>
    <w:lvlOverride w:ilvl="6"/>
    <w:lvlOverride w:ilvl="7"/>
    <w:lvlOverride w:ilvl="8"/>
  </w:num>
  <w:num w:numId="21" w16cid:durableId="1359428538">
    <w:abstractNumId w:val="1"/>
  </w:num>
  <w:num w:numId="22" w16cid:durableId="1889409729">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67790417">
    <w:abstractNumId w:val="9"/>
  </w:num>
  <w:num w:numId="24" w16cid:durableId="1412892488">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16cid:durableId="823089876">
    <w:abstractNumId w:val="12"/>
  </w:num>
  <w:num w:numId="26" w16cid:durableId="1457485074">
    <w:abstractNumId w:val="12"/>
    <w:lvlOverride w:ilvl="0">
      <w:startOverride w:val="1"/>
    </w:lvlOverride>
    <w:lvlOverride w:ilvl="1"/>
    <w:lvlOverride w:ilvl="2"/>
    <w:lvlOverride w:ilvl="3"/>
    <w:lvlOverride w:ilvl="4"/>
    <w:lvlOverride w:ilvl="5"/>
    <w:lvlOverride w:ilvl="6"/>
    <w:lvlOverride w:ilvl="7"/>
    <w:lvlOverride w:ilvl="8"/>
  </w:num>
  <w:num w:numId="27" w16cid:durableId="1688942966">
    <w:abstractNumId w:val="7"/>
  </w:num>
  <w:num w:numId="28" w16cid:durableId="12575932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1018795">
    <w:abstractNumId w:val="2"/>
  </w:num>
  <w:num w:numId="30" w16cid:durableId="819226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121"/>
    <w:rsid w:val="0001293F"/>
    <w:rsid w:val="00014BCA"/>
    <w:rsid w:val="000202D2"/>
    <w:rsid w:val="00020F11"/>
    <w:rsid w:val="000313E5"/>
    <w:rsid w:val="000338E6"/>
    <w:rsid w:val="00034D1C"/>
    <w:rsid w:val="00043836"/>
    <w:rsid w:val="00043A23"/>
    <w:rsid w:val="00044692"/>
    <w:rsid w:val="0004488B"/>
    <w:rsid w:val="00044D84"/>
    <w:rsid w:val="00045CA8"/>
    <w:rsid w:val="00052C95"/>
    <w:rsid w:val="00055E0E"/>
    <w:rsid w:val="000605DD"/>
    <w:rsid w:val="000630CB"/>
    <w:rsid w:val="00066C13"/>
    <w:rsid w:val="00082165"/>
    <w:rsid w:val="00093065"/>
    <w:rsid w:val="000C2F6B"/>
    <w:rsid w:val="000D58D8"/>
    <w:rsid w:val="000E2F0E"/>
    <w:rsid w:val="000E6736"/>
    <w:rsid w:val="000F28FE"/>
    <w:rsid w:val="001017D7"/>
    <w:rsid w:val="00104EC3"/>
    <w:rsid w:val="00106164"/>
    <w:rsid w:val="00111246"/>
    <w:rsid w:val="00115465"/>
    <w:rsid w:val="00123A97"/>
    <w:rsid w:val="00123C17"/>
    <w:rsid w:val="00132F11"/>
    <w:rsid w:val="00136146"/>
    <w:rsid w:val="0014049C"/>
    <w:rsid w:val="00143F50"/>
    <w:rsid w:val="0015723B"/>
    <w:rsid w:val="00167762"/>
    <w:rsid w:val="001712BF"/>
    <w:rsid w:val="00173FC7"/>
    <w:rsid w:val="00177EE7"/>
    <w:rsid w:val="0018354C"/>
    <w:rsid w:val="00183574"/>
    <w:rsid w:val="001851B7"/>
    <w:rsid w:val="00185A6D"/>
    <w:rsid w:val="00193F8E"/>
    <w:rsid w:val="001B24DF"/>
    <w:rsid w:val="001B766B"/>
    <w:rsid w:val="001C2545"/>
    <w:rsid w:val="001C3967"/>
    <w:rsid w:val="001C48FF"/>
    <w:rsid w:val="001D2E76"/>
    <w:rsid w:val="001E149D"/>
    <w:rsid w:val="001E228F"/>
    <w:rsid w:val="001F62B4"/>
    <w:rsid w:val="001F63FA"/>
    <w:rsid w:val="00203D6D"/>
    <w:rsid w:val="00221E4F"/>
    <w:rsid w:val="00223245"/>
    <w:rsid w:val="00231A63"/>
    <w:rsid w:val="0024556D"/>
    <w:rsid w:val="00250D25"/>
    <w:rsid w:val="00271BBD"/>
    <w:rsid w:val="00282081"/>
    <w:rsid w:val="00290001"/>
    <w:rsid w:val="0029034E"/>
    <w:rsid w:val="002A0081"/>
    <w:rsid w:val="002A3AF9"/>
    <w:rsid w:val="002A4046"/>
    <w:rsid w:val="002A5B64"/>
    <w:rsid w:val="002A7AA7"/>
    <w:rsid w:val="002B12D5"/>
    <w:rsid w:val="002B712F"/>
    <w:rsid w:val="002C0DC6"/>
    <w:rsid w:val="002C3268"/>
    <w:rsid w:val="002C4771"/>
    <w:rsid w:val="002F278D"/>
    <w:rsid w:val="002F32FB"/>
    <w:rsid w:val="003011BE"/>
    <w:rsid w:val="003152F8"/>
    <w:rsid w:val="00342AA3"/>
    <w:rsid w:val="00345616"/>
    <w:rsid w:val="0035269E"/>
    <w:rsid w:val="00352C55"/>
    <w:rsid w:val="003575D6"/>
    <w:rsid w:val="00357CD8"/>
    <w:rsid w:val="0036096E"/>
    <w:rsid w:val="003615E3"/>
    <w:rsid w:val="00365C94"/>
    <w:rsid w:val="00374528"/>
    <w:rsid w:val="0037664B"/>
    <w:rsid w:val="00376C66"/>
    <w:rsid w:val="00383ECC"/>
    <w:rsid w:val="00383FCF"/>
    <w:rsid w:val="00385830"/>
    <w:rsid w:val="003934E2"/>
    <w:rsid w:val="00393E18"/>
    <w:rsid w:val="003A5E3F"/>
    <w:rsid w:val="003B4CC4"/>
    <w:rsid w:val="003C5894"/>
    <w:rsid w:val="003D2D23"/>
    <w:rsid w:val="003D4E02"/>
    <w:rsid w:val="003F3045"/>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B2C71"/>
    <w:rsid w:val="004C3345"/>
    <w:rsid w:val="004D1F22"/>
    <w:rsid w:val="004E1E11"/>
    <w:rsid w:val="004E4CD9"/>
    <w:rsid w:val="004F3856"/>
    <w:rsid w:val="00500034"/>
    <w:rsid w:val="00501C1F"/>
    <w:rsid w:val="00506DB6"/>
    <w:rsid w:val="00525A0B"/>
    <w:rsid w:val="00527235"/>
    <w:rsid w:val="00533767"/>
    <w:rsid w:val="00550992"/>
    <w:rsid w:val="00551AD5"/>
    <w:rsid w:val="00553E06"/>
    <w:rsid w:val="00565233"/>
    <w:rsid w:val="00582519"/>
    <w:rsid w:val="00583E07"/>
    <w:rsid w:val="00592BA8"/>
    <w:rsid w:val="00594495"/>
    <w:rsid w:val="005A48EC"/>
    <w:rsid w:val="005B1427"/>
    <w:rsid w:val="005B338E"/>
    <w:rsid w:val="005C0324"/>
    <w:rsid w:val="005C4541"/>
    <w:rsid w:val="005C5FB8"/>
    <w:rsid w:val="005D6A1D"/>
    <w:rsid w:val="005E55C2"/>
    <w:rsid w:val="005F4E9B"/>
    <w:rsid w:val="005F6FE0"/>
    <w:rsid w:val="006019D4"/>
    <w:rsid w:val="0060653F"/>
    <w:rsid w:val="00621E3E"/>
    <w:rsid w:val="00631320"/>
    <w:rsid w:val="0064371A"/>
    <w:rsid w:val="00643C3B"/>
    <w:rsid w:val="0064521C"/>
    <w:rsid w:val="00655874"/>
    <w:rsid w:val="00660CA7"/>
    <w:rsid w:val="00666597"/>
    <w:rsid w:val="00671276"/>
    <w:rsid w:val="006725F8"/>
    <w:rsid w:val="00682DE3"/>
    <w:rsid w:val="00690804"/>
    <w:rsid w:val="006910DF"/>
    <w:rsid w:val="00696C7F"/>
    <w:rsid w:val="00697464"/>
    <w:rsid w:val="006A6ADE"/>
    <w:rsid w:val="006C1E4C"/>
    <w:rsid w:val="006C20F2"/>
    <w:rsid w:val="006C392E"/>
    <w:rsid w:val="006C6055"/>
    <w:rsid w:val="006D0B67"/>
    <w:rsid w:val="006D4970"/>
    <w:rsid w:val="006D7083"/>
    <w:rsid w:val="006D72DB"/>
    <w:rsid w:val="006E7998"/>
    <w:rsid w:val="006F13B7"/>
    <w:rsid w:val="006F1D88"/>
    <w:rsid w:val="006F24AF"/>
    <w:rsid w:val="006F273E"/>
    <w:rsid w:val="00701867"/>
    <w:rsid w:val="007112A5"/>
    <w:rsid w:val="00722ACB"/>
    <w:rsid w:val="00727EC8"/>
    <w:rsid w:val="007324C7"/>
    <w:rsid w:val="00733A0B"/>
    <w:rsid w:val="0073428E"/>
    <w:rsid w:val="0075029B"/>
    <w:rsid w:val="007661EF"/>
    <w:rsid w:val="00770B62"/>
    <w:rsid w:val="007834F3"/>
    <w:rsid w:val="007838B3"/>
    <w:rsid w:val="00787E53"/>
    <w:rsid w:val="007A2D8E"/>
    <w:rsid w:val="007A7EEC"/>
    <w:rsid w:val="007C1917"/>
    <w:rsid w:val="007C7E53"/>
    <w:rsid w:val="007D34BA"/>
    <w:rsid w:val="007D3D6F"/>
    <w:rsid w:val="007D7505"/>
    <w:rsid w:val="007E04BC"/>
    <w:rsid w:val="007F2A84"/>
    <w:rsid w:val="007F2BF4"/>
    <w:rsid w:val="00800391"/>
    <w:rsid w:val="00811E30"/>
    <w:rsid w:val="00826DFD"/>
    <w:rsid w:val="00830531"/>
    <w:rsid w:val="00831173"/>
    <w:rsid w:val="008439ED"/>
    <w:rsid w:val="00846D17"/>
    <w:rsid w:val="008513CA"/>
    <w:rsid w:val="00851C28"/>
    <w:rsid w:val="0085492D"/>
    <w:rsid w:val="00854D79"/>
    <w:rsid w:val="00857074"/>
    <w:rsid w:val="00862094"/>
    <w:rsid w:val="008705A4"/>
    <w:rsid w:val="00871241"/>
    <w:rsid w:val="008718BB"/>
    <w:rsid w:val="00872B41"/>
    <w:rsid w:val="00876357"/>
    <w:rsid w:val="008833AF"/>
    <w:rsid w:val="00896B51"/>
    <w:rsid w:val="008A27BA"/>
    <w:rsid w:val="008A55EA"/>
    <w:rsid w:val="008A6B6D"/>
    <w:rsid w:val="008C5454"/>
    <w:rsid w:val="008D3BBE"/>
    <w:rsid w:val="008E253A"/>
    <w:rsid w:val="008E3091"/>
    <w:rsid w:val="008E79EC"/>
    <w:rsid w:val="008E7A74"/>
    <w:rsid w:val="008F3842"/>
    <w:rsid w:val="008F416E"/>
    <w:rsid w:val="009123DF"/>
    <w:rsid w:val="009151D3"/>
    <w:rsid w:val="00916F1A"/>
    <w:rsid w:val="00923AC8"/>
    <w:rsid w:val="00925927"/>
    <w:rsid w:val="0092646C"/>
    <w:rsid w:val="009275FB"/>
    <w:rsid w:val="009365BA"/>
    <w:rsid w:val="00937462"/>
    <w:rsid w:val="009428A5"/>
    <w:rsid w:val="00944D77"/>
    <w:rsid w:val="00966187"/>
    <w:rsid w:val="009675DB"/>
    <w:rsid w:val="009756BD"/>
    <w:rsid w:val="009769D7"/>
    <w:rsid w:val="00981826"/>
    <w:rsid w:val="00990CE2"/>
    <w:rsid w:val="009A028C"/>
    <w:rsid w:val="009A084B"/>
    <w:rsid w:val="009A2554"/>
    <w:rsid w:val="009A2FDD"/>
    <w:rsid w:val="009A32FD"/>
    <w:rsid w:val="009A76D6"/>
    <w:rsid w:val="009B0E8A"/>
    <w:rsid w:val="009B22B7"/>
    <w:rsid w:val="009B2311"/>
    <w:rsid w:val="009B549E"/>
    <w:rsid w:val="009D1FCA"/>
    <w:rsid w:val="009D4BB8"/>
    <w:rsid w:val="009D7B52"/>
    <w:rsid w:val="009E183F"/>
    <w:rsid w:val="009E4A8B"/>
    <w:rsid w:val="009F26A6"/>
    <w:rsid w:val="009F2BB9"/>
    <w:rsid w:val="009F3FB5"/>
    <w:rsid w:val="009F6250"/>
    <w:rsid w:val="00A02498"/>
    <w:rsid w:val="00A209DA"/>
    <w:rsid w:val="00A25A3E"/>
    <w:rsid w:val="00A44107"/>
    <w:rsid w:val="00A502D5"/>
    <w:rsid w:val="00A51170"/>
    <w:rsid w:val="00A5770A"/>
    <w:rsid w:val="00A71D28"/>
    <w:rsid w:val="00A732E7"/>
    <w:rsid w:val="00A75B3B"/>
    <w:rsid w:val="00A76C14"/>
    <w:rsid w:val="00A77CB3"/>
    <w:rsid w:val="00A8292E"/>
    <w:rsid w:val="00A9158A"/>
    <w:rsid w:val="00A959CD"/>
    <w:rsid w:val="00AA61FA"/>
    <w:rsid w:val="00AB231B"/>
    <w:rsid w:val="00AB5086"/>
    <w:rsid w:val="00AB5972"/>
    <w:rsid w:val="00AB5E4A"/>
    <w:rsid w:val="00AC09BF"/>
    <w:rsid w:val="00AD0651"/>
    <w:rsid w:val="00AD2509"/>
    <w:rsid w:val="00AF406F"/>
    <w:rsid w:val="00AF7333"/>
    <w:rsid w:val="00B00B68"/>
    <w:rsid w:val="00B0112C"/>
    <w:rsid w:val="00B13A34"/>
    <w:rsid w:val="00B34FD7"/>
    <w:rsid w:val="00B43E2F"/>
    <w:rsid w:val="00B45F5C"/>
    <w:rsid w:val="00B462BA"/>
    <w:rsid w:val="00B47B82"/>
    <w:rsid w:val="00B52F5C"/>
    <w:rsid w:val="00B7237A"/>
    <w:rsid w:val="00B72D5E"/>
    <w:rsid w:val="00B757B3"/>
    <w:rsid w:val="00B80AC2"/>
    <w:rsid w:val="00B82CAD"/>
    <w:rsid w:val="00B84906"/>
    <w:rsid w:val="00B969C5"/>
    <w:rsid w:val="00BA6D8A"/>
    <w:rsid w:val="00BB47D2"/>
    <w:rsid w:val="00BB5C4E"/>
    <w:rsid w:val="00BC2C10"/>
    <w:rsid w:val="00BD145F"/>
    <w:rsid w:val="00BD5373"/>
    <w:rsid w:val="00BE2F6C"/>
    <w:rsid w:val="00BE5A1A"/>
    <w:rsid w:val="00BE765A"/>
    <w:rsid w:val="00BF3048"/>
    <w:rsid w:val="00BF4EB3"/>
    <w:rsid w:val="00BF61FF"/>
    <w:rsid w:val="00C10C26"/>
    <w:rsid w:val="00C17B46"/>
    <w:rsid w:val="00C254DC"/>
    <w:rsid w:val="00C260FD"/>
    <w:rsid w:val="00C272CE"/>
    <w:rsid w:val="00C369C7"/>
    <w:rsid w:val="00C42193"/>
    <w:rsid w:val="00C42249"/>
    <w:rsid w:val="00C53649"/>
    <w:rsid w:val="00C54757"/>
    <w:rsid w:val="00C55C8F"/>
    <w:rsid w:val="00C57F1A"/>
    <w:rsid w:val="00C66D86"/>
    <w:rsid w:val="00C67296"/>
    <w:rsid w:val="00C67B25"/>
    <w:rsid w:val="00C95FA7"/>
    <w:rsid w:val="00CA057A"/>
    <w:rsid w:val="00CA73D7"/>
    <w:rsid w:val="00CD1DBA"/>
    <w:rsid w:val="00CD4CA2"/>
    <w:rsid w:val="00CE06D8"/>
    <w:rsid w:val="00CE5C23"/>
    <w:rsid w:val="00D00470"/>
    <w:rsid w:val="00D01CEC"/>
    <w:rsid w:val="00D021CB"/>
    <w:rsid w:val="00D040F6"/>
    <w:rsid w:val="00D06C07"/>
    <w:rsid w:val="00D13242"/>
    <w:rsid w:val="00D23413"/>
    <w:rsid w:val="00D304A9"/>
    <w:rsid w:val="00D4258F"/>
    <w:rsid w:val="00D45506"/>
    <w:rsid w:val="00D62DB6"/>
    <w:rsid w:val="00D765CF"/>
    <w:rsid w:val="00D87045"/>
    <w:rsid w:val="00D91D5F"/>
    <w:rsid w:val="00D9432C"/>
    <w:rsid w:val="00DA20CC"/>
    <w:rsid w:val="00DA57BE"/>
    <w:rsid w:val="00DA60C5"/>
    <w:rsid w:val="00DA62D9"/>
    <w:rsid w:val="00DD182C"/>
    <w:rsid w:val="00DD7EEC"/>
    <w:rsid w:val="00DE3CAC"/>
    <w:rsid w:val="00DF4151"/>
    <w:rsid w:val="00E05431"/>
    <w:rsid w:val="00E06AE1"/>
    <w:rsid w:val="00E114E3"/>
    <w:rsid w:val="00E20D6D"/>
    <w:rsid w:val="00E22E12"/>
    <w:rsid w:val="00E2571D"/>
    <w:rsid w:val="00E332B9"/>
    <w:rsid w:val="00E3505C"/>
    <w:rsid w:val="00E516BC"/>
    <w:rsid w:val="00E51822"/>
    <w:rsid w:val="00E531EC"/>
    <w:rsid w:val="00E56DB6"/>
    <w:rsid w:val="00E63440"/>
    <w:rsid w:val="00E764AF"/>
    <w:rsid w:val="00E828B4"/>
    <w:rsid w:val="00E8507C"/>
    <w:rsid w:val="00E9285B"/>
    <w:rsid w:val="00EA2B3A"/>
    <w:rsid w:val="00EA5804"/>
    <w:rsid w:val="00EB3FEE"/>
    <w:rsid w:val="00EC7E11"/>
    <w:rsid w:val="00ED71AA"/>
    <w:rsid w:val="00EE3451"/>
    <w:rsid w:val="00EE57AB"/>
    <w:rsid w:val="00EF0155"/>
    <w:rsid w:val="00EF15F2"/>
    <w:rsid w:val="00EF5232"/>
    <w:rsid w:val="00EF7917"/>
    <w:rsid w:val="00F1229B"/>
    <w:rsid w:val="00F30692"/>
    <w:rsid w:val="00F3106A"/>
    <w:rsid w:val="00F36F54"/>
    <w:rsid w:val="00F40C2D"/>
    <w:rsid w:val="00F46016"/>
    <w:rsid w:val="00F475AD"/>
    <w:rsid w:val="00F559A5"/>
    <w:rsid w:val="00F6105F"/>
    <w:rsid w:val="00F65C2B"/>
    <w:rsid w:val="00F668DB"/>
    <w:rsid w:val="00F733D8"/>
    <w:rsid w:val="00F74AD2"/>
    <w:rsid w:val="00F76E6A"/>
    <w:rsid w:val="00F8157E"/>
    <w:rsid w:val="00F90145"/>
    <w:rsid w:val="00F94B87"/>
    <w:rsid w:val="00FB1C8A"/>
    <w:rsid w:val="00FB7279"/>
    <w:rsid w:val="00FC2557"/>
    <w:rsid w:val="00FC2ACC"/>
    <w:rsid w:val="00FC77BB"/>
    <w:rsid w:val="00FD18BB"/>
    <w:rsid w:val="00FD5E08"/>
    <w:rsid w:val="00FF0431"/>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470"/>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0919">
      <w:bodyDiv w:val="1"/>
      <w:marLeft w:val="0"/>
      <w:marRight w:val="0"/>
      <w:marTop w:val="0"/>
      <w:marBottom w:val="0"/>
      <w:divBdr>
        <w:top w:val="none" w:sz="0" w:space="0" w:color="auto"/>
        <w:left w:val="none" w:sz="0" w:space="0" w:color="auto"/>
        <w:bottom w:val="none" w:sz="0" w:space="0" w:color="auto"/>
        <w:right w:val="none" w:sz="0" w:space="0" w:color="auto"/>
      </w:divBdr>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 w:id="21263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3DA9-D17B-4FE8-A451-1AD81023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26</Pages>
  <Words>13141</Words>
  <Characters>70966</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Lorena</dc:creator>
  <cp:lastModifiedBy>LICITAÇÃO 5</cp:lastModifiedBy>
  <cp:revision>125</cp:revision>
  <cp:lastPrinted>2024-04-03T18:22:00Z</cp:lastPrinted>
  <dcterms:created xsi:type="dcterms:W3CDTF">2021-07-29T12:58:00Z</dcterms:created>
  <dcterms:modified xsi:type="dcterms:W3CDTF">2024-05-24T18:53:00Z</dcterms:modified>
</cp:coreProperties>
</file>