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B0C9F" w14:textId="77777777" w:rsidR="004B5F85" w:rsidRDefault="00000000">
      <w:pPr>
        <w:spacing w:line="312" w:lineRule="auto"/>
        <w:jc w:val="center"/>
        <w:rPr>
          <w:rFonts w:ascii="Bookman Old Style" w:eastAsia="Bookman Old Style" w:hAnsi="Bookman Old Style" w:cs="Bookman Old Style"/>
          <w:sz w:val="18"/>
          <w:szCs w:val="18"/>
          <w:u w:val="single"/>
        </w:rPr>
      </w:pPr>
      <w:r>
        <w:rPr>
          <w:rFonts w:ascii="Bookman Old Style" w:eastAsia="Bookman Old Style" w:hAnsi="Bookman Old Style" w:cs="Bookman Old Style"/>
          <w:b/>
          <w:sz w:val="18"/>
          <w:szCs w:val="18"/>
          <w:u w:val="single"/>
        </w:rPr>
        <w:t>ESTUDO TÉCNICO PRELIMINAR</w:t>
      </w:r>
    </w:p>
    <w:p w14:paraId="052FF4B3" w14:textId="77777777" w:rsidR="004B5F85" w:rsidRDefault="00000000">
      <w:pPr>
        <w:spacing w:line="312" w:lineRule="auto"/>
        <w:jc w:val="center"/>
        <w:rPr>
          <w:rFonts w:ascii="Bookman Old Style" w:eastAsia="Bookman Old Style" w:hAnsi="Bookman Old Style" w:cs="Bookman Old Style"/>
          <w:sz w:val="18"/>
          <w:szCs w:val="18"/>
          <w:u w:val="single"/>
        </w:rPr>
      </w:pPr>
      <w:r>
        <w:rPr>
          <w:rFonts w:ascii="Bookman Old Style" w:eastAsia="Bookman Old Style" w:hAnsi="Bookman Old Style" w:cs="Bookman Old Style"/>
          <w:b/>
          <w:sz w:val="18"/>
          <w:szCs w:val="18"/>
          <w:u w:val="single"/>
        </w:rPr>
        <w:t>Lei nº 14.133/2021</w:t>
      </w:r>
    </w:p>
    <w:p w14:paraId="1BCB2EB4" w14:textId="77777777" w:rsidR="004B5F85" w:rsidRDefault="004B5F85">
      <w:pPr>
        <w:spacing w:line="312" w:lineRule="auto"/>
        <w:jc w:val="center"/>
        <w:rPr>
          <w:rFonts w:ascii="Bookman Old Style" w:eastAsia="Bookman Old Style" w:hAnsi="Bookman Old Style" w:cs="Bookman Old Style"/>
          <w:sz w:val="18"/>
          <w:szCs w:val="18"/>
        </w:rPr>
      </w:pPr>
    </w:p>
    <w:p w14:paraId="0924661A" w14:textId="54814FBA" w:rsidR="00F11A6D" w:rsidRPr="00F11A6D" w:rsidRDefault="00F11A6D" w:rsidP="00F11A6D">
      <w:pPr>
        <w:pStyle w:val="PargrafodaLista"/>
        <w:numPr>
          <w:ilvl w:val="0"/>
          <w:numId w:val="3"/>
        </w:num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Descrição da necessidade da contratação, considerando o problema a ser resolvido sob a perspectiva do interesse público</w:t>
      </w:r>
    </w:p>
    <w:p w14:paraId="5328B413" w14:textId="77777777" w:rsidR="005B4E3F" w:rsidRPr="005B4E3F" w:rsidRDefault="005B4E3F" w:rsidP="005B4E3F">
      <w:pPr>
        <w:spacing w:line="312" w:lineRule="auto"/>
        <w:jc w:val="both"/>
        <w:rPr>
          <w:rFonts w:ascii="Bookman Old Style" w:hAnsi="Bookman Old Style" w:cs="Segoe UI"/>
          <w:bCs/>
          <w:sz w:val="18"/>
          <w:szCs w:val="18"/>
        </w:rPr>
      </w:pPr>
      <w:r w:rsidRPr="005B4E3F">
        <w:rPr>
          <w:rFonts w:ascii="Bookman Old Style" w:hAnsi="Bookman Old Style" w:cs="Segoe UI"/>
          <w:bCs/>
          <w:sz w:val="18"/>
          <w:szCs w:val="18"/>
        </w:rPr>
        <w:t>1.1. A Secretaria Municipal de Saúde de Conceição de Ipanema/MG identificou a necessidade urgente de ampliação da oferta de serviços ambulatoriais especializados em Terapia Ocupacional voltados ao atendimento de crianças com transtornos do neurodesenvolvimento, em especial aquelas diagnosticadas com Transtorno do Espectro Autista (TEA), Transtorno de Déficit de Atenção e Hiperatividade (TDAH), Transtorno do Desenvolvimento da Coordenação (TDC), entre outros.</w:t>
      </w:r>
    </w:p>
    <w:p w14:paraId="5B91105F" w14:textId="77777777" w:rsidR="005B4E3F" w:rsidRPr="005B4E3F" w:rsidRDefault="005B4E3F" w:rsidP="005B4E3F">
      <w:pPr>
        <w:spacing w:line="312" w:lineRule="auto"/>
        <w:jc w:val="both"/>
        <w:rPr>
          <w:rFonts w:ascii="Bookman Old Style" w:hAnsi="Bookman Old Style" w:cs="Segoe UI"/>
          <w:bCs/>
          <w:sz w:val="18"/>
          <w:szCs w:val="18"/>
        </w:rPr>
      </w:pPr>
    </w:p>
    <w:p w14:paraId="672DF3B0" w14:textId="77777777" w:rsidR="005B4E3F" w:rsidRPr="005B4E3F" w:rsidRDefault="005B4E3F" w:rsidP="005B4E3F">
      <w:pPr>
        <w:spacing w:line="312" w:lineRule="auto"/>
        <w:jc w:val="both"/>
        <w:rPr>
          <w:rFonts w:ascii="Bookman Old Style" w:hAnsi="Bookman Old Style" w:cs="Segoe UI"/>
          <w:bCs/>
          <w:sz w:val="18"/>
          <w:szCs w:val="18"/>
        </w:rPr>
      </w:pPr>
      <w:r w:rsidRPr="005B4E3F">
        <w:rPr>
          <w:rFonts w:ascii="Bookman Old Style" w:hAnsi="Bookman Old Style" w:cs="Segoe UI"/>
          <w:bCs/>
          <w:sz w:val="18"/>
          <w:szCs w:val="18"/>
        </w:rPr>
        <w:t>1.2. Trata-se de uma demanda crescente que não encontra atualmente resposta satisfatória dentro da estrutura própria do SUS municipal, em razão da ausência de servidores efetivos com formação em Terapia Ocupacional e da inexistência de serviço especializado formalmente estruturado e em funcionamento regular no âmbito da Atenção Especializada.</w:t>
      </w:r>
    </w:p>
    <w:p w14:paraId="68EA8558" w14:textId="77777777" w:rsidR="005B4E3F" w:rsidRPr="005B4E3F" w:rsidRDefault="005B4E3F" w:rsidP="005B4E3F">
      <w:pPr>
        <w:spacing w:line="312" w:lineRule="auto"/>
        <w:jc w:val="both"/>
        <w:rPr>
          <w:rFonts w:ascii="Bookman Old Style" w:hAnsi="Bookman Old Style" w:cs="Segoe UI"/>
          <w:bCs/>
          <w:sz w:val="18"/>
          <w:szCs w:val="18"/>
        </w:rPr>
      </w:pPr>
    </w:p>
    <w:p w14:paraId="080A7C14" w14:textId="77777777" w:rsidR="005B4E3F" w:rsidRPr="005B4E3F" w:rsidRDefault="005B4E3F" w:rsidP="005B4E3F">
      <w:pPr>
        <w:spacing w:line="312" w:lineRule="auto"/>
        <w:jc w:val="both"/>
        <w:rPr>
          <w:rFonts w:ascii="Bookman Old Style" w:hAnsi="Bookman Old Style" w:cs="Segoe UI"/>
          <w:bCs/>
          <w:sz w:val="18"/>
          <w:szCs w:val="18"/>
        </w:rPr>
      </w:pPr>
      <w:r w:rsidRPr="005B4E3F">
        <w:rPr>
          <w:rFonts w:ascii="Bookman Old Style" w:hAnsi="Bookman Old Style" w:cs="Segoe UI"/>
          <w:bCs/>
          <w:sz w:val="18"/>
          <w:szCs w:val="18"/>
        </w:rPr>
        <w:t>1.3. A não prestação continuada e especializada de serviços de Terapia Ocupacional implica em prejuízos diretos ao desenvolvimento infantil, uma vez que estas crianças apresentam limitações significativas no desempenho de atividades de vida diária (AVDs), funções cognitivas, motoras e de interação social, o que afeta diretamente sua inclusão educacional, familiar e comunitária.</w:t>
      </w:r>
    </w:p>
    <w:p w14:paraId="1546CF74" w14:textId="77777777" w:rsidR="005B4E3F" w:rsidRPr="005B4E3F" w:rsidRDefault="005B4E3F" w:rsidP="005B4E3F">
      <w:pPr>
        <w:spacing w:line="312" w:lineRule="auto"/>
        <w:jc w:val="both"/>
        <w:rPr>
          <w:rFonts w:ascii="Bookman Old Style" w:hAnsi="Bookman Old Style" w:cs="Segoe UI"/>
          <w:bCs/>
          <w:sz w:val="18"/>
          <w:szCs w:val="18"/>
        </w:rPr>
      </w:pPr>
    </w:p>
    <w:p w14:paraId="589153DB" w14:textId="77777777" w:rsidR="005B4E3F" w:rsidRPr="005B4E3F" w:rsidRDefault="005B4E3F" w:rsidP="005B4E3F">
      <w:pPr>
        <w:spacing w:line="312" w:lineRule="auto"/>
        <w:jc w:val="both"/>
        <w:rPr>
          <w:rFonts w:ascii="Bookman Old Style" w:hAnsi="Bookman Old Style" w:cs="Segoe UI"/>
          <w:bCs/>
          <w:sz w:val="18"/>
          <w:szCs w:val="18"/>
        </w:rPr>
      </w:pPr>
      <w:r w:rsidRPr="005B4E3F">
        <w:rPr>
          <w:rFonts w:ascii="Bookman Old Style" w:hAnsi="Bookman Old Style" w:cs="Segoe UI"/>
          <w:bCs/>
          <w:sz w:val="18"/>
          <w:szCs w:val="18"/>
        </w:rPr>
        <w:t>1.4. A prestação do serviço especializado permitirá a avaliação funcional individualizada, o planejamento terapêutico adaptado às especificidades de cada paciente, o treinamento de habilidades cotidianas, o apoio à escolarização, a capacitação familiar e a promoção da autonomia, conforme preconiza a Política Nacional de Saúde da Pessoa com Deficiência e as diretrizes da Rede de Cuidados à Pessoa com Deficiência no SUS.</w:t>
      </w:r>
    </w:p>
    <w:p w14:paraId="5A4AD3AC" w14:textId="77777777" w:rsidR="005B4E3F" w:rsidRPr="005B4E3F" w:rsidRDefault="005B4E3F" w:rsidP="005B4E3F">
      <w:pPr>
        <w:spacing w:line="312" w:lineRule="auto"/>
        <w:jc w:val="both"/>
        <w:rPr>
          <w:rFonts w:ascii="Bookman Old Style" w:hAnsi="Bookman Old Style" w:cs="Segoe UI"/>
          <w:bCs/>
          <w:sz w:val="18"/>
          <w:szCs w:val="18"/>
        </w:rPr>
      </w:pPr>
    </w:p>
    <w:p w14:paraId="03A74288" w14:textId="77777777" w:rsidR="005B4E3F" w:rsidRPr="005B4E3F" w:rsidRDefault="005B4E3F" w:rsidP="005B4E3F">
      <w:pPr>
        <w:spacing w:line="312" w:lineRule="auto"/>
        <w:jc w:val="both"/>
        <w:rPr>
          <w:rFonts w:ascii="Bookman Old Style" w:hAnsi="Bookman Old Style" w:cs="Segoe UI"/>
          <w:bCs/>
          <w:sz w:val="18"/>
          <w:szCs w:val="18"/>
        </w:rPr>
      </w:pPr>
      <w:r w:rsidRPr="005B4E3F">
        <w:rPr>
          <w:rFonts w:ascii="Bookman Old Style" w:hAnsi="Bookman Old Style" w:cs="Segoe UI"/>
          <w:bCs/>
          <w:sz w:val="18"/>
          <w:szCs w:val="18"/>
        </w:rPr>
        <w:t>1.5. Sob a perspectiva do interesse público, a contratação viabiliza o cumprimento do princípio da universalidade e integralidade do SUS (art. 198 da Constituição Federal), promovendo o acesso equânime a um serviço essencial à saúde e à qualidade de vida das crianças em idade escolar, público prioritário das ações de desenvolvimento humano no município.</w:t>
      </w:r>
    </w:p>
    <w:p w14:paraId="42B0151A" w14:textId="77777777" w:rsidR="005B4E3F" w:rsidRPr="005B4E3F" w:rsidRDefault="005B4E3F" w:rsidP="005B4E3F">
      <w:pPr>
        <w:spacing w:line="312" w:lineRule="auto"/>
        <w:jc w:val="both"/>
        <w:rPr>
          <w:rFonts w:ascii="Bookman Old Style" w:hAnsi="Bookman Old Style" w:cs="Segoe UI"/>
          <w:bCs/>
          <w:sz w:val="18"/>
          <w:szCs w:val="18"/>
        </w:rPr>
      </w:pPr>
    </w:p>
    <w:p w14:paraId="78265B09" w14:textId="77777777" w:rsidR="005B4E3F" w:rsidRPr="005B4E3F" w:rsidRDefault="005B4E3F" w:rsidP="005B4E3F">
      <w:pPr>
        <w:spacing w:line="312" w:lineRule="auto"/>
        <w:jc w:val="both"/>
        <w:rPr>
          <w:rFonts w:ascii="Bookman Old Style" w:hAnsi="Bookman Old Style" w:cs="Segoe UI"/>
          <w:bCs/>
          <w:sz w:val="18"/>
          <w:szCs w:val="18"/>
        </w:rPr>
      </w:pPr>
      <w:r w:rsidRPr="005B4E3F">
        <w:rPr>
          <w:rFonts w:ascii="Bookman Old Style" w:hAnsi="Bookman Old Style" w:cs="Segoe UI"/>
          <w:bCs/>
          <w:sz w:val="18"/>
          <w:szCs w:val="18"/>
        </w:rPr>
        <w:t>1.6. Além disso, a medida atende ao disposto na Lei nº 14.231/2021, que passou a prever expressamente a possibilidade de inclusão de terapeutas ocupacionais na Estratégia de Saúde da Família e nas ações da Atenção Primária, conferindo respaldo normativo para a atuação desses profissionais dentro da rede municipal de saúde.</w:t>
      </w:r>
    </w:p>
    <w:p w14:paraId="727F6B3E" w14:textId="77777777" w:rsidR="005B4E3F" w:rsidRPr="005B4E3F" w:rsidRDefault="005B4E3F" w:rsidP="005B4E3F">
      <w:pPr>
        <w:spacing w:line="312" w:lineRule="auto"/>
        <w:jc w:val="both"/>
        <w:rPr>
          <w:rFonts w:ascii="Bookman Old Style" w:hAnsi="Bookman Old Style" w:cs="Segoe UI"/>
          <w:bCs/>
          <w:sz w:val="18"/>
          <w:szCs w:val="18"/>
        </w:rPr>
      </w:pPr>
    </w:p>
    <w:p w14:paraId="1D4216D9" w14:textId="77777777" w:rsidR="005B4E3F" w:rsidRPr="005B4E3F" w:rsidRDefault="005B4E3F" w:rsidP="005B4E3F">
      <w:pPr>
        <w:spacing w:line="312" w:lineRule="auto"/>
        <w:jc w:val="both"/>
        <w:rPr>
          <w:rFonts w:ascii="Bookman Old Style" w:hAnsi="Bookman Old Style" w:cs="Segoe UI"/>
          <w:bCs/>
          <w:sz w:val="18"/>
          <w:szCs w:val="18"/>
        </w:rPr>
      </w:pPr>
      <w:r w:rsidRPr="005B4E3F">
        <w:rPr>
          <w:rFonts w:ascii="Bookman Old Style" w:hAnsi="Bookman Old Style" w:cs="Segoe UI"/>
          <w:bCs/>
          <w:sz w:val="18"/>
          <w:szCs w:val="18"/>
        </w:rPr>
        <w:t>1.7. Diante da essencialidade do serviço, da impossibilidade de prestação direta e da natureza predominantemente intelectual e personalizada da atuação profissional requerida, a solução jurídica mais eficiente e legalmente adequada é a adoção do credenciamento por inexigibilidade de licitação, na forma do art. 74, inciso II, combinado com o art. 79 da Lei nº 14.133/2021.</w:t>
      </w:r>
    </w:p>
    <w:p w14:paraId="0B7336E9" w14:textId="77777777" w:rsidR="005B4E3F" w:rsidRPr="005B4E3F" w:rsidRDefault="005B4E3F" w:rsidP="005B4E3F">
      <w:pPr>
        <w:spacing w:line="312" w:lineRule="auto"/>
        <w:jc w:val="both"/>
        <w:rPr>
          <w:rFonts w:ascii="Bookman Old Style" w:hAnsi="Bookman Old Style" w:cs="Segoe UI"/>
          <w:bCs/>
          <w:sz w:val="18"/>
          <w:szCs w:val="18"/>
        </w:rPr>
      </w:pPr>
    </w:p>
    <w:p w14:paraId="7ED92849" w14:textId="5E0E4556" w:rsidR="00F11A6D" w:rsidRPr="00F11A6D" w:rsidRDefault="005B4E3F" w:rsidP="005B4E3F">
      <w:pPr>
        <w:spacing w:line="312" w:lineRule="auto"/>
        <w:jc w:val="both"/>
        <w:rPr>
          <w:rFonts w:ascii="Bookman Old Style" w:hAnsi="Bookman Old Style" w:cs="Segoe UI"/>
          <w:b/>
          <w:sz w:val="18"/>
          <w:szCs w:val="18"/>
        </w:rPr>
      </w:pPr>
      <w:r w:rsidRPr="005B4E3F">
        <w:rPr>
          <w:rFonts w:ascii="Bookman Old Style" w:hAnsi="Bookman Old Style" w:cs="Segoe UI"/>
          <w:bCs/>
          <w:sz w:val="18"/>
          <w:szCs w:val="18"/>
        </w:rPr>
        <w:t xml:space="preserve">1.8. O credenciamento permitirá a contratação paralela e não excludente de diversos terapeutas ocupacionais habilitados, garantindo capilaridade, flexibilidade e resposta imediata à demanda de </w:t>
      </w:r>
      <w:r w:rsidRPr="005B4E3F">
        <w:rPr>
          <w:rFonts w:ascii="Bookman Old Style" w:hAnsi="Bookman Old Style" w:cs="Segoe UI"/>
          <w:bCs/>
          <w:sz w:val="18"/>
          <w:szCs w:val="18"/>
        </w:rPr>
        <w:lastRenderedPageBreak/>
        <w:t>atendimentos ambulatoriais, com remuneração padronizada e agendamento sob coordenação da Secretaria Municipal de Saúde.</w:t>
      </w:r>
    </w:p>
    <w:p w14:paraId="495405FE" w14:textId="578C86D8" w:rsidR="00F11A6D" w:rsidRPr="00F11A6D" w:rsidRDefault="00F11A6D" w:rsidP="00F11A6D">
      <w:pPr>
        <w:pStyle w:val="PargrafodaLista"/>
        <w:numPr>
          <w:ilvl w:val="0"/>
          <w:numId w:val="3"/>
        </w:num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Demonstração da previsão da contratação no plano de contratações anual, sempre que elaborado, de modo a indicar o seu alinhamento com o planejamento da Administração</w:t>
      </w:r>
    </w:p>
    <w:p w14:paraId="4097C494" w14:textId="7777777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2.1. Considerando que o Plano de Contratações Anual – PCA – é facultativo (inciso VII do art. 12 da Lei nº. 14.133/2021), esta Administração não fizera para este exercício financeiro.</w:t>
      </w:r>
    </w:p>
    <w:p w14:paraId="195D3F81" w14:textId="77777777" w:rsidR="00F11A6D" w:rsidRPr="00F11A6D" w:rsidRDefault="00F11A6D" w:rsidP="00F11A6D">
      <w:pPr>
        <w:spacing w:line="312" w:lineRule="auto"/>
        <w:jc w:val="both"/>
        <w:rPr>
          <w:rFonts w:ascii="Bookman Old Style" w:hAnsi="Bookman Old Style" w:cs="Segoe UI"/>
          <w:b/>
          <w:sz w:val="18"/>
          <w:szCs w:val="18"/>
        </w:rPr>
      </w:pPr>
    </w:p>
    <w:p w14:paraId="297A9AF5" w14:textId="06447F03" w:rsidR="00F11A6D" w:rsidRPr="00F11A6D" w:rsidRDefault="00F11A6D" w:rsidP="00F11A6D">
      <w:pPr>
        <w:pStyle w:val="PargrafodaLista"/>
        <w:numPr>
          <w:ilvl w:val="0"/>
          <w:numId w:val="3"/>
        </w:num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Dos requisitos da contratação administrativa</w:t>
      </w:r>
    </w:p>
    <w:p w14:paraId="7AFC4AE2" w14:textId="7777777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3.1. A contratação administrativa deverá observar os seguintes requisitos:</w:t>
      </w:r>
    </w:p>
    <w:p w14:paraId="3BD1C82C" w14:textId="7777777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3.1.1. sustentabilidade ambiental.</w:t>
      </w:r>
    </w:p>
    <w:p w14:paraId="79F9146D" w14:textId="7777777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3.2. É vedada a subcontratação.</w:t>
      </w:r>
    </w:p>
    <w:p w14:paraId="63918EA2" w14:textId="1FA821E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3.</w:t>
      </w:r>
      <w:r>
        <w:rPr>
          <w:rFonts w:ascii="Bookman Old Style" w:hAnsi="Bookman Old Style" w:cs="Segoe UI"/>
          <w:bCs/>
          <w:sz w:val="18"/>
          <w:szCs w:val="18"/>
        </w:rPr>
        <w:t>3</w:t>
      </w:r>
      <w:r w:rsidRPr="00F11A6D">
        <w:rPr>
          <w:rFonts w:ascii="Bookman Old Style" w:hAnsi="Bookman Old Style" w:cs="Segoe UI"/>
          <w:bCs/>
          <w:sz w:val="18"/>
          <w:szCs w:val="18"/>
        </w:rPr>
        <w:t>. Não haverá exigência da garantia da contratação de que trata o art. 96 e seguintes da Lei nº. 14.133/2021 em razão de ser um fornecimento de bem comum.</w:t>
      </w:r>
    </w:p>
    <w:p w14:paraId="6219D290" w14:textId="77777777" w:rsidR="00F11A6D" w:rsidRPr="00F11A6D" w:rsidRDefault="00F11A6D" w:rsidP="00F11A6D">
      <w:pPr>
        <w:spacing w:line="312" w:lineRule="auto"/>
        <w:jc w:val="both"/>
        <w:rPr>
          <w:rFonts w:ascii="Bookman Old Style" w:hAnsi="Bookman Old Style" w:cs="Segoe UI"/>
          <w:b/>
          <w:sz w:val="18"/>
          <w:szCs w:val="18"/>
        </w:rPr>
      </w:pPr>
    </w:p>
    <w:p w14:paraId="36F85290" w14:textId="6714AB07" w:rsidR="00F11A6D" w:rsidRDefault="00F11A6D" w:rsidP="00F11A6D">
      <w:pPr>
        <w:pStyle w:val="PargrafodaLista"/>
        <w:numPr>
          <w:ilvl w:val="0"/>
          <w:numId w:val="3"/>
        </w:num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Das estimativas das quantidades para a contratação, acompanhadas das memórias de cálculo e dos documentos que lhes dão suporte, que considerem interdependências com outras contratações, de modo a possibilitar economia de escala</w:t>
      </w:r>
    </w:p>
    <w:p w14:paraId="46F8E46F" w14:textId="77777777" w:rsidR="00F11A6D" w:rsidRPr="00F11A6D" w:rsidRDefault="00F11A6D" w:rsidP="00F11A6D">
      <w:pPr>
        <w:pStyle w:val="PargrafodaLista"/>
        <w:spacing w:line="312" w:lineRule="auto"/>
        <w:jc w:val="both"/>
        <w:rPr>
          <w:rFonts w:ascii="Bookman Old Style" w:hAnsi="Bookman Old Style" w:cs="Segoe UI"/>
          <w:b/>
          <w:sz w:val="18"/>
          <w:szCs w:val="18"/>
        </w:rPr>
      </w:pPr>
    </w:p>
    <w:p w14:paraId="59468A2C" w14:textId="568C8E17" w:rsidR="00F11A6D" w:rsidRPr="00F11A6D" w:rsidRDefault="00F11A6D" w:rsidP="00F11A6D">
      <w:pPr>
        <w:pStyle w:val="PargrafodaLista"/>
        <w:numPr>
          <w:ilvl w:val="1"/>
          <w:numId w:val="3"/>
        </w:num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As estimativas das quantidades para a contratação são as seguintes:</w:t>
      </w:r>
    </w:p>
    <w:p w14:paraId="5D1054A8" w14:textId="77777777" w:rsidR="00F11A6D" w:rsidRPr="00F11A6D" w:rsidRDefault="00F11A6D" w:rsidP="00F11A6D">
      <w:pPr>
        <w:spacing w:line="312" w:lineRule="auto"/>
        <w:ind w:left="360"/>
        <w:jc w:val="both"/>
        <w:rPr>
          <w:rFonts w:ascii="Bookman Old Style" w:hAnsi="Bookman Old Style" w:cs="Segoe UI"/>
          <w:bCs/>
          <w:sz w:val="18"/>
          <w:szCs w:val="18"/>
        </w:rPr>
      </w:pPr>
    </w:p>
    <w:tbl>
      <w:tblPr>
        <w:tblStyle w:val="Tabelacomgrade"/>
        <w:tblW w:w="0" w:type="auto"/>
        <w:jc w:val="center"/>
        <w:tblLook w:val="04A0" w:firstRow="1" w:lastRow="0" w:firstColumn="1" w:lastColumn="0" w:noHBand="0" w:noVBand="1"/>
      </w:tblPr>
      <w:tblGrid>
        <w:gridCol w:w="713"/>
        <w:gridCol w:w="3082"/>
        <w:gridCol w:w="1930"/>
        <w:gridCol w:w="1682"/>
      </w:tblGrid>
      <w:tr w:rsidR="00F11A6D" w:rsidRPr="00F11A6D" w14:paraId="1AFED30F" w14:textId="77777777" w:rsidTr="00F11A6D">
        <w:trPr>
          <w:jc w:val="center"/>
        </w:trPr>
        <w:tc>
          <w:tcPr>
            <w:tcW w:w="0" w:type="auto"/>
            <w:tcBorders>
              <w:top w:val="single" w:sz="4" w:space="0" w:color="auto"/>
              <w:left w:val="single" w:sz="4" w:space="0" w:color="auto"/>
              <w:bottom w:val="single" w:sz="4" w:space="0" w:color="auto"/>
              <w:right w:val="single" w:sz="4" w:space="0" w:color="auto"/>
            </w:tcBorders>
            <w:hideMark/>
          </w:tcPr>
          <w:p w14:paraId="56619ADC" w14:textId="77777777" w:rsidR="00F11A6D" w:rsidRPr="00F11A6D" w:rsidRDefault="00F11A6D" w:rsidP="00F11A6D">
            <w:pPr>
              <w:spacing w:line="312" w:lineRule="auto"/>
              <w:jc w:val="both"/>
              <w:rPr>
                <w:rFonts w:ascii="Bookman Old Style" w:hAnsi="Bookman Old Style" w:cs="Segoe UI"/>
                <w:b/>
                <w:bCs/>
                <w:sz w:val="18"/>
                <w:szCs w:val="18"/>
                <w:lang w:val="pt-BR"/>
              </w:rPr>
            </w:pPr>
            <w:r w:rsidRPr="00F11A6D">
              <w:rPr>
                <w:rFonts w:ascii="Bookman Old Style" w:hAnsi="Bookman Old Style" w:cs="Segoe UI"/>
                <w:b/>
                <w:bCs/>
                <w:sz w:val="18"/>
                <w:szCs w:val="18"/>
                <w:lang w:val="pt-BR"/>
              </w:rPr>
              <w:t>ITEM</w:t>
            </w:r>
          </w:p>
        </w:tc>
        <w:tc>
          <w:tcPr>
            <w:tcW w:w="0" w:type="auto"/>
            <w:tcBorders>
              <w:top w:val="single" w:sz="4" w:space="0" w:color="auto"/>
              <w:left w:val="single" w:sz="4" w:space="0" w:color="auto"/>
              <w:bottom w:val="single" w:sz="4" w:space="0" w:color="auto"/>
              <w:right w:val="single" w:sz="4" w:space="0" w:color="auto"/>
            </w:tcBorders>
            <w:hideMark/>
          </w:tcPr>
          <w:p w14:paraId="797EE015" w14:textId="77777777" w:rsidR="00F11A6D" w:rsidRPr="00F11A6D" w:rsidRDefault="00F11A6D" w:rsidP="00F11A6D">
            <w:pPr>
              <w:spacing w:line="312" w:lineRule="auto"/>
              <w:jc w:val="both"/>
              <w:rPr>
                <w:rFonts w:ascii="Bookman Old Style" w:hAnsi="Bookman Old Style" w:cs="Segoe UI"/>
                <w:b/>
                <w:bCs/>
                <w:sz w:val="18"/>
                <w:szCs w:val="18"/>
                <w:lang w:val="pt-BR"/>
              </w:rPr>
            </w:pPr>
            <w:r w:rsidRPr="00F11A6D">
              <w:rPr>
                <w:rFonts w:ascii="Bookman Old Style" w:hAnsi="Bookman Old Style" w:cs="Segoe UI"/>
                <w:b/>
                <w:bCs/>
                <w:sz w:val="18"/>
                <w:szCs w:val="18"/>
                <w:lang w:val="pt-BR"/>
              </w:rPr>
              <w:t>SERVIÇOS</w:t>
            </w:r>
          </w:p>
        </w:tc>
        <w:tc>
          <w:tcPr>
            <w:tcW w:w="0" w:type="auto"/>
            <w:tcBorders>
              <w:top w:val="single" w:sz="4" w:space="0" w:color="auto"/>
              <w:left w:val="single" w:sz="4" w:space="0" w:color="auto"/>
              <w:bottom w:val="single" w:sz="4" w:space="0" w:color="auto"/>
              <w:right w:val="single" w:sz="4" w:space="0" w:color="auto"/>
            </w:tcBorders>
            <w:hideMark/>
          </w:tcPr>
          <w:p w14:paraId="136770A1" w14:textId="77777777" w:rsidR="00F11A6D" w:rsidRPr="00F11A6D" w:rsidRDefault="00F11A6D" w:rsidP="00F11A6D">
            <w:pPr>
              <w:spacing w:line="312" w:lineRule="auto"/>
              <w:jc w:val="both"/>
              <w:rPr>
                <w:rFonts w:ascii="Bookman Old Style" w:hAnsi="Bookman Old Style" w:cs="Segoe UI"/>
                <w:b/>
                <w:bCs/>
                <w:sz w:val="18"/>
                <w:szCs w:val="18"/>
                <w:lang w:val="pt-BR"/>
              </w:rPr>
            </w:pPr>
            <w:r w:rsidRPr="00F11A6D">
              <w:rPr>
                <w:rFonts w:ascii="Bookman Old Style" w:hAnsi="Bookman Old Style" w:cs="Segoe UI"/>
                <w:b/>
                <w:bCs/>
                <w:sz w:val="18"/>
                <w:szCs w:val="18"/>
                <w:lang w:val="pt-BR"/>
              </w:rPr>
              <w:t>UNID. DE MEDIDA</w:t>
            </w:r>
          </w:p>
        </w:tc>
        <w:tc>
          <w:tcPr>
            <w:tcW w:w="0" w:type="auto"/>
            <w:tcBorders>
              <w:top w:val="single" w:sz="4" w:space="0" w:color="auto"/>
              <w:left w:val="single" w:sz="4" w:space="0" w:color="auto"/>
              <w:bottom w:val="single" w:sz="4" w:space="0" w:color="auto"/>
              <w:right w:val="single" w:sz="4" w:space="0" w:color="auto"/>
            </w:tcBorders>
            <w:hideMark/>
          </w:tcPr>
          <w:p w14:paraId="025892A7" w14:textId="77777777" w:rsidR="00F11A6D" w:rsidRPr="00F11A6D" w:rsidRDefault="00F11A6D" w:rsidP="00F11A6D">
            <w:pPr>
              <w:spacing w:line="312" w:lineRule="auto"/>
              <w:jc w:val="both"/>
              <w:rPr>
                <w:rFonts w:ascii="Bookman Old Style" w:hAnsi="Bookman Old Style" w:cs="Segoe UI"/>
                <w:b/>
                <w:bCs/>
                <w:sz w:val="18"/>
                <w:szCs w:val="18"/>
                <w:lang w:val="pt-BR"/>
              </w:rPr>
            </w:pPr>
            <w:r w:rsidRPr="00F11A6D">
              <w:rPr>
                <w:rFonts w:ascii="Bookman Old Style" w:hAnsi="Bookman Old Style" w:cs="Segoe UI"/>
                <w:b/>
                <w:bCs/>
                <w:sz w:val="18"/>
                <w:szCs w:val="18"/>
                <w:lang w:val="pt-BR"/>
              </w:rPr>
              <w:t>QUANTITATIVO</w:t>
            </w:r>
          </w:p>
        </w:tc>
      </w:tr>
      <w:tr w:rsidR="00F11A6D" w:rsidRPr="00F11A6D" w14:paraId="656AE7E3" w14:textId="77777777" w:rsidTr="00F11A6D">
        <w:trPr>
          <w:jc w:val="center"/>
        </w:trPr>
        <w:tc>
          <w:tcPr>
            <w:tcW w:w="0" w:type="auto"/>
            <w:tcBorders>
              <w:top w:val="single" w:sz="4" w:space="0" w:color="auto"/>
              <w:left w:val="single" w:sz="4" w:space="0" w:color="auto"/>
              <w:bottom w:val="single" w:sz="4" w:space="0" w:color="auto"/>
              <w:right w:val="single" w:sz="4" w:space="0" w:color="auto"/>
            </w:tcBorders>
            <w:hideMark/>
          </w:tcPr>
          <w:p w14:paraId="3CF39761" w14:textId="77777777" w:rsidR="00F11A6D" w:rsidRPr="00F11A6D" w:rsidRDefault="00F11A6D" w:rsidP="00F11A6D">
            <w:pPr>
              <w:spacing w:line="312" w:lineRule="auto"/>
              <w:jc w:val="both"/>
              <w:rPr>
                <w:rFonts w:ascii="Bookman Old Style" w:hAnsi="Bookman Old Style" w:cs="Segoe UI"/>
                <w:bCs/>
                <w:sz w:val="18"/>
                <w:szCs w:val="18"/>
                <w:lang w:val="pt-BR"/>
              </w:rPr>
            </w:pPr>
            <w:r w:rsidRPr="00F11A6D">
              <w:rPr>
                <w:rFonts w:ascii="Bookman Old Style" w:hAnsi="Bookman Old Style" w:cs="Segoe UI"/>
                <w:bCs/>
                <w:sz w:val="18"/>
                <w:szCs w:val="18"/>
                <w:lang w:val="pt-BR"/>
              </w:rPr>
              <w:t>01</w:t>
            </w:r>
          </w:p>
        </w:tc>
        <w:tc>
          <w:tcPr>
            <w:tcW w:w="0" w:type="auto"/>
            <w:tcBorders>
              <w:top w:val="single" w:sz="4" w:space="0" w:color="auto"/>
              <w:left w:val="single" w:sz="4" w:space="0" w:color="auto"/>
              <w:bottom w:val="single" w:sz="4" w:space="0" w:color="auto"/>
              <w:right w:val="single" w:sz="4" w:space="0" w:color="auto"/>
            </w:tcBorders>
            <w:hideMark/>
          </w:tcPr>
          <w:p w14:paraId="6803462B" w14:textId="05CC1387" w:rsidR="00F11A6D" w:rsidRPr="00F11A6D" w:rsidRDefault="005B4E3F" w:rsidP="00F11A6D">
            <w:pPr>
              <w:spacing w:line="312" w:lineRule="auto"/>
              <w:jc w:val="both"/>
              <w:rPr>
                <w:rFonts w:ascii="Bookman Old Style" w:hAnsi="Bookman Old Style" w:cs="Segoe UI"/>
                <w:bCs/>
                <w:sz w:val="18"/>
                <w:szCs w:val="18"/>
                <w:lang w:val="pt-BR"/>
              </w:rPr>
            </w:pPr>
            <w:r w:rsidRPr="005B4E3F">
              <w:rPr>
                <w:rFonts w:ascii="Bookman Old Style" w:hAnsi="Bookman Old Style" w:cs="Segoe UI"/>
                <w:bCs/>
                <w:sz w:val="18"/>
                <w:szCs w:val="18"/>
              </w:rPr>
              <w:t>Serviços de Terapia Ocupacional</w:t>
            </w:r>
          </w:p>
        </w:tc>
        <w:tc>
          <w:tcPr>
            <w:tcW w:w="0" w:type="auto"/>
            <w:tcBorders>
              <w:top w:val="single" w:sz="4" w:space="0" w:color="auto"/>
              <w:left w:val="single" w:sz="4" w:space="0" w:color="auto"/>
              <w:bottom w:val="single" w:sz="4" w:space="0" w:color="auto"/>
              <w:right w:val="single" w:sz="4" w:space="0" w:color="auto"/>
            </w:tcBorders>
            <w:hideMark/>
          </w:tcPr>
          <w:p w14:paraId="60A7C8F8" w14:textId="486587E1" w:rsidR="00F11A6D" w:rsidRPr="00F11A6D" w:rsidRDefault="00923BD0" w:rsidP="00F11A6D">
            <w:pPr>
              <w:spacing w:line="312" w:lineRule="auto"/>
              <w:jc w:val="both"/>
              <w:rPr>
                <w:rFonts w:ascii="Bookman Old Style" w:hAnsi="Bookman Old Style" w:cs="Segoe UI"/>
                <w:bCs/>
                <w:sz w:val="18"/>
                <w:szCs w:val="18"/>
                <w:lang w:val="pt-BR"/>
              </w:rPr>
            </w:pPr>
            <w:r>
              <w:rPr>
                <w:rFonts w:ascii="Bookman Old Style" w:hAnsi="Bookman Old Style" w:cs="Segoe UI"/>
                <w:bCs/>
                <w:sz w:val="18"/>
                <w:szCs w:val="18"/>
                <w:lang w:val="pt-BR"/>
              </w:rPr>
              <w:t>Hora</w:t>
            </w:r>
          </w:p>
        </w:tc>
        <w:tc>
          <w:tcPr>
            <w:tcW w:w="0" w:type="auto"/>
            <w:tcBorders>
              <w:top w:val="single" w:sz="4" w:space="0" w:color="auto"/>
              <w:left w:val="single" w:sz="4" w:space="0" w:color="auto"/>
              <w:bottom w:val="single" w:sz="4" w:space="0" w:color="auto"/>
              <w:right w:val="single" w:sz="4" w:space="0" w:color="auto"/>
            </w:tcBorders>
            <w:hideMark/>
          </w:tcPr>
          <w:p w14:paraId="1FD5BAC5" w14:textId="2D68071C" w:rsidR="00F11A6D" w:rsidRPr="00F11A6D" w:rsidRDefault="005B4E3F" w:rsidP="00F11A6D">
            <w:pPr>
              <w:spacing w:line="312" w:lineRule="auto"/>
              <w:jc w:val="both"/>
              <w:rPr>
                <w:rFonts w:ascii="Bookman Old Style" w:hAnsi="Bookman Old Style" w:cs="Segoe UI"/>
                <w:bCs/>
                <w:sz w:val="18"/>
                <w:szCs w:val="18"/>
                <w:lang w:val="pt-BR"/>
              </w:rPr>
            </w:pPr>
            <w:r>
              <w:rPr>
                <w:rFonts w:ascii="Bookman Old Style" w:hAnsi="Bookman Old Style" w:cs="Segoe UI"/>
                <w:bCs/>
                <w:sz w:val="18"/>
                <w:szCs w:val="18"/>
                <w:lang w:val="pt-BR"/>
              </w:rPr>
              <w:t>384h</w:t>
            </w:r>
          </w:p>
        </w:tc>
      </w:tr>
    </w:tbl>
    <w:p w14:paraId="00723799" w14:textId="77777777" w:rsidR="00F11A6D" w:rsidRPr="00F11A6D" w:rsidRDefault="00F11A6D" w:rsidP="00F11A6D">
      <w:pPr>
        <w:spacing w:line="312" w:lineRule="auto"/>
        <w:jc w:val="both"/>
        <w:rPr>
          <w:rFonts w:ascii="Bookman Old Style" w:hAnsi="Bookman Old Style" w:cs="Segoe UI"/>
          <w:bCs/>
          <w:sz w:val="18"/>
          <w:szCs w:val="18"/>
        </w:rPr>
      </w:pPr>
    </w:p>
    <w:p w14:paraId="633EFFE1" w14:textId="77777777" w:rsidR="00F11A6D" w:rsidRPr="00F11A6D" w:rsidRDefault="00F11A6D" w:rsidP="00F11A6D">
      <w:pPr>
        <w:spacing w:line="312" w:lineRule="auto"/>
        <w:jc w:val="both"/>
        <w:rPr>
          <w:rFonts w:ascii="Bookman Old Style" w:hAnsi="Bookman Old Style" w:cs="Segoe UI"/>
          <w:b/>
          <w:sz w:val="18"/>
          <w:szCs w:val="18"/>
        </w:rPr>
      </w:pPr>
    </w:p>
    <w:p w14:paraId="02EB3A6D" w14:textId="7777777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4.2. Considerando que se trata de serviço comum não há memórias de cálculo e outros documentos.</w:t>
      </w:r>
    </w:p>
    <w:p w14:paraId="152D195A" w14:textId="77777777" w:rsidR="00F11A6D" w:rsidRPr="00F11A6D" w:rsidRDefault="00F11A6D" w:rsidP="00F11A6D">
      <w:pPr>
        <w:spacing w:line="312" w:lineRule="auto"/>
        <w:jc w:val="both"/>
        <w:rPr>
          <w:rFonts w:ascii="Bookman Old Style" w:hAnsi="Bookman Old Style" w:cs="Segoe UI"/>
          <w:b/>
          <w:sz w:val="18"/>
          <w:szCs w:val="18"/>
        </w:rPr>
      </w:pPr>
    </w:p>
    <w:p w14:paraId="162551E0" w14:textId="206E7BB9" w:rsidR="009B79D8" w:rsidRPr="009B79D8" w:rsidRDefault="00F11A6D" w:rsidP="009B79D8">
      <w:pPr>
        <w:pStyle w:val="PargrafodaLista"/>
        <w:numPr>
          <w:ilvl w:val="0"/>
          <w:numId w:val="3"/>
        </w:numPr>
        <w:spacing w:line="312" w:lineRule="auto"/>
        <w:jc w:val="both"/>
        <w:rPr>
          <w:rFonts w:ascii="Bookman Old Style" w:hAnsi="Bookman Old Style" w:cs="Segoe UI"/>
          <w:b/>
          <w:sz w:val="18"/>
          <w:szCs w:val="18"/>
        </w:rPr>
      </w:pPr>
      <w:r w:rsidRPr="009B79D8">
        <w:rPr>
          <w:rFonts w:ascii="Bookman Old Style" w:hAnsi="Bookman Old Style" w:cs="Segoe UI"/>
          <w:b/>
          <w:sz w:val="18"/>
          <w:szCs w:val="18"/>
        </w:rPr>
        <w:t>Do levantamento de mercado, que consiste na análise das alternativas possíveis, e justificativa técnica e econômica da escolha do tipo de solução a contratar</w:t>
      </w:r>
    </w:p>
    <w:p w14:paraId="786F6B86"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5.1. Para análise da viabilidade da contratação pretendida, a Administração realizou levantamento técnico sobre as alternativas disponíveis para suprir a demanda por serviços especializados em Terapia Ocupacional ambulatorial, com foco no atendimento de crianças com transtornos do neurodesenvolvimento, no âmbito do SUS municipal.</w:t>
      </w:r>
    </w:p>
    <w:p w14:paraId="657CFE98" w14:textId="77777777" w:rsidR="009B79D8" w:rsidRPr="009B79D8" w:rsidRDefault="009B79D8" w:rsidP="009B79D8">
      <w:pPr>
        <w:spacing w:line="312" w:lineRule="auto"/>
        <w:jc w:val="both"/>
        <w:rPr>
          <w:rFonts w:ascii="Bookman Old Style" w:hAnsi="Bookman Old Style" w:cs="Segoe UI"/>
          <w:bCs/>
          <w:sz w:val="18"/>
          <w:szCs w:val="18"/>
        </w:rPr>
      </w:pPr>
    </w:p>
    <w:p w14:paraId="0740046F"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5.2. Inicialmente, foi considerada a possibilidade de criação de cargo efetivo de terapeuta ocupacional no quadro permanente da Prefeitura. No entanto, essa solução mostrou-se inviável em curto e médio prazo, uma vez que dependeria da criação legislativa de cargo público, realização de concurso, provimento e nomeação, com impacto relevante na folha de pagamento e sem garantia de provimento imediato, o que não atende à urgência da demanda reprimida.</w:t>
      </w:r>
    </w:p>
    <w:p w14:paraId="3DF6C96D" w14:textId="77777777" w:rsidR="009B79D8" w:rsidRPr="009B79D8" w:rsidRDefault="009B79D8" w:rsidP="009B79D8">
      <w:pPr>
        <w:spacing w:line="312" w:lineRule="auto"/>
        <w:jc w:val="both"/>
        <w:rPr>
          <w:rFonts w:ascii="Bookman Old Style" w:hAnsi="Bookman Old Style" w:cs="Segoe UI"/>
          <w:bCs/>
          <w:sz w:val="18"/>
          <w:szCs w:val="18"/>
        </w:rPr>
      </w:pPr>
    </w:p>
    <w:p w14:paraId="3F9A2FCB"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 xml:space="preserve">5.3. Avaliou-se também a hipótese de terceirização mediante licitação convencional (Pregão ou Concorrência), com contratação de empresa especializada para fornecimento de profissionais. Contudo, </w:t>
      </w:r>
      <w:r w:rsidRPr="009B79D8">
        <w:rPr>
          <w:rFonts w:ascii="Bookman Old Style" w:hAnsi="Bookman Old Style" w:cs="Segoe UI"/>
          <w:bCs/>
          <w:sz w:val="18"/>
          <w:szCs w:val="18"/>
        </w:rPr>
        <w:lastRenderedPageBreak/>
        <w:t>esta alternativa esbarra na característica personalíssima e predominantemente intelectual do serviço, no alto custo indireto da intermediação empresarial e na limitação da concorrência em municípios de pequeno porte como Conceição de Ipanema/MG, onde há escassez de empresas locais ou regionais aptas a prestar o serviço com qualidade técnica e vínculo direto com os usuários.</w:t>
      </w:r>
    </w:p>
    <w:p w14:paraId="19284661" w14:textId="77777777" w:rsidR="009B79D8" w:rsidRPr="009B79D8" w:rsidRDefault="009B79D8" w:rsidP="009B79D8">
      <w:pPr>
        <w:spacing w:line="312" w:lineRule="auto"/>
        <w:jc w:val="both"/>
        <w:rPr>
          <w:rFonts w:ascii="Bookman Old Style" w:hAnsi="Bookman Old Style" w:cs="Segoe UI"/>
          <w:bCs/>
          <w:sz w:val="18"/>
          <w:szCs w:val="18"/>
        </w:rPr>
      </w:pPr>
    </w:p>
    <w:p w14:paraId="3920C397"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5.4. Outra hipótese considerada seria a contratação direta por inexigibilidade com seleção pontual de profissional. Entretanto, essa medida seria excludente, contrariando o princípio da isonomia e da eficiência, pois limitaria o atendimento da população a apenas um ou poucos executantes, dificultando o atendimento amplo e rotativo das famílias e a resposta flexível à demanda.</w:t>
      </w:r>
    </w:p>
    <w:p w14:paraId="38FC5538" w14:textId="77777777" w:rsidR="009B79D8" w:rsidRPr="009B79D8" w:rsidRDefault="009B79D8" w:rsidP="009B79D8">
      <w:pPr>
        <w:spacing w:line="312" w:lineRule="auto"/>
        <w:jc w:val="both"/>
        <w:rPr>
          <w:rFonts w:ascii="Bookman Old Style" w:hAnsi="Bookman Old Style" w:cs="Segoe UI"/>
          <w:bCs/>
          <w:sz w:val="18"/>
          <w:szCs w:val="18"/>
        </w:rPr>
      </w:pPr>
    </w:p>
    <w:p w14:paraId="435E0542"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5.5. Diante dessas alternativas, a solução mais adequada e juridicamente segura identificada é a adoção do procedimento de credenciamento, nos termos do art. 79 da Lei nº 14.133/2021, permitindo a contratação de todos os interessados que preencham os requisitos estabelecidos em edital, com remuneração padronizada e atendimento conforme agendamento e necessidade do município.</w:t>
      </w:r>
    </w:p>
    <w:p w14:paraId="08FC8C7F" w14:textId="77777777" w:rsidR="009B79D8" w:rsidRPr="009B79D8" w:rsidRDefault="009B79D8" w:rsidP="009B79D8">
      <w:pPr>
        <w:spacing w:line="312" w:lineRule="auto"/>
        <w:jc w:val="both"/>
        <w:rPr>
          <w:rFonts w:ascii="Bookman Old Style" w:hAnsi="Bookman Old Style" w:cs="Segoe UI"/>
          <w:bCs/>
          <w:sz w:val="18"/>
          <w:szCs w:val="18"/>
        </w:rPr>
      </w:pPr>
    </w:p>
    <w:p w14:paraId="5BA69D9B"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5.6. Essa solução possibilita a atuação paralela de diversos profissionais habilitados, sem exclusividade, viabilizando maior capilaridade, acesso contínuo e menor ônus procedimental para a Administração, com pagamento por hora efetivamente prestada e com base em valores previamente estipulados, o que assegura controle orçamentário, transparência e eficiência.</w:t>
      </w:r>
    </w:p>
    <w:p w14:paraId="21F9295D" w14:textId="77777777" w:rsidR="009B79D8" w:rsidRPr="009B79D8" w:rsidRDefault="009B79D8" w:rsidP="009B79D8">
      <w:pPr>
        <w:spacing w:line="312" w:lineRule="auto"/>
        <w:jc w:val="both"/>
        <w:rPr>
          <w:rFonts w:ascii="Bookman Old Style" w:hAnsi="Bookman Old Style" w:cs="Segoe UI"/>
          <w:bCs/>
          <w:sz w:val="18"/>
          <w:szCs w:val="18"/>
        </w:rPr>
      </w:pPr>
    </w:p>
    <w:p w14:paraId="6EB49765"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5.7. Do ponto de vista econômico, a contratação por credenciamento permite que o Município arque apenas com os custos efetivos da execução, sem a necessidade de pagamento mínimo garantido ou de estruturação de unidade fixa, adaptando o serviço à demanda real, o que traduz vantajosa relação custo-benefício para o erário.</w:t>
      </w:r>
    </w:p>
    <w:p w14:paraId="2120E9E4" w14:textId="77777777" w:rsidR="009B79D8" w:rsidRPr="009B79D8" w:rsidRDefault="009B79D8" w:rsidP="009B79D8">
      <w:pPr>
        <w:spacing w:line="312" w:lineRule="auto"/>
        <w:jc w:val="both"/>
        <w:rPr>
          <w:rFonts w:ascii="Bookman Old Style" w:hAnsi="Bookman Old Style" w:cs="Segoe UI"/>
          <w:bCs/>
          <w:sz w:val="18"/>
          <w:szCs w:val="18"/>
        </w:rPr>
      </w:pPr>
    </w:p>
    <w:p w14:paraId="06B98E66"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5.8. Ademais, trata-se de modelo amplamente utilizado na área da saúde pública, especialmente em municípios com estrutura reduzida e elevada demanda por serviços especializados, sendo referendado por normativos federais e pela jurisprudência do Tribunal de Contas da União (TCU) e Tribunais de Contas Estaduais.</w:t>
      </w:r>
    </w:p>
    <w:p w14:paraId="179885DF" w14:textId="77777777" w:rsidR="009B79D8" w:rsidRPr="009B79D8" w:rsidRDefault="009B79D8" w:rsidP="009B79D8">
      <w:pPr>
        <w:spacing w:line="312" w:lineRule="auto"/>
        <w:jc w:val="both"/>
        <w:rPr>
          <w:rFonts w:ascii="Bookman Old Style" w:hAnsi="Bookman Old Style" w:cs="Segoe UI"/>
          <w:bCs/>
          <w:sz w:val="18"/>
          <w:szCs w:val="18"/>
        </w:rPr>
      </w:pPr>
    </w:p>
    <w:p w14:paraId="33876EC2" w14:textId="515472EF" w:rsidR="00F11A6D"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5.9. Assim, o levantamento de mercado e a análise técnica e econômica das soluções disponíveis conduzem à inequívoca conclusão de que a forma mais adequada para o atendimento do interesse público no presente caso é o credenciamento por inexigibilidade de licitação, garantindo segurança jurídica, agilidade na prestação dos serviços e atendimento qualificado à população infantil do município.</w:t>
      </w:r>
    </w:p>
    <w:p w14:paraId="775965FC" w14:textId="77777777" w:rsidR="009B79D8" w:rsidRPr="00F11A6D" w:rsidRDefault="009B79D8" w:rsidP="009B79D8">
      <w:pPr>
        <w:spacing w:line="312" w:lineRule="auto"/>
        <w:jc w:val="both"/>
        <w:rPr>
          <w:rFonts w:ascii="Bookman Old Style" w:hAnsi="Bookman Old Style" w:cs="Segoe UI"/>
          <w:b/>
          <w:sz w:val="18"/>
          <w:szCs w:val="18"/>
        </w:rPr>
      </w:pPr>
    </w:p>
    <w:p w14:paraId="6DB0D9EC" w14:textId="77777777"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49684C56" w14:textId="77777777" w:rsidR="009B79D8" w:rsidRDefault="009B79D8" w:rsidP="00F11A6D">
      <w:pPr>
        <w:spacing w:line="312" w:lineRule="auto"/>
        <w:jc w:val="both"/>
        <w:rPr>
          <w:rFonts w:ascii="Bookman Old Style" w:hAnsi="Bookman Old Style" w:cs="Segoe UI"/>
          <w:bCs/>
          <w:sz w:val="18"/>
          <w:szCs w:val="18"/>
        </w:rPr>
      </w:pPr>
    </w:p>
    <w:p w14:paraId="34A51D95" w14:textId="498D3648"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6.1. A estimativa do valor da contratação administrativa será calculada na etapa subsequente deste processo administrativo (art. 23 c/c inciso II do art. 72 da Lei nº. 14.133/2021).</w:t>
      </w:r>
    </w:p>
    <w:p w14:paraId="3D6CB7DE" w14:textId="77777777" w:rsidR="00F11A6D" w:rsidRPr="00F11A6D" w:rsidRDefault="00F11A6D" w:rsidP="00F11A6D">
      <w:pPr>
        <w:spacing w:line="312" w:lineRule="auto"/>
        <w:jc w:val="both"/>
        <w:rPr>
          <w:rFonts w:ascii="Bookman Old Style" w:hAnsi="Bookman Old Style" w:cs="Segoe UI"/>
          <w:b/>
          <w:sz w:val="18"/>
          <w:szCs w:val="18"/>
        </w:rPr>
      </w:pPr>
    </w:p>
    <w:p w14:paraId="0ED69838" w14:textId="77777777" w:rsid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lastRenderedPageBreak/>
        <w:t>7. Da descrição da solução como um todo, inclusive das exigências relacionadas à manutenção e à assistência técnica, quando for o caso</w:t>
      </w:r>
    </w:p>
    <w:p w14:paraId="4E653C2B" w14:textId="77777777" w:rsidR="009B79D8" w:rsidRPr="00F11A6D" w:rsidRDefault="009B79D8" w:rsidP="00F11A6D">
      <w:pPr>
        <w:spacing w:line="312" w:lineRule="auto"/>
        <w:jc w:val="both"/>
        <w:rPr>
          <w:rFonts w:ascii="Bookman Old Style" w:hAnsi="Bookman Old Style" w:cs="Segoe UI"/>
          <w:b/>
          <w:sz w:val="18"/>
          <w:szCs w:val="18"/>
        </w:rPr>
      </w:pPr>
    </w:p>
    <w:p w14:paraId="432F4FEF"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7.1. A solução proposta consiste na implantação de um modelo de credenciamento contínuo de terapeutas ocupacionais devidamente habilitados, para a prestação de serviços ambulatoriais especializados no município de Conceição de Ipanema/MG, voltados ao atendimento de crianças com transtornos do neurodesenvolvimento, com idade entre 2 e 12 anos, no âmbito do Sistema Único de Saúde – SUS.</w:t>
      </w:r>
    </w:p>
    <w:p w14:paraId="091A5174" w14:textId="77777777" w:rsidR="009B79D8" w:rsidRPr="009B79D8" w:rsidRDefault="009B79D8" w:rsidP="009B79D8">
      <w:pPr>
        <w:spacing w:line="312" w:lineRule="auto"/>
        <w:jc w:val="both"/>
        <w:rPr>
          <w:rFonts w:ascii="Bookman Old Style" w:hAnsi="Bookman Old Style" w:cs="Segoe UI"/>
          <w:bCs/>
          <w:sz w:val="18"/>
          <w:szCs w:val="18"/>
        </w:rPr>
      </w:pPr>
    </w:p>
    <w:p w14:paraId="51B38982"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7.2. O atendimento será realizado de forma individualizada, mediante encaminhamento da equipe de saúde municipal, em local previamente designado pela Secretaria Municipal de Saúde, dotado de infraestrutura mínima necessária para a execução das atividades, conforme especificado na proposta técnica anexa.</w:t>
      </w:r>
    </w:p>
    <w:p w14:paraId="6FAF2D2B" w14:textId="77777777" w:rsidR="009B79D8" w:rsidRPr="009B79D8" w:rsidRDefault="009B79D8" w:rsidP="009B79D8">
      <w:pPr>
        <w:spacing w:line="312" w:lineRule="auto"/>
        <w:jc w:val="both"/>
        <w:rPr>
          <w:rFonts w:ascii="Bookman Old Style" w:hAnsi="Bookman Old Style" w:cs="Segoe UI"/>
          <w:bCs/>
          <w:sz w:val="18"/>
          <w:szCs w:val="18"/>
        </w:rPr>
      </w:pPr>
    </w:p>
    <w:p w14:paraId="2E64CEDF"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7.3. O profissional credenciado deverá elaborar plano terapêutico específico para cada paciente, com base em avaliação funcional inicial, considerando aspectos motores, cognitivos, sociais e de desempenho ocupacional, utilizando abordagens clínicas baseadas em evidência e metodologias reconhecidas no campo da Terapia Ocupacional Pediátrica.</w:t>
      </w:r>
    </w:p>
    <w:p w14:paraId="6C610B6A" w14:textId="77777777" w:rsidR="009B79D8" w:rsidRPr="009B79D8" w:rsidRDefault="009B79D8" w:rsidP="009B79D8">
      <w:pPr>
        <w:spacing w:line="312" w:lineRule="auto"/>
        <w:jc w:val="both"/>
        <w:rPr>
          <w:rFonts w:ascii="Bookman Old Style" w:hAnsi="Bookman Old Style" w:cs="Segoe UI"/>
          <w:bCs/>
          <w:sz w:val="18"/>
          <w:szCs w:val="18"/>
        </w:rPr>
      </w:pPr>
    </w:p>
    <w:p w14:paraId="61FFC982"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7.4. A prestação dos serviços abrangerá, além do atendimento direto à criança, a orientação e acompanhamento dos responsáveis legais e dos educadores, com vistas à continuidade e eficácia das intervenções terapêuticas no contexto escolar e familiar, promovendo a inclusão e o desenvolvimento funcional da criança.</w:t>
      </w:r>
    </w:p>
    <w:p w14:paraId="2CE25E90" w14:textId="77777777" w:rsidR="009B79D8" w:rsidRPr="009B79D8" w:rsidRDefault="009B79D8" w:rsidP="009B79D8">
      <w:pPr>
        <w:spacing w:line="312" w:lineRule="auto"/>
        <w:jc w:val="both"/>
        <w:rPr>
          <w:rFonts w:ascii="Bookman Old Style" w:hAnsi="Bookman Old Style" w:cs="Segoe UI"/>
          <w:bCs/>
          <w:sz w:val="18"/>
          <w:szCs w:val="18"/>
        </w:rPr>
      </w:pPr>
    </w:p>
    <w:p w14:paraId="03528818"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7.5. Cada profissional credenciado deverá apresentar relatórios mensais de atendimentos realizados, incluindo evolução dos pacientes e indicadores de resultados assistenciais, conforme modelo a ser fornecido pela Administração, de modo a garantir o controle e a avaliação dos serviços prestados.</w:t>
      </w:r>
    </w:p>
    <w:p w14:paraId="103BA2AA" w14:textId="77777777" w:rsidR="009B79D8" w:rsidRPr="009B79D8" w:rsidRDefault="009B79D8" w:rsidP="009B79D8">
      <w:pPr>
        <w:spacing w:line="312" w:lineRule="auto"/>
        <w:jc w:val="both"/>
        <w:rPr>
          <w:rFonts w:ascii="Bookman Old Style" w:hAnsi="Bookman Old Style" w:cs="Segoe UI"/>
          <w:bCs/>
          <w:sz w:val="18"/>
          <w:szCs w:val="18"/>
        </w:rPr>
      </w:pPr>
    </w:p>
    <w:p w14:paraId="5ADC1219"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7.6. O pagamento pelos serviços será realizado com base na quantidade de horas efetivamente prestadas, conforme valor de referência fixado no edital de credenciamento, mediante apresentação de relatório de atividades e nota fiscal, respeitados os prazos e condições estabelecidos em contrato.</w:t>
      </w:r>
    </w:p>
    <w:p w14:paraId="47AF3EB8" w14:textId="77777777" w:rsidR="009B79D8" w:rsidRPr="009B79D8" w:rsidRDefault="009B79D8" w:rsidP="009B79D8">
      <w:pPr>
        <w:spacing w:line="312" w:lineRule="auto"/>
        <w:jc w:val="both"/>
        <w:rPr>
          <w:rFonts w:ascii="Bookman Old Style" w:hAnsi="Bookman Old Style" w:cs="Segoe UI"/>
          <w:bCs/>
          <w:sz w:val="18"/>
          <w:szCs w:val="18"/>
        </w:rPr>
      </w:pPr>
    </w:p>
    <w:p w14:paraId="2905F96E"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7.7. A solução não envolve fornecimento de bens duráveis ou equipamentos de responsabilidade do credenciado, não se aplicando exigências típicas de manutenção técnica ou garantia de funcionamento, uma vez que a execução ocorre exclusivamente por prestação de serviço pessoal e intelectual.</w:t>
      </w:r>
    </w:p>
    <w:p w14:paraId="653EA99B" w14:textId="77777777" w:rsidR="009B79D8" w:rsidRPr="009B79D8" w:rsidRDefault="009B79D8" w:rsidP="009B79D8">
      <w:pPr>
        <w:spacing w:line="312" w:lineRule="auto"/>
        <w:jc w:val="both"/>
        <w:rPr>
          <w:rFonts w:ascii="Bookman Old Style" w:hAnsi="Bookman Old Style" w:cs="Segoe UI"/>
          <w:bCs/>
          <w:sz w:val="18"/>
          <w:szCs w:val="18"/>
        </w:rPr>
      </w:pPr>
    </w:p>
    <w:p w14:paraId="2FFD8570"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7.8. No entanto, a Administração compromete-se a prover o espaço físico apropriado e os insumos mínimos indispensáveis à realização dos atendimentos, como mobiliário adaptado, tatames, materiais lúdico-terapêuticos e recursos auxiliares adequados à prática clínica da Terapia Ocupacional.</w:t>
      </w:r>
    </w:p>
    <w:p w14:paraId="2BF4E345" w14:textId="77777777" w:rsidR="009B79D8" w:rsidRPr="009B79D8" w:rsidRDefault="009B79D8" w:rsidP="009B79D8">
      <w:pPr>
        <w:spacing w:line="312" w:lineRule="auto"/>
        <w:jc w:val="both"/>
        <w:rPr>
          <w:rFonts w:ascii="Bookman Old Style" w:hAnsi="Bookman Old Style" w:cs="Segoe UI"/>
          <w:bCs/>
          <w:sz w:val="18"/>
          <w:szCs w:val="18"/>
        </w:rPr>
      </w:pPr>
    </w:p>
    <w:p w14:paraId="6CBF8FC7" w14:textId="77777777" w:rsidR="009B79D8" w:rsidRPr="009B79D8"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t>7.9. A organização e a gestão da agenda de atendimentos, o chamamento dos usuários, a regulação dos serviços e o controle da demanda serão realizados pela Secretaria Municipal de Saúde, que atuará como gestora do contrato e centralizadora das solicitações de atendimento.</w:t>
      </w:r>
    </w:p>
    <w:p w14:paraId="0BFBAA99" w14:textId="77777777" w:rsidR="009B79D8" w:rsidRPr="009B79D8" w:rsidRDefault="009B79D8" w:rsidP="009B79D8">
      <w:pPr>
        <w:spacing w:line="312" w:lineRule="auto"/>
        <w:jc w:val="both"/>
        <w:rPr>
          <w:rFonts w:ascii="Bookman Old Style" w:hAnsi="Bookman Old Style" w:cs="Segoe UI"/>
          <w:bCs/>
          <w:sz w:val="18"/>
          <w:szCs w:val="18"/>
        </w:rPr>
      </w:pPr>
    </w:p>
    <w:p w14:paraId="6EEAAFE5" w14:textId="50CC793C" w:rsidR="00F11A6D" w:rsidRDefault="009B79D8" w:rsidP="009B79D8">
      <w:pPr>
        <w:spacing w:line="312" w:lineRule="auto"/>
        <w:jc w:val="both"/>
        <w:rPr>
          <w:rFonts w:ascii="Bookman Old Style" w:hAnsi="Bookman Old Style" w:cs="Segoe UI"/>
          <w:bCs/>
          <w:sz w:val="18"/>
          <w:szCs w:val="18"/>
        </w:rPr>
      </w:pPr>
      <w:r w:rsidRPr="009B79D8">
        <w:rPr>
          <w:rFonts w:ascii="Bookman Old Style" w:hAnsi="Bookman Old Style" w:cs="Segoe UI"/>
          <w:bCs/>
          <w:sz w:val="18"/>
          <w:szCs w:val="18"/>
        </w:rPr>
        <w:lastRenderedPageBreak/>
        <w:t>7.10. O modelo proposto garante elevada flexibilidade, possibilitando que o Município ajuste a quantidade de horas contratadas conforme a evolução da demanda, sem comprometimento orçamentário fixo e sem a necessidade de abertura de novo certame a cada profissional interessado, promovendo economicidade, eficiência e continuidade do serviço público.</w:t>
      </w:r>
    </w:p>
    <w:p w14:paraId="600BD649" w14:textId="77777777" w:rsidR="009B79D8" w:rsidRPr="00F11A6D" w:rsidRDefault="009B79D8" w:rsidP="009B79D8">
      <w:pPr>
        <w:spacing w:line="312" w:lineRule="auto"/>
        <w:jc w:val="both"/>
        <w:rPr>
          <w:rFonts w:ascii="Bookman Old Style" w:hAnsi="Bookman Old Style" w:cs="Segoe UI"/>
          <w:b/>
          <w:sz w:val="18"/>
          <w:szCs w:val="18"/>
        </w:rPr>
      </w:pPr>
    </w:p>
    <w:p w14:paraId="3C6AE19F" w14:textId="77777777"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8. Da justificativa para o parcelamento ou não da contratação</w:t>
      </w:r>
    </w:p>
    <w:p w14:paraId="0E3D2340" w14:textId="77777777" w:rsidR="00D90A78" w:rsidRDefault="00D90A78" w:rsidP="00D90A78">
      <w:pPr>
        <w:spacing w:line="312" w:lineRule="auto"/>
        <w:jc w:val="both"/>
        <w:rPr>
          <w:rFonts w:ascii="Bookman Old Style" w:hAnsi="Bookman Old Style" w:cs="Segoe UI"/>
          <w:bCs/>
          <w:sz w:val="18"/>
          <w:szCs w:val="18"/>
        </w:rPr>
      </w:pPr>
    </w:p>
    <w:p w14:paraId="7F6C2074" w14:textId="7BE15314" w:rsidR="00D90A78" w:rsidRPr="00D90A78" w:rsidRDefault="00D90A78" w:rsidP="00D90A78">
      <w:pPr>
        <w:spacing w:line="312" w:lineRule="auto"/>
        <w:jc w:val="both"/>
        <w:rPr>
          <w:rFonts w:ascii="Bookman Old Style" w:hAnsi="Bookman Old Style" w:cs="Segoe UI"/>
          <w:bCs/>
          <w:sz w:val="18"/>
          <w:szCs w:val="18"/>
        </w:rPr>
      </w:pPr>
      <w:r w:rsidRPr="00D90A78">
        <w:rPr>
          <w:rFonts w:ascii="Bookman Old Style" w:hAnsi="Bookman Old Style" w:cs="Segoe UI"/>
          <w:bCs/>
          <w:sz w:val="18"/>
          <w:szCs w:val="18"/>
        </w:rPr>
        <w:t>8.1. O objeto da presente contratação refere-se à prestação de serviços técnicos especializados de Terapia Ocupacional, de natureza predominantemente intelectual e personalizada, destinados a atender crianças com transtornos do neurodesenvolvimento, no âmbito do SUS municipal, por meio de credenciamento de profissionais habilitados.</w:t>
      </w:r>
    </w:p>
    <w:p w14:paraId="722600D7" w14:textId="77777777" w:rsidR="00D90A78" w:rsidRPr="00D90A78" w:rsidRDefault="00D90A78" w:rsidP="00D90A78">
      <w:pPr>
        <w:spacing w:line="312" w:lineRule="auto"/>
        <w:jc w:val="both"/>
        <w:rPr>
          <w:rFonts w:ascii="Bookman Old Style" w:hAnsi="Bookman Old Style" w:cs="Segoe UI"/>
          <w:bCs/>
          <w:sz w:val="18"/>
          <w:szCs w:val="18"/>
        </w:rPr>
      </w:pPr>
    </w:p>
    <w:p w14:paraId="36FB3E4E" w14:textId="77777777" w:rsidR="00D90A78" w:rsidRPr="00D90A78" w:rsidRDefault="00D90A78" w:rsidP="00D90A78">
      <w:pPr>
        <w:spacing w:line="312" w:lineRule="auto"/>
        <w:jc w:val="both"/>
        <w:rPr>
          <w:rFonts w:ascii="Bookman Old Style" w:hAnsi="Bookman Old Style" w:cs="Segoe UI"/>
          <w:bCs/>
          <w:sz w:val="18"/>
          <w:szCs w:val="18"/>
        </w:rPr>
      </w:pPr>
      <w:r w:rsidRPr="00D90A78">
        <w:rPr>
          <w:rFonts w:ascii="Bookman Old Style" w:hAnsi="Bookman Old Style" w:cs="Segoe UI"/>
          <w:bCs/>
          <w:sz w:val="18"/>
          <w:szCs w:val="18"/>
        </w:rPr>
        <w:t>8.2. Considerando a natureza do objeto e o modelo jurídico escolhido — o credenciamento por inexigibilidade de licitação —, não se aplica o conceito clássico de parcelamento, como ocorre nas contratações por pregão ou concorrência. No credenciamento, a Administração habilita todos os interessados que preencham os requisitos legais, não havendo divisão do objeto, mas sim multiplicidade de executantes para uma mesma atividade.</w:t>
      </w:r>
    </w:p>
    <w:p w14:paraId="5F91F619" w14:textId="77777777" w:rsidR="00D90A78" w:rsidRPr="00D90A78" w:rsidRDefault="00D90A78" w:rsidP="00D90A78">
      <w:pPr>
        <w:spacing w:line="312" w:lineRule="auto"/>
        <w:jc w:val="both"/>
        <w:rPr>
          <w:rFonts w:ascii="Bookman Old Style" w:hAnsi="Bookman Old Style" w:cs="Segoe UI"/>
          <w:bCs/>
          <w:sz w:val="18"/>
          <w:szCs w:val="18"/>
        </w:rPr>
      </w:pPr>
    </w:p>
    <w:p w14:paraId="7D9B0D05" w14:textId="77777777" w:rsidR="00D90A78" w:rsidRPr="00D90A78" w:rsidRDefault="00D90A78" w:rsidP="00D90A78">
      <w:pPr>
        <w:spacing w:line="312" w:lineRule="auto"/>
        <w:jc w:val="both"/>
        <w:rPr>
          <w:rFonts w:ascii="Bookman Old Style" w:hAnsi="Bookman Old Style" w:cs="Segoe UI"/>
          <w:bCs/>
          <w:sz w:val="18"/>
          <w:szCs w:val="18"/>
        </w:rPr>
      </w:pPr>
      <w:r w:rsidRPr="00D90A78">
        <w:rPr>
          <w:rFonts w:ascii="Bookman Old Style" w:hAnsi="Bookman Old Style" w:cs="Segoe UI"/>
          <w:bCs/>
          <w:sz w:val="18"/>
          <w:szCs w:val="18"/>
        </w:rPr>
        <w:t>8.3. Todavia, do ponto de vista da lógica operacional da prestação dos serviços, pode-se afirmar que o credenciamento viabiliza, por si só, uma forma de execução fracionada, descentralizada e paralela, uma vez que os atendimentos serão distribuídos entre os diversos profissionais credenciados, conforme a demanda, disponibilidade e organização administrativa da Secretaria Municipal de Saúde.</w:t>
      </w:r>
    </w:p>
    <w:p w14:paraId="404F8741" w14:textId="77777777" w:rsidR="00D90A78" w:rsidRPr="00D90A78" w:rsidRDefault="00D90A78" w:rsidP="00D90A78">
      <w:pPr>
        <w:spacing w:line="312" w:lineRule="auto"/>
        <w:jc w:val="both"/>
        <w:rPr>
          <w:rFonts w:ascii="Bookman Old Style" w:hAnsi="Bookman Old Style" w:cs="Segoe UI"/>
          <w:bCs/>
          <w:sz w:val="18"/>
          <w:szCs w:val="18"/>
        </w:rPr>
      </w:pPr>
    </w:p>
    <w:p w14:paraId="4604ADFE" w14:textId="77777777" w:rsidR="00D90A78" w:rsidRPr="00D90A78" w:rsidRDefault="00D90A78" w:rsidP="00D90A78">
      <w:pPr>
        <w:spacing w:line="312" w:lineRule="auto"/>
        <w:jc w:val="both"/>
        <w:rPr>
          <w:rFonts w:ascii="Bookman Old Style" w:hAnsi="Bookman Old Style" w:cs="Segoe UI"/>
          <w:bCs/>
          <w:sz w:val="18"/>
          <w:szCs w:val="18"/>
        </w:rPr>
      </w:pPr>
      <w:r w:rsidRPr="00D90A78">
        <w:rPr>
          <w:rFonts w:ascii="Bookman Old Style" w:hAnsi="Bookman Old Style" w:cs="Segoe UI"/>
          <w:bCs/>
          <w:sz w:val="18"/>
          <w:szCs w:val="18"/>
        </w:rPr>
        <w:t>8.4. Sob essa perspectiva, a adoção do credenciamento atende ao princípio do parcelamento previsto no art. 40 da Lei nº 14.133/2021, na medida em que evita a concentração da execução contratual em um único prestador, estimula a participação de profissionais locais ou regionais e permite o ajuste da contratação à realidade de pequenos municípios.</w:t>
      </w:r>
    </w:p>
    <w:p w14:paraId="3C93B9E6" w14:textId="77777777" w:rsidR="00D90A78" w:rsidRPr="00D90A78" w:rsidRDefault="00D90A78" w:rsidP="00D90A78">
      <w:pPr>
        <w:spacing w:line="312" w:lineRule="auto"/>
        <w:jc w:val="both"/>
        <w:rPr>
          <w:rFonts w:ascii="Bookman Old Style" w:hAnsi="Bookman Old Style" w:cs="Segoe UI"/>
          <w:bCs/>
          <w:sz w:val="18"/>
          <w:szCs w:val="18"/>
        </w:rPr>
      </w:pPr>
    </w:p>
    <w:p w14:paraId="0A4F711E" w14:textId="77777777" w:rsidR="00D90A78" w:rsidRPr="00D90A78" w:rsidRDefault="00D90A78" w:rsidP="00D90A78">
      <w:pPr>
        <w:spacing w:line="312" w:lineRule="auto"/>
        <w:jc w:val="both"/>
        <w:rPr>
          <w:rFonts w:ascii="Bookman Old Style" w:hAnsi="Bookman Old Style" w:cs="Segoe UI"/>
          <w:bCs/>
          <w:sz w:val="18"/>
          <w:szCs w:val="18"/>
        </w:rPr>
      </w:pPr>
      <w:r w:rsidRPr="00D90A78">
        <w:rPr>
          <w:rFonts w:ascii="Bookman Old Style" w:hAnsi="Bookman Old Style" w:cs="Segoe UI"/>
          <w:bCs/>
          <w:sz w:val="18"/>
          <w:szCs w:val="18"/>
        </w:rPr>
        <w:t>8.5. A não adoção do parcelamento clássico justifica-se, portanto, pela adoção de modelo jurídico específico — o credenciamento — cuja própria essência pressupõe múltiplos prestadores, sem competição direta entre si, com ingresso paralelo, contínuo e não excludente.</w:t>
      </w:r>
    </w:p>
    <w:p w14:paraId="24B34718" w14:textId="77777777" w:rsidR="00D90A78" w:rsidRPr="00D90A78" w:rsidRDefault="00D90A78" w:rsidP="00D90A78">
      <w:pPr>
        <w:spacing w:line="312" w:lineRule="auto"/>
        <w:jc w:val="both"/>
        <w:rPr>
          <w:rFonts w:ascii="Bookman Old Style" w:hAnsi="Bookman Old Style" w:cs="Segoe UI"/>
          <w:bCs/>
          <w:sz w:val="18"/>
          <w:szCs w:val="18"/>
        </w:rPr>
      </w:pPr>
    </w:p>
    <w:p w14:paraId="0CBB2A3B" w14:textId="77777777" w:rsidR="00D90A78" w:rsidRPr="00D90A78" w:rsidRDefault="00D90A78" w:rsidP="00D90A78">
      <w:pPr>
        <w:spacing w:line="312" w:lineRule="auto"/>
        <w:jc w:val="both"/>
        <w:rPr>
          <w:rFonts w:ascii="Bookman Old Style" w:hAnsi="Bookman Old Style" w:cs="Segoe UI"/>
          <w:bCs/>
          <w:sz w:val="18"/>
          <w:szCs w:val="18"/>
        </w:rPr>
      </w:pPr>
      <w:r w:rsidRPr="00D90A78">
        <w:rPr>
          <w:rFonts w:ascii="Bookman Old Style" w:hAnsi="Bookman Old Style" w:cs="Segoe UI"/>
          <w:bCs/>
          <w:sz w:val="18"/>
          <w:szCs w:val="18"/>
        </w:rPr>
        <w:t>8.6. Ademais, a fixação de um único contrato com divisão formal do objeto entre diferentes lotes ou frentes de atendimento poderia, inclusive, inviabilizar a contratação, diante da inexistência de empresas locais com estrutura suficiente para coordenar profissionais dessa natureza, além de contrariar os princípios da impessoalidade e da isonomia que regem o credenciamento.</w:t>
      </w:r>
    </w:p>
    <w:p w14:paraId="034FC9FE" w14:textId="77777777" w:rsidR="00D90A78" w:rsidRPr="00D90A78" w:rsidRDefault="00D90A78" w:rsidP="00D90A78">
      <w:pPr>
        <w:spacing w:line="312" w:lineRule="auto"/>
        <w:jc w:val="both"/>
        <w:rPr>
          <w:rFonts w:ascii="Bookman Old Style" w:hAnsi="Bookman Old Style" w:cs="Segoe UI"/>
          <w:bCs/>
          <w:sz w:val="18"/>
          <w:szCs w:val="18"/>
        </w:rPr>
      </w:pPr>
    </w:p>
    <w:p w14:paraId="6476D600" w14:textId="2704BD5D" w:rsidR="00F11A6D" w:rsidRDefault="00D90A78" w:rsidP="00D90A78">
      <w:pPr>
        <w:spacing w:line="312" w:lineRule="auto"/>
        <w:jc w:val="both"/>
        <w:rPr>
          <w:rFonts w:ascii="Bookman Old Style" w:hAnsi="Bookman Old Style" w:cs="Segoe UI"/>
          <w:bCs/>
          <w:sz w:val="18"/>
          <w:szCs w:val="18"/>
        </w:rPr>
      </w:pPr>
      <w:r w:rsidRPr="00D90A78">
        <w:rPr>
          <w:rFonts w:ascii="Bookman Old Style" w:hAnsi="Bookman Old Style" w:cs="Segoe UI"/>
          <w:bCs/>
          <w:sz w:val="18"/>
          <w:szCs w:val="18"/>
        </w:rPr>
        <w:t>8.7. Por todo o exposto, conclui-se que o modelo adotado supre, de maneira mais eficiente, os objetivos buscados com o parcelamento, promovendo a ampliação do acesso, a descentralização da execução e a melhor alocação de recursos, sem comprometer a qualidade técnica dos serviços prestados.</w:t>
      </w:r>
    </w:p>
    <w:p w14:paraId="2EF28FCC" w14:textId="77777777" w:rsidR="00D90A78" w:rsidRPr="00F11A6D" w:rsidRDefault="00D90A78" w:rsidP="00D90A78">
      <w:pPr>
        <w:spacing w:line="312" w:lineRule="auto"/>
        <w:jc w:val="both"/>
        <w:rPr>
          <w:rFonts w:ascii="Bookman Old Style" w:hAnsi="Bookman Old Style" w:cs="Segoe UI"/>
          <w:b/>
          <w:sz w:val="18"/>
          <w:szCs w:val="18"/>
        </w:rPr>
      </w:pPr>
    </w:p>
    <w:p w14:paraId="3DFCA7A6" w14:textId="77777777"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9. Do demonstrativo dos resultados pretendidos em termo de economicidade e de melhor aproveitamento dos recursos humanos, materiais e financeiros disponíveis</w:t>
      </w:r>
    </w:p>
    <w:p w14:paraId="20B8697E" w14:textId="7777777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lastRenderedPageBreak/>
        <w:t>9.1. O resultado pretendido em termo de economicidade ocorre de forma indireta, evitando altos gastos com reparos emergenciais ou acumulados, bem como o prolongamento da vida útil dos bens públicos.</w:t>
      </w:r>
    </w:p>
    <w:p w14:paraId="5DB3C69C" w14:textId="7777777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9.2. Não há resultado pretendido em termo de melhor aproveitamento dos recursos humanos, considerando que a Administração está justamente contratando mão de obra;</w:t>
      </w:r>
    </w:p>
    <w:p w14:paraId="54D74595" w14:textId="7777777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9.3. Não há resultado pretendido em termo de melhor aproveitamento dos recursos materiais, considerando que a maioria dos serviços serão executados com materiais dos próprios prestados de serviços;</w:t>
      </w:r>
    </w:p>
    <w:p w14:paraId="3721904F" w14:textId="2A83433A"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Cs/>
          <w:sz w:val="18"/>
          <w:szCs w:val="18"/>
        </w:rPr>
        <w:t>9.4. O resultado pretendido e termo de melhor aproveitamento dos recursos financeiros é que os serviços serão contratados conforme a necessidade da Administração, em regime de demanda.</w:t>
      </w:r>
      <w:r w:rsidRPr="00F11A6D">
        <w:rPr>
          <w:rFonts w:ascii="Bookman Old Style" w:hAnsi="Bookman Old Style" w:cs="Segoe UI"/>
          <w:b/>
          <w:sz w:val="18"/>
          <w:szCs w:val="18"/>
        </w:rPr>
        <w:t xml:space="preserve"> </w:t>
      </w:r>
      <w:r w:rsidRPr="00F11A6D">
        <w:rPr>
          <w:rFonts w:ascii="Bookman Old Style" w:hAnsi="Bookman Old Style" w:cs="Segoe UI"/>
          <w:b/>
          <w:sz w:val="18"/>
          <w:szCs w:val="18"/>
        </w:rPr>
        <w:tab/>
      </w:r>
    </w:p>
    <w:p w14:paraId="1DA9ECD6" w14:textId="77777777" w:rsidR="00F11A6D" w:rsidRPr="00F11A6D" w:rsidRDefault="00F11A6D" w:rsidP="00F11A6D">
      <w:pPr>
        <w:spacing w:line="312" w:lineRule="auto"/>
        <w:jc w:val="both"/>
        <w:rPr>
          <w:rFonts w:ascii="Bookman Old Style" w:hAnsi="Bookman Old Style" w:cs="Segoe UI"/>
          <w:b/>
          <w:sz w:val="18"/>
          <w:szCs w:val="18"/>
        </w:rPr>
      </w:pPr>
    </w:p>
    <w:p w14:paraId="1AEF81D2" w14:textId="77777777"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10. Das providências a serem adotadas pela Administração previamente à celebração do contrato administrativo, inclusive quanto à capacitação de servidores públicos municipais para fiscalização e gestão contratual</w:t>
      </w:r>
    </w:p>
    <w:p w14:paraId="689B751F" w14:textId="77777777" w:rsidR="00D90A78" w:rsidRDefault="00D90A78" w:rsidP="00F11A6D">
      <w:pPr>
        <w:spacing w:line="312" w:lineRule="auto"/>
        <w:jc w:val="both"/>
        <w:rPr>
          <w:rFonts w:ascii="Bookman Old Style" w:hAnsi="Bookman Old Style" w:cs="Segoe UI"/>
          <w:bCs/>
          <w:sz w:val="18"/>
          <w:szCs w:val="18"/>
        </w:rPr>
      </w:pPr>
    </w:p>
    <w:p w14:paraId="715411FA" w14:textId="08B6D1CE"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10.1. A Administração não possui providências a serem adotadas previamente à celebração do contrato administrativo.</w:t>
      </w:r>
    </w:p>
    <w:p w14:paraId="4142A8F8" w14:textId="77777777" w:rsidR="00F11A6D" w:rsidRPr="00F11A6D" w:rsidRDefault="00F11A6D" w:rsidP="00F11A6D">
      <w:pPr>
        <w:spacing w:line="312" w:lineRule="auto"/>
        <w:jc w:val="both"/>
        <w:rPr>
          <w:rFonts w:ascii="Bookman Old Style" w:hAnsi="Bookman Old Style" w:cs="Segoe UI"/>
          <w:b/>
          <w:sz w:val="18"/>
          <w:szCs w:val="18"/>
        </w:rPr>
      </w:pPr>
    </w:p>
    <w:p w14:paraId="35590364" w14:textId="77777777"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 xml:space="preserve">11. Das contratações correlatas e/ou interdependentes </w:t>
      </w:r>
    </w:p>
    <w:p w14:paraId="3C31518F" w14:textId="77777777" w:rsidR="00D90A78" w:rsidRDefault="00D90A78" w:rsidP="00F11A6D">
      <w:pPr>
        <w:spacing w:line="312" w:lineRule="auto"/>
        <w:jc w:val="both"/>
        <w:rPr>
          <w:rFonts w:ascii="Bookman Old Style" w:hAnsi="Bookman Old Style" w:cs="Segoe UI"/>
          <w:bCs/>
          <w:sz w:val="18"/>
          <w:szCs w:val="18"/>
        </w:rPr>
      </w:pPr>
    </w:p>
    <w:p w14:paraId="32E3F03E" w14:textId="2EE90353"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 xml:space="preserve">11.1. Não existiu ou existem contratações correlatas e/ou interdependentes no âmbito da Administração. </w:t>
      </w:r>
    </w:p>
    <w:p w14:paraId="6D8436FD" w14:textId="77777777" w:rsidR="00F11A6D" w:rsidRPr="00F11A6D" w:rsidRDefault="00F11A6D" w:rsidP="00F11A6D">
      <w:pPr>
        <w:spacing w:line="312" w:lineRule="auto"/>
        <w:jc w:val="both"/>
        <w:rPr>
          <w:rFonts w:ascii="Bookman Old Style" w:hAnsi="Bookman Old Style" w:cs="Segoe UI"/>
          <w:b/>
          <w:sz w:val="18"/>
          <w:szCs w:val="18"/>
        </w:rPr>
      </w:pPr>
    </w:p>
    <w:p w14:paraId="043E7828" w14:textId="77777777"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240E04D4" w14:textId="77777777" w:rsidR="00D90A78" w:rsidRDefault="00D90A78" w:rsidP="00F11A6D">
      <w:pPr>
        <w:spacing w:line="312" w:lineRule="auto"/>
        <w:jc w:val="both"/>
        <w:rPr>
          <w:rFonts w:ascii="Bookman Old Style" w:hAnsi="Bookman Old Style" w:cs="Segoe UI"/>
          <w:bCs/>
          <w:sz w:val="18"/>
          <w:szCs w:val="18"/>
        </w:rPr>
      </w:pPr>
    </w:p>
    <w:p w14:paraId="6B944DE7" w14:textId="4B129C96"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12.1. Não existe impactos ambientais e respectivas medidas mitigadoras.</w:t>
      </w:r>
    </w:p>
    <w:p w14:paraId="337D79AD" w14:textId="77777777" w:rsidR="00F11A6D" w:rsidRPr="00F11A6D" w:rsidRDefault="00F11A6D" w:rsidP="00F11A6D">
      <w:pPr>
        <w:spacing w:line="312" w:lineRule="auto"/>
        <w:jc w:val="both"/>
        <w:rPr>
          <w:rFonts w:ascii="Bookman Old Style" w:hAnsi="Bookman Old Style" w:cs="Segoe UI"/>
          <w:b/>
          <w:sz w:val="18"/>
          <w:szCs w:val="18"/>
        </w:rPr>
      </w:pPr>
    </w:p>
    <w:p w14:paraId="6FB1A4E8" w14:textId="77777777"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13. Do posicionamento conclusivo sobre a adequação da contratação para o atendimento da necessidade a que se destina</w:t>
      </w:r>
    </w:p>
    <w:p w14:paraId="3BFD620D" w14:textId="77777777" w:rsidR="00D90A78" w:rsidRDefault="00D90A78" w:rsidP="00F11A6D">
      <w:pPr>
        <w:spacing w:line="312" w:lineRule="auto"/>
        <w:jc w:val="both"/>
        <w:rPr>
          <w:rFonts w:ascii="Bookman Old Style" w:hAnsi="Bookman Old Style" w:cs="Segoe UI"/>
          <w:bCs/>
          <w:sz w:val="18"/>
          <w:szCs w:val="18"/>
        </w:rPr>
      </w:pPr>
    </w:p>
    <w:p w14:paraId="5BF4D2F8" w14:textId="77777777" w:rsidR="00D90A78" w:rsidRPr="00D90A78" w:rsidRDefault="00D90A78" w:rsidP="00D90A78">
      <w:pPr>
        <w:spacing w:line="312" w:lineRule="auto"/>
        <w:jc w:val="both"/>
        <w:rPr>
          <w:rFonts w:ascii="Bookman Old Style" w:hAnsi="Bookman Old Style" w:cs="Segoe UI"/>
          <w:bCs/>
          <w:sz w:val="18"/>
          <w:szCs w:val="18"/>
        </w:rPr>
      </w:pPr>
      <w:r w:rsidRPr="00D90A78">
        <w:rPr>
          <w:rFonts w:ascii="Bookman Old Style" w:hAnsi="Bookman Old Style" w:cs="Segoe UI"/>
          <w:bCs/>
          <w:sz w:val="18"/>
          <w:szCs w:val="18"/>
        </w:rPr>
        <w:t>13.1. A presente contratação tem por objetivo assegurar a oferta regular, acessível e qualificada de serviços de Terapia Ocupacional ambulatorial à população infantil do Município de Conceição de Ipanema/MG, com foco no atendimento de crianças com transtornos do neurodesenvolvimento no âmbito do Sistema Único de Saúde (SUS).</w:t>
      </w:r>
    </w:p>
    <w:p w14:paraId="5A4E5041" w14:textId="77777777" w:rsidR="00D90A78" w:rsidRPr="00D90A78" w:rsidRDefault="00D90A78" w:rsidP="00D90A78">
      <w:pPr>
        <w:spacing w:line="312" w:lineRule="auto"/>
        <w:jc w:val="both"/>
        <w:rPr>
          <w:rFonts w:ascii="Bookman Old Style" w:hAnsi="Bookman Old Style" w:cs="Segoe UI"/>
          <w:bCs/>
          <w:sz w:val="18"/>
          <w:szCs w:val="18"/>
        </w:rPr>
      </w:pPr>
    </w:p>
    <w:p w14:paraId="0969B77E" w14:textId="77777777" w:rsidR="00D90A78" w:rsidRPr="00D90A78" w:rsidRDefault="00D90A78" w:rsidP="00D90A78">
      <w:pPr>
        <w:spacing w:line="312" w:lineRule="auto"/>
        <w:jc w:val="both"/>
        <w:rPr>
          <w:rFonts w:ascii="Bookman Old Style" w:hAnsi="Bookman Old Style" w:cs="Segoe UI"/>
          <w:bCs/>
          <w:sz w:val="18"/>
          <w:szCs w:val="18"/>
        </w:rPr>
      </w:pPr>
      <w:r w:rsidRPr="00D90A78">
        <w:rPr>
          <w:rFonts w:ascii="Bookman Old Style" w:hAnsi="Bookman Old Style" w:cs="Segoe UI"/>
          <w:bCs/>
          <w:sz w:val="18"/>
          <w:szCs w:val="18"/>
        </w:rPr>
        <w:t>13.2. A análise técnica, econômica e jurídica realizada ao longo deste Estudo Técnico Preliminar evidenciou que a demanda não pode ser suprida pela estrutura própria da Administração, tampouco por meio de contratação direta ou licitação convencional, dada a natureza intelectual, especializada e personalizada do serviço.</w:t>
      </w:r>
    </w:p>
    <w:p w14:paraId="37B10323" w14:textId="77777777" w:rsidR="00D90A78" w:rsidRPr="00D90A78" w:rsidRDefault="00D90A78" w:rsidP="00D90A78">
      <w:pPr>
        <w:spacing w:line="312" w:lineRule="auto"/>
        <w:jc w:val="both"/>
        <w:rPr>
          <w:rFonts w:ascii="Bookman Old Style" w:hAnsi="Bookman Old Style" w:cs="Segoe UI"/>
          <w:bCs/>
          <w:sz w:val="18"/>
          <w:szCs w:val="18"/>
        </w:rPr>
      </w:pPr>
    </w:p>
    <w:p w14:paraId="1CD22F8E" w14:textId="77777777" w:rsidR="00D90A78" w:rsidRPr="00D90A78" w:rsidRDefault="00D90A78" w:rsidP="00D90A78">
      <w:pPr>
        <w:spacing w:line="312" w:lineRule="auto"/>
        <w:jc w:val="both"/>
        <w:rPr>
          <w:rFonts w:ascii="Bookman Old Style" w:hAnsi="Bookman Old Style" w:cs="Segoe UI"/>
          <w:bCs/>
          <w:sz w:val="18"/>
          <w:szCs w:val="18"/>
        </w:rPr>
      </w:pPr>
      <w:r w:rsidRPr="00D90A78">
        <w:rPr>
          <w:rFonts w:ascii="Bookman Old Style" w:hAnsi="Bookman Old Style" w:cs="Segoe UI"/>
          <w:bCs/>
          <w:sz w:val="18"/>
          <w:szCs w:val="18"/>
        </w:rPr>
        <w:t xml:space="preserve">13.3. A adoção do procedimento de credenciamento por inexigibilidade de licitação, previsto no art. 74, inciso II, combinado com o art. 79 da Lei nº 14.133/2021, revelou-se a alternativa mais adequada ao caso concreto, por permitir o atendimento contínuo, descentralizado e flexível, com remuneração </w:t>
      </w:r>
      <w:r w:rsidRPr="00D90A78">
        <w:rPr>
          <w:rFonts w:ascii="Bookman Old Style" w:hAnsi="Bookman Old Style" w:cs="Segoe UI"/>
          <w:bCs/>
          <w:sz w:val="18"/>
          <w:szCs w:val="18"/>
        </w:rPr>
        <w:lastRenderedPageBreak/>
        <w:t>padronizada e sem restrição de número de prestadores, garantindo, assim, a universalização do acesso e a observância do princípio da isonomia.</w:t>
      </w:r>
    </w:p>
    <w:p w14:paraId="46772C42" w14:textId="77777777" w:rsidR="00D90A78" w:rsidRPr="00D90A78" w:rsidRDefault="00D90A78" w:rsidP="00D90A78">
      <w:pPr>
        <w:spacing w:line="312" w:lineRule="auto"/>
        <w:jc w:val="both"/>
        <w:rPr>
          <w:rFonts w:ascii="Bookman Old Style" w:hAnsi="Bookman Old Style" w:cs="Segoe UI"/>
          <w:bCs/>
          <w:sz w:val="18"/>
          <w:szCs w:val="18"/>
        </w:rPr>
      </w:pPr>
    </w:p>
    <w:p w14:paraId="64E9B95D" w14:textId="77777777" w:rsidR="00D90A78" w:rsidRPr="00D90A78" w:rsidRDefault="00D90A78" w:rsidP="00D90A78">
      <w:pPr>
        <w:spacing w:line="312" w:lineRule="auto"/>
        <w:jc w:val="both"/>
        <w:rPr>
          <w:rFonts w:ascii="Bookman Old Style" w:hAnsi="Bookman Old Style" w:cs="Segoe UI"/>
          <w:bCs/>
          <w:sz w:val="18"/>
          <w:szCs w:val="18"/>
        </w:rPr>
      </w:pPr>
      <w:r w:rsidRPr="00D90A78">
        <w:rPr>
          <w:rFonts w:ascii="Bookman Old Style" w:hAnsi="Bookman Old Style" w:cs="Segoe UI"/>
          <w:bCs/>
          <w:sz w:val="18"/>
          <w:szCs w:val="18"/>
        </w:rPr>
        <w:t>13.4. O credenciamento, por sua própria natureza, viabiliza a participação de todos os interessados que comprovem habilitação mínima, sem procedimento competitivo, o que assegura maior capilaridade na prestação do serviço, otimização do atendimento e economicidade à Administração, uma vez que os pagamentos se darão exclusivamente pelas horas efetivamente trabalhadas.</w:t>
      </w:r>
    </w:p>
    <w:p w14:paraId="7579195F" w14:textId="77777777" w:rsidR="00D90A78" w:rsidRPr="00D90A78" w:rsidRDefault="00D90A78" w:rsidP="00D90A78">
      <w:pPr>
        <w:spacing w:line="312" w:lineRule="auto"/>
        <w:jc w:val="both"/>
        <w:rPr>
          <w:rFonts w:ascii="Bookman Old Style" w:hAnsi="Bookman Old Style" w:cs="Segoe UI"/>
          <w:bCs/>
          <w:sz w:val="18"/>
          <w:szCs w:val="18"/>
        </w:rPr>
      </w:pPr>
    </w:p>
    <w:p w14:paraId="41CF43A1" w14:textId="77777777" w:rsidR="00D90A78" w:rsidRPr="00D90A78" w:rsidRDefault="00D90A78" w:rsidP="00D90A78">
      <w:pPr>
        <w:spacing w:line="312" w:lineRule="auto"/>
        <w:jc w:val="both"/>
        <w:rPr>
          <w:rFonts w:ascii="Bookman Old Style" w:hAnsi="Bookman Old Style" w:cs="Segoe UI"/>
          <w:bCs/>
          <w:sz w:val="18"/>
          <w:szCs w:val="18"/>
        </w:rPr>
      </w:pPr>
      <w:r w:rsidRPr="00D90A78">
        <w:rPr>
          <w:rFonts w:ascii="Bookman Old Style" w:hAnsi="Bookman Old Style" w:cs="Segoe UI"/>
          <w:bCs/>
          <w:sz w:val="18"/>
          <w:szCs w:val="18"/>
        </w:rPr>
        <w:t>13.5. Além de juridicamente viável, a solução está em consonância com as diretrizes da Política Nacional de Saúde da Pessoa com Deficiência, da Rede de Cuidados à Pessoa com Deficiência no SUS, e com os princípios constitucionais que regem a Administração Pública, em especial a eficiência, a legalidade, a continuidade do serviço público e a supremacia do interesse público.</w:t>
      </w:r>
    </w:p>
    <w:p w14:paraId="4762438A" w14:textId="77777777" w:rsidR="00D90A78" w:rsidRPr="00D90A78" w:rsidRDefault="00D90A78" w:rsidP="00D90A78">
      <w:pPr>
        <w:spacing w:line="312" w:lineRule="auto"/>
        <w:jc w:val="both"/>
        <w:rPr>
          <w:rFonts w:ascii="Bookman Old Style" w:hAnsi="Bookman Old Style" w:cs="Segoe UI"/>
          <w:bCs/>
          <w:sz w:val="18"/>
          <w:szCs w:val="18"/>
        </w:rPr>
      </w:pPr>
    </w:p>
    <w:p w14:paraId="44A41B73" w14:textId="1FC5ECFC" w:rsidR="00F11A6D" w:rsidRDefault="00D90A78" w:rsidP="00D90A78">
      <w:pPr>
        <w:spacing w:line="312" w:lineRule="auto"/>
        <w:jc w:val="both"/>
        <w:rPr>
          <w:rFonts w:ascii="Bookman Old Style" w:hAnsi="Bookman Old Style" w:cs="Segoe UI"/>
          <w:bCs/>
          <w:sz w:val="18"/>
          <w:szCs w:val="18"/>
        </w:rPr>
      </w:pPr>
      <w:r w:rsidRPr="00D90A78">
        <w:rPr>
          <w:rFonts w:ascii="Bookman Old Style" w:hAnsi="Bookman Old Style" w:cs="Segoe UI"/>
          <w:bCs/>
          <w:sz w:val="18"/>
          <w:szCs w:val="18"/>
        </w:rPr>
        <w:t>13.6. Por fim, conclui-se que a contratação ora proposta, pela via do credenciamento, é técnica, jurídica e economicamente adequada ao atendimento do interesse público e da política municipal de saúde, estando em plena conformidade com os fundamentos legais e os objetivos institucionais da Secretaria Municipal de Saúde de Conceição de Ipanema/MG.</w:t>
      </w:r>
    </w:p>
    <w:p w14:paraId="2404CCEF" w14:textId="77777777" w:rsidR="00D90A78" w:rsidRPr="00F11A6D" w:rsidRDefault="00D90A78" w:rsidP="00D90A78">
      <w:pPr>
        <w:spacing w:line="312" w:lineRule="auto"/>
        <w:jc w:val="both"/>
        <w:rPr>
          <w:rFonts w:ascii="Bookman Old Style" w:hAnsi="Bookman Old Style" w:cs="Segoe UI"/>
          <w:bCs/>
          <w:sz w:val="18"/>
          <w:szCs w:val="18"/>
        </w:rPr>
      </w:pPr>
    </w:p>
    <w:p w14:paraId="66BDE823" w14:textId="6DC76C35"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14. Das disposições gerais</w:t>
      </w:r>
    </w:p>
    <w:p w14:paraId="6CB7413B" w14:textId="77777777" w:rsidR="00D90A78" w:rsidRDefault="00D90A78" w:rsidP="00F11A6D">
      <w:pPr>
        <w:spacing w:line="312" w:lineRule="auto"/>
        <w:jc w:val="both"/>
        <w:rPr>
          <w:rFonts w:ascii="Bookman Old Style" w:hAnsi="Bookman Old Style" w:cs="Segoe UI"/>
          <w:bCs/>
          <w:sz w:val="18"/>
          <w:szCs w:val="18"/>
        </w:rPr>
      </w:pPr>
    </w:p>
    <w:p w14:paraId="23BADC38" w14:textId="02A7716E"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14.1. Admite-se que os elementos constantes do ETP sejam retificados durante a elaboração dos eventuais Termo de Referência – TR –, anteprojeto, projeto básico e projeto executivo.</w:t>
      </w:r>
    </w:p>
    <w:p w14:paraId="529F1008" w14:textId="1A27FA0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 xml:space="preserve">14.2. Estima-se que </w:t>
      </w:r>
      <w:r w:rsidR="00923BD0">
        <w:rPr>
          <w:rFonts w:ascii="Bookman Old Style" w:hAnsi="Bookman Old Style" w:cs="Segoe UI"/>
          <w:bCs/>
          <w:sz w:val="18"/>
          <w:szCs w:val="18"/>
        </w:rPr>
        <w:t>10</w:t>
      </w:r>
      <w:r w:rsidRPr="00F11A6D">
        <w:rPr>
          <w:rFonts w:ascii="Bookman Old Style" w:hAnsi="Bookman Old Style" w:cs="Segoe UI"/>
          <w:bCs/>
          <w:sz w:val="18"/>
          <w:szCs w:val="18"/>
        </w:rPr>
        <w:t xml:space="preserve"> credenciado(a)(s) </w:t>
      </w:r>
      <w:r w:rsidR="00923BD0">
        <w:rPr>
          <w:rFonts w:ascii="Bookman Old Style" w:hAnsi="Bookman Old Style" w:cs="Segoe UI"/>
          <w:bCs/>
          <w:sz w:val="18"/>
          <w:szCs w:val="18"/>
        </w:rPr>
        <w:t xml:space="preserve">por item </w:t>
      </w:r>
      <w:r w:rsidRPr="00F11A6D">
        <w:rPr>
          <w:rFonts w:ascii="Bookman Old Style" w:hAnsi="Bookman Old Style" w:cs="Segoe UI"/>
          <w:bCs/>
          <w:sz w:val="18"/>
          <w:szCs w:val="18"/>
        </w:rPr>
        <w:t>são necessários para a realização do serviços.</w:t>
      </w:r>
    </w:p>
    <w:p w14:paraId="3B36EBE2" w14:textId="77777777" w:rsidR="00F11A6D" w:rsidRPr="00F11A6D" w:rsidRDefault="00F11A6D" w:rsidP="00F11A6D">
      <w:pPr>
        <w:spacing w:line="312" w:lineRule="auto"/>
        <w:jc w:val="both"/>
        <w:rPr>
          <w:rFonts w:ascii="Bookman Old Style" w:hAnsi="Bookman Old Style" w:cs="Segoe UI"/>
          <w:b/>
          <w:sz w:val="18"/>
          <w:szCs w:val="18"/>
        </w:rPr>
      </w:pPr>
    </w:p>
    <w:p w14:paraId="479F2668" w14:textId="0E9D80A3" w:rsidR="004B5F85" w:rsidRPr="00F11A6D" w:rsidRDefault="00F11A6D" w:rsidP="00960362">
      <w:pPr>
        <w:spacing w:line="312" w:lineRule="auto"/>
        <w:jc w:val="right"/>
        <w:rPr>
          <w:rFonts w:ascii="Bookman Old Style" w:hAnsi="Bookman Old Style" w:cs="Segoe UI"/>
          <w:b/>
          <w:sz w:val="18"/>
          <w:szCs w:val="18"/>
        </w:rPr>
      </w:pPr>
      <w:r>
        <w:rPr>
          <w:rFonts w:ascii="Bookman Old Style" w:hAnsi="Bookman Old Style" w:cs="Segoe UI"/>
          <w:b/>
          <w:sz w:val="18"/>
          <w:szCs w:val="18"/>
        </w:rPr>
        <w:t>Conceição de Ipanema</w:t>
      </w:r>
      <w:r w:rsidRPr="00F11A6D">
        <w:rPr>
          <w:rFonts w:ascii="Bookman Old Style" w:hAnsi="Bookman Old Style" w:cs="Segoe UI"/>
          <w:b/>
          <w:sz w:val="18"/>
          <w:szCs w:val="18"/>
        </w:rPr>
        <w:t xml:space="preserve"> – MG, </w:t>
      </w:r>
      <w:r w:rsidR="00960362">
        <w:rPr>
          <w:rFonts w:ascii="Bookman Old Style" w:hAnsi="Bookman Old Style" w:cs="Segoe UI"/>
          <w:b/>
          <w:sz w:val="18"/>
          <w:szCs w:val="18"/>
        </w:rPr>
        <w:t>15</w:t>
      </w:r>
      <w:r w:rsidRPr="00F11A6D">
        <w:rPr>
          <w:rFonts w:ascii="Bookman Old Style" w:hAnsi="Bookman Old Style" w:cs="Segoe UI"/>
          <w:b/>
          <w:sz w:val="18"/>
          <w:szCs w:val="18"/>
        </w:rPr>
        <w:t xml:space="preserve"> de</w:t>
      </w:r>
      <w:r>
        <w:rPr>
          <w:rFonts w:ascii="Bookman Old Style" w:hAnsi="Bookman Old Style" w:cs="Segoe UI"/>
          <w:b/>
          <w:sz w:val="18"/>
          <w:szCs w:val="18"/>
        </w:rPr>
        <w:t xml:space="preserve"> m</w:t>
      </w:r>
      <w:r w:rsidR="00960362">
        <w:rPr>
          <w:rFonts w:ascii="Bookman Old Style" w:hAnsi="Bookman Old Style" w:cs="Segoe UI"/>
          <w:b/>
          <w:sz w:val="18"/>
          <w:szCs w:val="18"/>
        </w:rPr>
        <w:t>aio</w:t>
      </w:r>
      <w:r w:rsidRPr="00F11A6D">
        <w:rPr>
          <w:rFonts w:ascii="Bookman Old Style" w:hAnsi="Bookman Old Style" w:cs="Segoe UI"/>
          <w:b/>
          <w:sz w:val="18"/>
          <w:szCs w:val="18"/>
        </w:rPr>
        <w:t xml:space="preserve"> de 20</w:t>
      </w:r>
      <w:r>
        <w:rPr>
          <w:rFonts w:ascii="Bookman Old Style" w:hAnsi="Bookman Old Style" w:cs="Segoe UI"/>
          <w:b/>
          <w:sz w:val="18"/>
          <w:szCs w:val="18"/>
        </w:rPr>
        <w:t>25</w:t>
      </w:r>
      <w:r w:rsidRPr="00F11A6D">
        <w:rPr>
          <w:rFonts w:ascii="Bookman Old Style" w:hAnsi="Bookman Old Style" w:cs="Segoe UI"/>
          <w:b/>
          <w:sz w:val="18"/>
          <w:szCs w:val="18"/>
        </w:rPr>
        <w:t xml:space="preserve">. </w:t>
      </w:r>
    </w:p>
    <w:p w14:paraId="3F913F32" w14:textId="77777777" w:rsidR="004B5F85" w:rsidRDefault="004B5F85">
      <w:pPr>
        <w:spacing w:line="312" w:lineRule="auto"/>
        <w:jc w:val="both"/>
        <w:rPr>
          <w:rFonts w:ascii="Bookman Old Style" w:eastAsia="Bookman Old Style" w:hAnsi="Bookman Old Style" w:cs="Bookman Old Style"/>
          <w:sz w:val="18"/>
          <w:szCs w:val="18"/>
        </w:rPr>
      </w:pPr>
    </w:p>
    <w:p w14:paraId="4C5C22F8" w14:textId="77777777" w:rsidR="00F11A6D" w:rsidRDefault="00F11A6D" w:rsidP="00F11A6D">
      <w:pPr>
        <w:spacing w:line="240" w:lineRule="auto"/>
        <w:jc w:val="center"/>
        <w:rPr>
          <w:rFonts w:ascii="Bookman Old Style" w:eastAsia="Bookman Old Style" w:hAnsi="Bookman Old Style" w:cs="Bookman Old Style"/>
          <w:sz w:val="18"/>
          <w:szCs w:val="18"/>
        </w:rPr>
      </w:pPr>
    </w:p>
    <w:p w14:paraId="05B64F7A" w14:textId="77777777" w:rsidR="00F11A6D" w:rsidRDefault="00F11A6D" w:rsidP="00F11A6D">
      <w:pPr>
        <w:spacing w:line="240" w:lineRule="auto"/>
        <w:jc w:val="center"/>
        <w:rPr>
          <w:rFonts w:ascii="Bookman Old Style" w:eastAsia="Bookman Old Style" w:hAnsi="Bookman Old Style" w:cs="Bookman Old Style"/>
          <w:sz w:val="18"/>
          <w:szCs w:val="18"/>
        </w:rPr>
      </w:pPr>
    </w:p>
    <w:p w14:paraId="3E13A475" w14:textId="77777777" w:rsidR="00F11A6D" w:rsidRDefault="00F11A6D" w:rsidP="00F11A6D">
      <w:pPr>
        <w:spacing w:line="240" w:lineRule="auto"/>
        <w:jc w:val="center"/>
        <w:rPr>
          <w:rFonts w:ascii="Bookman Old Style" w:eastAsia="Bookman Old Style" w:hAnsi="Bookman Old Style" w:cs="Bookman Old Style"/>
          <w:sz w:val="18"/>
          <w:szCs w:val="18"/>
        </w:rPr>
      </w:pPr>
      <w:r>
        <w:rPr>
          <w:rFonts w:ascii="Bookman Old Style" w:eastAsia="Bookman Old Style" w:hAnsi="Bookman Old Style" w:cs="Bookman Old Style"/>
          <w:sz w:val="18"/>
          <w:szCs w:val="18"/>
        </w:rPr>
        <w:t>Alessandra Ferreira Dutra Knaip</w:t>
      </w:r>
    </w:p>
    <w:p w14:paraId="1298EBA2" w14:textId="77777777" w:rsidR="00F11A6D" w:rsidRDefault="00F11A6D" w:rsidP="00F11A6D">
      <w:pPr>
        <w:spacing w:line="240" w:lineRule="auto"/>
        <w:jc w:val="center"/>
        <w:rPr>
          <w:rFonts w:ascii="Bookman Old Style" w:eastAsia="Bookman Old Style" w:hAnsi="Bookman Old Style" w:cs="Bookman Old Style"/>
          <w:sz w:val="18"/>
          <w:szCs w:val="18"/>
        </w:rPr>
      </w:pPr>
      <w:r w:rsidRPr="003349CA">
        <w:rPr>
          <w:rFonts w:ascii="Bookman Old Style" w:eastAsia="Bookman Old Style" w:hAnsi="Bookman Old Style" w:cs="Bookman Old Style"/>
          <w:sz w:val="18"/>
          <w:szCs w:val="18"/>
        </w:rPr>
        <w:t>Secretaria Municipal de Saúde</w:t>
      </w:r>
    </w:p>
    <w:p w14:paraId="0F945223" w14:textId="77777777" w:rsidR="00F11A6D" w:rsidRDefault="00F11A6D" w:rsidP="00F11A6D">
      <w:pPr>
        <w:spacing w:line="240" w:lineRule="auto"/>
        <w:jc w:val="center"/>
        <w:rPr>
          <w:rFonts w:ascii="Bookman Old Style" w:eastAsia="Bookman Old Style" w:hAnsi="Bookman Old Style" w:cs="Bookman Old Style"/>
          <w:sz w:val="18"/>
          <w:szCs w:val="18"/>
        </w:rPr>
      </w:pPr>
    </w:p>
    <w:p w14:paraId="481FC99A" w14:textId="77777777" w:rsidR="00F11A6D" w:rsidRDefault="00F11A6D" w:rsidP="00F11A6D">
      <w:pPr>
        <w:spacing w:line="240" w:lineRule="auto"/>
        <w:jc w:val="center"/>
        <w:rPr>
          <w:rFonts w:ascii="Bookman Old Style" w:eastAsia="Bookman Old Style" w:hAnsi="Bookman Old Style" w:cs="Bookman Old Style"/>
          <w:sz w:val="18"/>
          <w:szCs w:val="18"/>
        </w:rPr>
      </w:pPr>
    </w:p>
    <w:p w14:paraId="6C444141" w14:textId="77777777" w:rsidR="004B5F85" w:rsidRDefault="004B5F85"/>
    <w:sectPr w:rsidR="004B5F85">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677D9" w14:textId="77777777" w:rsidR="004F5CD4" w:rsidRDefault="004F5CD4">
      <w:pPr>
        <w:spacing w:line="240" w:lineRule="auto"/>
      </w:pPr>
      <w:r>
        <w:separator/>
      </w:r>
    </w:p>
  </w:endnote>
  <w:endnote w:type="continuationSeparator" w:id="0">
    <w:p w14:paraId="1F1FB2CB" w14:textId="77777777" w:rsidR="004F5CD4" w:rsidRDefault="004F5C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stria">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B3676" w14:textId="77777777" w:rsidR="004F5CD4" w:rsidRDefault="004F5CD4">
      <w:pPr>
        <w:spacing w:line="240" w:lineRule="auto"/>
      </w:pPr>
      <w:r>
        <w:separator/>
      </w:r>
    </w:p>
  </w:footnote>
  <w:footnote w:type="continuationSeparator" w:id="0">
    <w:p w14:paraId="1F7C74E1" w14:textId="77777777" w:rsidR="004F5CD4" w:rsidRDefault="004F5C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A9A52" w14:textId="1F206744" w:rsidR="00F55585" w:rsidRDefault="00F55585" w:rsidP="00F55585">
    <w:pPr>
      <w:spacing w:line="500" w:lineRule="auto"/>
      <w:jc w:val="center"/>
      <w:rPr>
        <w:rFonts w:ascii="Lustria" w:eastAsia="Lustria" w:hAnsi="Lustria" w:cs="Lustria"/>
        <w:b/>
        <w:color w:val="000000"/>
        <w:sz w:val="40"/>
        <w:szCs w:val="40"/>
      </w:rPr>
    </w:pPr>
    <w:r>
      <w:rPr>
        <w:rFonts w:ascii="Lustria" w:eastAsia="Lustria" w:hAnsi="Lustria" w:cs="Lustria"/>
        <w:b/>
        <w:color w:val="000000"/>
        <w:sz w:val="40"/>
        <w:szCs w:val="40"/>
      </w:rPr>
      <w:t>PREFEITURA MUNICIPAL</w:t>
    </w:r>
    <w:r>
      <w:rPr>
        <w:noProof/>
      </w:rPr>
      <w:drawing>
        <wp:anchor distT="0" distB="0" distL="114300" distR="114300" simplePos="0" relativeHeight="251659264" behindDoc="0" locked="0" layoutInCell="1" hidden="0" allowOverlap="1" wp14:anchorId="3DCA6671" wp14:editId="18C8DA44">
          <wp:simplePos x="0" y="0"/>
          <wp:positionH relativeFrom="column">
            <wp:posOffset>-390524</wp:posOffset>
          </wp:positionH>
          <wp:positionV relativeFrom="paragraph">
            <wp:posOffset>9525</wp:posOffset>
          </wp:positionV>
          <wp:extent cx="1285875" cy="1012190"/>
          <wp:effectExtent l="0" t="0" r="0" b="0"/>
          <wp:wrapSquare wrapText="bothSides" distT="0" distB="0" distL="114300" distR="114300"/>
          <wp:docPr id="2060898913" name="image1.png" descr="emblema"/>
          <wp:cNvGraphicFramePr/>
          <a:graphic xmlns:a="http://schemas.openxmlformats.org/drawingml/2006/main">
            <a:graphicData uri="http://schemas.openxmlformats.org/drawingml/2006/picture">
              <pic:pic xmlns:pic="http://schemas.openxmlformats.org/drawingml/2006/picture">
                <pic:nvPicPr>
                  <pic:cNvPr id="0" name="image1.png" descr="emblema"/>
                  <pic:cNvPicPr preferRelativeResize="0"/>
                </pic:nvPicPr>
                <pic:blipFill>
                  <a:blip r:embed="rId1"/>
                  <a:srcRect/>
                  <a:stretch>
                    <a:fillRect/>
                  </a:stretch>
                </pic:blipFill>
                <pic:spPr>
                  <a:xfrm>
                    <a:off x="0" y="0"/>
                    <a:ext cx="1285875" cy="1012190"/>
                  </a:xfrm>
                  <a:prstGeom prst="rect">
                    <a:avLst/>
                  </a:prstGeom>
                  <a:ln/>
                </pic:spPr>
              </pic:pic>
            </a:graphicData>
          </a:graphic>
        </wp:anchor>
      </w:drawing>
    </w:r>
  </w:p>
  <w:p w14:paraId="0B5EE947" w14:textId="77777777" w:rsidR="00F55585" w:rsidRDefault="00F55585" w:rsidP="00F55585">
    <w:pPr>
      <w:ind w:left="-140"/>
      <w:jc w:val="center"/>
      <w:rPr>
        <w:rFonts w:ascii="Lustria" w:eastAsia="Lustria" w:hAnsi="Lustria" w:cs="Lustria"/>
        <w:b/>
        <w:sz w:val="40"/>
        <w:szCs w:val="40"/>
      </w:rPr>
    </w:pPr>
    <w:r>
      <w:rPr>
        <w:rFonts w:ascii="Lustria" w:eastAsia="Lustria" w:hAnsi="Lustria" w:cs="Lustria"/>
        <w:b/>
        <w:sz w:val="40"/>
        <w:szCs w:val="40"/>
      </w:rPr>
      <w:t>CONCEIÇÃO DE IPANEMA – MG</w:t>
    </w:r>
  </w:p>
  <w:p w14:paraId="671B8E75" w14:textId="69BFAD9C" w:rsidR="004B5F85" w:rsidRPr="00F55585" w:rsidRDefault="00F55585" w:rsidP="00F55585">
    <w:pPr>
      <w:ind w:left="-140"/>
      <w:jc w:val="center"/>
      <w:rPr>
        <w:rFonts w:ascii="Lustria" w:eastAsia="Lustria" w:hAnsi="Lustria" w:cs="Lustria"/>
        <w:b/>
        <w:sz w:val="40"/>
        <w:szCs w:val="40"/>
      </w:rPr>
    </w:pPr>
    <w:r>
      <w:rPr>
        <w:rFonts w:ascii="Lustria" w:eastAsia="Lustria" w:hAnsi="Lustria" w:cs="Lustria"/>
        <w:b/>
        <w:sz w:val="40"/>
        <w:szCs w:val="40"/>
      </w:rPr>
      <w:t>CNPJ: 18.334.300/0001-72</w:t>
    </w:r>
  </w:p>
  <w:p w14:paraId="273519EA" w14:textId="77777777" w:rsidR="004B5F85" w:rsidRDefault="004B5F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C1462"/>
    <w:multiLevelType w:val="multilevel"/>
    <w:tmpl w:val="60FAD18C"/>
    <w:lvl w:ilvl="0">
      <w:start w:val="1"/>
      <w:numFmt w:val="lowerLetter"/>
      <w:lvlText w:val="%1)"/>
      <w:lvlJc w:val="left"/>
      <w:pPr>
        <w:ind w:left="2628" w:hanging="360"/>
      </w:pPr>
      <w:rPr>
        <w:u w:val="none"/>
      </w:rPr>
    </w:lvl>
    <w:lvl w:ilvl="1">
      <w:start w:val="1"/>
      <w:numFmt w:val="lowerLetter"/>
      <w:lvlText w:val="%2."/>
      <w:lvlJc w:val="left"/>
      <w:pPr>
        <w:ind w:left="3348" w:hanging="360"/>
      </w:pPr>
      <w:rPr>
        <w:u w:val="none"/>
      </w:rPr>
    </w:lvl>
    <w:lvl w:ilvl="2">
      <w:start w:val="1"/>
      <w:numFmt w:val="lowerRoman"/>
      <w:lvlText w:val="%3."/>
      <w:lvlJc w:val="right"/>
      <w:pPr>
        <w:ind w:left="4068" w:hanging="180"/>
      </w:pPr>
      <w:rPr>
        <w:u w:val="none"/>
      </w:rPr>
    </w:lvl>
    <w:lvl w:ilvl="3">
      <w:start w:val="1"/>
      <w:numFmt w:val="decimal"/>
      <w:lvlText w:val="%4."/>
      <w:lvlJc w:val="left"/>
      <w:pPr>
        <w:ind w:left="4788" w:hanging="360"/>
      </w:pPr>
      <w:rPr>
        <w:u w:val="none"/>
      </w:rPr>
    </w:lvl>
    <w:lvl w:ilvl="4">
      <w:start w:val="1"/>
      <w:numFmt w:val="lowerLetter"/>
      <w:lvlText w:val="%5."/>
      <w:lvlJc w:val="left"/>
      <w:pPr>
        <w:ind w:left="5508" w:hanging="360"/>
      </w:pPr>
      <w:rPr>
        <w:u w:val="none"/>
      </w:rPr>
    </w:lvl>
    <w:lvl w:ilvl="5">
      <w:start w:val="1"/>
      <w:numFmt w:val="lowerRoman"/>
      <w:lvlText w:val="%6."/>
      <w:lvlJc w:val="right"/>
      <w:pPr>
        <w:ind w:left="6228" w:hanging="180"/>
      </w:pPr>
      <w:rPr>
        <w:u w:val="none"/>
      </w:rPr>
    </w:lvl>
    <w:lvl w:ilvl="6">
      <w:start w:val="1"/>
      <w:numFmt w:val="decimal"/>
      <w:lvlText w:val="%7."/>
      <w:lvlJc w:val="left"/>
      <w:pPr>
        <w:ind w:left="6948" w:hanging="360"/>
      </w:pPr>
      <w:rPr>
        <w:u w:val="none"/>
      </w:rPr>
    </w:lvl>
    <w:lvl w:ilvl="7">
      <w:start w:val="1"/>
      <w:numFmt w:val="lowerLetter"/>
      <w:lvlText w:val="%8."/>
      <w:lvlJc w:val="left"/>
      <w:pPr>
        <w:ind w:left="7668" w:hanging="360"/>
      </w:pPr>
      <w:rPr>
        <w:u w:val="none"/>
      </w:rPr>
    </w:lvl>
    <w:lvl w:ilvl="8">
      <w:start w:val="1"/>
      <w:numFmt w:val="lowerRoman"/>
      <w:lvlText w:val="%9."/>
      <w:lvlJc w:val="right"/>
      <w:pPr>
        <w:ind w:left="8388" w:hanging="180"/>
      </w:pPr>
      <w:rPr>
        <w:u w:val="none"/>
      </w:rPr>
    </w:lvl>
  </w:abstractNum>
  <w:abstractNum w:abstractNumId="1" w15:restartNumberingAfterBreak="0">
    <w:nsid w:val="23D259D7"/>
    <w:multiLevelType w:val="multilevel"/>
    <w:tmpl w:val="28E8A376"/>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EDB0E1B"/>
    <w:multiLevelType w:val="multilevel"/>
    <w:tmpl w:val="92069810"/>
    <w:lvl w:ilvl="0">
      <w:start w:val="1"/>
      <w:numFmt w:val="lowerLetter"/>
      <w:lvlText w:val="%1)"/>
      <w:lvlJc w:val="left"/>
      <w:pPr>
        <w:ind w:left="2628" w:hanging="360"/>
      </w:pPr>
      <w:rPr>
        <w:u w:val="none"/>
      </w:rPr>
    </w:lvl>
    <w:lvl w:ilvl="1">
      <w:start w:val="1"/>
      <w:numFmt w:val="lowerLetter"/>
      <w:lvlText w:val="%2."/>
      <w:lvlJc w:val="left"/>
      <w:pPr>
        <w:ind w:left="3348" w:hanging="360"/>
      </w:pPr>
      <w:rPr>
        <w:u w:val="none"/>
      </w:rPr>
    </w:lvl>
    <w:lvl w:ilvl="2">
      <w:start w:val="1"/>
      <w:numFmt w:val="lowerRoman"/>
      <w:lvlText w:val="%3."/>
      <w:lvlJc w:val="right"/>
      <w:pPr>
        <w:ind w:left="4068" w:hanging="180"/>
      </w:pPr>
      <w:rPr>
        <w:u w:val="none"/>
      </w:rPr>
    </w:lvl>
    <w:lvl w:ilvl="3">
      <w:start w:val="1"/>
      <w:numFmt w:val="decimal"/>
      <w:lvlText w:val="%4."/>
      <w:lvlJc w:val="left"/>
      <w:pPr>
        <w:ind w:left="4788" w:hanging="360"/>
      </w:pPr>
      <w:rPr>
        <w:u w:val="none"/>
      </w:rPr>
    </w:lvl>
    <w:lvl w:ilvl="4">
      <w:start w:val="1"/>
      <w:numFmt w:val="lowerLetter"/>
      <w:lvlText w:val="%5."/>
      <w:lvlJc w:val="left"/>
      <w:pPr>
        <w:ind w:left="5508" w:hanging="360"/>
      </w:pPr>
      <w:rPr>
        <w:u w:val="none"/>
      </w:rPr>
    </w:lvl>
    <w:lvl w:ilvl="5">
      <w:start w:val="1"/>
      <w:numFmt w:val="lowerRoman"/>
      <w:lvlText w:val="%6."/>
      <w:lvlJc w:val="right"/>
      <w:pPr>
        <w:ind w:left="6228" w:hanging="180"/>
      </w:pPr>
      <w:rPr>
        <w:u w:val="none"/>
      </w:rPr>
    </w:lvl>
    <w:lvl w:ilvl="6">
      <w:start w:val="1"/>
      <w:numFmt w:val="decimal"/>
      <w:lvlText w:val="%7."/>
      <w:lvlJc w:val="left"/>
      <w:pPr>
        <w:ind w:left="6948" w:hanging="360"/>
      </w:pPr>
      <w:rPr>
        <w:u w:val="none"/>
      </w:rPr>
    </w:lvl>
    <w:lvl w:ilvl="7">
      <w:start w:val="1"/>
      <w:numFmt w:val="lowerLetter"/>
      <w:lvlText w:val="%8."/>
      <w:lvlJc w:val="left"/>
      <w:pPr>
        <w:ind w:left="7668" w:hanging="360"/>
      </w:pPr>
      <w:rPr>
        <w:u w:val="none"/>
      </w:rPr>
    </w:lvl>
    <w:lvl w:ilvl="8">
      <w:start w:val="1"/>
      <w:numFmt w:val="lowerRoman"/>
      <w:lvlText w:val="%9."/>
      <w:lvlJc w:val="right"/>
      <w:pPr>
        <w:ind w:left="8388" w:hanging="180"/>
      </w:pPr>
      <w:rPr>
        <w:u w:val="none"/>
      </w:rPr>
    </w:lvl>
  </w:abstractNum>
  <w:num w:numId="1" w16cid:durableId="1821460584">
    <w:abstractNumId w:val="0"/>
  </w:num>
  <w:num w:numId="2" w16cid:durableId="395711356">
    <w:abstractNumId w:val="2"/>
  </w:num>
  <w:num w:numId="3" w16cid:durableId="1833787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F85"/>
    <w:rsid w:val="001144B5"/>
    <w:rsid w:val="001634AC"/>
    <w:rsid w:val="00175CD3"/>
    <w:rsid w:val="002330E0"/>
    <w:rsid w:val="002C5D4D"/>
    <w:rsid w:val="003204A5"/>
    <w:rsid w:val="003238BE"/>
    <w:rsid w:val="003815B5"/>
    <w:rsid w:val="00393E6F"/>
    <w:rsid w:val="00463C80"/>
    <w:rsid w:val="004B5F85"/>
    <w:rsid w:val="004F5CD4"/>
    <w:rsid w:val="005B4E3F"/>
    <w:rsid w:val="005E45AB"/>
    <w:rsid w:val="00720FEC"/>
    <w:rsid w:val="008138CA"/>
    <w:rsid w:val="009061DC"/>
    <w:rsid w:val="00923BD0"/>
    <w:rsid w:val="00960362"/>
    <w:rsid w:val="009B79D8"/>
    <w:rsid w:val="00A34911"/>
    <w:rsid w:val="00AC69C3"/>
    <w:rsid w:val="00BC5532"/>
    <w:rsid w:val="00BE6281"/>
    <w:rsid w:val="00BF62E4"/>
    <w:rsid w:val="00D90A78"/>
    <w:rsid w:val="00E91F14"/>
    <w:rsid w:val="00F11A6D"/>
    <w:rsid w:val="00F3094B"/>
    <w:rsid w:val="00F55585"/>
    <w:rsid w:val="00FA1542"/>
    <w:rsid w:val="00FD02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75BDB"/>
  <w15:docId w15:val="{CC36CEB3-9D6F-4665-A9C5-E7FCD0703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PT"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F55585"/>
    <w:pPr>
      <w:tabs>
        <w:tab w:val="center" w:pos="4252"/>
        <w:tab w:val="right" w:pos="8504"/>
      </w:tabs>
      <w:spacing w:line="240" w:lineRule="auto"/>
    </w:pPr>
  </w:style>
  <w:style w:type="character" w:customStyle="1" w:styleId="CabealhoChar">
    <w:name w:val="Cabeçalho Char"/>
    <w:basedOn w:val="Fontepargpadro"/>
    <w:link w:val="Cabealho"/>
    <w:uiPriority w:val="99"/>
    <w:rsid w:val="00F55585"/>
  </w:style>
  <w:style w:type="paragraph" w:styleId="Rodap">
    <w:name w:val="footer"/>
    <w:basedOn w:val="Normal"/>
    <w:link w:val="RodapChar"/>
    <w:uiPriority w:val="99"/>
    <w:unhideWhenUsed/>
    <w:rsid w:val="00F55585"/>
    <w:pPr>
      <w:tabs>
        <w:tab w:val="center" w:pos="4252"/>
        <w:tab w:val="right" w:pos="8504"/>
      </w:tabs>
      <w:spacing w:line="240" w:lineRule="auto"/>
    </w:pPr>
  </w:style>
  <w:style w:type="character" w:customStyle="1" w:styleId="RodapChar">
    <w:name w:val="Rodapé Char"/>
    <w:basedOn w:val="Fontepargpadro"/>
    <w:link w:val="Rodap"/>
    <w:uiPriority w:val="99"/>
    <w:rsid w:val="00F55585"/>
  </w:style>
  <w:style w:type="paragraph" w:styleId="PargrafodaLista">
    <w:name w:val="List Paragraph"/>
    <w:basedOn w:val="Normal"/>
    <w:uiPriority w:val="34"/>
    <w:qFormat/>
    <w:rsid w:val="00720FEC"/>
    <w:pPr>
      <w:spacing w:after="200"/>
      <w:ind w:left="720"/>
      <w:contextualSpacing/>
    </w:pPr>
    <w:rPr>
      <w:rFonts w:asciiTheme="minorHAnsi" w:eastAsiaTheme="minorEastAsia" w:hAnsiTheme="minorHAnsi" w:cstheme="minorBidi"/>
      <w:lang w:val="pt-BR"/>
    </w:rPr>
  </w:style>
  <w:style w:type="character" w:customStyle="1" w:styleId="Nivel2Char">
    <w:name w:val="Nivel 2 Char"/>
    <w:basedOn w:val="Fontepargpadro"/>
    <w:link w:val="Nivel2"/>
    <w:locked/>
    <w:rsid w:val="00720FEC"/>
    <w:rPr>
      <w:color w:val="000000"/>
    </w:rPr>
  </w:style>
  <w:style w:type="paragraph" w:customStyle="1" w:styleId="Nivel2">
    <w:name w:val="Nivel 2"/>
    <w:basedOn w:val="Normal"/>
    <w:link w:val="Nivel2Char"/>
    <w:qFormat/>
    <w:rsid w:val="00720FEC"/>
    <w:pPr>
      <w:spacing w:before="120" w:after="120"/>
      <w:jc w:val="both"/>
    </w:pPr>
    <w:rPr>
      <w:color w:val="000000"/>
    </w:rPr>
  </w:style>
  <w:style w:type="table" w:styleId="Tabelacomgrade">
    <w:name w:val="Table Grid"/>
    <w:basedOn w:val="Tabelanormal"/>
    <w:uiPriority w:val="39"/>
    <w:rsid w:val="00F11A6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555">
      <w:bodyDiv w:val="1"/>
      <w:marLeft w:val="0"/>
      <w:marRight w:val="0"/>
      <w:marTop w:val="0"/>
      <w:marBottom w:val="0"/>
      <w:divBdr>
        <w:top w:val="none" w:sz="0" w:space="0" w:color="auto"/>
        <w:left w:val="none" w:sz="0" w:space="0" w:color="auto"/>
        <w:bottom w:val="none" w:sz="0" w:space="0" w:color="auto"/>
        <w:right w:val="none" w:sz="0" w:space="0" w:color="auto"/>
      </w:divBdr>
    </w:div>
    <w:div w:id="144468691">
      <w:bodyDiv w:val="1"/>
      <w:marLeft w:val="0"/>
      <w:marRight w:val="0"/>
      <w:marTop w:val="0"/>
      <w:marBottom w:val="0"/>
      <w:divBdr>
        <w:top w:val="none" w:sz="0" w:space="0" w:color="auto"/>
        <w:left w:val="none" w:sz="0" w:space="0" w:color="auto"/>
        <w:bottom w:val="none" w:sz="0" w:space="0" w:color="auto"/>
        <w:right w:val="none" w:sz="0" w:space="0" w:color="auto"/>
      </w:divBdr>
    </w:div>
    <w:div w:id="271790688">
      <w:bodyDiv w:val="1"/>
      <w:marLeft w:val="0"/>
      <w:marRight w:val="0"/>
      <w:marTop w:val="0"/>
      <w:marBottom w:val="0"/>
      <w:divBdr>
        <w:top w:val="none" w:sz="0" w:space="0" w:color="auto"/>
        <w:left w:val="none" w:sz="0" w:space="0" w:color="auto"/>
        <w:bottom w:val="none" w:sz="0" w:space="0" w:color="auto"/>
        <w:right w:val="none" w:sz="0" w:space="0" w:color="auto"/>
      </w:divBdr>
    </w:div>
    <w:div w:id="345207342">
      <w:bodyDiv w:val="1"/>
      <w:marLeft w:val="0"/>
      <w:marRight w:val="0"/>
      <w:marTop w:val="0"/>
      <w:marBottom w:val="0"/>
      <w:divBdr>
        <w:top w:val="none" w:sz="0" w:space="0" w:color="auto"/>
        <w:left w:val="none" w:sz="0" w:space="0" w:color="auto"/>
        <w:bottom w:val="none" w:sz="0" w:space="0" w:color="auto"/>
        <w:right w:val="none" w:sz="0" w:space="0" w:color="auto"/>
      </w:divBdr>
    </w:div>
    <w:div w:id="479079698">
      <w:bodyDiv w:val="1"/>
      <w:marLeft w:val="0"/>
      <w:marRight w:val="0"/>
      <w:marTop w:val="0"/>
      <w:marBottom w:val="0"/>
      <w:divBdr>
        <w:top w:val="none" w:sz="0" w:space="0" w:color="auto"/>
        <w:left w:val="none" w:sz="0" w:space="0" w:color="auto"/>
        <w:bottom w:val="none" w:sz="0" w:space="0" w:color="auto"/>
        <w:right w:val="none" w:sz="0" w:space="0" w:color="auto"/>
      </w:divBdr>
    </w:div>
    <w:div w:id="491141814">
      <w:bodyDiv w:val="1"/>
      <w:marLeft w:val="0"/>
      <w:marRight w:val="0"/>
      <w:marTop w:val="0"/>
      <w:marBottom w:val="0"/>
      <w:divBdr>
        <w:top w:val="none" w:sz="0" w:space="0" w:color="auto"/>
        <w:left w:val="none" w:sz="0" w:space="0" w:color="auto"/>
        <w:bottom w:val="none" w:sz="0" w:space="0" w:color="auto"/>
        <w:right w:val="none" w:sz="0" w:space="0" w:color="auto"/>
      </w:divBdr>
    </w:div>
    <w:div w:id="685903798">
      <w:bodyDiv w:val="1"/>
      <w:marLeft w:val="0"/>
      <w:marRight w:val="0"/>
      <w:marTop w:val="0"/>
      <w:marBottom w:val="0"/>
      <w:divBdr>
        <w:top w:val="none" w:sz="0" w:space="0" w:color="auto"/>
        <w:left w:val="none" w:sz="0" w:space="0" w:color="auto"/>
        <w:bottom w:val="none" w:sz="0" w:space="0" w:color="auto"/>
        <w:right w:val="none" w:sz="0" w:space="0" w:color="auto"/>
      </w:divBdr>
    </w:div>
    <w:div w:id="792481267">
      <w:bodyDiv w:val="1"/>
      <w:marLeft w:val="0"/>
      <w:marRight w:val="0"/>
      <w:marTop w:val="0"/>
      <w:marBottom w:val="0"/>
      <w:divBdr>
        <w:top w:val="none" w:sz="0" w:space="0" w:color="auto"/>
        <w:left w:val="none" w:sz="0" w:space="0" w:color="auto"/>
        <w:bottom w:val="none" w:sz="0" w:space="0" w:color="auto"/>
        <w:right w:val="none" w:sz="0" w:space="0" w:color="auto"/>
      </w:divBdr>
    </w:div>
    <w:div w:id="957567955">
      <w:bodyDiv w:val="1"/>
      <w:marLeft w:val="0"/>
      <w:marRight w:val="0"/>
      <w:marTop w:val="0"/>
      <w:marBottom w:val="0"/>
      <w:divBdr>
        <w:top w:val="none" w:sz="0" w:space="0" w:color="auto"/>
        <w:left w:val="none" w:sz="0" w:space="0" w:color="auto"/>
        <w:bottom w:val="none" w:sz="0" w:space="0" w:color="auto"/>
        <w:right w:val="none" w:sz="0" w:space="0" w:color="auto"/>
      </w:divBdr>
    </w:div>
    <w:div w:id="999773122">
      <w:bodyDiv w:val="1"/>
      <w:marLeft w:val="0"/>
      <w:marRight w:val="0"/>
      <w:marTop w:val="0"/>
      <w:marBottom w:val="0"/>
      <w:divBdr>
        <w:top w:val="none" w:sz="0" w:space="0" w:color="auto"/>
        <w:left w:val="none" w:sz="0" w:space="0" w:color="auto"/>
        <w:bottom w:val="none" w:sz="0" w:space="0" w:color="auto"/>
        <w:right w:val="none" w:sz="0" w:space="0" w:color="auto"/>
      </w:divBdr>
    </w:div>
    <w:div w:id="1023441981">
      <w:bodyDiv w:val="1"/>
      <w:marLeft w:val="0"/>
      <w:marRight w:val="0"/>
      <w:marTop w:val="0"/>
      <w:marBottom w:val="0"/>
      <w:divBdr>
        <w:top w:val="none" w:sz="0" w:space="0" w:color="auto"/>
        <w:left w:val="none" w:sz="0" w:space="0" w:color="auto"/>
        <w:bottom w:val="none" w:sz="0" w:space="0" w:color="auto"/>
        <w:right w:val="none" w:sz="0" w:space="0" w:color="auto"/>
      </w:divBdr>
    </w:div>
    <w:div w:id="1086875853">
      <w:bodyDiv w:val="1"/>
      <w:marLeft w:val="0"/>
      <w:marRight w:val="0"/>
      <w:marTop w:val="0"/>
      <w:marBottom w:val="0"/>
      <w:divBdr>
        <w:top w:val="none" w:sz="0" w:space="0" w:color="auto"/>
        <w:left w:val="none" w:sz="0" w:space="0" w:color="auto"/>
        <w:bottom w:val="none" w:sz="0" w:space="0" w:color="auto"/>
        <w:right w:val="none" w:sz="0" w:space="0" w:color="auto"/>
      </w:divBdr>
    </w:div>
    <w:div w:id="1321499694">
      <w:bodyDiv w:val="1"/>
      <w:marLeft w:val="0"/>
      <w:marRight w:val="0"/>
      <w:marTop w:val="0"/>
      <w:marBottom w:val="0"/>
      <w:divBdr>
        <w:top w:val="none" w:sz="0" w:space="0" w:color="auto"/>
        <w:left w:val="none" w:sz="0" w:space="0" w:color="auto"/>
        <w:bottom w:val="none" w:sz="0" w:space="0" w:color="auto"/>
        <w:right w:val="none" w:sz="0" w:space="0" w:color="auto"/>
      </w:divBdr>
    </w:div>
    <w:div w:id="1455293152">
      <w:bodyDiv w:val="1"/>
      <w:marLeft w:val="0"/>
      <w:marRight w:val="0"/>
      <w:marTop w:val="0"/>
      <w:marBottom w:val="0"/>
      <w:divBdr>
        <w:top w:val="none" w:sz="0" w:space="0" w:color="auto"/>
        <w:left w:val="none" w:sz="0" w:space="0" w:color="auto"/>
        <w:bottom w:val="none" w:sz="0" w:space="0" w:color="auto"/>
        <w:right w:val="none" w:sz="0" w:space="0" w:color="auto"/>
      </w:divBdr>
    </w:div>
    <w:div w:id="1513104839">
      <w:bodyDiv w:val="1"/>
      <w:marLeft w:val="0"/>
      <w:marRight w:val="0"/>
      <w:marTop w:val="0"/>
      <w:marBottom w:val="0"/>
      <w:divBdr>
        <w:top w:val="none" w:sz="0" w:space="0" w:color="auto"/>
        <w:left w:val="none" w:sz="0" w:space="0" w:color="auto"/>
        <w:bottom w:val="none" w:sz="0" w:space="0" w:color="auto"/>
        <w:right w:val="none" w:sz="0" w:space="0" w:color="auto"/>
      </w:divBdr>
    </w:div>
    <w:div w:id="1667707958">
      <w:bodyDiv w:val="1"/>
      <w:marLeft w:val="0"/>
      <w:marRight w:val="0"/>
      <w:marTop w:val="0"/>
      <w:marBottom w:val="0"/>
      <w:divBdr>
        <w:top w:val="none" w:sz="0" w:space="0" w:color="auto"/>
        <w:left w:val="none" w:sz="0" w:space="0" w:color="auto"/>
        <w:bottom w:val="none" w:sz="0" w:space="0" w:color="auto"/>
        <w:right w:val="none" w:sz="0" w:space="0" w:color="auto"/>
      </w:divBdr>
    </w:div>
    <w:div w:id="1808862004">
      <w:bodyDiv w:val="1"/>
      <w:marLeft w:val="0"/>
      <w:marRight w:val="0"/>
      <w:marTop w:val="0"/>
      <w:marBottom w:val="0"/>
      <w:divBdr>
        <w:top w:val="none" w:sz="0" w:space="0" w:color="auto"/>
        <w:left w:val="none" w:sz="0" w:space="0" w:color="auto"/>
        <w:bottom w:val="none" w:sz="0" w:space="0" w:color="auto"/>
        <w:right w:val="none" w:sz="0" w:space="0" w:color="auto"/>
      </w:divBdr>
    </w:div>
    <w:div w:id="1988897574">
      <w:bodyDiv w:val="1"/>
      <w:marLeft w:val="0"/>
      <w:marRight w:val="0"/>
      <w:marTop w:val="0"/>
      <w:marBottom w:val="0"/>
      <w:divBdr>
        <w:top w:val="none" w:sz="0" w:space="0" w:color="auto"/>
        <w:left w:val="none" w:sz="0" w:space="0" w:color="auto"/>
        <w:bottom w:val="none" w:sz="0" w:space="0" w:color="auto"/>
        <w:right w:val="none" w:sz="0" w:space="0" w:color="auto"/>
      </w:divBdr>
    </w:div>
    <w:div w:id="2136175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796</TotalTime>
  <Pages>7</Pages>
  <Words>2924</Words>
  <Characters>15795</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Lucas Henrique</cp:lastModifiedBy>
  <cp:revision>9</cp:revision>
  <dcterms:created xsi:type="dcterms:W3CDTF">2025-02-02T18:58:00Z</dcterms:created>
  <dcterms:modified xsi:type="dcterms:W3CDTF">2025-05-26T13:49:00Z</dcterms:modified>
</cp:coreProperties>
</file>