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2A59A" w14:textId="77777777" w:rsidR="00DA084C" w:rsidRDefault="00DA084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</w:rPr>
      </w:pPr>
    </w:p>
    <w:p w14:paraId="10A7D858" w14:textId="77777777" w:rsidR="00DA084C" w:rsidRDefault="00000000">
      <w:pPr>
        <w:tabs>
          <w:tab w:val="left" w:pos="2268"/>
        </w:tabs>
        <w:spacing w:line="300" w:lineRule="auto"/>
        <w:jc w:val="center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sz w:val="23"/>
          <w:szCs w:val="23"/>
        </w:rPr>
        <w:t>TERMO DE REFERÊNCIA</w:t>
      </w:r>
    </w:p>
    <w:p w14:paraId="122361D1" w14:textId="77777777" w:rsidR="00DA084C" w:rsidRDefault="00DA084C">
      <w:pPr>
        <w:tabs>
          <w:tab w:val="left" w:pos="2268"/>
        </w:tabs>
        <w:spacing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</w:p>
    <w:p w14:paraId="726C4B17" w14:textId="77777777" w:rsidR="00DA084C" w:rsidRDefault="00000000">
      <w:pPr>
        <w:tabs>
          <w:tab w:val="left" w:pos="2268"/>
        </w:tabs>
        <w:spacing w:after="160"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sz w:val="23"/>
          <w:szCs w:val="23"/>
        </w:rPr>
        <w:t>1. Da definição do objeto</w:t>
      </w:r>
    </w:p>
    <w:p w14:paraId="3F89AC17" w14:textId="0DCA1786" w:rsidR="00DA084C" w:rsidRDefault="00000000" w:rsidP="000C129A">
      <w:pPr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1.1. </w:t>
      </w:r>
      <w:r w:rsidR="000C129A" w:rsidRPr="000C129A">
        <w:rPr>
          <w:rFonts w:ascii="Quattrocento Sans" w:eastAsia="Quattrocento Sans" w:hAnsi="Quattrocento Sans" w:cs="Quattrocento Sans"/>
          <w:sz w:val="23"/>
          <w:szCs w:val="23"/>
        </w:rPr>
        <w:t>Locação de imóvel, medindo 312,82 metros quadrados de área útil, contendo todas as benfeitorias necessárias, destinado a frota da Secretaria Municipal de Saúde, localizado na Rua Expedicionário Thaumaturgo, Centro, Conceição de Ipanema/MG.</w:t>
      </w:r>
    </w:p>
    <w:p w14:paraId="068B261E" w14:textId="77777777" w:rsidR="000C129A" w:rsidRDefault="000C129A" w:rsidP="000C129A">
      <w:pPr>
        <w:jc w:val="both"/>
        <w:rPr>
          <w:rFonts w:ascii="Quattrocento Sans" w:eastAsia="Quattrocento Sans" w:hAnsi="Quattrocento Sans" w:cs="Quattrocento Sans"/>
          <w:sz w:val="23"/>
          <w:szCs w:val="23"/>
        </w:rPr>
      </w:pPr>
    </w:p>
    <w:p w14:paraId="1F9BB637" w14:textId="77777777" w:rsidR="00DA084C" w:rsidRDefault="00000000">
      <w:pPr>
        <w:tabs>
          <w:tab w:val="left" w:pos="2268"/>
        </w:tabs>
        <w:spacing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1.2. O prazo do contrato administrativo é de 12 (doze) meses contados da sua assinatura.</w:t>
      </w:r>
    </w:p>
    <w:p w14:paraId="33AA16E0" w14:textId="77777777" w:rsidR="00DA084C" w:rsidRDefault="00DA084C">
      <w:pPr>
        <w:tabs>
          <w:tab w:val="left" w:pos="2268"/>
        </w:tabs>
        <w:spacing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</w:p>
    <w:p w14:paraId="1F3C6060" w14:textId="77777777" w:rsidR="00DA084C" w:rsidRDefault="00000000">
      <w:pPr>
        <w:tabs>
          <w:tab w:val="left" w:pos="2268"/>
        </w:tabs>
        <w:spacing w:after="160"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sz w:val="23"/>
          <w:szCs w:val="23"/>
        </w:rPr>
        <w:t>2. Da fundamentação da contratação administrativa</w:t>
      </w:r>
    </w:p>
    <w:p w14:paraId="6A4A03E9" w14:textId="77777777" w:rsidR="00DA084C" w:rsidRDefault="00000000">
      <w:pPr>
        <w:tabs>
          <w:tab w:val="left" w:pos="2268"/>
        </w:tabs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2.1. A fundamentação da contratação administrativa como um todo está no Estudo Técnico Preliminar – ETP – (§ 1º do art. 18 da Lei nº. 14.133/2021).</w:t>
      </w:r>
    </w:p>
    <w:p w14:paraId="3484F4F6" w14:textId="77777777" w:rsidR="00DA084C" w:rsidRDefault="00DA084C">
      <w:pPr>
        <w:tabs>
          <w:tab w:val="left" w:pos="2268"/>
        </w:tabs>
        <w:spacing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</w:p>
    <w:p w14:paraId="6BB649BF" w14:textId="77777777" w:rsidR="00DA084C" w:rsidRDefault="00000000">
      <w:pPr>
        <w:tabs>
          <w:tab w:val="left" w:pos="2268"/>
        </w:tabs>
        <w:spacing w:after="160"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sz w:val="23"/>
          <w:szCs w:val="23"/>
        </w:rPr>
        <w:t>3. Da descrição da solução como um todo, considerando todo o ciclo de vida do objeto</w:t>
      </w:r>
    </w:p>
    <w:p w14:paraId="4B38100F" w14:textId="77777777" w:rsidR="00DA084C" w:rsidRDefault="00000000">
      <w:pPr>
        <w:tabs>
          <w:tab w:val="left" w:pos="2268"/>
        </w:tabs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3.1. A descrição da solução como um todo está no ETP (inciso VII do § 1º do art. 18 da Lei nº. 14.133/2021).</w:t>
      </w:r>
    </w:p>
    <w:p w14:paraId="40CCEA0A" w14:textId="77777777" w:rsidR="00DA084C" w:rsidRDefault="00DA084C">
      <w:pPr>
        <w:tabs>
          <w:tab w:val="left" w:pos="2268"/>
        </w:tabs>
        <w:spacing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</w:p>
    <w:p w14:paraId="103B4C44" w14:textId="77777777" w:rsidR="00DA084C" w:rsidRDefault="00000000">
      <w:pPr>
        <w:tabs>
          <w:tab w:val="left" w:pos="2268"/>
        </w:tabs>
        <w:spacing w:after="160"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sz w:val="23"/>
          <w:szCs w:val="23"/>
        </w:rPr>
        <w:t>4. Dos requisitos da contratação administrativa</w:t>
      </w:r>
    </w:p>
    <w:p w14:paraId="4DE97CE2" w14:textId="77777777" w:rsidR="00DA084C" w:rsidRDefault="00000000">
      <w:pPr>
        <w:tabs>
          <w:tab w:val="left" w:pos="2268"/>
        </w:tabs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4.1. Os requisitos da contratação administrativa estão no ETP (inciso III do § 1º do art. 18 da Lei nº. 14.133/2021).</w:t>
      </w:r>
    </w:p>
    <w:p w14:paraId="1168BC14" w14:textId="77777777" w:rsidR="00DA084C" w:rsidRDefault="00DA084C">
      <w:pPr>
        <w:spacing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</w:p>
    <w:p w14:paraId="7A03F3CC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sz w:val="23"/>
          <w:szCs w:val="23"/>
        </w:rPr>
        <w:t xml:space="preserve">5. Do modelo de execução do objeto </w:t>
      </w:r>
    </w:p>
    <w:p w14:paraId="04ACE395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5.1. A execução do objeto seguirá a seguinte dinâmica:</w:t>
      </w:r>
    </w:p>
    <w:p w14:paraId="77A37203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5.1.1. A partir da assinatura do contrato administrativo está previsto para o início da locação.</w:t>
      </w:r>
    </w:p>
    <w:p w14:paraId="5459E7B5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5.1.2. A execução da locação será da seguinte forma:</w:t>
      </w:r>
    </w:p>
    <w:p w14:paraId="181AE618" w14:textId="33C6822D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5.1.2.1. A utilização da área útil do imóvel para fins de funcionamento </w:t>
      </w:r>
      <w:r w:rsidR="000C129A">
        <w:rPr>
          <w:rFonts w:ascii="Quattrocento Sans" w:eastAsia="Quattrocento Sans" w:hAnsi="Quattrocento Sans" w:cs="Quattrocento Sans"/>
          <w:sz w:val="23"/>
          <w:szCs w:val="23"/>
        </w:rPr>
        <w:t>como garagem de armazenamento</w:t>
      </w:r>
      <w:r>
        <w:rPr>
          <w:rFonts w:ascii="Quattrocento Sans" w:eastAsia="Quattrocento Sans" w:hAnsi="Quattrocento Sans" w:cs="Quattrocento Sans"/>
          <w:sz w:val="23"/>
          <w:szCs w:val="23"/>
        </w:rPr>
        <w:t xml:space="preserve"> da frota do Município de Conceição de Ipanema/MG</w:t>
      </w:r>
    </w:p>
    <w:p w14:paraId="5AF9EA4E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5.2. O bem será recebido provisoriamente, de forma sumária, no prazo de 5 (cinco)</w:t>
      </w:r>
      <w:r>
        <w:rPr>
          <w:rFonts w:ascii="Quattrocento Sans" w:eastAsia="Quattrocento Sans" w:hAnsi="Quattrocento Sans" w:cs="Quattrocento Sans"/>
          <w:color w:val="FF0000"/>
          <w:sz w:val="23"/>
          <w:szCs w:val="23"/>
        </w:rPr>
        <w:t xml:space="preserve"> </w:t>
      </w:r>
      <w:r>
        <w:rPr>
          <w:rFonts w:ascii="Quattrocento Sans" w:eastAsia="Quattrocento Sans" w:hAnsi="Quattrocento Sans" w:cs="Quattrocento Sans"/>
          <w:sz w:val="23"/>
          <w:szCs w:val="23"/>
        </w:rPr>
        <w:t>dias úteis, pelo(a) servidor(a) público(a) municipal pelo acompanhamento e fiscalização do contrato administrativo, para efeito de posterior verificação de sua conformidade com as especificações constantes neste TR e na proposta.</w:t>
      </w:r>
    </w:p>
    <w:p w14:paraId="409E8608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lastRenderedPageBreak/>
        <w:t>5.2.1. O recebimento provisório poderá ser efetivado na data de assinatura do contrato administrativo mediante 1º (primeiro) laudo de vistoria prévia pelo(a) servidor(a) público(a) municipal pelo acompanhamento e fiscalização do contrato administrativo.</w:t>
      </w:r>
    </w:p>
    <w:p w14:paraId="1C88B6A0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5.3. O bem será recebido definitivamente no prazo de 30 (trinta)</w:t>
      </w:r>
      <w:r>
        <w:rPr>
          <w:rFonts w:ascii="Quattrocento Sans" w:eastAsia="Quattrocento Sans" w:hAnsi="Quattrocento Sans" w:cs="Quattrocento Sans"/>
          <w:color w:val="FF0000"/>
          <w:sz w:val="23"/>
          <w:szCs w:val="23"/>
        </w:rPr>
        <w:t xml:space="preserve"> </w:t>
      </w:r>
      <w:r>
        <w:rPr>
          <w:rFonts w:ascii="Quattrocento Sans" w:eastAsia="Quattrocento Sans" w:hAnsi="Quattrocento Sans" w:cs="Quattrocento Sans"/>
          <w:sz w:val="23"/>
          <w:szCs w:val="23"/>
        </w:rPr>
        <w:t>dias úteis, pelo(a) servidor(a) público(a) municipal ou comissão, contados do recebimento provisório, após a verificação da efetiva prestação e entrega dos serviços.</w:t>
      </w:r>
    </w:p>
    <w:p w14:paraId="43D2EA2C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5.7.1. O recebimento definitivo poderá ser efetivado 10 (dez) dias após a assinatura do contrato administrativo mediante 2º (segundo) laudo de vistoria prévia pelo(a) pelo(a) servidor(a) público(a) municipal ou comissão, após atesto pelo(a) responsável pelo(a) fiscal do contrato administrativo.</w:t>
      </w:r>
    </w:p>
    <w:p w14:paraId="0D6E6FDB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5.8. Na hipótese de a verificação a que se refere o subitem anterior não ser procedida dentro do prazo fixado, reputar-se-á como realizada, consumando-se o recebimento definitivo no dia do esgotamento do prazo.</w:t>
      </w:r>
    </w:p>
    <w:p w14:paraId="60C5DE2D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5.9. O recebimento provisório ou definitivo não excluirá a responsabilidade civil pela solidez e pela segurança do serviço nem a responsabilidade ético-profissional pela perfeita execução do contrato administrativo.</w:t>
      </w:r>
    </w:p>
    <w:p w14:paraId="21E95857" w14:textId="77777777" w:rsidR="00DA084C" w:rsidRDefault="00DA084C">
      <w:pPr>
        <w:tabs>
          <w:tab w:val="left" w:pos="2268"/>
        </w:tabs>
        <w:spacing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</w:p>
    <w:p w14:paraId="0FEEBBFA" w14:textId="77777777" w:rsidR="00DA084C" w:rsidRDefault="00000000">
      <w:pPr>
        <w:tabs>
          <w:tab w:val="left" w:pos="2268"/>
        </w:tabs>
        <w:spacing w:after="160"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sz w:val="23"/>
          <w:szCs w:val="23"/>
        </w:rPr>
        <w:t>6. Do modelo de gestão do contrato administrativo</w:t>
      </w:r>
    </w:p>
    <w:p w14:paraId="54AE2C67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 xml:space="preserve">6.1. </w:t>
      </w:r>
      <w:r>
        <w:rPr>
          <w:rFonts w:ascii="Quattrocento Sans" w:eastAsia="Quattrocento Sans" w:hAnsi="Quattrocento Sans" w:cs="Quattrocento Sans"/>
          <w:sz w:val="23"/>
          <w:szCs w:val="23"/>
        </w:rPr>
        <w:t>O contrato administrativo deverá ser executado fielmente pelas partes, de acordo com as cláusulas avençadas e as normas da Lei nº. 14.133/2021, e cada parte responderá pelas consequências de sua inexecução total ou parcial (art. 115 da Lei nº 14.133/2021).</w:t>
      </w:r>
    </w:p>
    <w:p w14:paraId="38EA494E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6.2. A execução do contrato administrativo deverá ser acompanhada e fiscalizada pelo(a) fiscal do contrato administrativos, ou pelos respectivos substitutos (art. 117 da Lei nº. 14.133/2021).</w:t>
      </w:r>
    </w:p>
    <w:p w14:paraId="0F0AFFAB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6.3. </w:t>
      </w: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O(A) fiscal do contrato administrativo anotará em registro próprio todas as ocorrências relacionadas à execução do contrato administrativo, determinando o que for necessário para a regularização das faltas ou dos defeitos observados (§1º do art. 117 da Lei nº. 14.133/2021).</w:t>
      </w:r>
    </w:p>
    <w:p w14:paraId="33FEFDCA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6.4. O(A) fiscal do contrato administrativo informará a seus superiores, em tempo hábil para a adoção das medidas convenientes, a situação que demandar decisão ou providência que ultrapasse sua competência (§ 2º do art. 117 da Lei nº. 14.133/2021).</w:t>
      </w:r>
    </w:p>
    <w:p w14:paraId="585B10D6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6.5. O(A) Locador(a)será obrigado a reparar, corrigir, remover, reconstruir ou substituir, a suas expensas, no total ou em parte, o imóvel quando se verificarem vícios, defeitos </w:t>
      </w:r>
      <w:r>
        <w:rPr>
          <w:rFonts w:ascii="Quattrocento Sans" w:eastAsia="Quattrocento Sans" w:hAnsi="Quattrocento Sans" w:cs="Quattrocento Sans"/>
          <w:sz w:val="23"/>
          <w:szCs w:val="23"/>
        </w:rPr>
        <w:lastRenderedPageBreak/>
        <w:t>ou incorreções por serviços ocorridos antes do contrato administrativo (art. 118 da Lei nº. 14.133/2021).</w:t>
      </w:r>
    </w:p>
    <w:p w14:paraId="38A1D582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6.6. Somente o(a) Locador(a)será responsável pelos tributos do imóvel do contrato administrativo cujos fatos geradores ocorreram antes do contrato administrativo (art. 121 da Lei nº. 14.133/2021).</w:t>
      </w:r>
    </w:p>
    <w:p w14:paraId="3388A80E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6.7. A inadimplência do(a) Locador(a)em relação aos tributos não transferirá à Administração a responsabilidade pelo seu pagamento e não poderá onerar o objeto do contrato administrativo (§ 1º do art. 121 da Lei nº. 14.133/2021).</w:t>
      </w:r>
    </w:p>
    <w:p w14:paraId="1CA3F409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6.8. As comunicações entre a Administração e o(a) Locador(a)devem ser realizadas por escrito sempre que o ato exigir tal formalidade, admitindo-se, excepcionalmente, o uso de mensagem eletrônica para esse fim, tal como: e-mail.</w:t>
      </w:r>
    </w:p>
    <w:p w14:paraId="58D5B3AB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6.9. A Administração poderá convocar representante do(a) licitante para adoção de providências que devam ser cumpridas de imediato.</w:t>
      </w:r>
    </w:p>
    <w:p w14:paraId="195A7C04" w14:textId="77777777" w:rsidR="00DA084C" w:rsidRDefault="00000000">
      <w:pPr>
        <w:tabs>
          <w:tab w:val="left" w:pos="1134"/>
        </w:tabs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6.10. </w:t>
      </w: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 xml:space="preserve">O(A) Locador(a)deverá manter preposto aceito pela Administração no local do serviço para </w:t>
      </w:r>
      <w:r>
        <w:rPr>
          <w:rFonts w:ascii="Quattrocento Sans" w:eastAsia="Quattrocento Sans" w:hAnsi="Quattrocento Sans" w:cs="Quattrocento Sans"/>
          <w:sz w:val="23"/>
          <w:szCs w:val="23"/>
        </w:rPr>
        <w:t>representá</w:t>
      </w: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-lo na execução do contrato administrativo (art. 118 da Lei nº 14.133/2021).</w:t>
      </w:r>
    </w:p>
    <w:p w14:paraId="3F547793" w14:textId="77777777" w:rsidR="00DA084C" w:rsidRDefault="00000000">
      <w:pPr>
        <w:tabs>
          <w:tab w:val="left" w:pos="1134"/>
        </w:tabs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 xml:space="preserve">6.11. </w:t>
      </w:r>
      <w:r>
        <w:rPr>
          <w:rFonts w:ascii="Quattrocento Sans" w:eastAsia="Quattrocento Sans" w:hAnsi="Quattrocento Sans" w:cs="Quattrocento Sans"/>
          <w:sz w:val="23"/>
          <w:szCs w:val="23"/>
        </w:rPr>
        <w:t>A indicação ou a manutenção do preposto do(a) Locador(a)poderá ser recusada pelo Locatário, desde que devidamente justificada, devendo o(a) Locador(a)designar outro para o exercício da atividade, no prazo indicado pelo fiscal.</w:t>
      </w:r>
    </w:p>
    <w:p w14:paraId="267C1F3E" w14:textId="77777777" w:rsidR="00DA084C" w:rsidRDefault="00DA084C">
      <w:pPr>
        <w:spacing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</w:p>
    <w:p w14:paraId="02C74307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b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color w:val="000000"/>
          <w:sz w:val="23"/>
          <w:szCs w:val="23"/>
        </w:rPr>
        <w:t>7. Dos critérios de medição e de pagamento</w:t>
      </w:r>
    </w:p>
    <w:p w14:paraId="31630B2E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7.1. A medição da locação será mensal;</w:t>
      </w:r>
    </w:p>
    <w:p w14:paraId="3FB0C0ED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7.2. O pagamento será mensalmente e em até 30 (trinta) dias úteis do recebimento da comprovação de regularidade fiscal, trabalhista e social;</w:t>
      </w:r>
    </w:p>
    <w:p w14:paraId="7AE60D13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7.3. Havendo erro nos documentos pertinentes à contratação administrativa, ou, ainda, circunstância que impeça a liquidação da despesa, como, por exemplo, obrigação financeira pendente, decorrente de penalidade imposta ou inadimplência, o pagamento ficará sobrestado até que o(a) Locador(a)providencie as medidas saneadoras. Nesta hipótese, o prazo para pagamento iniciar-se-á após a comprovação da regularização da situação, não acarretando qualquer ônus para o Locatário.</w:t>
      </w:r>
    </w:p>
    <w:p w14:paraId="66908EF5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7.4. O pagamento devido pelo Locatário será efetuado por meio ordem bancária, para crédito em banco, agência e conta corrente indicados pelo(a) Locatário, ou, eventualmente, por outra forma que vier a ser convencionada entre as partes.</w:t>
      </w:r>
    </w:p>
    <w:p w14:paraId="52C92CFC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lastRenderedPageBreak/>
        <w:t xml:space="preserve">7.5. Será considerada data do pagamento o dia em que constar como emitida a ordem bancária para pagamento. </w:t>
      </w:r>
    </w:p>
    <w:p w14:paraId="0ACFB38A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7.6. Paga a importância discriminada no contrato administrativo, o(a) Locador(a)dará ao Locatário plena, geral e irretratável quitação dos valores nela discriminados, para nada mais vir a reclamar ou exigir a qualquer título, tempo ou forma.</w:t>
      </w:r>
    </w:p>
    <w:p w14:paraId="5D276F80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7.7. Todo pagamento que vier a ser considerado contratualmente indevido será objeto de ajuste nos pagamentos futuros, quando devidos, ou cobrados diretamente do(a) Locador(a)(a).</w:t>
      </w:r>
    </w:p>
    <w:p w14:paraId="4CED6E72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7.8. Os documentos comprobatórios dos pagamentos relativos a tributos, encargos ou contribuições de responsabilidade do(a) Locador(a)(a), deverão ser enviados ao Locatário mensalmente.</w:t>
      </w:r>
    </w:p>
    <w:p w14:paraId="4BB2E94C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7.9. Antes de cada pagamento a(o) Locador(a)será realizada consulta para verificar a manutenção das regularidades fiscal, social e trabalhista.</w:t>
      </w:r>
    </w:p>
    <w:p w14:paraId="29ACF94E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7.10. Constatando-se a situação de irregularidade do(a) Locador(a)(a), será providenciada sua advertência, por escrito, para que, no prazo de 05 (cinco) dias úteis, regularize sua situação ou, no mesmo prazo, apresente sua defesa. O prazo poderá ser prorrogado uma vez, por igual período, a critério do Locatário.</w:t>
      </w:r>
    </w:p>
    <w:p w14:paraId="6BE4E001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 xml:space="preserve">7.11. Não havendo regularização ou sendo a defesa considerada improcedente, o Locatário deverá comunicar aos órgãos responsáveis pela fiscalização da regularidade fiscal quanto à inadimplência do(a) Locador(a)(a), bem como quanto à existência de pagamento a ser efetuado, para que sejam acionados os meios pertinentes e necessários para garantir o recebimento de seus créditos.  </w:t>
      </w:r>
    </w:p>
    <w:p w14:paraId="467268D2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 xml:space="preserve">7.12. Persistindo a irregularidade, o Locatário deverá adotar as medidas necessárias à rescisão contratual nos autos do processo administrativo correspondente, assegurada à contratada a ampla defesa. </w:t>
      </w:r>
    </w:p>
    <w:p w14:paraId="2E2C0DD7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 xml:space="preserve">7.13. Havendo a efetiva execução do objeto, os pagamentos serão realizados normalmente, até que se decida pela rescisão do contrato administrativo, caso o(a) Locador(a)não regularize sua situação.  </w:t>
      </w:r>
    </w:p>
    <w:p w14:paraId="6B1BCADE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7.14. Somente por motivo de economicidade ou outro interesse público de alta relevância, devidamente justificado, em qualquer caso, pelo(a) Prefeito(a) Municipal, não será rescindido o contrato administrativo em execução com a contratada inadimplente.</w:t>
      </w:r>
    </w:p>
    <w:p w14:paraId="244297B8" w14:textId="77777777" w:rsidR="00DA084C" w:rsidRDefault="00000000">
      <w:pPr>
        <w:spacing w:after="160"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7.15. </w:t>
      </w: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Quando do pagamento, será efetuada a retenção tributária prevista na legislação aplicável, se for o caso.</w:t>
      </w:r>
    </w:p>
    <w:p w14:paraId="29C32511" w14:textId="77777777" w:rsidR="00DA084C" w:rsidRDefault="00DA084C">
      <w:pPr>
        <w:spacing w:line="300" w:lineRule="auto"/>
        <w:ind w:right="-17"/>
        <w:jc w:val="both"/>
        <w:rPr>
          <w:rFonts w:ascii="Quattrocento Sans" w:eastAsia="Quattrocento Sans" w:hAnsi="Quattrocento Sans" w:cs="Quattrocento Sans"/>
          <w:sz w:val="23"/>
          <w:szCs w:val="23"/>
        </w:rPr>
      </w:pPr>
    </w:p>
    <w:p w14:paraId="3E71D1FF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b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color w:val="000000"/>
          <w:sz w:val="23"/>
          <w:szCs w:val="23"/>
        </w:rPr>
        <w:t>8. Da forma e critérios de seleção do(a) fornecedor(a)</w:t>
      </w:r>
    </w:p>
    <w:p w14:paraId="2F91EECB" w14:textId="77777777" w:rsidR="00DA084C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8.1. O(A) fornecedor(a) será selecionado por meio da realização de Inexigibilidade de Licitação Pública, não tendo como critério de julgamento, considerando tratar-se de Inexigibilidade de Licitação Pública.</w:t>
      </w:r>
    </w:p>
    <w:p w14:paraId="0C829C58" w14:textId="77777777" w:rsidR="00DA084C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8.2. Não há modo de disputa, considerando tratar-se de Inexigibilidade de Licitação Pública.</w:t>
      </w:r>
    </w:p>
    <w:p w14:paraId="09B49119" w14:textId="77777777" w:rsidR="00DA084C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300" w:lineRule="auto"/>
        <w:jc w:val="both"/>
        <w:rPr>
          <w:rFonts w:ascii="Quattrocento Sans" w:eastAsia="Quattrocento Sans" w:hAnsi="Quattrocento Sans" w:cs="Quattrocento Sans"/>
          <w:b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color w:val="000000"/>
          <w:sz w:val="23"/>
          <w:szCs w:val="23"/>
        </w:rPr>
        <w:t>8.3. Da Habilitação Jurídica:</w:t>
      </w:r>
    </w:p>
    <w:p w14:paraId="6F2F173D" w14:textId="0BC23DC0" w:rsidR="00DA084C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8.3.1. Empresário individual: inscrição no Registro Público de Empresas Mercantis, a cargo da Junta Comercial respectiva</w:t>
      </w:r>
      <w:r w:rsidR="000C129A">
        <w:rPr>
          <w:rFonts w:ascii="Quattrocento Sans" w:eastAsia="Quattrocento Sans" w:hAnsi="Quattrocento Sans" w:cs="Quattrocento Sans"/>
          <w:b/>
          <w:sz w:val="23"/>
          <w:szCs w:val="23"/>
        </w:rPr>
        <w:t>– dispensado para licitante pessoa física</w:t>
      </w: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;</w:t>
      </w:r>
    </w:p>
    <w:p w14:paraId="7C9B70F9" w14:textId="0BA5EE18" w:rsidR="00DA084C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8.3.2. Microempreendedor Individual – MEI: Certificado da Condição de Microempreendedor Individual – CCMEI</w:t>
      </w:r>
      <w:r w:rsidR="000C129A">
        <w:rPr>
          <w:rFonts w:ascii="Quattrocento Sans" w:eastAsia="Quattrocento Sans" w:hAnsi="Quattrocento Sans" w:cs="Quattrocento Sans"/>
          <w:b/>
          <w:sz w:val="23"/>
          <w:szCs w:val="23"/>
        </w:rPr>
        <w:t>– dispensado para licitante pessoa física</w:t>
      </w: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;</w:t>
      </w:r>
    </w:p>
    <w:p w14:paraId="7249FD5C" w14:textId="4C0FF998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8.3.3. Sociedade empresária, sociedade limitada unipessoal – SLU – ou sociedade identificada como empresa individual de responsabilidade limitada – EIRELI: inscrição do ato constitutivo, estatuto ou contrato social no Registro Público de Empresas Mercantis, a cargo da Junta Comercial da respectiva sede, acompanhada de documento comprobatório de seus administradores</w:t>
      </w:r>
      <w:r w:rsidR="000C129A">
        <w:rPr>
          <w:rFonts w:ascii="Quattrocento Sans" w:eastAsia="Quattrocento Sans" w:hAnsi="Quattrocento Sans" w:cs="Quattrocento Sans"/>
          <w:b/>
          <w:sz w:val="23"/>
          <w:szCs w:val="23"/>
        </w:rPr>
        <w:t>– dispensado para licitante pessoa física</w:t>
      </w:r>
      <w:r>
        <w:rPr>
          <w:rFonts w:ascii="Quattrocento Sans" w:eastAsia="Quattrocento Sans" w:hAnsi="Quattrocento Sans" w:cs="Quattrocento Sans"/>
          <w:sz w:val="23"/>
          <w:szCs w:val="23"/>
        </w:rPr>
        <w:t>;</w:t>
      </w:r>
    </w:p>
    <w:p w14:paraId="1B89AAD6" w14:textId="1BC4F2D3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8.3.4. Sociedade empresária estrangeira com atuação permanente no país: Decreto de autorização para funcionamento no Brasil</w:t>
      </w:r>
      <w:r w:rsidR="000C129A">
        <w:rPr>
          <w:rFonts w:ascii="Quattrocento Sans" w:eastAsia="Quattrocento Sans" w:hAnsi="Quattrocento Sans" w:cs="Quattrocento Sans"/>
          <w:b/>
          <w:sz w:val="23"/>
          <w:szCs w:val="23"/>
        </w:rPr>
        <w:t>– dispensado para licitante pessoa física</w:t>
      </w:r>
      <w:r>
        <w:rPr>
          <w:rFonts w:ascii="Quattrocento Sans" w:eastAsia="Quattrocento Sans" w:hAnsi="Quattrocento Sans" w:cs="Quattrocento Sans"/>
          <w:sz w:val="23"/>
          <w:szCs w:val="23"/>
        </w:rPr>
        <w:t>;</w:t>
      </w:r>
    </w:p>
    <w:p w14:paraId="0B6B8353" w14:textId="001AD0C2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8.3.5. Sociedade simples: inscrição do ato constitutivo no Registro Civil de Pessoas Jurídicas do local de sua sede, acompanhada de documento comprobatório de seus administradores</w:t>
      </w:r>
      <w:r w:rsidR="000C129A">
        <w:rPr>
          <w:rFonts w:ascii="Quattrocento Sans" w:eastAsia="Quattrocento Sans" w:hAnsi="Quattrocento Sans" w:cs="Quattrocento Sans"/>
          <w:b/>
          <w:sz w:val="23"/>
          <w:szCs w:val="23"/>
        </w:rPr>
        <w:t>– dispensado para licitante pessoa física</w:t>
      </w:r>
      <w:r>
        <w:rPr>
          <w:rFonts w:ascii="Quattrocento Sans" w:eastAsia="Quattrocento Sans" w:hAnsi="Quattrocento Sans" w:cs="Quattrocento Sans"/>
          <w:sz w:val="23"/>
          <w:szCs w:val="23"/>
        </w:rPr>
        <w:t>;</w:t>
      </w:r>
    </w:p>
    <w:p w14:paraId="3699C7BE" w14:textId="3545F283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8.3.6. Sociedade cooperativa: ata de fundação e estatuto social, com a ata da assembleia que o aprovou, devidamente arquivado na Junta Comercial ou inscrito no Registro Civil de Pessoas Jurídicas da respectiva sede, além do registro de que trata o art. 107 da Lei nº. 5.7564/1971</w:t>
      </w:r>
      <w:r w:rsidR="000C129A">
        <w:rPr>
          <w:rFonts w:ascii="Quattrocento Sans" w:eastAsia="Quattrocento Sans" w:hAnsi="Quattrocento Sans" w:cs="Quattrocento Sans"/>
          <w:b/>
          <w:sz w:val="23"/>
          <w:szCs w:val="23"/>
        </w:rPr>
        <w:t>– dispensado para licitante pessoa física</w:t>
      </w:r>
      <w:r>
        <w:rPr>
          <w:rFonts w:ascii="Quattrocento Sans" w:eastAsia="Quattrocento Sans" w:hAnsi="Quattrocento Sans" w:cs="Quattrocento Sans"/>
          <w:sz w:val="23"/>
          <w:szCs w:val="23"/>
        </w:rPr>
        <w:t>.</w:t>
      </w:r>
    </w:p>
    <w:p w14:paraId="44908D87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8.3.7. Cadastro de Pessoa Física – CPF – e Carteira de Identidade – </w:t>
      </w:r>
      <w:r>
        <w:rPr>
          <w:rFonts w:ascii="Quattrocento Sans" w:eastAsia="Quattrocento Sans" w:hAnsi="Quattrocento Sans" w:cs="Quattrocento Sans"/>
          <w:b/>
          <w:sz w:val="23"/>
          <w:szCs w:val="23"/>
        </w:rPr>
        <w:t>para licitante pessoa física;</w:t>
      </w:r>
    </w:p>
    <w:p w14:paraId="78925526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8.3.8. Registro do imóvel no Cartório de Registro de Imóveis da Comarca de Ipanema, estado de Minas Gerais, em caso de existência;</w:t>
      </w:r>
    </w:p>
    <w:p w14:paraId="20D97C3B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8.3.9. Os documentos apresentados deverão estar acompanhados de todas as alterações ou da consolidação respectiva.</w:t>
      </w:r>
    </w:p>
    <w:p w14:paraId="527FACCA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sz w:val="23"/>
          <w:szCs w:val="23"/>
        </w:rPr>
        <w:lastRenderedPageBreak/>
        <w:t>8.4. Da Habilitação fiscal, social e trabalhista:</w:t>
      </w:r>
    </w:p>
    <w:p w14:paraId="0714948F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8.4.1. Cadastro Nacional de Pessoa Jurídica – CNPJ </w:t>
      </w:r>
      <w:r>
        <w:rPr>
          <w:rFonts w:ascii="Quattrocento Sans" w:eastAsia="Quattrocento Sans" w:hAnsi="Quattrocento Sans" w:cs="Quattrocento Sans"/>
          <w:b/>
          <w:sz w:val="23"/>
          <w:szCs w:val="23"/>
        </w:rPr>
        <w:t>– dispensado para licitante pessoa física</w:t>
      </w:r>
      <w:r>
        <w:rPr>
          <w:rFonts w:ascii="Quattrocento Sans" w:eastAsia="Quattrocento Sans" w:hAnsi="Quattrocento Sans" w:cs="Quattrocento Sans"/>
          <w:sz w:val="23"/>
          <w:szCs w:val="23"/>
        </w:rPr>
        <w:t>;</w:t>
      </w:r>
    </w:p>
    <w:p w14:paraId="3B93D6E4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8.4.2. Inscrição no cadastro de contribuintes estadual, relativo ao domicílio ou sede do(a) licitante, pertinente ao seu ramo de atividade e compatível com o objeto contratual;</w:t>
      </w:r>
    </w:p>
    <w:p w14:paraId="31A7B15C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8.4.3. Prova de regularidade perante a Fazenda Federal;</w:t>
      </w:r>
    </w:p>
    <w:p w14:paraId="094BE9AC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8.4.4. Prova de regularidade perante a Fazenda Estadual;</w:t>
      </w:r>
    </w:p>
    <w:p w14:paraId="40501765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8.4.4.1. Caso a licitante seja considerada isento dos tributos estaduais ou distritais relacionados ao objeto, deverá comprovar tal condição mediante a apresentação de certidão ou declaração da Fazenda respectiva do seu domicílio ou sede, ou por meio de outro documento equivalente, na forma da respectiva legislação de regência.</w:t>
      </w:r>
    </w:p>
    <w:p w14:paraId="5B9E4219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8.4.5. Prova de regularidade perante a Fazenda Municipal;</w:t>
      </w:r>
    </w:p>
    <w:p w14:paraId="615AB310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8.4.6. Prova de regularidade relativo à Seguridade Social e ao Fundo de Garantia de Tempo de Serviço – FGTS –, que demonstre cumprimento dos encargos sociais instituídos por lei </w:t>
      </w:r>
      <w:r>
        <w:rPr>
          <w:rFonts w:ascii="Quattrocento Sans" w:eastAsia="Quattrocento Sans" w:hAnsi="Quattrocento Sans" w:cs="Quattrocento Sans"/>
          <w:b/>
          <w:sz w:val="23"/>
          <w:szCs w:val="23"/>
        </w:rPr>
        <w:t>– dispensado para licitante pessoa física</w:t>
      </w:r>
      <w:r>
        <w:rPr>
          <w:rFonts w:ascii="Quattrocento Sans" w:eastAsia="Quattrocento Sans" w:hAnsi="Quattrocento Sans" w:cs="Quattrocento Sans"/>
          <w:sz w:val="23"/>
          <w:szCs w:val="23"/>
        </w:rPr>
        <w:t>;</w:t>
      </w:r>
    </w:p>
    <w:p w14:paraId="6F9461EC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8.4.7. Prova de regularidade perante a Justiça do Trabalho;</w:t>
      </w:r>
    </w:p>
    <w:p w14:paraId="2A7D9744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8.4.8. Cumprimento do disposto no inciso XXXIII do art. 7º da Constituição da República de 1988 – CR88. </w:t>
      </w:r>
    </w:p>
    <w:p w14:paraId="2F20E159" w14:textId="77777777" w:rsidR="00DA084C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8.5. Se o(a) licitante for a matriz, todos os documentos deverão estar em nome da matriz, e se a licitante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14:paraId="1B71DE6A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8.6. Os documentos de habilitação poderá ser:</w:t>
      </w:r>
    </w:p>
    <w:p w14:paraId="7A6E3C21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8.6.1. apresentada em original, por cópia ou por qualquer outro meio expressamente admitido pela Administração;</w:t>
      </w:r>
    </w:p>
    <w:p w14:paraId="7205C3F5" w14:textId="77777777" w:rsidR="00DA084C" w:rsidRDefault="00000000">
      <w:pPr>
        <w:spacing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8.6.2. substituída por registro cadastral emitido pela Administração, desde que o registro tenha sido feito em obediência ao disposta na Lei nº. 14.133/2021.</w:t>
      </w:r>
    </w:p>
    <w:p w14:paraId="623B8583" w14:textId="77777777" w:rsidR="00DA084C" w:rsidRDefault="00DA084C">
      <w:pPr>
        <w:spacing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</w:p>
    <w:p w14:paraId="207DE801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b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sz w:val="23"/>
          <w:szCs w:val="23"/>
        </w:rPr>
        <w:t>9. Da estimativa do valor da contratação administrativa</w:t>
      </w:r>
    </w:p>
    <w:p w14:paraId="193A3A0B" w14:textId="77777777" w:rsidR="00DA084C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300" w:lineRule="auto"/>
        <w:jc w:val="both"/>
        <w:rPr>
          <w:rFonts w:ascii="Quattrocento Sans" w:eastAsia="Quattrocento Sans" w:hAnsi="Quattrocento Sans" w:cs="Quattrocento Sans"/>
          <w:color w:val="FF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lastRenderedPageBreak/>
        <w:t>9.1. A estimativa do valor da contratação administrativa está no ETP (inciso VI do § 1º do art. 18 da Lei nº. 14.133/2021).</w:t>
      </w:r>
    </w:p>
    <w:p w14:paraId="69D17D01" w14:textId="77777777" w:rsidR="00DA084C" w:rsidRDefault="00DA084C">
      <w:pPr>
        <w:spacing w:line="300" w:lineRule="auto"/>
        <w:jc w:val="both"/>
        <w:rPr>
          <w:rFonts w:ascii="Quattrocento Sans" w:eastAsia="Quattrocento Sans" w:hAnsi="Quattrocento Sans" w:cs="Quattrocento Sans"/>
          <w:b/>
          <w:color w:val="000000"/>
          <w:sz w:val="23"/>
          <w:szCs w:val="23"/>
        </w:rPr>
      </w:pPr>
    </w:p>
    <w:p w14:paraId="24B5745E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b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b/>
          <w:color w:val="000000"/>
          <w:sz w:val="23"/>
          <w:szCs w:val="23"/>
        </w:rPr>
        <w:t>10. Da adequação orçamentária</w:t>
      </w:r>
    </w:p>
    <w:p w14:paraId="603E0E4B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10.1. As despesas decorrentes desta contratação administrativa correrão à conta de recursos específicos consignados no orçamento geral do Município de Conceição de Ipanema/MG.</w:t>
      </w:r>
    </w:p>
    <w:p w14:paraId="47B72C69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>
        <w:rPr>
          <w:rFonts w:ascii="Quattrocento Sans" w:eastAsia="Quattrocento Sans" w:hAnsi="Quattrocento Sans" w:cs="Quattrocento Sans"/>
          <w:color w:val="000000"/>
          <w:sz w:val="23"/>
          <w:szCs w:val="23"/>
        </w:rPr>
        <w:t>10.2. A contratação administrativa será atendida pela seguinte dotação orçamentária:</w:t>
      </w:r>
    </w:p>
    <w:p w14:paraId="592F97D4" w14:textId="77777777" w:rsidR="00DA084C" w:rsidRDefault="00DA084C">
      <w:pP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</w:p>
    <w:p w14:paraId="6B6D7B34" w14:textId="525C5CB8" w:rsidR="00DA084C" w:rsidRDefault="000C129A">
      <w:pPr>
        <w:spacing w:after="160" w:line="300" w:lineRule="auto"/>
        <w:jc w:val="both"/>
        <w:rPr>
          <w:rFonts w:ascii="Quattrocento Sans" w:eastAsia="Quattrocento Sans" w:hAnsi="Quattrocento Sans" w:cs="Quattrocento Sans"/>
          <w:color w:val="000000"/>
          <w:sz w:val="23"/>
          <w:szCs w:val="23"/>
        </w:rPr>
      </w:pPr>
      <w:r w:rsidRPr="000C129A">
        <w:rPr>
          <w:rFonts w:ascii="Quattrocento Sans" w:eastAsia="Quattrocento Sans" w:hAnsi="Quattrocento Sans" w:cs="Quattrocento Sans"/>
          <w:color w:val="000000"/>
          <w:sz w:val="23"/>
          <w:szCs w:val="23"/>
        </w:rPr>
        <w:t>02 05 02 10 301 0009 2.033 3 3 90 36 – Ficha 434 – Outros Serviços de Terceiro – Pessoa Física – Secretaria Municipal de Saúde.</w:t>
      </w:r>
    </w:p>
    <w:p w14:paraId="621C6556" w14:textId="77777777" w:rsidR="00DA084C" w:rsidRDefault="00000000">
      <w:pPr>
        <w:spacing w:after="160"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10.3. A dotação relativa aos exercícios financeiros subsequentes será indicada após aprovação da Lei Orçamentária respectiva e liberação dos créditos correspondentes, mediante apostilamento.</w:t>
      </w:r>
    </w:p>
    <w:p w14:paraId="7668805C" w14:textId="77777777" w:rsidR="00DA084C" w:rsidRDefault="00DA084C">
      <w:pPr>
        <w:spacing w:line="300" w:lineRule="auto"/>
        <w:jc w:val="both"/>
        <w:rPr>
          <w:rFonts w:ascii="Quattrocento Sans" w:eastAsia="Quattrocento Sans" w:hAnsi="Quattrocento Sans" w:cs="Quattrocento Sans"/>
          <w:sz w:val="23"/>
          <w:szCs w:val="23"/>
        </w:rPr>
      </w:pPr>
    </w:p>
    <w:p w14:paraId="22114DBF" w14:textId="67CF1AAB" w:rsidR="00DA084C" w:rsidRDefault="00000000">
      <w:pPr>
        <w:spacing w:line="300" w:lineRule="auto"/>
        <w:jc w:val="right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 xml:space="preserve">Conceição de Ipanema/MG, </w:t>
      </w:r>
      <w:r w:rsidR="000C129A">
        <w:rPr>
          <w:rFonts w:ascii="Quattrocento Sans" w:eastAsia="Quattrocento Sans" w:hAnsi="Quattrocento Sans" w:cs="Quattrocento Sans"/>
          <w:sz w:val="23"/>
          <w:szCs w:val="23"/>
        </w:rPr>
        <w:t>26</w:t>
      </w:r>
      <w:r>
        <w:rPr>
          <w:rFonts w:ascii="Quattrocento Sans" w:eastAsia="Quattrocento Sans" w:hAnsi="Quattrocento Sans" w:cs="Quattrocento Sans"/>
          <w:sz w:val="23"/>
          <w:szCs w:val="23"/>
        </w:rPr>
        <w:t xml:space="preserve"> de </w:t>
      </w:r>
      <w:r w:rsidR="000C129A">
        <w:rPr>
          <w:rFonts w:ascii="Quattrocento Sans" w:eastAsia="Quattrocento Sans" w:hAnsi="Quattrocento Sans" w:cs="Quattrocento Sans"/>
          <w:sz w:val="23"/>
          <w:szCs w:val="23"/>
        </w:rPr>
        <w:t>maio</w:t>
      </w:r>
      <w:r>
        <w:rPr>
          <w:rFonts w:ascii="Quattrocento Sans" w:eastAsia="Quattrocento Sans" w:hAnsi="Quattrocento Sans" w:cs="Quattrocento Sans"/>
          <w:sz w:val="23"/>
          <w:szCs w:val="23"/>
        </w:rPr>
        <w:t xml:space="preserve"> de 2025.</w:t>
      </w:r>
    </w:p>
    <w:p w14:paraId="0CE069D6" w14:textId="77777777" w:rsidR="00DA084C" w:rsidRDefault="00DA084C">
      <w:pPr>
        <w:spacing w:line="300" w:lineRule="auto"/>
        <w:jc w:val="right"/>
        <w:rPr>
          <w:rFonts w:ascii="Quattrocento Sans" w:eastAsia="Quattrocento Sans" w:hAnsi="Quattrocento Sans" w:cs="Quattrocento Sans"/>
          <w:sz w:val="23"/>
          <w:szCs w:val="23"/>
        </w:rPr>
      </w:pPr>
    </w:p>
    <w:p w14:paraId="1848FB3B" w14:textId="77777777" w:rsidR="00DA084C" w:rsidRDefault="00DA084C">
      <w:pPr>
        <w:spacing w:line="300" w:lineRule="auto"/>
        <w:jc w:val="right"/>
        <w:rPr>
          <w:rFonts w:ascii="Quattrocento Sans" w:eastAsia="Quattrocento Sans" w:hAnsi="Quattrocento Sans" w:cs="Quattrocento Sans"/>
          <w:sz w:val="23"/>
          <w:szCs w:val="23"/>
        </w:rPr>
      </w:pPr>
    </w:p>
    <w:p w14:paraId="42DABAA9" w14:textId="727D54E0" w:rsidR="00DA084C" w:rsidRDefault="00BE438A">
      <w:pPr>
        <w:spacing w:line="300" w:lineRule="auto"/>
        <w:jc w:val="center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HENRY CHUENG NOGUEIRA ALVES</w:t>
      </w:r>
    </w:p>
    <w:p w14:paraId="5C37B006" w14:textId="77777777" w:rsidR="00DA084C" w:rsidRDefault="00000000">
      <w:pPr>
        <w:spacing w:line="300" w:lineRule="auto"/>
        <w:jc w:val="center"/>
        <w:rPr>
          <w:rFonts w:ascii="Quattrocento Sans" w:eastAsia="Quattrocento Sans" w:hAnsi="Quattrocento Sans" w:cs="Quattrocento Sans"/>
          <w:sz w:val="23"/>
          <w:szCs w:val="23"/>
        </w:rPr>
      </w:pPr>
      <w:r>
        <w:rPr>
          <w:rFonts w:ascii="Quattrocento Sans" w:eastAsia="Quattrocento Sans" w:hAnsi="Quattrocento Sans" w:cs="Quattrocento Sans"/>
          <w:sz w:val="23"/>
          <w:szCs w:val="23"/>
        </w:rPr>
        <w:t>Responsável pela elaboração do Termo de Referencia</w:t>
      </w:r>
    </w:p>
    <w:p w14:paraId="5F68ACB8" w14:textId="77777777" w:rsidR="00DA084C" w:rsidRDefault="00DA084C"/>
    <w:sectPr w:rsidR="00DA084C">
      <w:headerReference w:type="default" r:id="rId7"/>
      <w:pgSz w:w="11906" w:h="16838"/>
      <w:pgMar w:top="1560" w:right="1701" w:bottom="1417" w:left="1701" w:header="42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DD72F" w14:textId="77777777" w:rsidR="00881ACA" w:rsidRDefault="00881ACA">
      <w:r>
        <w:separator/>
      </w:r>
    </w:p>
  </w:endnote>
  <w:endnote w:type="continuationSeparator" w:id="0">
    <w:p w14:paraId="511FBEA4" w14:textId="77777777" w:rsidR="00881ACA" w:rsidRDefault="0088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403F0D4-28D5-4BFB-ABBE-61ED51D3872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A3AD063F-46AE-4188-909B-F0B3CF338FEE}"/>
    <w:embedItalic r:id="rId3" w:fontKey="{57C4E23E-2F11-45E5-A988-EBF6721A4891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4" w:fontKey="{032DF7C9-CD36-4C6C-B22D-E74DC7937513}"/>
    <w:embedBold r:id="rId5" w:fontKey="{9614FC3F-36FE-4A62-9351-AE822C408165}"/>
  </w:font>
  <w:font w:name="Lustria">
    <w:charset w:val="00"/>
    <w:family w:val="auto"/>
    <w:pitch w:val="default"/>
    <w:embedRegular r:id="rId6" w:fontKey="{53175F26-831E-4D3C-B717-FBB32728BB99}"/>
    <w:embedBold r:id="rId7" w:fontKey="{77B868CD-8388-41BE-8CD5-18C1734B76D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EFF47E58-30AC-453B-AB7A-C19983C7B3F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C1BC2" w14:textId="77777777" w:rsidR="00881ACA" w:rsidRDefault="00881ACA">
      <w:r>
        <w:separator/>
      </w:r>
    </w:p>
  </w:footnote>
  <w:footnote w:type="continuationSeparator" w:id="0">
    <w:p w14:paraId="7CF011EB" w14:textId="77777777" w:rsidR="00881ACA" w:rsidRDefault="00881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BC3AD" w14:textId="77777777" w:rsidR="00DA084C" w:rsidRDefault="00000000">
    <w:pPr>
      <w:spacing w:line="500" w:lineRule="auto"/>
      <w:jc w:val="center"/>
      <w:rPr>
        <w:rFonts w:ascii="Lustria" w:eastAsia="Lustria" w:hAnsi="Lustria" w:cs="Lustria"/>
        <w:b/>
        <w:color w:val="000000"/>
        <w:sz w:val="40"/>
        <w:szCs w:val="40"/>
      </w:rPr>
    </w:pPr>
    <w:r>
      <w:rPr>
        <w:rFonts w:ascii="Lustria" w:eastAsia="Lustria" w:hAnsi="Lustria" w:cs="Lustria"/>
        <w:b/>
        <w:color w:val="000000"/>
        <w:sz w:val="40"/>
        <w:szCs w:val="40"/>
      </w:rPr>
      <w:t>PREFEITURA MUNICIPAL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7B30395" wp14:editId="599D5E38">
          <wp:simplePos x="0" y="0"/>
          <wp:positionH relativeFrom="column">
            <wp:posOffset>-390524</wp:posOffset>
          </wp:positionH>
          <wp:positionV relativeFrom="paragraph">
            <wp:posOffset>9525</wp:posOffset>
          </wp:positionV>
          <wp:extent cx="1285875" cy="1012190"/>
          <wp:effectExtent l="0" t="0" r="0" b="0"/>
          <wp:wrapSquare wrapText="bothSides" distT="0" distB="0" distL="114300" distR="114300"/>
          <wp:docPr id="1352768436" name="image1.png" descr="emble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mblem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1012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6DE73BA" w14:textId="77777777" w:rsidR="00DA084C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CONCEIÇÃO DE IPANEMA – MG</w:t>
    </w:r>
  </w:p>
  <w:p w14:paraId="5F0A8308" w14:textId="77777777" w:rsidR="00DA084C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CNPJ: 18.334.300/0001-72</w:t>
    </w:r>
  </w:p>
  <w:p w14:paraId="3151C04B" w14:textId="77777777" w:rsidR="00DA084C" w:rsidRDefault="00DA08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709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84C"/>
    <w:rsid w:val="000C129A"/>
    <w:rsid w:val="00775080"/>
    <w:rsid w:val="00881ACA"/>
    <w:rsid w:val="00BE438A"/>
    <w:rsid w:val="00DA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430BF"/>
  <w15:docId w15:val="{0B427858-75B2-4A51-ABF2-8BAD97DE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ED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765E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5E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7E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7E8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03190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031904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7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XfMHZIbHtwbtbWxbyOIURBt9pA==">CgMxLjA4AHIhMUtfWXNPVUZJTjRka2Q3b0NKQzNUNElfemdyWDZsVC1j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2122</Words>
  <Characters>11465</Characters>
  <Application>Microsoft Office Word</Application>
  <DocSecurity>0</DocSecurity>
  <Lines>95</Lines>
  <Paragraphs>27</Paragraphs>
  <ScaleCrop>false</ScaleCrop>
  <Company/>
  <LinksUpToDate>false</LinksUpToDate>
  <CharactersWithSpaces>13560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cp:lastModifiedBy>Lucas Henrique</cp:lastModifiedBy>
  <cp:revision>3</cp:revision>
  <dcterms:created xsi:type="dcterms:W3CDTF">2025-01-02T18:25:00Z</dcterms:created>
  <dcterms:modified xsi:type="dcterms:W3CDTF">2025-06-15T19:04:00Z</dcterms:modified>
</cp:coreProperties>
</file>