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C9672" w14:textId="77777777" w:rsidR="000963D0" w:rsidRDefault="00000000">
      <w:pPr>
        <w:jc w:val="center"/>
        <w:rPr>
          <w:sz w:val="24"/>
          <w:szCs w:val="24"/>
        </w:rPr>
      </w:pPr>
      <w:r>
        <w:rPr>
          <w:b/>
          <w:color w:val="000000"/>
          <w:sz w:val="18"/>
          <w:szCs w:val="18"/>
          <w:u w:val="single"/>
        </w:rPr>
        <w:t>TERMO DE REFERÊNCIA</w:t>
      </w:r>
    </w:p>
    <w:p w14:paraId="28547772" w14:textId="77777777" w:rsidR="000963D0" w:rsidRDefault="00000000">
      <w:pPr>
        <w:jc w:val="center"/>
        <w:rPr>
          <w:sz w:val="24"/>
          <w:szCs w:val="24"/>
        </w:rPr>
      </w:pPr>
      <w:r>
        <w:rPr>
          <w:b/>
          <w:color w:val="000000"/>
          <w:sz w:val="18"/>
          <w:szCs w:val="18"/>
          <w:u w:val="single"/>
        </w:rPr>
        <w:t>Lei nº 14.133/2021</w:t>
      </w:r>
    </w:p>
    <w:p w14:paraId="4B7716C5" w14:textId="77777777" w:rsidR="000963D0" w:rsidRDefault="000963D0">
      <w:pPr>
        <w:rPr>
          <w:sz w:val="24"/>
          <w:szCs w:val="24"/>
        </w:rPr>
      </w:pPr>
    </w:p>
    <w:tbl>
      <w:tblPr>
        <w:tblStyle w:val="a"/>
        <w:tblW w:w="8642" w:type="dxa"/>
        <w:tblInd w:w="0" w:type="dxa"/>
        <w:tblLayout w:type="fixed"/>
        <w:tblLook w:val="0400" w:firstRow="0" w:lastRow="0" w:firstColumn="0" w:lastColumn="0" w:noHBand="0" w:noVBand="1"/>
      </w:tblPr>
      <w:tblGrid>
        <w:gridCol w:w="8642"/>
      </w:tblGrid>
      <w:tr w:rsidR="000963D0" w14:paraId="5C922B56" w14:textId="77777777">
        <w:tc>
          <w:tcPr>
            <w:tcW w:w="8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172E9" w14:textId="77777777" w:rsidR="000963D0" w:rsidRDefault="00000000">
            <w:pPr>
              <w:numPr>
                <w:ilvl w:val="0"/>
                <w:numId w:val="1"/>
              </w:numPr>
              <w:jc w:val="both"/>
              <w:rPr>
                <w:color w:val="000000"/>
                <w:sz w:val="18"/>
                <w:szCs w:val="18"/>
                <w:u w:val="single"/>
              </w:rPr>
            </w:pPr>
            <w:r>
              <w:rPr>
                <w:b/>
                <w:i/>
                <w:color w:val="000000"/>
                <w:sz w:val="18"/>
                <w:szCs w:val="18"/>
              </w:rPr>
              <w:t>– OBJETIVO</w:t>
            </w:r>
          </w:p>
        </w:tc>
      </w:tr>
    </w:tbl>
    <w:p w14:paraId="6E956226" w14:textId="22D3DDF1" w:rsidR="000963D0" w:rsidRDefault="000963D0">
      <w:pPr>
        <w:rPr>
          <w:sz w:val="24"/>
          <w:szCs w:val="24"/>
        </w:rPr>
      </w:pPr>
    </w:p>
    <w:p w14:paraId="73E338D3" w14:textId="261B2C6A" w:rsidR="000963D0" w:rsidRDefault="002C224F" w:rsidP="002C224F">
      <w:pPr>
        <w:jc w:val="both"/>
        <w:rPr>
          <w:color w:val="000000"/>
          <w:sz w:val="19"/>
          <w:szCs w:val="19"/>
        </w:rPr>
      </w:pPr>
      <w:r>
        <w:rPr>
          <w:rFonts w:ascii="Palatino Linotype" w:eastAsia="Palatino Linotype" w:hAnsi="Palatino Linotype" w:cs="Palatino Linotype"/>
          <w:color w:val="000000"/>
          <w:sz w:val="19"/>
          <w:szCs w:val="19"/>
        </w:rPr>
        <w:t>1. Este Termo de Referência deverá fazer parte integrante do procedimento de contratação direta, por inexigibilidade de licitação, tem por objetivo estabelecer o conjunto de elementos necessários e suficientes, com nível de precisão adequado para instruir o processo, visando a plena consecução do objeto pretendido</w:t>
      </w:r>
      <w:r>
        <w:rPr>
          <w:color w:val="000000"/>
          <w:sz w:val="19"/>
          <w:szCs w:val="19"/>
        </w:rPr>
        <w:t>. </w:t>
      </w:r>
    </w:p>
    <w:p w14:paraId="6F07DB94" w14:textId="77777777" w:rsidR="000963D0" w:rsidRDefault="000963D0">
      <w:pPr>
        <w:rPr>
          <w:sz w:val="24"/>
          <w:szCs w:val="24"/>
        </w:rPr>
      </w:pPr>
    </w:p>
    <w:tbl>
      <w:tblPr>
        <w:tblStyle w:val="a0"/>
        <w:tblW w:w="8642" w:type="dxa"/>
        <w:tblInd w:w="0" w:type="dxa"/>
        <w:tblLayout w:type="fixed"/>
        <w:tblLook w:val="0400" w:firstRow="0" w:lastRow="0" w:firstColumn="0" w:lastColumn="0" w:noHBand="0" w:noVBand="1"/>
      </w:tblPr>
      <w:tblGrid>
        <w:gridCol w:w="8642"/>
      </w:tblGrid>
      <w:tr w:rsidR="000963D0" w14:paraId="0C9E5D92" w14:textId="77777777">
        <w:tc>
          <w:tcPr>
            <w:tcW w:w="8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FB062" w14:textId="77777777" w:rsidR="000963D0" w:rsidRDefault="00000000">
            <w:pPr>
              <w:jc w:val="both"/>
              <w:rPr>
                <w:sz w:val="24"/>
                <w:szCs w:val="24"/>
              </w:rPr>
            </w:pPr>
            <w:r>
              <w:rPr>
                <w:b/>
                <w:i/>
                <w:color w:val="000000"/>
                <w:sz w:val="18"/>
                <w:szCs w:val="18"/>
              </w:rPr>
              <w:t>2 - DEFINIÇÃO DO OBJETO </w:t>
            </w:r>
          </w:p>
        </w:tc>
      </w:tr>
    </w:tbl>
    <w:p w14:paraId="327865D5" w14:textId="02B2A8EF" w:rsidR="000963D0" w:rsidRDefault="00000000">
      <w:pPr>
        <w:pBdr>
          <w:top w:val="nil"/>
          <w:left w:val="nil"/>
          <w:bottom w:val="nil"/>
          <w:right w:val="nil"/>
          <w:between w:val="nil"/>
        </w:pBdr>
        <w:tabs>
          <w:tab w:val="center" w:pos="4252"/>
          <w:tab w:val="right" w:pos="8504"/>
        </w:tabs>
        <w:rPr>
          <w:color w:val="000000"/>
          <w:sz w:val="18"/>
          <w:szCs w:val="18"/>
        </w:rPr>
      </w:pPr>
      <w:r>
        <w:rPr>
          <w:color w:val="000000"/>
          <w:sz w:val="24"/>
          <w:szCs w:val="24"/>
        </w:rPr>
        <w:br/>
      </w:r>
      <w:r>
        <w:rPr>
          <w:b/>
          <w:color w:val="000000"/>
          <w:sz w:val="18"/>
          <w:szCs w:val="18"/>
        </w:rPr>
        <w:t>2.1.</w:t>
      </w:r>
      <w:r>
        <w:rPr>
          <w:color w:val="000000"/>
          <w:sz w:val="18"/>
          <w:szCs w:val="18"/>
        </w:rPr>
        <w:t xml:space="preserve">  </w:t>
      </w:r>
      <w:r w:rsidR="00376D98" w:rsidRPr="00376D98">
        <w:rPr>
          <w:rFonts w:ascii="Palatino Linotype" w:eastAsia="Palatino Linotype" w:hAnsi="Palatino Linotype" w:cs="Palatino Linotype"/>
          <w:color w:val="000000"/>
          <w:sz w:val="19"/>
          <w:szCs w:val="19"/>
        </w:rPr>
        <w:t>credenciamento para a contratação de artistas regionais, pessoas físicas e jurídicas, para realização de apresentações culturais e artísticas em eventos promovidos ou apoiados pela Prefeitura Municipal de Conceição de Ipanema/MG</w:t>
      </w:r>
      <w:r>
        <w:rPr>
          <w:rFonts w:ascii="Palatino Linotype" w:eastAsia="Palatino Linotype" w:hAnsi="Palatino Linotype" w:cs="Palatino Linotype"/>
          <w:color w:val="000000"/>
          <w:sz w:val="19"/>
          <w:szCs w:val="19"/>
        </w:rPr>
        <w:t>, conforme condições, quantidades e exigências estabelecidas neste Termo de Referência – TR</w:t>
      </w:r>
      <w:r>
        <w:rPr>
          <w:color w:val="000000"/>
          <w:sz w:val="18"/>
          <w:szCs w:val="18"/>
        </w:rPr>
        <w:t>:</w:t>
      </w:r>
    </w:p>
    <w:p w14:paraId="22737926" w14:textId="77777777" w:rsidR="002C224F" w:rsidRDefault="002C224F">
      <w:pPr>
        <w:pBdr>
          <w:top w:val="nil"/>
          <w:left w:val="nil"/>
          <w:bottom w:val="nil"/>
          <w:right w:val="nil"/>
          <w:between w:val="nil"/>
        </w:pBdr>
        <w:tabs>
          <w:tab w:val="center" w:pos="4252"/>
          <w:tab w:val="right" w:pos="8504"/>
        </w:tabs>
        <w:rPr>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711"/>
        <w:gridCol w:w="926"/>
        <w:gridCol w:w="736"/>
        <w:gridCol w:w="3838"/>
        <w:gridCol w:w="1204"/>
        <w:gridCol w:w="1079"/>
      </w:tblGrid>
      <w:tr w:rsidR="00376D98" w:rsidRPr="00376D98" w14:paraId="41C8384A" w14:textId="77777777" w:rsidTr="00376D98">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hideMark/>
          </w:tcPr>
          <w:p w14:paraId="14737D85" w14:textId="77777777" w:rsidR="00376D98" w:rsidRPr="00376D98" w:rsidRDefault="00376D98" w:rsidP="00376D98">
            <w:pPr>
              <w:pBdr>
                <w:top w:val="nil"/>
                <w:left w:val="nil"/>
                <w:bottom w:val="nil"/>
                <w:right w:val="nil"/>
                <w:between w:val="nil"/>
              </w:pBdr>
              <w:tabs>
                <w:tab w:val="center" w:pos="4252"/>
                <w:tab w:val="right" w:pos="8504"/>
              </w:tabs>
              <w:jc w:val="center"/>
              <w:rPr>
                <w:color w:val="000000"/>
                <w:sz w:val="18"/>
                <w:szCs w:val="18"/>
              </w:rPr>
            </w:pPr>
            <w:r w:rsidRPr="00376D98">
              <w:rPr>
                <w:b/>
                <w:bCs/>
                <w:color w:val="000000"/>
                <w:sz w:val="18"/>
                <w:szCs w:val="18"/>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hideMark/>
          </w:tcPr>
          <w:p w14:paraId="2DA30DB7" w14:textId="77777777" w:rsidR="00376D98" w:rsidRPr="00376D98" w:rsidRDefault="00376D98" w:rsidP="00376D98">
            <w:pPr>
              <w:pBdr>
                <w:top w:val="nil"/>
                <w:left w:val="nil"/>
                <w:bottom w:val="nil"/>
                <w:right w:val="nil"/>
                <w:between w:val="nil"/>
              </w:pBdr>
              <w:tabs>
                <w:tab w:val="center" w:pos="4252"/>
                <w:tab w:val="right" w:pos="8504"/>
              </w:tabs>
              <w:jc w:val="center"/>
              <w:rPr>
                <w:color w:val="000000"/>
                <w:sz w:val="18"/>
                <w:szCs w:val="18"/>
              </w:rPr>
            </w:pPr>
            <w:r w:rsidRPr="00376D98">
              <w:rPr>
                <w:b/>
                <w:bCs/>
                <w:color w:val="000000"/>
                <w:sz w:val="18"/>
                <w:szCs w:val="18"/>
              </w:rPr>
              <w:t>QUANT.</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hideMark/>
          </w:tcPr>
          <w:p w14:paraId="6351FA5F" w14:textId="77777777" w:rsidR="00376D98" w:rsidRPr="00376D98" w:rsidRDefault="00376D98" w:rsidP="00376D98">
            <w:pPr>
              <w:pBdr>
                <w:top w:val="nil"/>
                <w:left w:val="nil"/>
                <w:bottom w:val="nil"/>
                <w:right w:val="nil"/>
                <w:between w:val="nil"/>
              </w:pBdr>
              <w:tabs>
                <w:tab w:val="center" w:pos="4252"/>
                <w:tab w:val="right" w:pos="8504"/>
              </w:tabs>
              <w:jc w:val="center"/>
              <w:rPr>
                <w:color w:val="000000"/>
                <w:sz w:val="18"/>
                <w:szCs w:val="18"/>
              </w:rPr>
            </w:pPr>
            <w:r w:rsidRPr="00376D98">
              <w:rPr>
                <w:b/>
                <w:bCs/>
                <w:color w:val="000000"/>
                <w:sz w:val="18"/>
                <w:szCs w:val="18"/>
              </w:rPr>
              <w:t>UNID.</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hideMark/>
          </w:tcPr>
          <w:p w14:paraId="5AFF06FF" w14:textId="77777777" w:rsidR="00376D98" w:rsidRPr="00376D98" w:rsidRDefault="00376D98" w:rsidP="00376D98">
            <w:pPr>
              <w:pBdr>
                <w:top w:val="nil"/>
                <w:left w:val="nil"/>
                <w:bottom w:val="nil"/>
                <w:right w:val="nil"/>
                <w:between w:val="nil"/>
              </w:pBdr>
              <w:tabs>
                <w:tab w:val="center" w:pos="4252"/>
                <w:tab w:val="right" w:pos="8504"/>
              </w:tabs>
              <w:jc w:val="center"/>
              <w:rPr>
                <w:color w:val="000000"/>
                <w:sz w:val="18"/>
                <w:szCs w:val="18"/>
              </w:rPr>
            </w:pPr>
            <w:r w:rsidRPr="00376D98">
              <w:rPr>
                <w:b/>
                <w:bCs/>
                <w:color w:val="000000"/>
                <w:sz w:val="18"/>
                <w:szCs w:val="18"/>
              </w:rPr>
              <w:t>DESCRIÇÃO</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hideMark/>
          </w:tcPr>
          <w:p w14:paraId="04BC417A" w14:textId="77777777" w:rsidR="00376D98" w:rsidRPr="00376D98" w:rsidRDefault="00376D98" w:rsidP="00376D98">
            <w:pPr>
              <w:pBdr>
                <w:top w:val="nil"/>
                <w:left w:val="nil"/>
                <w:bottom w:val="nil"/>
                <w:right w:val="nil"/>
                <w:between w:val="nil"/>
              </w:pBdr>
              <w:tabs>
                <w:tab w:val="center" w:pos="4252"/>
                <w:tab w:val="right" w:pos="8504"/>
              </w:tabs>
              <w:jc w:val="center"/>
              <w:rPr>
                <w:color w:val="000000"/>
                <w:sz w:val="18"/>
                <w:szCs w:val="18"/>
              </w:rPr>
            </w:pPr>
            <w:r w:rsidRPr="00376D98">
              <w:rPr>
                <w:b/>
                <w:bCs/>
                <w:color w:val="000000"/>
                <w:sz w:val="18"/>
                <w:szCs w:val="18"/>
              </w:rPr>
              <w:t>VALOR UNITÁRIO</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hideMark/>
          </w:tcPr>
          <w:p w14:paraId="45289AD2" w14:textId="77777777" w:rsidR="00376D98" w:rsidRPr="00376D98" w:rsidRDefault="00376D98" w:rsidP="00376D98">
            <w:pPr>
              <w:pBdr>
                <w:top w:val="nil"/>
                <w:left w:val="nil"/>
                <w:bottom w:val="nil"/>
                <w:right w:val="nil"/>
                <w:between w:val="nil"/>
              </w:pBdr>
              <w:tabs>
                <w:tab w:val="center" w:pos="4252"/>
                <w:tab w:val="right" w:pos="8504"/>
              </w:tabs>
              <w:jc w:val="center"/>
              <w:rPr>
                <w:color w:val="000000"/>
                <w:sz w:val="18"/>
                <w:szCs w:val="18"/>
              </w:rPr>
            </w:pPr>
            <w:r w:rsidRPr="00376D98">
              <w:rPr>
                <w:b/>
                <w:bCs/>
                <w:color w:val="000000"/>
                <w:sz w:val="18"/>
                <w:szCs w:val="18"/>
              </w:rPr>
              <w:t>VALOR TOTAL</w:t>
            </w:r>
          </w:p>
        </w:tc>
      </w:tr>
      <w:tr w:rsidR="00376D98" w:rsidRPr="00376D98" w14:paraId="12373944" w14:textId="77777777" w:rsidTr="00376D9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244C18"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880D0F"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69D835"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984856"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 xml:space="preserve">ARTISTAS DE CIRCO - REGIONAL: Contratação de profissional especializado na prestação de </w:t>
            </w:r>
            <w:r w:rsidRPr="00376D98">
              <w:rPr>
                <w:b/>
                <w:bCs/>
                <w:color w:val="000000"/>
                <w:sz w:val="18"/>
                <w:szCs w:val="18"/>
              </w:rPr>
              <w:t>Serviços Artísticos De Circo,</w:t>
            </w:r>
            <w:r w:rsidRPr="00376D98">
              <w:rPr>
                <w:color w:val="000000"/>
                <w:sz w:val="18"/>
                <w:szCs w:val="18"/>
              </w:rPr>
              <w:t xml:space="preserve"> com o objetivo de realizar apresentações em eventos culturais, educacionais, institucionais ou comunitários promovidos pela contratante. Duração de 3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1BF856"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R$ 1.366,67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12E711"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R$ 41.000,10</w:t>
            </w:r>
          </w:p>
        </w:tc>
      </w:tr>
      <w:tr w:rsidR="00376D98" w:rsidRPr="00376D98" w14:paraId="215D3E51" w14:textId="77777777" w:rsidTr="00376D9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9CA11E"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2DDFDAC"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59A067"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6B5F12"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 xml:space="preserve">ARTISTAS PLÁSTICO - REGIONAL: Contratação de profissional </w:t>
            </w:r>
            <w:r w:rsidRPr="00376D98">
              <w:rPr>
                <w:b/>
                <w:bCs/>
                <w:color w:val="000000"/>
                <w:sz w:val="18"/>
                <w:szCs w:val="18"/>
              </w:rPr>
              <w:t>Artista Plástico</w:t>
            </w:r>
            <w:r w:rsidRPr="00376D98">
              <w:rPr>
                <w:color w:val="000000"/>
                <w:sz w:val="18"/>
                <w:szCs w:val="18"/>
              </w:rPr>
              <w:t xml:space="preserve"> para criação, execução e finalização de obras artísticas visuais, de acordo com as especificações estabelecidas pelo contratante.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2AEC3D"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R$ 1.097,49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B5AA91"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R$ 21.949,80</w:t>
            </w:r>
          </w:p>
        </w:tc>
      </w:tr>
      <w:tr w:rsidR="00376D98" w:rsidRPr="00376D98" w14:paraId="18D02FBE" w14:textId="77777777" w:rsidTr="00376D9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12C6167"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A153D4"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19DAAF"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0E7505B"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 xml:space="preserve">BANDA MUSICAL COM 5 COMPONENTES - REGIONAL: Contratação de serviço artístico de apresentação musical ao vivo, com </w:t>
            </w:r>
            <w:r w:rsidRPr="00376D98">
              <w:rPr>
                <w:b/>
                <w:bCs/>
                <w:color w:val="000000"/>
                <w:sz w:val="18"/>
                <w:szCs w:val="18"/>
              </w:rPr>
              <w:t>Banda Composta Por 5 (Cinco) Músicos Profissionais,</w:t>
            </w:r>
            <w:r w:rsidRPr="00376D98">
              <w:rPr>
                <w:color w:val="000000"/>
                <w:sz w:val="18"/>
                <w:szCs w:val="18"/>
              </w:rPr>
              <w:t xml:space="preserve"> para atuação em eventos institucionais, culturais, comemorativos ou festivos promovidos pelo órgão contratante. Duração de 2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02724C"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R$ 7.000,00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9E7B324"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R$ 105.000,00</w:t>
            </w:r>
          </w:p>
        </w:tc>
      </w:tr>
      <w:tr w:rsidR="00376D98" w:rsidRPr="00376D98" w14:paraId="76F97D71" w14:textId="77777777" w:rsidTr="00376D9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C44054"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4E481C0"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52752B"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F65EB55"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BANDA MUSICAL COMPLETA - REGIONAL:</w:t>
            </w:r>
            <w:r w:rsidRPr="00376D98">
              <w:rPr>
                <w:b/>
                <w:bCs/>
                <w:color w:val="000000"/>
                <w:sz w:val="18"/>
                <w:szCs w:val="18"/>
              </w:rPr>
              <w:t xml:space="preserve"> </w:t>
            </w:r>
            <w:r w:rsidRPr="00376D98">
              <w:rPr>
                <w:color w:val="000000"/>
                <w:sz w:val="18"/>
                <w:szCs w:val="18"/>
              </w:rPr>
              <w:t xml:space="preserve">Contratação de serviço de apresentação artística de </w:t>
            </w:r>
            <w:r w:rsidRPr="00376D98">
              <w:rPr>
                <w:b/>
                <w:bCs/>
                <w:color w:val="000000"/>
                <w:sz w:val="18"/>
                <w:szCs w:val="18"/>
              </w:rPr>
              <w:t>Banda Musical Completa</w:t>
            </w:r>
            <w:r w:rsidRPr="00376D98">
              <w:rPr>
                <w:color w:val="000000"/>
                <w:sz w:val="18"/>
                <w:szCs w:val="18"/>
              </w:rPr>
              <w:t>, composta por músicos profissionais, para execução de repertório variado ao vivo, com duração e formato previamente definidos, conforme demanda da contratante. Duração de 2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01E742"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R$ 13.133,33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119E7A"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R$ 196.999,95</w:t>
            </w:r>
          </w:p>
        </w:tc>
      </w:tr>
      <w:tr w:rsidR="00376D98" w:rsidRPr="00376D98" w14:paraId="1D91AAAD" w14:textId="77777777" w:rsidTr="00376D9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4E510F"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8893C7"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999FF46"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3E3134B"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 xml:space="preserve">DJ´S - REGIONAL: Contratação de </w:t>
            </w:r>
            <w:r w:rsidRPr="00376D98">
              <w:rPr>
                <w:b/>
                <w:bCs/>
                <w:color w:val="000000"/>
                <w:sz w:val="18"/>
                <w:szCs w:val="18"/>
              </w:rPr>
              <w:t>Profissionais DJ'S</w:t>
            </w:r>
            <w:r w:rsidRPr="00376D98">
              <w:rPr>
                <w:color w:val="000000"/>
                <w:sz w:val="18"/>
                <w:szCs w:val="18"/>
              </w:rPr>
              <w:t xml:space="preserve"> devidamente capacitados e experientes, responsáveis pela ambientação sonora de eventos através da seleção, mixagem e execução de músicas adequadas ao público-alvo e à natureza do evento. O profissional deverá operar equipamentos de som, realizar a curadoria musical conforme briefing prévio, manter a animação do ambiente e interagir, quando necessário, com o público. Duração de 2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680F8B"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R$ 2.000,00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292588"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R$ 20.000,00</w:t>
            </w:r>
          </w:p>
        </w:tc>
      </w:tr>
      <w:tr w:rsidR="00376D98" w:rsidRPr="00376D98" w14:paraId="49419030" w14:textId="77777777" w:rsidTr="00376D9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4D6145"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999DA2"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413C92"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BD9C61"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DUPLA SERTANEJA - REGIONAL:</w:t>
            </w:r>
            <w:r w:rsidRPr="00376D98">
              <w:rPr>
                <w:b/>
                <w:bCs/>
                <w:color w:val="000000"/>
                <w:sz w:val="18"/>
                <w:szCs w:val="18"/>
              </w:rPr>
              <w:t xml:space="preserve"> </w:t>
            </w:r>
            <w:r w:rsidRPr="00376D98">
              <w:rPr>
                <w:color w:val="000000"/>
                <w:sz w:val="18"/>
                <w:szCs w:val="18"/>
              </w:rPr>
              <w:t xml:space="preserve">Contratação de apresentação musical ao vivo com </w:t>
            </w:r>
            <w:r w:rsidRPr="00376D98">
              <w:rPr>
                <w:b/>
                <w:bCs/>
                <w:color w:val="000000"/>
                <w:sz w:val="18"/>
                <w:szCs w:val="18"/>
              </w:rPr>
              <w:t>Dupla Sertaneja Regional</w:t>
            </w:r>
            <w:r w:rsidRPr="00376D98">
              <w:rPr>
                <w:color w:val="000000"/>
                <w:sz w:val="18"/>
                <w:szCs w:val="18"/>
              </w:rPr>
              <w:t xml:space="preserve">, composta por dois artistas com experiência comprovada no estilo </w:t>
            </w:r>
            <w:r w:rsidRPr="00376D98">
              <w:rPr>
                <w:color w:val="000000"/>
                <w:sz w:val="18"/>
                <w:szCs w:val="18"/>
              </w:rPr>
              <w:lastRenderedPageBreak/>
              <w:t>musical sertanejo, tradicional e/ou universitário, para execução de repertório voltado à valorização da cultura regional e ao entretenimento do público em eventos promovidos ou apoiados pela Administração Pública. Duração de 2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25324B"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lastRenderedPageBreak/>
              <w:t>R$ 6.300,00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3074729"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R$ 126.000,00</w:t>
            </w:r>
          </w:p>
        </w:tc>
      </w:tr>
      <w:tr w:rsidR="00376D98" w:rsidRPr="00376D98" w14:paraId="47351508" w14:textId="77777777" w:rsidTr="00376D9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45664A"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722875"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86E8D8"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9F8639"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 xml:space="preserve">GRUPO DE DANÇA - REGIONAL: Prestação de serviço artístico-cultural por meio de </w:t>
            </w:r>
            <w:r w:rsidRPr="00376D98">
              <w:rPr>
                <w:b/>
                <w:bCs/>
                <w:color w:val="000000"/>
                <w:sz w:val="18"/>
                <w:szCs w:val="18"/>
              </w:rPr>
              <w:t>Apresentações De Grupo De Dança,</w:t>
            </w:r>
            <w:r w:rsidRPr="00376D98">
              <w:rPr>
                <w:color w:val="000000"/>
                <w:sz w:val="18"/>
                <w:szCs w:val="18"/>
              </w:rPr>
              <w:t xml:space="preserve"> com o objetivo de promover ações de entretenimento, valorização da cultura e integração social, em eventos, solenidades ou atividades institucionais promovidas pelo contratante. Duração de 2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ED3E28"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R$ 2.000,00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764B57"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R$ 20.000,00</w:t>
            </w:r>
          </w:p>
        </w:tc>
      </w:tr>
      <w:tr w:rsidR="00376D98" w:rsidRPr="00376D98" w14:paraId="15F74586" w14:textId="77777777" w:rsidTr="00376D9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74B83C"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CCB7F4"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B9E388"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85AB4B8"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 xml:space="preserve">LOCUTOR DE PALCO - REGIONAL: Contratação de profissional para prestação de serviço de locução de palco, com atuação em eventos institucionais, culturais, esportivos, educacionais e/ou promocionais organizados pela contratante. O profissional contratado atuará como </w:t>
            </w:r>
            <w:r w:rsidRPr="00376D98">
              <w:rPr>
                <w:b/>
                <w:bCs/>
                <w:color w:val="000000"/>
                <w:sz w:val="18"/>
                <w:szCs w:val="18"/>
              </w:rPr>
              <w:t>Locutor De Palco</w:t>
            </w:r>
            <w:r w:rsidRPr="00376D98">
              <w:rPr>
                <w:color w:val="000000"/>
                <w:sz w:val="18"/>
                <w:szCs w:val="18"/>
              </w:rPr>
              <w:t>, sendo responsável pela condução da comunicação oficial durante os eventos, utilizando linguagem clara, adequada ao público e ao tipo de evento, com entonação compatível e boa dicção. Deverá realizar a apresentação de atrações, orientação ao público, divulgação de informações e avisos, interação com artistas e autoridades presentes, além de manter o público informado de forma dinâmica, respeitosa e profissional. Duração de 2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D3C84B"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R$ 1.079,24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B7A9BA"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R$ 16.188,60</w:t>
            </w:r>
          </w:p>
        </w:tc>
      </w:tr>
      <w:tr w:rsidR="00376D98" w:rsidRPr="00376D98" w14:paraId="54B040D0" w14:textId="77777777" w:rsidTr="00376D9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32F062"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3CBD1D"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2FCF62"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D33D83D"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 xml:space="preserve">LOCUTOR DE RODEIO - REGIONAL: Contratação de profissional especializado para prestação de serviços de locução de rodeio, com atuação durante eventos públicos, festividades e celebrações promovidas pelo contratante. O profissional contratado deverá atuar como </w:t>
            </w:r>
            <w:r w:rsidRPr="00376D98">
              <w:rPr>
                <w:b/>
                <w:bCs/>
                <w:color w:val="000000"/>
                <w:sz w:val="18"/>
                <w:szCs w:val="18"/>
              </w:rPr>
              <w:t>Locutor De Rodeio</w:t>
            </w:r>
            <w:r w:rsidRPr="00376D98">
              <w:rPr>
                <w:color w:val="000000"/>
                <w:sz w:val="18"/>
                <w:szCs w:val="18"/>
              </w:rPr>
              <w:t>, com experiência comprovada na área, realizando a condução do evento com entusiasmo, segurança e respeito ao público, competidores e regulamentos do esporte. Duração de 2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FB7CE5"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R$ 1.291,59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F323C6" w14:textId="77777777" w:rsidR="00376D98" w:rsidRPr="00376D98" w:rsidRDefault="00376D98" w:rsidP="00376D98">
            <w:pPr>
              <w:pBdr>
                <w:top w:val="nil"/>
                <w:left w:val="nil"/>
                <w:bottom w:val="nil"/>
                <w:right w:val="nil"/>
                <w:between w:val="nil"/>
              </w:pBdr>
              <w:tabs>
                <w:tab w:val="center" w:pos="4252"/>
                <w:tab w:val="right" w:pos="8504"/>
              </w:tabs>
              <w:rPr>
                <w:color w:val="000000"/>
                <w:sz w:val="18"/>
                <w:szCs w:val="18"/>
              </w:rPr>
            </w:pPr>
            <w:r w:rsidRPr="00376D98">
              <w:rPr>
                <w:color w:val="000000"/>
                <w:sz w:val="18"/>
                <w:szCs w:val="18"/>
              </w:rPr>
              <w:t>R$ 19.373,85</w:t>
            </w:r>
          </w:p>
        </w:tc>
      </w:tr>
      <w:tr w:rsidR="00376D98" w:rsidRPr="00376D98" w14:paraId="63E70AA5" w14:textId="77777777" w:rsidTr="00376D98">
        <w:tc>
          <w:tcPr>
            <w:tcW w:w="0" w:type="auto"/>
            <w:gridSpan w:val="6"/>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hideMark/>
          </w:tcPr>
          <w:p w14:paraId="08B35C42" w14:textId="77777777" w:rsidR="00376D98" w:rsidRPr="00376D98" w:rsidRDefault="00376D98" w:rsidP="00376D98">
            <w:pPr>
              <w:pBdr>
                <w:top w:val="nil"/>
                <w:left w:val="nil"/>
                <w:bottom w:val="nil"/>
                <w:right w:val="nil"/>
                <w:between w:val="nil"/>
              </w:pBdr>
              <w:tabs>
                <w:tab w:val="center" w:pos="4252"/>
                <w:tab w:val="right" w:pos="8504"/>
              </w:tabs>
              <w:jc w:val="center"/>
              <w:rPr>
                <w:color w:val="000000"/>
                <w:sz w:val="18"/>
                <w:szCs w:val="18"/>
              </w:rPr>
            </w:pPr>
            <w:r w:rsidRPr="00376D98">
              <w:rPr>
                <w:b/>
                <w:bCs/>
                <w:color w:val="000000"/>
                <w:sz w:val="18"/>
                <w:szCs w:val="18"/>
              </w:rPr>
              <w:t>VALOR GLOBAL: R$ 566.512,30</w:t>
            </w:r>
          </w:p>
        </w:tc>
      </w:tr>
    </w:tbl>
    <w:p w14:paraId="4501B16F" w14:textId="77777777" w:rsidR="002C224F" w:rsidRDefault="002C224F">
      <w:pPr>
        <w:pBdr>
          <w:top w:val="nil"/>
          <w:left w:val="nil"/>
          <w:bottom w:val="nil"/>
          <w:right w:val="nil"/>
          <w:between w:val="nil"/>
        </w:pBdr>
        <w:tabs>
          <w:tab w:val="center" w:pos="4252"/>
          <w:tab w:val="right" w:pos="8504"/>
        </w:tabs>
        <w:rPr>
          <w:color w:val="000000"/>
          <w:sz w:val="18"/>
          <w:szCs w:val="18"/>
        </w:rPr>
      </w:pPr>
    </w:p>
    <w:p w14:paraId="4FE77445" w14:textId="77777777" w:rsidR="000963D0" w:rsidRDefault="000963D0">
      <w:pPr>
        <w:pBdr>
          <w:top w:val="nil"/>
          <w:left w:val="nil"/>
          <w:bottom w:val="nil"/>
          <w:right w:val="nil"/>
          <w:between w:val="nil"/>
        </w:pBdr>
        <w:tabs>
          <w:tab w:val="center" w:pos="4252"/>
          <w:tab w:val="right" w:pos="8504"/>
        </w:tabs>
        <w:rPr>
          <w:color w:val="000000"/>
          <w:sz w:val="18"/>
          <w:szCs w:val="18"/>
        </w:rPr>
      </w:pPr>
    </w:p>
    <w:p w14:paraId="58481A40" w14:textId="21A11237" w:rsidR="000963D0" w:rsidRDefault="00000000">
      <w:pPr>
        <w:spacing w:after="160"/>
        <w:jc w:val="both"/>
        <w:rPr>
          <w:rFonts w:ascii="Palatino Linotype" w:eastAsia="Palatino Linotype" w:hAnsi="Palatino Linotype" w:cs="Palatino Linotype"/>
          <w:sz w:val="19"/>
          <w:szCs w:val="19"/>
        </w:rPr>
      </w:pPr>
      <w:bookmarkStart w:id="0" w:name="_heading=h.95t2xuc4oirz" w:colFirst="0" w:colLast="0"/>
      <w:bookmarkEnd w:id="0"/>
      <w:r>
        <w:rPr>
          <w:rFonts w:ascii="Palatino Linotype" w:eastAsia="Palatino Linotype" w:hAnsi="Palatino Linotype" w:cs="Palatino Linotype"/>
          <w:b/>
          <w:color w:val="000000"/>
          <w:sz w:val="19"/>
          <w:szCs w:val="19"/>
        </w:rPr>
        <w:t>2.2.</w:t>
      </w:r>
      <w:r>
        <w:rPr>
          <w:rFonts w:ascii="Palatino Linotype" w:eastAsia="Palatino Linotype" w:hAnsi="Palatino Linotype" w:cs="Palatino Linotype"/>
          <w:color w:val="000000"/>
          <w:sz w:val="19"/>
          <w:szCs w:val="19"/>
        </w:rPr>
        <w:t xml:space="preserve"> </w:t>
      </w:r>
      <w:r w:rsidR="00AA7FDA" w:rsidRPr="00AA7FDA">
        <w:rPr>
          <w:rFonts w:ascii="Palatino Linotype" w:eastAsia="Palatino Linotype" w:hAnsi="Palatino Linotype" w:cs="Palatino Linotype"/>
          <w:color w:val="000000"/>
          <w:sz w:val="19"/>
          <w:szCs w:val="19"/>
        </w:rPr>
        <w:t>O prazo de vigência do edital de credenciamento será de até 12 (doze) meses, podendo ser prorrogado por iguais e sucessivos períodos, nos termos do art. 107 da Lei nº 14.133/2021, mediante justificativa da vantajosidade e interesse público.</w:t>
      </w:r>
    </w:p>
    <w:p w14:paraId="6123E197" w14:textId="153D8B69"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 xml:space="preserve">1.21. </w:t>
      </w:r>
      <w:r w:rsidR="00AA7FDA" w:rsidRPr="00AA7FDA">
        <w:rPr>
          <w:rFonts w:ascii="Palatino Linotype" w:eastAsia="Palatino Linotype" w:hAnsi="Palatino Linotype" w:cs="Palatino Linotype"/>
          <w:color w:val="000000"/>
          <w:sz w:val="19"/>
          <w:szCs w:val="19"/>
        </w:rPr>
        <w:t>Os serviços possuem natureza eventual e sob demanda, ainda que ocorram de forma recorrente ao longo do exercício, o que justifica a adoção do credenciamento para garantir a adequada execução conforme programação da Administração.</w:t>
      </w:r>
    </w:p>
    <w:p w14:paraId="38923D9D" w14:textId="77777777" w:rsidR="000963D0" w:rsidRDefault="000963D0">
      <w:pPr>
        <w:rPr>
          <w:rFonts w:ascii="Palatino Linotype" w:eastAsia="Palatino Linotype" w:hAnsi="Palatino Linotype" w:cs="Palatino Linotype"/>
          <w:sz w:val="19"/>
          <w:szCs w:val="19"/>
        </w:rPr>
      </w:pPr>
    </w:p>
    <w:tbl>
      <w:tblPr>
        <w:tblStyle w:val="a2"/>
        <w:tblW w:w="8642" w:type="dxa"/>
        <w:tblInd w:w="0" w:type="dxa"/>
        <w:tblLayout w:type="fixed"/>
        <w:tblLook w:val="0400" w:firstRow="0" w:lastRow="0" w:firstColumn="0" w:lastColumn="0" w:noHBand="0" w:noVBand="1"/>
      </w:tblPr>
      <w:tblGrid>
        <w:gridCol w:w="8642"/>
      </w:tblGrid>
      <w:tr w:rsidR="000963D0" w14:paraId="43495EFF" w14:textId="77777777">
        <w:tc>
          <w:tcPr>
            <w:tcW w:w="8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28F1E"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b/>
                <w:i/>
                <w:color w:val="000000"/>
                <w:sz w:val="19"/>
                <w:szCs w:val="19"/>
              </w:rPr>
              <w:t>3 – Da fundamentação da contratação administrativa</w:t>
            </w:r>
          </w:p>
        </w:tc>
      </w:tr>
    </w:tbl>
    <w:p w14:paraId="70CE2218" w14:textId="77777777" w:rsidR="000963D0" w:rsidRDefault="000963D0">
      <w:pPr>
        <w:rPr>
          <w:rFonts w:ascii="Palatino Linotype" w:eastAsia="Palatino Linotype" w:hAnsi="Palatino Linotype" w:cs="Palatino Linotype"/>
          <w:sz w:val="19"/>
          <w:szCs w:val="19"/>
        </w:rPr>
      </w:pPr>
    </w:p>
    <w:p w14:paraId="2EFEDB2C"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b/>
          <w:color w:val="000000"/>
          <w:sz w:val="19"/>
          <w:szCs w:val="19"/>
        </w:rPr>
        <w:t>3.1.</w:t>
      </w:r>
      <w:r>
        <w:rPr>
          <w:rFonts w:ascii="Palatino Linotype" w:eastAsia="Palatino Linotype" w:hAnsi="Palatino Linotype" w:cs="Palatino Linotype"/>
          <w:color w:val="000000"/>
          <w:sz w:val="19"/>
          <w:szCs w:val="19"/>
        </w:rPr>
        <w:t xml:space="preserve"> A fundamentação da contratação administrativa como um todo está no Estudo Técnico Preliminar – ETP – (§ 1º do art. 18 da Lei nº. 14.133/2021).</w:t>
      </w:r>
    </w:p>
    <w:p w14:paraId="022AE28E" w14:textId="77777777" w:rsidR="000963D0" w:rsidRDefault="000963D0">
      <w:pPr>
        <w:rPr>
          <w:rFonts w:ascii="Palatino Linotype" w:eastAsia="Palatino Linotype" w:hAnsi="Palatino Linotype" w:cs="Palatino Linotype"/>
          <w:sz w:val="19"/>
          <w:szCs w:val="19"/>
        </w:rPr>
      </w:pPr>
    </w:p>
    <w:tbl>
      <w:tblPr>
        <w:tblStyle w:val="a3"/>
        <w:tblW w:w="8642" w:type="dxa"/>
        <w:tblInd w:w="0" w:type="dxa"/>
        <w:tblLayout w:type="fixed"/>
        <w:tblLook w:val="0400" w:firstRow="0" w:lastRow="0" w:firstColumn="0" w:lastColumn="0" w:noHBand="0" w:noVBand="1"/>
      </w:tblPr>
      <w:tblGrid>
        <w:gridCol w:w="8642"/>
      </w:tblGrid>
      <w:tr w:rsidR="000963D0" w14:paraId="7E81DDB6" w14:textId="77777777">
        <w:tc>
          <w:tcPr>
            <w:tcW w:w="8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422492"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b/>
                <w:i/>
                <w:color w:val="000000"/>
                <w:sz w:val="19"/>
                <w:szCs w:val="19"/>
              </w:rPr>
              <w:t>4 – Da descrição da solução como um todo, considerando todo o ciclo de vida do objeto</w:t>
            </w:r>
          </w:p>
        </w:tc>
      </w:tr>
    </w:tbl>
    <w:p w14:paraId="57239CCE" w14:textId="77777777" w:rsidR="000963D0" w:rsidRDefault="000963D0">
      <w:pPr>
        <w:rPr>
          <w:rFonts w:ascii="Palatino Linotype" w:eastAsia="Palatino Linotype" w:hAnsi="Palatino Linotype" w:cs="Palatino Linotype"/>
          <w:sz w:val="19"/>
          <w:szCs w:val="19"/>
        </w:rPr>
      </w:pPr>
    </w:p>
    <w:p w14:paraId="0C437743"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b/>
          <w:color w:val="000000"/>
          <w:sz w:val="19"/>
          <w:szCs w:val="19"/>
        </w:rPr>
        <w:t xml:space="preserve">4.1. </w:t>
      </w:r>
      <w:r>
        <w:rPr>
          <w:rFonts w:ascii="Palatino Linotype" w:eastAsia="Palatino Linotype" w:hAnsi="Palatino Linotype" w:cs="Palatino Linotype"/>
          <w:color w:val="000000"/>
          <w:sz w:val="19"/>
          <w:szCs w:val="19"/>
        </w:rPr>
        <w:t>A descrição da solução como um todo está no ETP (inciso VII do § 1º do art. 18 da Lei nº. 14.133/2021).</w:t>
      </w:r>
    </w:p>
    <w:p w14:paraId="1342F273" w14:textId="77777777" w:rsidR="000963D0" w:rsidRDefault="000963D0">
      <w:pPr>
        <w:rPr>
          <w:rFonts w:ascii="Palatino Linotype" w:eastAsia="Palatino Linotype" w:hAnsi="Palatino Linotype" w:cs="Palatino Linotype"/>
          <w:sz w:val="19"/>
          <w:szCs w:val="19"/>
        </w:rPr>
      </w:pPr>
    </w:p>
    <w:tbl>
      <w:tblPr>
        <w:tblStyle w:val="a4"/>
        <w:tblW w:w="8642" w:type="dxa"/>
        <w:tblInd w:w="0" w:type="dxa"/>
        <w:tblLayout w:type="fixed"/>
        <w:tblLook w:val="0400" w:firstRow="0" w:lastRow="0" w:firstColumn="0" w:lastColumn="0" w:noHBand="0" w:noVBand="1"/>
      </w:tblPr>
      <w:tblGrid>
        <w:gridCol w:w="8642"/>
      </w:tblGrid>
      <w:tr w:rsidR="000963D0" w14:paraId="02AA0D45" w14:textId="77777777">
        <w:tc>
          <w:tcPr>
            <w:tcW w:w="8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5BE698"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b/>
                <w:i/>
                <w:color w:val="000000"/>
                <w:sz w:val="19"/>
                <w:szCs w:val="19"/>
              </w:rPr>
              <w:lastRenderedPageBreak/>
              <w:t>5 – Dos requisitos da contratação administrativa</w:t>
            </w:r>
          </w:p>
        </w:tc>
      </w:tr>
    </w:tbl>
    <w:p w14:paraId="50CBBE72" w14:textId="77777777" w:rsidR="000963D0" w:rsidRDefault="000963D0">
      <w:pPr>
        <w:rPr>
          <w:rFonts w:ascii="Palatino Linotype" w:eastAsia="Palatino Linotype" w:hAnsi="Palatino Linotype" w:cs="Palatino Linotype"/>
          <w:sz w:val="19"/>
          <w:szCs w:val="19"/>
        </w:rPr>
      </w:pPr>
    </w:p>
    <w:p w14:paraId="335605F7"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b/>
          <w:color w:val="000000"/>
          <w:sz w:val="19"/>
          <w:szCs w:val="19"/>
        </w:rPr>
        <w:t>5.1.</w:t>
      </w:r>
      <w:r>
        <w:rPr>
          <w:rFonts w:ascii="Palatino Linotype" w:eastAsia="Palatino Linotype" w:hAnsi="Palatino Linotype" w:cs="Palatino Linotype"/>
          <w:color w:val="000000"/>
          <w:sz w:val="19"/>
          <w:szCs w:val="19"/>
        </w:rPr>
        <w:t xml:space="preserve"> Os requisitos da contratação administrativa estão no ETP (inciso III do § 1º do art. 18 da Lei nº. 14.133/2021).</w:t>
      </w:r>
    </w:p>
    <w:p w14:paraId="062FAA74" w14:textId="77777777" w:rsidR="000963D0" w:rsidRDefault="000963D0">
      <w:pPr>
        <w:rPr>
          <w:rFonts w:ascii="Palatino Linotype" w:eastAsia="Palatino Linotype" w:hAnsi="Palatino Linotype" w:cs="Palatino Linotype"/>
          <w:sz w:val="19"/>
          <w:szCs w:val="19"/>
        </w:rPr>
      </w:pPr>
    </w:p>
    <w:tbl>
      <w:tblPr>
        <w:tblStyle w:val="a5"/>
        <w:tblW w:w="8642" w:type="dxa"/>
        <w:tblInd w:w="0" w:type="dxa"/>
        <w:tblLayout w:type="fixed"/>
        <w:tblLook w:val="0400" w:firstRow="0" w:lastRow="0" w:firstColumn="0" w:lastColumn="0" w:noHBand="0" w:noVBand="1"/>
      </w:tblPr>
      <w:tblGrid>
        <w:gridCol w:w="8642"/>
      </w:tblGrid>
      <w:tr w:rsidR="000963D0" w14:paraId="4CF3A785" w14:textId="77777777">
        <w:tc>
          <w:tcPr>
            <w:tcW w:w="8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AACFD2"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b/>
                <w:i/>
                <w:color w:val="000000"/>
                <w:sz w:val="19"/>
                <w:szCs w:val="19"/>
              </w:rPr>
              <w:t>6 – Do modelo de execução do objeto</w:t>
            </w:r>
          </w:p>
        </w:tc>
      </w:tr>
    </w:tbl>
    <w:p w14:paraId="3A6E7973" w14:textId="77777777" w:rsidR="000963D0" w:rsidRDefault="000963D0">
      <w:pPr>
        <w:rPr>
          <w:rFonts w:ascii="Palatino Linotype" w:eastAsia="Palatino Linotype" w:hAnsi="Palatino Linotype" w:cs="Palatino Linotype"/>
          <w:sz w:val="19"/>
          <w:szCs w:val="19"/>
        </w:rPr>
      </w:pPr>
    </w:p>
    <w:p w14:paraId="3B360C57"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b/>
          <w:color w:val="000000"/>
          <w:sz w:val="19"/>
          <w:szCs w:val="19"/>
        </w:rPr>
        <w:t>6.1.</w:t>
      </w:r>
      <w:r>
        <w:rPr>
          <w:rFonts w:ascii="Palatino Linotype" w:eastAsia="Palatino Linotype" w:hAnsi="Palatino Linotype" w:cs="Palatino Linotype"/>
          <w:color w:val="000000"/>
          <w:sz w:val="19"/>
          <w:szCs w:val="19"/>
        </w:rPr>
        <w:t xml:space="preserve"> A execução do objeto seguirá a seguinte dinâmica:</w:t>
      </w:r>
    </w:p>
    <w:p w14:paraId="23843E19" w14:textId="77777777" w:rsidR="000963D0" w:rsidRDefault="000963D0">
      <w:pPr>
        <w:rPr>
          <w:rFonts w:ascii="Palatino Linotype" w:eastAsia="Palatino Linotype" w:hAnsi="Palatino Linotype" w:cs="Palatino Linotype"/>
          <w:sz w:val="19"/>
          <w:szCs w:val="19"/>
        </w:rPr>
      </w:pPr>
    </w:p>
    <w:p w14:paraId="234F0C6A"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6.1.1. O início para a execução do objeto será conforme demanda.</w:t>
      </w:r>
    </w:p>
    <w:p w14:paraId="2A9C155A" w14:textId="77777777" w:rsidR="000963D0" w:rsidRDefault="000963D0">
      <w:pPr>
        <w:rPr>
          <w:rFonts w:ascii="Palatino Linotype" w:eastAsia="Palatino Linotype" w:hAnsi="Palatino Linotype" w:cs="Palatino Linotype"/>
          <w:sz w:val="19"/>
          <w:szCs w:val="19"/>
        </w:rPr>
      </w:pPr>
    </w:p>
    <w:p w14:paraId="40EBE52D"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6.1.2. A contratação administrativa poderá ser imediata e simultânea de todo(a)(s) o(a)(s) credenciado(a)(s);</w:t>
      </w:r>
    </w:p>
    <w:p w14:paraId="34C3D421" w14:textId="77777777" w:rsidR="000963D0" w:rsidRDefault="000963D0">
      <w:pPr>
        <w:rPr>
          <w:rFonts w:ascii="Palatino Linotype" w:eastAsia="Palatino Linotype" w:hAnsi="Palatino Linotype" w:cs="Palatino Linotype"/>
          <w:sz w:val="19"/>
          <w:szCs w:val="19"/>
        </w:rPr>
      </w:pPr>
    </w:p>
    <w:p w14:paraId="57ADB53A"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6.1.3. Não sendo possível a contratação administrativa imediata e simultânea de todo(a)(s) o(a)(s) credenciado(a)(s), o critério objetivo de distribuição de demanda será realizado o sorteio, que formará uma lista para ordem de chamada para a execução de cada objeto, observando-se sempre o critério de rotatividade e os seguintes requisitos:</w:t>
      </w:r>
    </w:p>
    <w:p w14:paraId="3E0E5799" w14:textId="77777777" w:rsidR="000963D0" w:rsidRDefault="000963D0">
      <w:pPr>
        <w:rPr>
          <w:rFonts w:ascii="Palatino Linotype" w:eastAsia="Palatino Linotype" w:hAnsi="Palatino Linotype" w:cs="Palatino Linotype"/>
          <w:sz w:val="19"/>
          <w:szCs w:val="19"/>
        </w:rPr>
      </w:pPr>
    </w:p>
    <w:p w14:paraId="47436724"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6.1.3.1. O(A)(s) credenciado(a)(s) serão chamados para executar o objeto de acordo com sua posição na lista a que se refere o item 6.1.3;</w:t>
      </w:r>
    </w:p>
    <w:p w14:paraId="7FD8B2C1" w14:textId="77777777" w:rsidR="000963D0" w:rsidRDefault="000963D0">
      <w:pPr>
        <w:rPr>
          <w:rFonts w:ascii="Palatino Linotype" w:eastAsia="Palatino Linotype" w:hAnsi="Palatino Linotype" w:cs="Palatino Linotype"/>
          <w:sz w:val="19"/>
          <w:szCs w:val="19"/>
        </w:rPr>
      </w:pPr>
    </w:p>
    <w:p w14:paraId="374E9EC9"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6.1.3.2. O(A) credenciado(a) só será chamado para executar novo objeto após o(a)(s) demais credenciado(a)(s) que já estejam na lista forem chamado(a)(s);</w:t>
      </w:r>
    </w:p>
    <w:p w14:paraId="5E2E447B" w14:textId="77777777" w:rsidR="000963D0" w:rsidRDefault="000963D0">
      <w:pPr>
        <w:rPr>
          <w:rFonts w:ascii="Palatino Linotype" w:eastAsia="Palatino Linotype" w:hAnsi="Palatino Linotype" w:cs="Palatino Linotype"/>
          <w:sz w:val="19"/>
          <w:szCs w:val="19"/>
        </w:rPr>
      </w:pPr>
    </w:p>
    <w:p w14:paraId="30061D1E"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6.1.3.3. A qualquer tempo um(a) interessado(a) poderá requerer seu credenciamento e, se ocorrer após o sorteio, será posicionado(a) logo após o(s) credenciado(s) com menor número de demandas;</w:t>
      </w:r>
    </w:p>
    <w:p w14:paraId="7597DA18" w14:textId="77777777" w:rsidR="000963D0" w:rsidRDefault="000963D0">
      <w:pPr>
        <w:rPr>
          <w:rFonts w:ascii="Palatino Linotype" w:eastAsia="Palatino Linotype" w:hAnsi="Palatino Linotype" w:cs="Palatino Linotype"/>
          <w:sz w:val="19"/>
          <w:szCs w:val="19"/>
        </w:rPr>
      </w:pPr>
    </w:p>
    <w:p w14:paraId="5D96AE86"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6.1.3.4. É vedado a indicação, pela Administração, de credenciado para atender demandas.</w:t>
      </w:r>
    </w:p>
    <w:p w14:paraId="78B2226B" w14:textId="77777777" w:rsidR="000963D0" w:rsidRDefault="000963D0">
      <w:pPr>
        <w:rPr>
          <w:rFonts w:ascii="Palatino Linotype" w:eastAsia="Palatino Linotype" w:hAnsi="Palatino Linotype" w:cs="Palatino Linotype"/>
          <w:sz w:val="19"/>
          <w:szCs w:val="19"/>
        </w:rPr>
      </w:pPr>
    </w:p>
    <w:p w14:paraId="64DF579C"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6.1.3.5. O sorteio para formação da lista para ordem de chamada será realizado na sessão pública pelo Agente de Contratação;</w:t>
      </w:r>
    </w:p>
    <w:p w14:paraId="6730D582" w14:textId="77777777" w:rsidR="000963D0" w:rsidRDefault="000963D0">
      <w:pPr>
        <w:rPr>
          <w:rFonts w:ascii="Palatino Linotype" w:eastAsia="Palatino Linotype" w:hAnsi="Palatino Linotype" w:cs="Palatino Linotype"/>
          <w:sz w:val="19"/>
          <w:szCs w:val="19"/>
        </w:rPr>
      </w:pPr>
    </w:p>
    <w:p w14:paraId="577BD443"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6.1.4. Na impossibilidade de realizar o sorteio na forma do item 5.1.2.5. ou em caso de ulterior necessidade, haverá a comunicação da sessão de sorteio ou a convocação geral de todos o(a)(s) credenciado(a)(s) para a realização do serviço deverá apresentar o seguinte:</w:t>
      </w:r>
    </w:p>
    <w:p w14:paraId="448AE7BB" w14:textId="77777777" w:rsidR="000963D0" w:rsidRDefault="000963D0">
      <w:pPr>
        <w:rPr>
          <w:rFonts w:ascii="Palatino Linotype" w:eastAsia="Palatino Linotype" w:hAnsi="Palatino Linotype" w:cs="Palatino Linotype"/>
          <w:sz w:val="19"/>
          <w:szCs w:val="19"/>
        </w:rPr>
      </w:pPr>
    </w:p>
    <w:p w14:paraId="1FE8BF29"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6.1.4.1. descrição da demanda;</w:t>
      </w:r>
    </w:p>
    <w:p w14:paraId="3EFA53A6" w14:textId="77777777" w:rsidR="000963D0" w:rsidRDefault="000963D0">
      <w:pPr>
        <w:rPr>
          <w:rFonts w:ascii="Palatino Linotype" w:eastAsia="Palatino Linotype" w:hAnsi="Palatino Linotype" w:cs="Palatino Linotype"/>
          <w:sz w:val="19"/>
          <w:szCs w:val="19"/>
        </w:rPr>
      </w:pPr>
    </w:p>
    <w:p w14:paraId="2467D349"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6.1.4.2. tempo, hora ou fração e valores estimados para a contratação;</w:t>
      </w:r>
    </w:p>
    <w:p w14:paraId="3E21520A" w14:textId="77777777" w:rsidR="000963D0" w:rsidRDefault="000963D0">
      <w:pPr>
        <w:rPr>
          <w:rFonts w:ascii="Palatino Linotype" w:eastAsia="Palatino Linotype" w:hAnsi="Palatino Linotype" w:cs="Palatino Linotype"/>
          <w:sz w:val="19"/>
          <w:szCs w:val="19"/>
        </w:rPr>
      </w:pPr>
    </w:p>
    <w:p w14:paraId="1F551E27"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6.1.4.3. número de credenciados necessários;</w:t>
      </w:r>
    </w:p>
    <w:p w14:paraId="1F7293D0" w14:textId="77777777" w:rsidR="000963D0" w:rsidRDefault="000963D0">
      <w:pPr>
        <w:rPr>
          <w:rFonts w:ascii="Palatino Linotype" w:eastAsia="Palatino Linotype" w:hAnsi="Palatino Linotype" w:cs="Palatino Linotype"/>
          <w:sz w:val="19"/>
          <w:szCs w:val="19"/>
        </w:rPr>
      </w:pPr>
    </w:p>
    <w:p w14:paraId="099D5DA5"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6.1.4.4. cronograma de atividades, com previsão das datas de início e de conclusão dos trabalhos;</w:t>
      </w:r>
    </w:p>
    <w:p w14:paraId="751E3690" w14:textId="77777777" w:rsidR="000963D0" w:rsidRDefault="000963D0">
      <w:pPr>
        <w:rPr>
          <w:rFonts w:ascii="Palatino Linotype" w:eastAsia="Palatino Linotype" w:hAnsi="Palatino Linotype" w:cs="Palatino Linotype"/>
          <w:sz w:val="19"/>
          <w:szCs w:val="19"/>
        </w:rPr>
      </w:pPr>
    </w:p>
    <w:p w14:paraId="23203849"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6.1.4.5. localidade/região onde será realizado o serviço.</w:t>
      </w:r>
    </w:p>
    <w:p w14:paraId="261C19AB" w14:textId="77777777" w:rsidR="000963D0" w:rsidRDefault="000963D0">
      <w:pPr>
        <w:rPr>
          <w:rFonts w:ascii="Palatino Linotype" w:eastAsia="Palatino Linotype" w:hAnsi="Palatino Linotype" w:cs="Palatino Linotype"/>
          <w:sz w:val="19"/>
          <w:szCs w:val="19"/>
        </w:rPr>
      </w:pPr>
    </w:p>
    <w:p w14:paraId="1F118419"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6.1.5. O prazo mínimo de antecedência para a comunicação da realização da sessão do sorteio ou da convocação de todos o(a)(s) credenciado(a)(s) será de 02 (dois) dias úteis, podendo ser feita na própria ata da sessão.</w:t>
      </w:r>
    </w:p>
    <w:p w14:paraId="7E0577CA" w14:textId="77777777" w:rsidR="000963D0" w:rsidRDefault="000963D0">
      <w:pPr>
        <w:rPr>
          <w:rFonts w:ascii="Palatino Linotype" w:eastAsia="Palatino Linotype" w:hAnsi="Palatino Linotype" w:cs="Palatino Linotype"/>
          <w:sz w:val="19"/>
          <w:szCs w:val="19"/>
        </w:rPr>
      </w:pPr>
    </w:p>
    <w:p w14:paraId="32D16FE1"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lastRenderedPageBreak/>
        <w:t>6.1.6. O(A) credenciado(a) que se declarar impedido de atender às demandas deverá solicitar seu descredenciamento em até 01 (um) dia útil antes do início da sessão de sorteio, sendo seu deferimento automático.</w:t>
      </w:r>
    </w:p>
    <w:p w14:paraId="27BDC901" w14:textId="77777777" w:rsidR="000963D0" w:rsidRDefault="000963D0">
      <w:pPr>
        <w:rPr>
          <w:rFonts w:ascii="Palatino Linotype" w:eastAsia="Palatino Linotype" w:hAnsi="Palatino Linotype" w:cs="Palatino Linotype"/>
          <w:sz w:val="19"/>
          <w:szCs w:val="19"/>
        </w:rPr>
      </w:pPr>
    </w:p>
    <w:p w14:paraId="36D50308"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6.1.7. Não há óbice que ao se descredenciar na forma descrita no item 5.1.6, o(a) Credenciado (a), em momento oportuno, requeira novo credenciamento para o mesmo ou outro objeto a ser contratado.</w:t>
      </w:r>
    </w:p>
    <w:p w14:paraId="24E21151" w14:textId="77777777" w:rsidR="000963D0" w:rsidRDefault="000963D0">
      <w:pPr>
        <w:rPr>
          <w:rFonts w:ascii="Palatino Linotype" w:eastAsia="Palatino Linotype" w:hAnsi="Palatino Linotype" w:cs="Palatino Linotype"/>
          <w:sz w:val="19"/>
          <w:szCs w:val="19"/>
        </w:rPr>
      </w:pPr>
    </w:p>
    <w:p w14:paraId="0FBF07E0"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6.1.8. É condição indispensável para a participação na sessão de sorteio ou para atender à convocação geral que o(a)(s) Credenciado(a)(s) estejam cumprindo as condições de habilitação do credenciamento, podendo o(a) agente de contratação ou a comissão de contratação designada exigir do(a) credenciado(a) a comprovação documental do atendimento das exigências de habilitação, observando o seguinte:</w:t>
      </w:r>
    </w:p>
    <w:p w14:paraId="2E9DDFBD" w14:textId="77777777" w:rsidR="000963D0" w:rsidRDefault="000963D0">
      <w:pPr>
        <w:rPr>
          <w:rFonts w:ascii="Palatino Linotype" w:eastAsia="Palatino Linotype" w:hAnsi="Palatino Linotype" w:cs="Palatino Linotype"/>
          <w:sz w:val="19"/>
          <w:szCs w:val="19"/>
        </w:rPr>
      </w:pPr>
    </w:p>
    <w:p w14:paraId="799D1472"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6.1.8.1. serão exigidos os documentos relativos à regularidade fiscal, em qualquer caso, somente como requisito para a contratação administrativa;</w:t>
      </w:r>
    </w:p>
    <w:p w14:paraId="1A2661DC" w14:textId="77777777" w:rsidR="000963D0" w:rsidRDefault="000963D0">
      <w:pPr>
        <w:rPr>
          <w:rFonts w:ascii="Palatino Linotype" w:eastAsia="Palatino Linotype" w:hAnsi="Palatino Linotype" w:cs="Palatino Linotype"/>
          <w:sz w:val="19"/>
          <w:szCs w:val="19"/>
        </w:rPr>
      </w:pPr>
    </w:p>
    <w:p w14:paraId="4D8505EB"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 xml:space="preserve">6.1.8.2. para a comprovação de regularidade fiscal e trabalhista das </w:t>
      </w:r>
      <w:proofErr w:type="spellStart"/>
      <w:r>
        <w:rPr>
          <w:rFonts w:ascii="Palatino Linotype" w:eastAsia="Palatino Linotype" w:hAnsi="Palatino Linotype" w:cs="Palatino Linotype"/>
          <w:color w:val="000000"/>
          <w:sz w:val="19"/>
          <w:szCs w:val="19"/>
        </w:rPr>
        <w:t>ME’s</w:t>
      </w:r>
      <w:proofErr w:type="spellEnd"/>
      <w:r>
        <w:rPr>
          <w:rFonts w:ascii="Palatino Linotype" w:eastAsia="Palatino Linotype" w:hAnsi="Palatino Linotype" w:cs="Palatino Linotype"/>
          <w:color w:val="000000"/>
          <w:sz w:val="19"/>
          <w:szCs w:val="19"/>
        </w:rPr>
        <w:t xml:space="preserve"> e </w:t>
      </w:r>
      <w:proofErr w:type="spellStart"/>
      <w:r>
        <w:rPr>
          <w:rFonts w:ascii="Palatino Linotype" w:eastAsia="Palatino Linotype" w:hAnsi="Palatino Linotype" w:cs="Palatino Linotype"/>
          <w:color w:val="000000"/>
          <w:sz w:val="19"/>
          <w:szCs w:val="19"/>
        </w:rPr>
        <w:t>EPP’s</w:t>
      </w:r>
      <w:proofErr w:type="spellEnd"/>
      <w:r>
        <w:rPr>
          <w:rFonts w:ascii="Palatino Linotype" w:eastAsia="Palatino Linotype" w:hAnsi="Palatino Linotype" w:cs="Palatino Linotype"/>
          <w:color w:val="000000"/>
          <w:sz w:val="19"/>
          <w:szCs w:val="19"/>
        </w:rPr>
        <w:t xml:space="preserve"> será observado o disposto nos </w:t>
      </w:r>
      <w:proofErr w:type="spellStart"/>
      <w:r>
        <w:rPr>
          <w:rFonts w:ascii="Palatino Linotype" w:eastAsia="Palatino Linotype" w:hAnsi="Palatino Linotype" w:cs="Palatino Linotype"/>
          <w:color w:val="000000"/>
          <w:sz w:val="19"/>
          <w:szCs w:val="19"/>
        </w:rPr>
        <w:t>arts</w:t>
      </w:r>
      <w:proofErr w:type="spellEnd"/>
      <w:r>
        <w:rPr>
          <w:rFonts w:ascii="Palatino Linotype" w:eastAsia="Palatino Linotype" w:hAnsi="Palatino Linotype" w:cs="Palatino Linotype"/>
          <w:color w:val="000000"/>
          <w:sz w:val="19"/>
          <w:szCs w:val="19"/>
        </w:rPr>
        <w:t>. 42 e 43 da Lei Complementar nº. 123/2006;</w:t>
      </w:r>
    </w:p>
    <w:p w14:paraId="0340EFC7" w14:textId="77777777" w:rsidR="000963D0" w:rsidRDefault="000963D0">
      <w:pPr>
        <w:rPr>
          <w:rFonts w:ascii="Palatino Linotype" w:eastAsia="Palatino Linotype" w:hAnsi="Palatino Linotype" w:cs="Palatino Linotype"/>
          <w:sz w:val="19"/>
          <w:szCs w:val="19"/>
        </w:rPr>
      </w:pPr>
    </w:p>
    <w:p w14:paraId="6D3B4BE1"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6.1.8.3. o comparecimento à sessão pública de sorteio é facultativo;</w:t>
      </w:r>
    </w:p>
    <w:p w14:paraId="16DAE57D" w14:textId="77777777" w:rsidR="000963D0" w:rsidRDefault="000963D0">
      <w:pPr>
        <w:rPr>
          <w:rFonts w:ascii="Palatino Linotype" w:eastAsia="Palatino Linotype" w:hAnsi="Palatino Linotype" w:cs="Palatino Linotype"/>
          <w:sz w:val="19"/>
          <w:szCs w:val="19"/>
        </w:rPr>
      </w:pPr>
    </w:p>
    <w:p w14:paraId="66A2A26E"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6.1.8.4. a Administração pode, em virtude do interesse público, devidamente justificado, cancelar total ou parcialmente a sessão de sorteio ou a convocação geral de todos o(a)(s) credenciado(a)(s);</w:t>
      </w:r>
    </w:p>
    <w:p w14:paraId="083E54BE" w14:textId="77777777" w:rsidR="000963D0" w:rsidRDefault="000963D0">
      <w:pPr>
        <w:rPr>
          <w:rFonts w:ascii="Palatino Linotype" w:eastAsia="Palatino Linotype" w:hAnsi="Palatino Linotype" w:cs="Palatino Linotype"/>
          <w:sz w:val="19"/>
          <w:szCs w:val="19"/>
        </w:rPr>
      </w:pPr>
    </w:p>
    <w:p w14:paraId="5A45BD63"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6.1.8.5. as demandas cuja sessão tenha sido cancelada poderão ser submetidas a novo sorteio, ou à convocação de todo(a)(s) o(a)(s) credenciado(a)(s), em data a ser estabelecida e comunicada a todos o(a)(s) credenciado(a)(s) por meio eletrônico.</w:t>
      </w:r>
    </w:p>
    <w:p w14:paraId="407F59EE" w14:textId="77777777" w:rsidR="000963D0" w:rsidRDefault="000963D0">
      <w:pPr>
        <w:rPr>
          <w:rFonts w:ascii="Palatino Linotype" w:eastAsia="Palatino Linotype" w:hAnsi="Palatino Linotype" w:cs="Palatino Linotype"/>
          <w:sz w:val="19"/>
          <w:szCs w:val="19"/>
        </w:rPr>
      </w:pPr>
    </w:p>
    <w:p w14:paraId="70A9C691"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6.1.9. É vedada a indicação, pela Administração, de credenciado para atender demandas.</w:t>
      </w:r>
    </w:p>
    <w:p w14:paraId="3C3390FA" w14:textId="77777777" w:rsidR="000963D0" w:rsidRDefault="000963D0">
      <w:pPr>
        <w:rPr>
          <w:rFonts w:ascii="Palatino Linotype" w:eastAsia="Palatino Linotype" w:hAnsi="Palatino Linotype" w:cs="Palatino Linotype"/>
          <w:sz w:val="19"/>
          <w:szCs w:val="19"/>
        </w:rPr>
      </w:pPr>
    </w:p>
    <w:p w14:paraId="214D9AAB"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6.1.10. Após a realização do sorteio, todos os presentes assinarão a ata do evento.</w:t>
      </w:r>
    </w:p>
    <w:p w14:paraId="39334F6A" w14:textId="77777777" w:rsidR="000963D0" w:rsidRDefault="000963D0">
      <w:pPr>
        <w:rPr>
          <w:rFonts w:ascii="Palatino Linotype" w:eastAsia="Palatino Linotype" w:hAnsi="Palatino Linotype" w:cs="Palatino Linotype"/>
          <w:sz w:val="19"/>
          <w:szCs w:val="19"/>
        </w:rPr>
      </w:pPr>
    </w:p>
    <w:p w14:paraId="007A5F51"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6.1.11. Verificando-se após a realização do sorteio qualquer impedimento para que o(a) credenciado(a) seja contratado(a) para o serviço com que foi contemplado, será refeita a lista na ordem do sorteio para aquela demanda específica com a exclusão do(a) impedido(a).</w:t>
      </w:r>
    </w:p>
    <w:p w14:paraId="71A756AD" w14:textId="77777777" w:rsidR="000963D0" w:rsidRDefault="000963D0">
      <w:pPr>
        <w:rPr>
          <w:rFonts w:ascii="Palatino Linotype" w:eastAsia="Palatino Linotype" w:hAnsi="Palatino Linotype" w:cs="Palatino Linotype"/>
          <w:sz w:val="19"/>
          <w:szCs w:val="19"/>
        </w:rPr>
      </w:pPr>
    </w:p>
    <w:p w14:paraId="3BB52A27"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6.1.12. Encerrada a seção e elaborada a lista do(a)(s) credenciado(a)(s) por ordem de sorteio, o processo será encaminhado à autoridade superior que adotará alguma das medidas previstas no art. 71 da Lei nº. 14.133/2021.</w:t>
      </w:r>
    </w:p>
    <w:p w14:paraId="301EF090" w14:textId="77777777" w:rsidR="000963D0" w:rsidRDefault="000963D0">
      <w:pPr>
        <w:rPr>
          <w:rFonts w:ascii="Palatino Linotype" w:eastAsia="Palatino Linotype" w:hAnsi="Palatino Linotype" w:cs="Palatino Linotype"/>
          <w:sz w:val="19"/>
          <w:szCs w:val="19"/>
        </w:rPr>
      </w:pPr>
    </w:p>
    <w:p w14:paraId="2DFF8859"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6.1.13. Após os trâmites, os contratos administrativos terão sua execução iniciada, devendo os trabalhos serem desenvolvidos na forma estabelecida no edital, observada a Lei nº 14.133/2021 e o Decreto nº. 19/2025 (que dispõe sobre os procedimentos auxiliares).</w:t>
      </w:r>
    </w:p>
    <w:p w14:paraId="3F1E9579" w14:textId="77777777" w:rsidR="000963D0" w:rsidRDefault="000963D0">
      <w:pPr>
        <w:rPr>
          <w:rFonts w:ascii="Palatino Linotype" w:eastAsia="Palatino Linotype" w:hAnsi="Palatino Linotype" w:cs="Palatino Linotype"/>
          <w:sz w:val="19"/>
          <w:szCs w:val="19"/>
        </w:rPr>
      </w:pPr>
    </w:p>
    <w:p w14:paraId="13592651"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6.1.14. O objeto do contrato administrativo deverá ter como limite de gastos o tempo, horas ou fração e o prazo definido na demanda e a localidade para a qual o(a) credenciado(a) foi sorteado, para cada tipo de objeto, conforme o caso.</w:t>
      </w:r>
    </w:p>
    <w:p w14:paraId="5E1F9F5B" w14:textId="77777777" w:rsidR="000963D0" w:rsidRDefault="000963D0">
      <w:pPr>
        <w:rPr>
          <w:rFonts w:ascii="Palatino Linotype" w:eastAsia="Palatino Linotype" w:hAnsi="Palatino Linotype" w:cs="Palatino Linotype"/>
          <w:sz w:val="19"/>
          <w:szCs w:val="19"/>
        </w:rPr>
      </w:pPr>
    </w:p>
    <w:p w14:paraId="7E314D28"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6.1.15. O(A) contratado(a) deve apresentar, logo após a assinatura ou retirada do termo de contrato administrativo, e a critério da Administração, planejamento dos trabalhos para confirmar a utilização da estimativa do tempo e do serviço contratado.</w:t>
      </w:r>
    </w:p>
    <w:p w14:paraId="4469F556" w14:textId="77777777" w:rsidR="000963D0" w:rsidRDefault="000963D0">
      <w:pPr>
        <w:rPr>
          <w:rFonts w:ascii="Palatino Linotype" w:eastAsia="Palatino Linotype" w:hAnsi="Palatino Linotype" w:cs="Palatino Linotype"/>
          <w:sz w:val="19"/>
          <w:szCs w:val="19"/>
        </w:rPr>
      </w:pPr>
    </w:p>
    <w:p w14:paraId="2FF5BD2F"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lastRenderedPageBreak/>
        <w:t>6.1.16. O edital poderá vedar, restringir ou estabelecer condições para a subcontratação parcial do objeto.</w:t>
      </w:r>
    </w:p>
    <w:p w14:paraId="01677EDB" w14:textId="77777777" w:rsidR="000963D0" w:rsidRDefault="000963D0">
      <w:pPr>
        <w:rPr>
          <w:rFonts w:ascii="Palatino Linotype" w:eastAsia="Palatino Linotype" w:hAnsi="Palatino Linotype" w:cs="Palatino Linotype"/>
          <w:sz w:val="19"/>
          <w:szCs w:val="19"/>
        </w:rPr>
      </w:pPr>
    </w:p>
    <w:p w14:paraId="7A7A55AC"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6.1.17. A fixação da vigência dos contratos administrativos decorrentes do credenciamento, quando couber, deverá levar em consideração o prazo efetivo para execução do objeto, disciplinado no edital.</w:t>
      </w:r>
    </w:p>
    <w:p w14:paraId="42359794" w14:textId="77777777" w:rsidR="000963D0" w:rsidRDefault="000963D0">
      <w:pPr>
        <w:rPr>
          <w:rFonts w:ascii="Palatino Linotype" w:eastAsia="Palatino Linotype" w:hAnsi="Palatino Linotype" w:cs="Palatino Linotype"/>
          <w:sz w:val="19"/>
          <w:szCs w:val="19"/>
        </w:rPr>
      </w:pPr>
    </w:p>
    <w:p w14:paraId="1D04E3F5"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6.1.18. Os métodos, as rotinas, as etapas, as tecnologias de procedimentos, a frequência e a periodicidade de execução do trabalho são as seguintes:</w:t>
      </w:r>
    </w:p>
    <w:p w14:paraId="5FA9E3A7" w14:textId="77777777" w:rsidR="000963D0" w:rsidRDefault="000963D0">
      <w:pPr>
        <w:rPr>
          <w:rFonts w:ascii="Palatino Linotype" w:eastAsia="Palatino Linotype" w:hAnsi="Palatino Linotype" w:cs="Palatino Linotype"/>
          <w:sz w:val="19"/>
          <w:szCs w:val="19"/>
        </w:rPr>
      </w:pPr>
    </w:p>
    <w:p w14:paraId="138F599C"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6.1.18.1. O local e horário da prestação de serviço será conforme demanda a ser informada com antecedência de 5 (cinco) dias.</w:t>
      </w:r>
    </w:p>
    <w:p w14:paraId="000B3A4A" w14:textId="77777777" w:rsidR="000963D0" w:rsidRDefault="000963D0">
      <w:pPr>
        <w:rPr>
          <w:sz w:val="24"/>
          <w:szCs w:val="24"/>
        </w:rPr>
      </w:pPr>
    </w:p>
    <w:p w14:paraId="49C7E26D"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6.2. Para a perfeita execução dos serviços, o(a) Credenciado(a) deverá disponibilizar os veículos, materiais, equipamentos, ferramentas e utensílios necessários, promovendo sua substituição quando necessário.</w:t>
      </w:r>
    </w:p>
    <w:p w14:paraId="14465C9F" w14:textId="77777777" w:rsidR="000963D0" w:rsidRDefault="000963D0">
      <w:pPr>
        <w:rPr>
          <w:rFonts w:ascii="Palatino Linotype" w:eastAsia="Palatino Linotype" w:hAnsi="Palatino Linotype" w:cs="Palatino Linotype"/>
          <w:sz w:val="19"/>
          <w:szCs w:val="19"/>
        </w:rPr>
      </w:pPr>
    </w:p>
    <w:p w14:paraId="6A5C0BE3"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6.3. O prazo de entrega dos serviços é previsto em cada demanda solicitada.</w:t>
      </w:r>
    </w:p>
    <w:p w14:paraId="6840F248"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 </w:t>
      </w:r>
    </w:p>
    <w:p w14:paraId="1E9BA6CD"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6.4. Caso não seja possível a entrega na data assinalada, o(a) Contratado(a) deverá comunicar as razões respectivas com pelo menos 3 (três) dias úteis de antecedência para que qualquer pleito de prorrogação de prazo seja analisado, ressalvadas situações de caso fortuito e força maior.</w:t>
      </w:r>
    </w:p>
    <w:p w14:paraId="545AB680" w14:textId="77777777" w:rsidR="000963D0" w:rsidRDefault="000963D0">
      <w:pPr>
        <w:rPr>
          <w:rFonts w:ascii="Palatino Linotype" w:eastAsia="Palatino Linotype" w:hAnsi="Palatino Linotype" w:cs="Palatino Linotype"/>
          <w:sz w:val="19"/>
          <w:szCs w:val="19"/>
        </w:rPr>
      </w:pPr>
    </w:p>
    <w:p w14:paraId="371836E6"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6.5. Os serviços serão recebidos provisoriamente, de forma sumária, no prazo de 3 (três) dias úteis, pelo(a) servidor(a) público(a) municipal pelo acompanhamento e fiscalização do contrato administrativo, para efeito de posterior verificação de sua conformidade com as especificações constantes neste TR e na proposta.</w:t>
      </w:r>
    </w:p>
    <w:p w14:paraId="36FEECB2" w14:textId="77777777" w:rsidR="000963D0" w:rsidRDefault="000963D0">
      <w:pPr>
        <w:rPr>
          <w:rFonts w:ascii="Palatino Linotype" w:eastAsia="Palatino Linotype" w:hAnsi="Palatino Linotype" w:cs="Palatino Linotype"/>
          <w:sz w:val="19"/>
          <w:szCs w:val="19"/>
        </w:rPr>
      </w:pPr>
    </w:p>
    <w:p w14:paraId="6CCB4C04"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6.5.1. O recebimento provisório poderá ser efetivado no atesto da nota fiscal ou documento equivalente pelo(a) servidor(a) público(a) municipal pelo acompanhamento e fiscalização do contrato administrativo.</w:t>
      </w:r>
    </w:p>
    <w:p w14:paraId="4E30301C" w14:textId="77777777" w:rsidR="000963D0" w:rsidRDefault="000963D0">
      <w:pPr>
        <w:rPr>
          <w:rFonts w:ascii="Palatino Linotype" w:eastAsia="Palatino Linotype" w:hAnsi="Palatino Linotype" w:cs="Palatino Linotype"/>
          <w:sz w:val="19"/>
          <w:szCs w:val="19"/>
        </w:rPr>
      </w:pPr>
    </w:p>
    <w:p w14:paraId="29B2895A"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6.6. Os serviços poderão ser rejeitados, no todo ou em parte, quando em desacordo com as especificações constantes neste TR e na proposta, devendo ser substituídos no prazo de 3 (três) dias úteis, a contar da notificação do(a) contratado(a), às suas custas, sem prejuízo da aplicação das penalidades.</w:t>
      </w:r>
    </w:p>
    <w:p w14:paraId="414BF9BE" w14:textId="77777777" w:rsidR="000963D0" w:rsidRDefault="000963D0">
      <w:pPr>
        <w:rPr>
          <w:rFonts w:ascii="Palatino Linotype" w:eastAsia="Palatino Linotype" w:hAnsi="Palatino Linotype" w:cs="Palatino Linotype"/>
          <w:sz w:val="19"/>
          <w:szCs w:val="19"/>
        </w:rPr>
      </w:pPr>
    </w:p>
    <w:p w14:paraId="1AB8C2C5"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6.7. Os serviços serão recebidos definitivamente no prazo de 5 (cinco) dias úteis, pelo(a) servidor(a) público(a) municipal ou comissão, contados do recebimento provisório, após a verificação da efetiva prestação e entrega dos serviços.</w:t>
      </w:r>
    </w:p>
    <w:p w14:paraId="3D14C3C0" w14:textId="77777777" w:rsidR="000963D0" w:rsidRDefault="000963D0">
      <w:pPr>
        <w:rPr>
          <w:rFonts w:ascii="Palatino Linotype" w:eastAsia="Palatino Linotype" w:hAnsi="Palatino Linotype" w:cs="Palatino Linotype"/>
          <w:sz w:val="19"/>
          <w:szCs w:val="19"/>
        </w:rPr>
      </w:pPr>
    </w:p>
    <w:p w14:paraId="60A681D4"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6.7.1. O recebimento definitivo poderá ser efetivado no atesto da nota fiscal ou documento equivalente pelo pelo(a) pelo(a) servidor(a) público(a) municipal ou comissão, após atesto pelo(a) responsável pelo(a) fiscal do contrato administrativo.</w:t>
      </w:r>
    </w:p>
    <w:p w14:paraId="6ECF7D20" w14:textId="77777777" w:rsidR="000963D0" w:rsidRDefault="000963D0">
      <w:pPr>
        <w:rPr>
          <w:rFonts w:ascii="Palatino Linotype" w:eastAsia="Palatino Linotype" w:hAnsi="Palatino Linotype" w:cs="Palatino Linotype"/>
          <w:sz w:val="19"/>
          <w:szCs w:val="19"/>
        </w:rPr>
      </w:pPr>
    </w:p>
    <w:p w14:paraId="29003009"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6.8. Na hipótese de a verificação a que se refere o subitem anterior não ser procedida dentro do prazo fixado, reputar-se-á como realizada, consumando-se o recebimento definitivo no dia do esgotamento do prazo.</w:t>
      </w:r>
    </w:p>
    <w:p w14:paraId="073F830B" w14:textId="77777777" w:rsidR="000963D0" w:rsidRDefault="000963D0">
      <w:pPr>
        <w:rPr>
          <w:rFonts w:ascii="Palatino Linotype" w:eastAsia="Palatino Linotype" w:hAnsi="Palatino Linotype" w:cs="Palatino Linotype"/>
          <w:sz w:val="19"/>
          <w:szCs w:val="19"/>
        </w:rPr>
      </w:pPr>
    </w:p>
    <w:p w14:paraId="2A92F232" w14:textId="77777777" w:rsidR="000963D0" w:rsidRDefault="00000000">
      <w:pPr>
        <w:jc w:val="both"/>
        <w:rPr>
          <w:sz w:val="24"/>
          <w:szCs w:val="24"/>
        </w:rPr>
      </w:pPr>
      <w:r>
        <w:rPr>
          <w:rFonts w:ascii="Palatino Linotype" w:eastAsia="Palatino Linotype" w:hAnsi="Palatino Linotype" w:cs="Palatino Linotype"/>
          <w:color w:val="000000"/>
          <w:sz w:val="19"/>
          <w:szCs w:val="19"/>
        </w:rPr>
        <w:t>6.9. O recebimento provisório ou definitivo não excluirá a responsabilidade civil pela solidez e pela segurança do serviço nem a responsabilidade ético-profissional pela perfeita execução do contrato administrativo</w:t>
      </w:r>
      <w:r>
        <w:rPr>
          <w:color w:val="000000"/>
          <w:sz w:val="18"/>
          <w:szCs w:val="18"/>
        </w:rPr>
        <w:t>.</w:t>
      </w:r>
    </w:p>
    <w:p w14:paraId="626240A7" w14:textId="77777777" w:rsidR="000963D0" w:rsidRDefault="000963D0">
      <w:pPr>
        <w:rPr>
          <w:sz w:val="24"/>
          <w:szCs w:val="24"/>
        </w:rPr>
      </w:pPr>
    </w:p>
    <w:tbl>
      <w:tblPr>
        <w:tblStyle w:val="a6"/>
        <w:tblW w:w="8642" w:type="dxa"/>
        <w:tblInd w:w="0" w:type="dxa"/>
        <w:tblLayout w:type="fixed"/>
        <w:tblLook w:val="0400" w:firstRow="0" w:lastRow="0" w:firstColumn="0" w:lastColumn="0" w:noHBand="0" w:noVBand="1"/>
      </w:tblPr>
      <w:tblGrid>
        <w:gridCol w:w="8642"/>
      </w:tblGrid>
      <w:tr w:rsidR="000963D0" w14:paraId="2280AAA1" w14:textId="77777777">
        <w:tc>
          <w:tcPr>
            <w:tcW w:w="8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57345C" w14:textId="77777777" w:rsidR="000963D0" w:rsidRDefault="00000000">
            <w:pPr>
              <w:jc w:val="both"/>
              <w:rPr>
                <w:sz w:val="24"/>
                <w:szCs w:val="24"/>
              </w:rPr>
            </w:pPr>
            <w:r>
              <w:rPr>
                <w:b/>
                <w:i/>
                <w:color w:val="000000"/>
                <w:sz w:val="18"/>
                <w:szCs w:val="18"/>
              </w:rPr>
              <w:lastRenderedPageBreak/>
              <w:t>7 – Do modelo de gestão do contrato administrativo</w:t>
            </w:r>
          </w:p>
        </w:tc>
      </w:tr>
    </w:tbl>
    <w:p w14:paraId="3D1EAA0C" w14:textId="77777777" w:rsidR="000963D0" w:rsidRDefault="000963D0">
      <w:pPr>
        <w:rPr>
          <w:sz w:val="24"/>
          <w:szCs w:val="24"/>
        </w:rPr>
      </w:pPr>
    </w:p>
    <w:p w14:paraId="5C6E53BE"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7.1. O contrato administrativo deverá ser executado fielmente pelas partes, de acordo com as cláusulas avençadas e as normas da Lei nº. 14.133/2021, e cada parte responderá pelas consequências de sua inexecução total ou parcial (art. 115 da Lei nº 14.133/2021).</w:t>
      </w:r>
    </w:p>
    <w:p w14:paraId="0F8F8182" w14:textId="77777777" w:rsidR="000963D0" w:rsidRDefault="000963D0">
      <w:pPr>
        <w:rPr>
          <w:rFonts w:ascii="Palatino Linotype" w:eastAsia="Palatino Linotype" w:hAnsi="Palatino Linotype" w:cs="Palatino Linotype"/>
          <w:sz w:val="19"/>
          <w:szCs w:val="19"/>
        </w:rPr>
      </w:pPr>
    </w:p>
    <w:p w14:paraId="0F6817C5"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7.2.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2764953E" w14:textId="77777777" w:rsidR="000963D0" w:rsidRDefault="000963D0">
      <w:pPr>
        <w:rPr>
          <w:rFonts w:ascii="Palatino Linotype" w:eastAsia="Palatino Linotype" w:hAnsi="Palatino Linotype" w:cs="Palatino Linotype"/>
          <w:sz w:val="19"/>
          <w:szCs w:val="19"/>
        </w:rPr>
      </w:pPr>
    </w:p>
    <w:p w14:paraId="58BE3999"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7.3. A execução do contrato administrativo deverá ser acompanhada e fiscalizada pelo(a) fiscal do contrato administrativos, ou pelos respectivos substitutos (art. 117 da Lei nº. 14.133/2021).</w:t>
      </w:r>
    </w:p>
    <w:p w14:paraId="14B486C4" w14:textId="77777777" w:rsidR="000963D0" w:rsidRDefault="000963D0">
      <w:pPr>
        <w:rPr>
          <w:rFonts w:ascii="Palatino Linotype" w:eastAsia="Palatino Linotype" w:hAnsi="Palatino Linotype" w:cs="Palatino Linotype"/>
          <w:sz w:val="19"/>
          <w:szCs w:val="19"/>
        </w:rPr>
      </w:pPr>
    </w:p>
    <w:p w14:paraId="6CA2BB0F"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7.4.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39EF0E95" w14:textId="77777777" w:rsidR="000963D0" w:rsidRDefault="000963D0">
      <w:pPr>
        <w:rPr>
          <w:rFonts w:ascii="Palatino Linotype" w:eastAsia="Palatino Linotype" w:hAnsi="Palatino Linotype" w:cs="Palatino Linotype"/>
          <w:sz w:val="19"/>
          <w:szCs w:val="19"/>
        </w:rPr>
      </w:pPr>
    </w:p>
    <w:p w14:paraId="230F45C5"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7.5. O(A) fiscal do contrato administrativo informará a seus superiores, em tempo hábil para a adoção das medidas convenientes, a situação que demandar decisão ou providência que ultrapasse sua competência (§ 2º do art. 117 da Lei nº. 14.133/2021).</w:t>
      </w:r>
    </w:p>
    <w:p w14:paraId="1BF44FAA" w14:textId="77777777" w:rsidR="000963D0" w:rsidRDefault="000963D0">
      <w:pPr>
        <w:rPr>
          <w:rFonts w:ascii="Palatino Linotype" w:eastAsia="Palatino Linotype" w:hAnsi="Palatino Linotype" w:cs="Palatino Linotype"/>
          <w:sz w:val="19"/>
          <w:szCs w:val="19"/>
        </w:rPr>
      </w:pPr>
    </w:p>
    <w:p w14:paraId="06A0EFF9"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7.6.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6722D44F" w14:textId="77777777" w:rsidR="000963D0" w:rsidRDefault="000963D0">
      <w:pPr>
        <w:rPr>
          <w:rFonts w:ascii="Palatino Linotype" w:eastAsia="Palatino Linotype" w:hAnsi="Palatino Linotype" w:cs="Palatino Linotype"/>
          <w:sz w:val="19"/>
          <w:szCs w:val="19"/>
        </w:rPr>
      </w:pPr>
    </w:p>
    <w:p w14:paraId="3E37C506"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7.7.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7C8E4759" w14:textId="77777777" w:rsidR="000963D0" w:rsidRDefault="000963D0">
      <w:pPr>
        <w:rPr>
          <w:rFonts w:ascii="Palatino Linotype" w:eastAsia="Palatino Linotype" w:hAnsi="Palatino Linotype" w:cs="Palatino Linotype"/>
          <w:sz w:val="19"/>
          <w:szCs w:val="19"/>
        </w:rPr>
      </w:pPr>
    </w:p>
    <w:p w14:paraId="79542F2B"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7.8. Somente o(a) Contratado(a) será responsável pelos encargos trabalhistas, previdenciários, fiscais e comerciais resultantes da execução do contrato administrativo (art. 121 da Lei nº. 14.133/2021).</w:t>
      </w:r>
    </w:p>
    <w:p w14:paraId="2DA27EFB" w14:textId="77777777" w:rsidR="000963D0" w:rsidRDefault="000963D0">
      <w:pPr>
        <w:rPr>
          <w:rFonts w:ascii="Palatino Linotype" w:eastAsia="Palatino Linotype" w:hAnsi="Palatino Linotype" w:cs="Palatino Linotype"/>
          <w:sz w:val="19"/>
          <w:szCs w:val="19"/>
        </w:rPr>
      </w:pPr>
    </w:p>
    <w:p w14:paraId="4DEE2E7C"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7.9.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457A39F1" w14:textId="77777777" w:rsidR="000963D0" w:rsidRDefault="000963D0">
      <w:pPr>
        <w:rPr>
          <w:rFonts w:ascii="Palatino Linotype" w:eastAsia="Palatino Linotype" w:hAnsi="Palatino Linotype" w:cs="Palatino Linotype"/>
          <w:sz w:val="19"/>
          <w:szCs w:val="19"/>
        </w:rPr>
      </w:pPr>
    </w:p>
    <w:p w14:paraId="7D0DA5CB"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7.10. As comunicações entre a Administração e o(a) contratado(a) devem ser realizadas por escrito sempre que o ato exigir tal formalidade, admitindo-se, excepcionalmente, o uso de mensagem eletrônica para esse fim, tal como: e-mail.</w:t>
      </w:r>
    </w:p>
    <w:p w14:paraId="0F9E5562" w14:textId="77777777" w:rsidR="000963D0" w:rsidRDefault="000963D0">
      <w:pPr>
        <w:rPr>
          <w:rFonts w:ascii="Palatino Linotype" w:eastAsia="Palatino Linotype" w:hAnsi="Palatino Linotype" w:cs="Palatino Linotype"/>
          <w:sz w:val="19"/>
          <w:szCs w:val="19"/>
        </w:rPr>
      </w:pPr>
    </w:p>
    <w:p w14:paraId="483E5529"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7.11. A Administração poderá convocar representante do(a) licitante para adoção de providências que devam ser cumpridas de imediato.</w:t>
      </w:r>
    </w:p>
    <w:p w14:paraId="1A55E774" w14:textId="77777777" w:rsidR="000963D0" w:rsidRDefault="000963D0">
      <w:pPr>
        <w:rPr>
          <w:rFonts w:ascii="Palatino Linotype" w:eastAsia="Palatino Linotype" w:hAnsi="Palatino Linotype" w:cs="Palatino Linotype"/>
          <w:sz w:val="19"/>
          <w:szCs w:val="19"/>
        </w:rPr>
      </w:pPr>
    </w:p>
    <w:p w14:paraId="6C9D13A5"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7.12. O(A) Contratado(a) deverá manter preposto aceito pela Administração no local do serviço para representá-lo na execução do contrato administrativo (art. 118 da Lei nº 14.133/2021).</w:t>
      </w:r>
    </w:p>
    <w:p w14:paraId="61079E38" w14:textId="77777777" w:rsidR="000963D0" w:rsidRDefault="000963D0">
      <w:pPr>
        <w:rPr>
          <w:rFonts w:ascii="Palatino Linotype" w:eastAsia="Palatino Linotype" w:hAnsi="Palatino Linotype" w:cs="Palatino Linotype"/>
          <w:sz w:val="19"/>
          <w:szCs w:val="19"/>
        </w:rPr>
      </w:pPr>
    </w:p>
    <w:p w14:paraId="7C4DBF27"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7.13. A indicação ou a manutenção do preposto do(a) Contratado(a) poderá ser recusada pelo contratante, desde que devidamente justificada, devendo o(a) contratado(a) designar outro para o exercício da atividade, no prazo indicado pelo fiscal.</w:t>
      </w:r>
    </w:p>
    <w:p w14:paraId="4DAB4230" w14:textId="77777777" w:rsidR="000963D0" w:rsidRDefault="000963D0">
      <w:pPr>
        <w:rPr>
          <w:rFonts w:ascii="Palatino Linotype" w:eastAsia="Palatino Linotype" w:hAnsi="Palatino Linotype" w:cs="Palatino Linotype"/>
          <w:sz w:val="19"/>
          <w:szCs w:val="19"/>
        </w:rPr>
      </w:pPr>
    </w:p>
    <w:p w14:paraId="3E171191"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lastRenderedPageBreak/>
        <w:t>7.14.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609B142" w14:textId="77777777" w:rsidR="000963D0" w:rsidRDefault="000963D0">
      <w:pPr>
        <w:rPr>
          <w:rFonts w:ascii="Palatino Linotype" w:eastAsia="Palatino Linotype" w:hAnsi="Palatino Linotype" w:cs="Palatino Linotype"/>
          <w:sz w:val="19"/>
          <w:szCs w:val="19"/>
        </w:rPr>
      </w:pPr>
    </w:p>
    <w:tbl>
      <w:tblPr>
        <w:tblStyle w:val="a7"/>
        <w:tblW w:w="8642" w:type="dxa"/>
        <w:tblInd w:w="0" w:type="dxa"/>
        <w:tblLayout w:type="fixed"/>
        <w:tblLook w:val="0400" w:firstRow="0" w:lastRow="0" w:firstColumn="0" w:lastColumn="0" w:noHBand="0" w:noVBand="1"/>
      </w:tblPr>
      <w:tblGrid>
        <w:gridCol w:w="8642"/>
      </w:tblGrid>
      <w:tr w:rsidR="000963D0" w14:paraId="53282F3D" w14:textId="77777777">
        <w:tc>
          <w:tcPr>
            <w:tcW w:w="8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1F2B1" w14:textId="77777777" w:rsidR="000963D0" w:rsidRDefault="00000000">
            <w:pPr>
              <w:jc w:val="both"/>
              <w:rPr>
                <w:sz w:val="24"/>
                <w:szCs w:val="24"/>
              </w:rPr>
            </w:pPr>
            <w:r>
              <w:rPr>
                <w:b/>
                <w:i/>
                <w:color w:val="000000"/>
                <w:sz w:val="18"/>
                <w:szCs w:val="18"/>
              </w:rPr>
              <w:t>8 – Dos critérios de medição e de pagamento</w:t>
            </w:r>
          </w:p>
        </w:tc>
      </w:tr>
    </w:tbl>
    <w:p w14:paraId="47A9272E" w14:textId="77777777" w:rsidR="000963D0" w:rsidRDefault="000963D0">
      <w:pPr>
        <w:rPr>
          <w:sz w:val="24"/>
          <w:szCs w:val="24"/>
        </w:rPr>
      </w:pPr>
    </w:p>
    <w:p w14:paraId="3F50D864"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b/>
          <w:color w:val="000000"/>
          <w:sz w:val="19"/>
          <w:szCs w:val="19"/>
        </w:rPr>
        <w:t xml:space="preserve">8.1. </w:t>
      </w:r>
      <w:r>
        <w:rPr>
          <w:rFonts w:ascii="Palatino Linotype" w:eastAsia="Palatino Linotype" w:hAnsi="Palatino Linotype" w:cs="Palatino Linotype"/>
          <w:color w:val="000000"/>
          <w:sz w:val="19"/>
          <w:szCs w:val="19"/>
        </w:rPr>
        <w:t>A avaliação da execução do objeto utilizará a aceite, atesto ou recebimento, ainda que por e-mail, sem qualquer oposição, da nota fiscal com a descrição dos serviços prestados;</w:t>
      </w:r>
    </w:p>
    <w:p w14:paraId="1B8A5583" w14:textId="77777777" w:rsidR="000963D0" w:rsidRDefault="000963D0">
      <w:pPr>
        <w:rPr>
          <w:rFonts w:ascii="Palatino Linotype" w:eastAsia="Palatino Linotype" w:hAnsi="Palatino Linotype" w:cs="Palatino Linotype"/>
          <w:sz w:val="19"/>
          <w:szCs w:val="19"/>
        </w:rPr>
      </w:pPr>
    </w:p>
    <w:p w14:paraId="24FF4C9F"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8.2. O pagamento será realizado em parcela única em até 30 (trinta) dias úteis do recebimento da nota fiscal, acompanhado da comprovação de regularidade fiscal, trabalhista e social;</w:t>
      </w:r>
    </w:p>
    <w:p w14:paraId="712B34EB" w14:textId="77777777" w:rsidR="000963D0" w:rsidRDefault="000963D0">
      <w:pPr>
        <w:rPr>
          <w:rFonts w:ascii="Palatino Linotype" w:eastAsia="Palatino Linotype" w:hAnsi="Palatino Linotype" w:cs="Palatino Linotype"/>
          <w:sz w:val="19"/>
          <w:szCs w:val="19"/>
        </w:rPr>
      </w:pPr>
    </w:p>
    <w:p w14:paraId="219A0E50"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 xml:space="preserve">8.3. O pagamento somente será realizado mediante a efetiva prestação dos serviços </w:t>
      </w:r>
      <w:r>
        <w:rPr>
          <w:rFonts w:ascii="Palatino Linotype" w:eastAsia="Palatino Linotype" w:hAnsi="Palatino Linotype" w:cs="Palatino Linotype"/>
          <w:b/>
          <w:color w:val="000000"/>
          <w:sz w:val="19"/>
          <w:szCs w:val="19"/>
        </w:rPr>
        <w:t>e/ou</w:t>
      </w:r>
      <w:r>
        <w:rPr>
          <w:rFonts w:ascii="Palatino Linotype" w:eastAsia="Palatino Linotype" w:hAnsi="Palatino Linotype" w:cs="Palatino Linotype"/>
          <w:color w:val="000000"/>
          <w:sz w:val="19"/>
          <w:szCs w:val="19"/>
        </w:rPr>
        <w:t xml:space="preserve"> entrega dos bens nas condições estabelecidas, o que poderá ser comprovado por meio de aceite ou atestado na nota fiscal correspondente;</w:t>
      </w:r>
    </w:p>
    <w:p w14:paraId="2E23DF1E" w14:textId="77777777" w:rsidR="000963D0" w:rsidRDefault="000963D0">
      <w:pPr>
        <w:rPr>
          <w:rFonts w:ascii="Palatino Linotype" w:eastAsia="Palatino Linotype" w:hAnsi="Palatino Linotype" w:cs="Palatino Linotype"/>
          <w:sz w:val="19"/>
          <w:szCs w:val="19"/>
        </w:rPr>
      </w:pPr>
    </w:p>
    <w:p w14:paraId="31334363"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8.4.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14:paraId="16ACFD5E" w14:textId="77777777" w:rsidR="000963D0" w:rsidRDefault="000963D0">
      <w:pPr>
        <w:rPr>
          <w:rFonts w:ascii="Palatino Linotype" w:eastAsia="Palatino Linotype" w:hAnsi="Palatino Linotype" w:cs="Palatino Linotype"/>
          <w:sz w:val="19"/>
          <w:szCs w:val="19"/>
        </w:rPr>
      </w:pPr>
    </w:p>
    <w:p w14:paraId="0580AECF"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8.5. O pagamento devido pelo Contratante será efetuado por meio ordem bancária, para crédito em banco, agência e conta corrente indicados pelo(a) contratante, ou, eventualmente, por outra forma que vier a ser convencionada entre as partes.</w:t>
      </w:r>
    </w:p>
    <w:p w14:paraId="34BEDC65" w14:textId="77777777" w:rsidR="000963D0" w:rsidRDefault="000963D0">
      <w:pPr>
        <w:rPr>
          <w:rFonts w:ascii="Palatino Linotype" w:eastAsia="Palatino Linotype" w:hAnsi="Palatino Linotype" w:cs="Palatino Linotype"/>
          <w:sz w:val="19"/>
          <w:szCs w:val="19"/>
        </w:rPr>
      </w:pPr>
    </w:p>
    <w:p w14:paraId="1919D414"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8.6. Será considerada data do pagamento o dia em que constar como emitida a ordem bancária para pagamento. </w:t>
      </w:r>
    </w:p>
    <w:p w14:paraId="0EE9BE63" w14:textId="77777777" w:rsidR="000963D0" w:rsidRDefault="000963D0">
      <w:pPr>
        <w:rPr>
          <w:rFonts w:ascii="Palatino Linotype" w:eastAsia="Palatino Linotype" w:hAnsi="Palatino Linotype" w:cs="Palatino Linotype"/>
          <w:sz w:val="19"/>
          <w:szCs w:val="19"/>
        </w:rPr>
      </w:pPr>
    </w:p>
    <w:p w14:paraId="38399B81"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8.7. Paga a importância discriminada na nota fiscal, o(a) Contratado(a) dará ao contratante plena, geral e irretratável quitação dos valores nela discriminados, para nada mais vir a reclamar ou exigir a qualquer título, tempo ou forma.</w:t>
      </w:r>
    </w:p>
    <w:p w14:paraId="150F7EE7" w14:textId="77777777" w:rsidR="000963D0" w:rsidRDefault="000963D0">
      <w:pPr>
        <w:rPr>
          <w:rFonts w:ascii="Palatino Linotype" w:eastAsia="Palatino Linotype" w:hAnsi="Palatino Linotype" w:cs="Palatino Linotype"/>
          <w:sz w:val="19"/>
          <w:szCs w:val="19"/>
        </w:rPr>
      </w:pPr>
    </w:p>
    <w:p w14:paraId="0E8431FF"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8.8. Todo pagamento que vier a ser considerado contratualmente indevido será objeto de ajuste nos pagamentos futuros, quando devidos, ou cobrados diretamente do(a) Contratado(a).</w:t>
      </w:r>
    </w:p>
    <w:p w14:paraId="007EC175" w14:textId="77777777" w:rsidR="000963D0" w:rsidRDefault="000963D0">
      <w:pPr>
        <w:rPr>
          <w:rFonts w:ascii="Palatino Linotype" w:eastAsia="Palatino Linotype" w:hAnsi="Palatino Linotype" w:cs="Palatino Linotype"/>
          <w:sz w:val="19"/>
          <w:szCs w:val="19"/>
        </w:rPr>
      </w:pPr>
    </w:p>
    <w:p w14:paraId="19D0535D"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8.9. Deverão ser excluídas do faturamento todas e quaisquer ocorrências que não forem de responsabilidade do contratante, assim como aquelas que não correspondem a bens entregues.</w:t>
      </w:r>
    </w:p>
    <w:p w14:paraId="681AD08E" w14:textId="77777777" w:rsidR="000963D0" w:rsidRDefault="000963D0">
      <w:pPr>
        <w:rPr>
          <w:rFonts w:ascii="Palatino Linotype" w:eastAsia="Palatino Linotype" w:hAnsi="Palatino Linotype" w:cs="Palatino Linotype"/>
          <w:sz w:val="19"/>
          <w:szCs w:val="19"/>
        </w:rPr>
      </w:pPr>
    </w:p>
    <w:p w14:paraId="67BFBEA6"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8.10. Os documentos comprobatórios dos pagamentos relativos a tributos, encargos ou contribuições de responsabilidade do(a) Contratado(a), deverão ser enviados ao contratante mensalmente.</w:t>
      </w:r>
    </w:p>
    <w:p w14:paraId="4201CD68" w14:textId="77777777" w:rsidR="000963D0" w:rsidRDefault="000963D0">
      <w:pPr>
        <w:rPr>
          <w:rFonts w:ascii="Palatino Linotype" w:eastAsia="Palatino Linotype" w:hAnsi="Palatino Linotype" w:cs="Palatino Linotype"/>
          <w:sz w:val="19"/>
          <w:szCs w:val="19"/>
        </w:rPr>
      </w:pPr>
    </w:p>
    <w:p w14:paraId="5A31E639"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8.11. O(A) Contratado(a) deverá entregar os bens acompanhado da correspondente nota fiscal.</w:t>
      </w:r>
    </w:p>
    <w:p w14:paraId="4759F192" w14:textId="77777777" w:rsidR="000963D0" w:rsidRDefault="000963D0">
      <w:pPr>
        <w:rPr>
          <w:rFonts w:ascii="Palatino Linotype" w:eastAsia="Palatino Linotype" w:hAnsi="Palatino Linotype" w:cs="Palatino Linotype"/>
          <w:sz w:val="19"/>
          <w:szCs w:val="19"/>
        </w:rPr>
      </w:pPr>
    </w:p>
    <w:p w14:paraId="60955836"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8.12. A nota fiscal deverá ser emitida pelo(a) Contratado(a) em inteira conformidade com as exigências legais e contratuais, especialmente as de natureza fiscal, com destaque, quando exigíveis, das retenções tributárias ou previdenciárias.</w:t>
      </w:r>
    </w:p>
    <w:p w14:paraId="5C65F837" w14:textId="77777777" w:rsidR="000963D0" w:rsidRDefault="000963D0">
      <w:pPr>
        <w:rPr>
          <w:rFonts w:ascii="Palatino Linotype" w:eastAsia="Palatino Linotype" w:hAnsi="Palatino Linotype" w:cs="Palatino Linotype"/>
          <w:sz w:val="19"/>
          <w:szCs w:val="19"/>
        </w:rPr>
      </w:pPr>
    </w:p>
    <w:p w14:paraId="4EF045B3"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lastRenderedPageBreak/>
        <w:t>8.13. Antes de cada pagamento a(o) Contratado(a) será realizada consulta para verificar a manutenção das regularidades fiscal, social e trabalhista.</w:t>
      </w:r>
    </w:p>
    <w:p w14:paraId="72AEB732" w14:textId="77777777" w:rsidR="000963D0" w:rsidRDefault="000963D0">
      <w:pPr>
        <w:rPr>
          <w:rFonts w:ascii="Palatino Linotype" w:eastAsia="Palatino Linotype" w:hAnsi="Palatino Linotype" w:cs="Palatino Linotype"/>
          <w:sz w:val="19"/>
          <w:szCs w:val="19"/>
        </w:rPr>
      </w:pPr>
    </w:p>
    <w:p w14:paraId="33B6EAD5"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8.14.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0B5BB5FD" w14:textId="77777777" w:rsidR="000963D0" w:rsidRDefault="000963D0">
      <w:pPr>
        <w:rPr>
          <w:rFonts w:ascii="Palatino Linotype" w:eastAsia="Palatino Linotype" w:hAnsi="Palatino Linotype" w:cs="Palatino Linotype"/>
          <w:sz w:val="19"/>
          <w:szCs w:val="19"/>
        </w:rPr>
      </w:pPr>
    </w:p>
    <w:p w14:paraId="58615EC2"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8.15.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2A7D2CFE" w14:textId="77777777" w:rsidR="000963D0" w:rsidRDefault="000963D0">
      <w:pPr>
        <w:rPr>
          <w:rFonts w:ascii="Palatino Linotype" w:eastAsia="Palatino Linotype" w:hAnsi="Palatino Linotype" w:cs="Palatino Linotype"/>
          <w:sz w:val="19"/>
          <w:szCs w:val="19"/>
        </w:rPr>
      </w:pPr>
    </w:p>
    <w:p w14:paraId="1F33D10F"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8.16. Persistindo a irregularidade, o Contratante deverá adotar as medidas necessárias à rescisão contratual nos autos do processo administrativo correspondente, assegurada à contratada a ampla defesa. </w:t>
      </w:r>
    </w:p>
    <w:p w14:paraId="21E7FC8D" w14:textId="77777777" w:rsidR="000963D0" w:rsidRDefault="000963D0">
      <w:pPr>
        <w:rPr>
          <w:rFonts w:ascii="Palatino Linotype" w:eastAsia="Palatino Linotype" w:hAnsi="Palatino Linotype" w:cs="Palatino Linotype"/>
          <w:sz w:val="19"/>
          <w:szCs w:val="19"/>
        </w:rPr>
      </w:pPr>
    </w:p>
    <w:p w14:paraId="5BD0675E"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8.17. Havendo a efetiva execução do objeto, os pagamentos serão realizados normalmente, até que se decida pela rescisão do contrato administrativo, caso o(a) Contratado(a) não regularize sua situação.  </w:t>
      </w:r>
    </w:p>
    <w:p w14:paraId="651A5930" w14:textId="77777777" w:rsidR="000963D0" w:rsidRDefault="000963D0">
      <w:pPr>
        <w:rPr>
          <w:rFonts w:ascii="Palatino Linotype" w:eastAsia="Palatino Linotype" w:hAnsi="Palatino Linotype" w:cs="Palatino Linotype"/>
          <w:sz w:val="19"/>
          <w:szCs w:val="19"/>
        </w:rPr>
      </w:pPr>
    </w:p>
    <w:p w14:paraId="3EDC70B0"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8.18. Somente por motivo de economicidade ou outro interesse público de alta relevância, devidamente justificado, em qualquer caso, pelo(a) Prefeito(a) Municipal, não será rescindido o contrato administrativo em execução com a contratada inadimplente.</w:t>
      </w:r>
    </w:p>
    <w:p w14:paraId="29DBD925" w14:textId="77777777" w:rsidR="000963D0" w:rsidRDefault="000963D0">
      <w:pPr>
        <w:rPr>
          <w:rFonts w:ascii="Palatino Linotype" w:eastAsia="Palatino Linotype" w:hAnsi="Palatino Linotype" w:cs="Palatino Linotype"/>
          <w:sz w:val="19"/>
          <w:szCs w:val="19"/>
        </w:rPr>
      </w:pPr>
    </w:p>
    <w:p w14:paraId="722625AC"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8.19. Quando do pagamento, será efetuada a retenção tributária prevista na legislação aplicável.</w:t>
      </w:r>
    </w:p>
    <w:p w14:paraId="3C803165" w14:textId="77777777" w:rsidR="000963D0" w:rsidRDefault="000963D0">
      <w:pPr>
        <w:rPr>
          <w:rFonts w:ascii="Palatino Linotype" w:eastAsia="Palatino Linotype" w:hAnsi="Palatino Linotype" w:cs="Palatino Linotype"/>
          <w:sz w:val="19"/>
          <w:szCs w:val="19"/>
        </w:rPr>
      </w:pPr>
    </w:p>
    <w:p w14:paraId="1CF3B78D"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8.20.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CD5571E" w14:textId="77777777" w:rsidR="000963D0" w:rsidRDefault="000963D0">
      <w:pPr>
        <w:rPr>
          <w:sz w:val="24"/>
          <w:szCs w:val="24"/>
        </w:rPr>
      </w:pPr>
    </w:p>
    <w:tbl>
      <w:tblPr>
        <w:tblStyle w:val="a8"/>
        <w:tblW w:w="8642" w:type="dxa"/>
        <w:tblInd w:w="0" w:type="dxa"/>
        <w:tblLayout w:type="fixed"/>
        <w:tblLook w:val="0400" w:firstRow="0" w:lastRow="0" w:firstColumn="0" w:lastColumn="0" w:noHBand="0" w:noVBand="1"/>
      </w:tblPr>
      <w:tblGrid>
        <w:gridCol w:w="8642"/>
      </w:tblGrid>
      <w:tr w:rsidR="000963D0" w14:paraId="3FEF3A98" w14:textId="77777777">
        <w:tc>
          <w:tcPr>
            <w:tcW w:w="8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BEAE6" w14:textId="77777777" w:rsidR="000963D0" w:rsidRDefault="00000000">
            <w:pPr>
              <w:jc w:val="both"/>
              <w:rPr>
                <w:sz w:val="24"/>
                <w:szCs w:val="24"/>
              </w:rPr>
            </w:pPr>
            <w:r>
              <w:rPr>
                <w:b/>
                <w:i/>
                <w:color w:val="000000"/>
                <w:sz w:val="18"/>
                <w:szCs w:val="18"/>
              </w:rPr>
              <w:t>9 – Da forma e critérios de seleção do(a) fornecedor(a)</w:t>
            </w:r>
          </w:p>
        </w:tc>
      </w:tr>
    </w:tbl>
    <w:p w14:paraId="57A7A62B" w14:textId="77777777" w:rsidR="000963D0" w:rsidRDefault="000963D0">
      <w:pPr>
        <w:rPr>
          <w:sz w:val="24"/>
          <w:szCs w:val="24"/>
        </w:rPr>
      </w:pPr>
    </w:p>
    <w:p w14:paraId="559EAE5D"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b/>
          <w:color w:val="000000"/>
          <w:sz w:val="19"/>
          <w:szCs w:val="19"/>
        </w:rPr>
        <w:t>9.1.</w:t>
      </w:r>
      <w:r>
        <w:rPr>
          <w:rFonts w:ascii="Palatino Linotype" w:eastAsia="Palatino Linotype" w:hAnsi="Palatino Linotype" w:cs="Palatino Linotype"/>
          <w:color w:val="000000"/>
          <w:sz w:val="19"/>
          <w:szCs w:val="19"/>
        </w:rPr>
        <w:t xml:space="preserve"> O(A) fornecedor(a) será selecionado por meio da realização de Inexigibilidade de Licitação Pública.</w:t>
      </w:r>
    </w:p>
    <w:p w14:paraId="43941175" w14:textId="77777777" w:rsidR="000963D0" w:rsidRDefault="000963D0">
      <w:pPr>
        <w:rPr>
          <w:rFonts w:ascii="Palatino Linotype" w:eastAsia="Palatino Linotype" w:hAnsi="Palatino Linotype" w:cs="Palatino Linotype"/>
          <w:sz w:val="19"/>
          <w:szCs w:val="19"/>
        </w:rPr>
      </w:pPr>
    </w:p>
    <w:p w14:paraId="226E9005" w14:textId="77777777" w:rsidR="000963D0" w:rsidRDefault="00000000">
      <w:pPr>
        <w:jc w:val="both"/>
        <w:rPr>
          <w:rFonts w:ascii="Palatino Linotype" w:eastAsia="Palatino Linotype" w:hAnsi="Palatino Linotype" w:cs="Palatino Linotype"/>
          <w:color w:val="000000"/>
          <w:sz w:val="19"/>
          <w:szCs w:val="19"/>
        </w:rPr>
      </w:pPr>
      <w:r>
        <w:rPr>
          <w:rFonts w:ascii="Palatino Linotype" w:eastAsia="Palatino Linotype" w:hAnsi="Palatino Linotype" w:cs="Palatino Linotype"/>
          <w:color w:val="000000"/>
          <w:sz w:val="19"/>
          <w:szCs w:val="19"/>
        </w:rPr>
        <w:t>9.2. Da Habilitação Jurídica:</w:t>
      </w:r>
    </w:p>
    <w:p w14:paraId="574C5485" w14:textId="77777777" w:rsidR="002C224F" w:rsidRDefault="002C224F">
      <w:pPr>
        <w:jc w:val="both"/>
        <w:rPr>
          <w:rFonts w:ascii="Palatino Linotype" w:eastAsia="Palatino Linotype" w:hAnsi="Palatino Linotype" w:cs="Palatino Linotype"/>
          <w:sz w:val="19"/>
          <w:szCs w:val="19"/>
        </w:rPr>
      </w:pPr>
    </w:p>
    <w:p w14:paraId="0697D37B"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9.2.1. Empresário individual: inscrição no Registro Público de Empresas Mercantis, a cargo da Junta Comercial respectiva; DISPENSADO PARA PESSOA FÍSICA</w:t>
      </w:r>
    </w:p>
    <w:p w14:paraId="0998C9FD" w14:textId="77777777" w:rsidR="000963D0" w:rsidRDefault="000963D0">
      <w:pPr>
        <w:rPr>
          <w:rFonts w:ascii="Palatino Linotype" w:eastAsia="Palatino Linotype" w:hAnsi="Palatino Linotype" w:cs="Palatino Linotype"/>
          <w:sz w:val="19"/>
          <w:szCs w:val="19"/>
        </w:rPr>
      </w:pPr>
    </w:p>
    <w:p w14:paraId="45899A25"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9.3.2. Microempreendedor Individual – MEI: Certificado da Condição de Microempreendedor Individual – CCMEI; DISPENSADO PARA PESSOA FÍSICA</w:t>
      </w:r>
    </w:p>
    <w:p w14:paraId="4AEB4FDD" w14:textId="77777777" w:rsidR="000963D0" w:rsidRDefault="000963D0">
      <w:pPr>
        <w:rPr>
          <w:rFonts w:ascii="Palatino Linotype" w:eastAsia="Palatino Linotype" w:hAnsi="Palatino Linotype" w:cs="Palatino Linotype"/>
          <w:sz w:val="19"/>
          <w:szCs w:val="19"/>
        </w:rPr>
      </w:pPr>
    </w:p>
    <w:p w14:paraId="4063A3A2"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DISPENSADO PARA PESSOA FÍSICA</w:t>
      </w:r>
    </w:p>
    <w:p w14:paraId="4989493B" w14:textId="77777777" w:rsidR="000963D0" w:rsidRDefault="000963D0">
      <w:pPr>
        <w:rPr>
          <w:rFonts w:ascii="Palatino Linotype" w:eastAsia="Palatino Linotype" w:hAnsi="Palatino Linotype" w:cs="Palatino Linotype"/>
          <w:sz w:val="19"/>
          <w:szCs w:val="19"/>
        </w:rPr>
      </w:pPr>
    </w:p>
    <w:p w14:paraId="32CB2BEF"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lastRenderedPageBreak/>
        <w:t>9.3.4. Sociedade empresária estrangeira com atuação permanente no país: Decreto de autorização para funcionamento no Brasil; DISPENSADO PARA PESSOA FÍSICA</w:t>
      </w:r>
    </w:p>
    <w:p w14:paraId="37613EF3" w14:textId="77777777" w:rsidR="000963D0" w:rsidRDefault="000963D0">
      <w:pPr>
        <w:rPr>
          <w:rFonts w:ascii="Palatino Linotype" w:eastAsia="Palatino Linotype" w:hAnsi="Palatino Linotype" w:cs="Palatino Linotype"/>
          <w:sz w:val="19"/>
          <w:szCs w:val="19"/>
        </w:rPr>
      </w:pPr>
    </w:p>
    <w:p w14:paraId="28B8C2ED"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9.3.5. Sociedade simples: inscrição do ato constitutivo no Registro Civil de Pessoas Jurídicas do local de sua sede, acompanhada de documento comprobatório de seus administradores; DISPENSADO PARA PESSOA FÍSICA</w:t>
      </w:r>
    </w:p>
    <w:p w14:paraId="531ABEFC" w14:textId="77777777" w:rsidR="000963D0" w:rsidRDefault="000963D0">
      <w:pPr>
        <w:rPr>
          <w:rFonts w:ascii="Palatino Linotype" w:eastAsia="Palatino Linotype" w:hAnsi="Palatino Linotype" w:cs="Palatino Linotype"/>
          <w:sz w:val="19"/>
          <w:szCs w:val="19"/>
        </w:rPr>
      </w:pPr>
    </w:p>
    <w:p w14:paraId="441DAEED"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9.3.6. Sociedade cooperativa: ata de fundação e estatuto social, com a ata da assembleia que o aprovou, devidamente arquivado na Junta Comercial ou inscrito no Registro Civil de Pessoas Jurídicas da respectiva sede, além do registro de que trata o art. 107 da Lei nº. 5.7564/1971. DISPENSADO PARA PESSOA FÍSICA</w:t>
      </w:r>
    </w:p>
    <w:p w14:paraId="41CC8AB9" w14:textId="77777777" w:rsidR="000963D0" w:rsidRDefault="000963D0">
      <w:pPr>
        <w:rPr>
          <w:rFonts w:ascii="Palatino Linotype" w:eastAsia="Palatino Linotype" w:hAnsi="Palatino Linotype" w:cs="Palatino Linotype"/>
          <w:sz w:val="19"/>
          <w:szCs w:val="19"/>
        </w:rPr>
      </w:pPr>
    </w:p>
    <w:p w14:paraId="5EF29FC4"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9.3.8. Os documentos apresentados deverão estar acompanhados de todas as alterações ou da consolidação respectiva.</w:t>
      </w:r>
    </w:p>
    <w:p w14:paraId="1CE803C3" w14:textId="77777777" w:rsidR="000963D0" w:rsidRDefault="000963D0">
      <w:pPr>
        <w:rPr>
          <w:rFonts w:ascii="Palatino Linotype" w:eastAsia="Palatino Linotype" w:hAnsi="Palatino Linotype" w:cs="Palatino Linotype"/>
          <w:sz w:val="19"/>
          <w:szCs w:val="19"/>
        </w:rPr>
      </w:pPr>
    </w:p>
    <w:p w14:paraId="0BE5165A"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9.3.9. Comprovação do exercício da atividade a ser credenciada e contratada.</w:t>
      </w:r>
    </w:p>
    <w:p w14:paraId="6E972B3F" w14:textId="77777777" w:rsidR="000963D0" w:rsidRDefault="000963D0">
      <w:pPr>
        <w:rPr>
          <w:rFonts w:ascii="Palatino Linotype" w:eastAsia="Palatino Linotype" w:hAnsi="Palatino Linotype" w:cs="Palatino Linotype"/>
          <w:sz w:val="19"/>
          <w:szCs w:val="19"/>
        </w:rPr>
      </w:pPr>
    </w:p>
    <w:p w14:paraId="386304B3"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9.4. Habilitação fiscal, social e trabalhista:</w:t>
      </w:r>
    </w:p>
    <w:p w14:paraId="49B827C2" w14:textId="77777777" w:rsidR="000963D0" w:rsidRDefault="000963D0">
      <w:pPr>
        <w:rPr>
          <w:rFonts w:ascii="Palatino Linotype" w:eastAsia="Palatino Linotype" w:hAnsi="Palatino Linotype" w:cs="Palatino Linotype"/>
          <w:sz w:val="19"/>
          <w:szCs w:val="19"/>
        </w:rPr>
      </w:pPr>
    </w:p>
    <w:p w14:paraId="38DA2A6C"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9.4.1. Cadastro Nacional de Pessoa Jurídica – CNPJ; DISPENSADO PARA PESSOA FÍSICA</w:t>
      </w:r>
    </w:p>
    <w:p w14:paraId="249A4F1F" w14:textId="77777777" w:rsidR="000963D0" w:rsidRDefault="000963D0">
      <w:pPr>
        <w:rPr>
          <w:rFonts w:ascii="Palatino Linotype" w:eastAsia="Palatino Linotype" w:hAnsi="Palatino Linotype" w:cs="Palatino Linotype"/>
          <w:sz w:val="19"/>
          <w:szCs w:val="19"/>
        </w:rPr>
      </w:pPr>
    </w:p>
    <w:p w14:paraId="4EDA2297"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9.4.2. Cadastro de Pessoa Física – CPF – e Registro Geral – RG;</w:t>
      </w:r>
    </w:p>
    <w:p w14:paraId="216DDBE4" w14:textId="77777777" w:rsidR="000963D0" w:rsidRDefault="000963D0">
      <w:pPr>
        <w:rPr>
          <w:rFonts w:ascii="Palatino Linotype" w:eastAsia="Palatino Linotype" w:hAnsi="Palatino Linotype" w:cs="Palatino Linotype"/>
          <w:sz w:val="19"/>
          <w:szCs w:val="19"/>
        </w:rPr>
      </w:pPr>
    </w:p>
    <w:p w14:paraId="0E9975ED"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9.4.3. Inscrição no cadastro de contribuintes estadual, relativo ao domicílio ou sede do(a) licitante, pertinente ao seu ramo de atividade e compatível com o objeto contratual;</w:t>
      </w:r>
    </w:p>
    <w:p w14:paraId="304DAC23" w14:textId="77777777" w:rsidR="000963D0" w:rsidRDefault="000963D0">
      <w:pPr>
        <w:rPr>
          <w:rFonts w:ascii="Palatino Linotype" w:eastAsia="Palatino Linotype" w:hAnsi="Palatino Linotype" w:cs="Palatino Linotype"/>
          <w:sz w:val="19"/>
          <w:szCs w:val="19"/>
        </w:rPr>
      </w:pPr>
    </w:p>
    <w:p w14:paraId="2ED1868B"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9.4.4. Prova de regularidade perante a Fazenda Federal;</w:t>
      </w:r>
    </w:p>
    <w:p w14:paraId="37235571" w14:textId="77777777" w:rsidR="000963D0" w:rsidRDefault="000963D0">
      <w:pPr>
        <w:rPr>
          <w:rFonts w:ascii="Palatino Linotype" w:eastAsia="Palatino Linotype" w:hAnsi="Palatino Linotype" w:cs="Palatino Linotype"/>
          <w:sz w:val="19"/>
          <w:szCs w:val="19"/>
        </w:rPr>
      </w:pPr>
    </w:p>
    <w:p w14:paraId="6191ACCF"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9.4.5. Prova de regularidade perante a Fazenda Estadual;</w:t>
      </w:r>
    </w:p>
    <w:p w14:paraId="2C9F7C75" w14:textId="77777777" w:rsidR="000963D0" w:rsidRDefault="000963D0">
      <w:pPr>
        <w:rPr>
          <w:rFonts w:ascii="Palatino Linotype" w:eastAsia="Palatino Linotype" w:hAnsi="Palatino Linotype" w:cs="Palatino Linotype"/>
          <w:sz w:val="19"/>
          <w:szCs w:val="19"/>
        </w:rPr>
      </w:pPr>
    </w:p>
    <w:p w14:paraId="7D76669F"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9.4.5.1.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424BE4F6" w14:textId="77777777" w:rsidR="000963D0" w:rsidRDefault="000963D0">
      <w:pPr>
        <w:rPr>
          <w:rFonts w:ascii="Palatino Linotype" w:eastAsia="Palatino Linotype" w:hAnsi="Palatino Linotype" w:cs="Palatino Linotype"/>
          <w:sz w:val="19"/>
          <w:szCs w:val="19"/>
        </w:rPr>
      </w:pPr>
    </w:p>
    <w:p w14:paraId="749B8D4D"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9.4.6. Prova de regularidade perante a Fazenda Municipal;</w:t>
      </w:r>
    </w:p>
    <w:p w14:paraId="0E88BE4F" w14:textId="77777777" w:rsidR="000963D0" w:rsidRDefault="000963D0">
      <w:pPr>
        <w:rPr>
          <w:rFonts w:ascii="Palatino Linotype" w:eastAsia="Palatino Linotype" w:hAnsi="Palatino Linotype" w:cs="Palatino Linotype"/>
          <w:sz w:val="19"/>
          <w:szCs w:val="19"/>
        </w:rPr>
      </w:pPr>
    </w:p>
    <w:p w14:paraId="2EF98F94"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9.4.7. Prova de regularidade relativo à Seguridade Social e ao Fundo de Garantia de Tempo de Serviço – FGTS –, que demonstre cumprimento dos encargos sociais instituídos por lei; DISPENSADO PARA PESSOA FÍSICA</w:t>
      </w:r>
    </w:p>
    <w:p w14:paraId="3705E10E" w14:textId="77777777" w:rsidR="000963D0" w:rsidRDefault="000963D0">
      <w:pPr>
        <w:rPr>
          <w:rFonts w:ascii="Palatino Linotype" w:eastAsia="Palatino Linotype" w:hAnsi="Palatino Linotype" w:cs="Palatino Linotype"/>
          <w:sz w:val="19"/>
          <w:szCs w:val="19"/>
        </w:rPr>
      </w:pPr>
    </w:p>
    <w:p w14:paraId="7797AA14"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9.4.8. Prova de regularidade perante a Justiça do Trabalho;</w:t>
      </w:r>
    </w:p>
    <w:p w14:paraId="1064B2DC" w14:textId="77777777" w:rsidR="000963D0" w:rsidRDefault="000963D0">
      <w:pPr>
        <w:rPr>
          <w:rFonts w:ascii="Palatino Linotype" w:eastAsia="Palatino Linotype" w:hAnsi="Palatino Linotype" w:cs="Palatino Linotype"/>
          <w:sz w:val="19"/>
          <w:szCs w:val="19"/>
        </w:rPr>
      </w:pPr>
    </w:p>
    <w:p w14:paraId="022E637D"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9.4.9. Cumprimento do disposto no inciso XXXIII do art. 7º da Constituição da República de 1988 – CR88.</w:t>
      </w:r>
    </w:p>
    <w:p w14:paraId="48AB636A" w14:textId="77777777" w:rsidR="000963D0" w:rsidRDefault="000963D0">
      <w:pPr>
        <w:rPr>
          <w:rFonts w:ascii="Palatino Linotype" w:eastAsia="Palatino Linotype" w:hAnsi="Palatino Linotype" w:cs="Palatino Linotype"/>
          <w:sz w:val="19"/>
          <w:szCs w:val="19"/>
        </w:rPr>
      </w:pPr>
    </w:p>
    <w:p w14:paraId="7211AB67" w14:textId="5BFD71DC"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 xml:space="preserve">9.5. Habilitação </w:t>
      </w:r>
      <w:r w:rsidR="002C224F">
        <w:rPr>
          <w:rFonts w:ascii="Palatino Linotype" w:eastAsia="Palatino Linotype" w:hAnsi="Palatino Linotype" w:cs="Palatino Linotype"/>
          <w:color w:val="000000"/>
          <w:sz w:val="19"/>
          <w:szCs w:val="19"/>
        </w:rPr>
        <w:t>Complementar:</w:t>
      </w:r>
    </w:p>
    <w:p w14:paraId="2AE993B8" w14:textId="77777777" w:rsidR="000963D0" w:rsidRDefault="000963D0">
      <w:pPr>
        <w:rPr>
          <w:rFonts w:ascii="Palatino Linotype" w:eastAsia="Palatino Linotype" w:hAnsi="Palatino Linotype" w:cs="Palatino Linotype"/>
          <w:sz w:val="19"/>
          <w:szCs w:val="19"/>
        </w:rPr>
      </w:pPr>
    </w:p>
    <w:p w14:paraId="5DD4B2B6" w14:textId="2505DBC4" w:rsidR="000963D0" w:rsidRDefault="00000000">
      <w:pPr>
        <w:jc w:val="both"/>
        <w:rPr>
          <w:rFonts w:ascii="Palatino Linotype" w:eastAsia="Palatino Linotype" w:hAnsi="Palatino Linotype" w:cs="Palatino Linotype"/>
          <w:color w:val="000000"/>
          <w:sz w:val="19"/>
          <w:szCs w:val="19"/>
        </w:rPr>
      </w:pPr>
      <w:r>
        <w:rPr>
          <w:rFonts w:ascii="Palatino Linotype" w:eastAsia="Palatino Linotype" w:hAnsi="Palatino Linotype" w:cs="Palatino Linotype"/>
          <w:color w:val="000000"/>
          <w:sz w:val="19"/>
          <w:szCs w:val="19"/>
        </w:rPr>
        <w:t xml:space="preserve">9.5.1. Declaração de que cumpre as exigências de reserva de cargos para pessoa com deficiência e para reabilitação da Previdência Social, previstas em lei e outras normas específicas ou é desobrigado de cumprir as exigências de reserva de cargos para pessoa com deficiência e para reabilitação da </w:t>
      </w:r>
      <w:r>
        <w:rPr>
          <w:rFonts w:ascii="Palatino Linotype" w:eastAsia="Palatino Linotype" w:hAnsi="Palatino Linotype" w:cs="Palatino Linotype"/>
          <w:color w:val="000000"/>
          <w:sz w:val="19"/>
          <w:szCs w:val="19"/>
        </w:rPr>
        <w:lastRenderedPageBreak/>
        <w:t>Previdência Social, conforme previsto em lei e outras normas específica. DISPENSADO PARA PESSOA FÍSICA</w:t>
      </w:r>
      <w:r w:rsidR="002C224F">
        <w:rPr>
          <w:rFonts w:ascii="Palatino Linotype" w:eastAsia="Palatino Linotype" w:hAnsi="Palatino Linotype" w:cs="Palatino Linotype"/>
          <w:color w:val="000000"/>
          <w:sz w:val="19"/>
          <w:szCs w:val="19"/>
        </w:rPr>
        <w:t>;</w:t>
      </w:r>
    </w:p>
    <w:p w14:paraId="0462DF5B" w14:textId="77777777" w:rsidR="002C224F" w:rsidRDefault="002C224F">
      <w:pPr>
        <w:jc w:val="both"/>
        <w:rPr>
          <w:rFonts w:ascii="Palatino Linotype" w:eastAsia="Palatino Linotype" w:hAnsi="Palatino Linotype" w:cs="Palatino Linotype"/>
          <w:color w:val="000000"/>
          <w:sz w:val="19"/>
          <w:szCs w:val="19"/>
        </w:rPr>
      </w:pPr>
    </w:p>
    <w:p w14:paraId="43D8EB26" w14:textId="49AFA1D1" w:rsidR="000963D0" w:rsidRDefault="002C224F" w:rsidP="00183D97">
      <w:pPr>
        <w:jc w:val="both"/>
        <w:rPr>
          <w:rFonts w:ascii="Palatino Linotype" w:eastAsia="Palatino Linotype" w:hAnsi="Palatino Linotype" w:cs="Palatino Linotype"/>
          <w:color w:val="000000"/>
          <w:sz w:val="19"/>
          <w:szCs w:val="19"/>
        </w:rPr>
      </w:pPr>
      <w:r>
        <w:rPr>
          <w:rFonts w:ascii="Palatino Linotype" w:eastAsia="Palatino Linotype" w:hAnsi="Palatino Linotype" w:cs="Palatino Linotype"/>
          <w:color w:val="000000"/>
          <w:sz w:val="19"/>
          <w:szCs w:val="19"/>
        </w:rPr>
        <w:t xml:space="preserve">9.5.2. </w:t>
      </w:r>
      <w:r w:rsidR="00183D97" w:rsidRPr="00183D97">
        <w:rPr>
          <w:rFonts w:ascii="Palatino Linotype" w:eastAsia="Palatino Linotype" w:hAnsi="Palatino Linotype" w:cs="Palatino Linotype"/>
          <w:color w:val="000000"/>
          <w:sz w:val="19"/>
          <w:szCs w:val="19"/>
        </w:rPr>
        <w:t>Para fins de habilitação técnica, deverá ser apresentado atestado de capacidade técnica, emitido por pessoa jurídica de direito público ou privado, que comprove que o(a) interessado(a) já executou ou participou da execução de serviços compatíveis em características e quantidades com o objeto do credenciamento, especificamente apresentações artísticas em eventos culturais, institucionais ou comunitários. O atestado deverá conter, minimamente, a descrição do serviço prestado, o período de realização e a identificação do emitente. Nos termos do art. 67 da Lei nº 14.133/2021, admite-se a apresentação de mais de um atestado para fins de comprovação cumulativa da experiência, sendo vedada a exigência de atestados exclusivamente de órgãos públicos, de forma a não restringir a competitividade. A comprovação da capacidade técnica poderá, ainda, ser complementada por portfólio, registros audiovisuais e outras evidências idôneas de atuação na área artística.</w:t>
      </w:r>
    </w:p>
    <w:p w14:paraId="214E9901" w14:textId="77777777" w:rsidR="00183D97" w:rsidRDefault="00183D97" w:rsidP="00183D97">
      <w:pPr>
        <w:jc w:val="both"/>
        <w:rPr>
          <w:rFonts w:ascii="Palatino Linotype" w:eastAsia="Palatino Linotype" w:hAnsi="Palatino Linotype" w:cs="Palatino Linotype"/>
          <w:sz w:val="19"/>
          <w:szCs w:val="19"/>
        </w:rPr>
      </w:pPr>
    </w:p>
    <w:p w14:paraId="73C1F462"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9.6. Se o(a)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72C93CCC" w14:textId="77777777" w:rsidR="000963D0" w:rsidRDefault="000963D0">
      <w:pPr>
        <w:rPr>
          <w:rFonts w:ascii="Palatino Linotype" w:eastAsia="Palatino Linotype" w:hAnsi="Palatino Linotype" w:cs="Palatino Linotype"/>
          <w:sz w:val="19"/>
          <w:szCs w:val="19"/>
        </w:rPr>
      </w:pPr>
    </w:p>
    <w:p w14:paraId="2D2E5F36"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9.7.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67077341" w14:textId="77777777" w:rsidR="000963D0" w:rsidRDefault="000963D0">
      <w:pPr>
        <w:rPr>
          <w:rFonts w:ascii="Palatino Linotype" w:eastAsia="Palatino Linotype" w:hAnsi="Palatino Linotype" w:cs="Palatino Linotype"/>
          <w:sz w:val="19"/>
          <w:szCs w:val="19"/>
        </w:rPr>
      </w:pPr>
    </w:p>
    <w:p w14:paraId="23DD803F"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9.8. Os documentos de habilitação poderá ser:</w:t>
      </w:r>
    </w:p>
    <w:p w14:paraId="038DBF7E" w14:textId="77777777" w:rsidR="000963D0" w:rsidRDefault="000963D0">
      <w:pPr>
        <w:rPr>
          <w:rFonts w:ascii="Palatino Linotype" w:eastAsia="Palatino Linotype" w:hAnsi="Palatino Linotype" w:cs="Palatino Linotype"/>
          <w:sz w:val="19"/>
          <w:szCs w:val="19"/>
        </w:rPr>
      </w:pPr>
    </w:p>
    <w:p w14:paraId="6FF7E6A3"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9.9.1. apresentada em original, por cópia ou por qualquer outro meio expressamente admitido pela Administração;</w:t>
      </w:r>
    </w:p>
    <w:p w14:paraId="1457FF51" w14:textId="77777777" w:rsidR="000963D0" w:rsidRDefault="000963D0">
      <w:pPr>
        <w:rPr>
          <w:rFonts w:ascii="Palatino Linotype" w:eastAsia="Palatino Linotype" w:hAnsi="Palatino Linotype" w:cs="Palatino Linotype"/>
          <w:sz w:val="19"/>
          <w:szCs w:val="19"/>
        </w:rPr>
      </w:pPr>
    </w:p>
    <w:p w14:paraId="0EEA82E5"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9.9.2. substituída por registro cadastral emitido pela Administração, desde que o registro tenha sido feito em obediência ao disposta na Lei nº. 14.133/2021.</w:t>
      </w:r>
    </w:p>
    <w:p w14:paraId="55AC5512" w14:textId="77777777" w:rsidR="000963D0" w:rsidRDefault="000963D0">
      <w:pPr>
        <w:rPr>
          <w:rFonts w:ascii="Palatino Linotype" w:eastAsia="Palatino Linotype" w:hAnsi="Palatino Linotype" w:cs="Palatino Linotype"/>
          <w:sz w:val="19"/>
          <w:szCs w:val="19"/>
        </w:rPr>
      </w:pPr>
    </w:p>
    <w:p w14:paraId="4F487120"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 xml:space="preserve">9.9.3. As </w:t>
      </w:r>
      <w:proofErr w:type="spellStart"/>
      <w:r>
        <w:rPr>
          <w:rFonts w:ascii="Palatino Linotype" w:eastAsia="Palatino Linotype" w:hAnsi="Palatino Linotype" w:cs="Palatino Linotype"/>
          <w:color w:val="000000"/>
          <w:sz w:val="19"/>
          <w:szCs w:val="19"/>
        </w:rPr>
        <w:t>ME’s</w:t>
      </w:r>
      <w:proofErr w:type="spellEnd"/>
      <w:r>
        <w:rPr>
          <w:rFonts w:ascii="Palatino Linotype" w:eastAsia="Palatino Linotype" w:hAnsi="Palatino Linotype" w:cs="Palatino Linotype"/>
          <w:color w:val="000000"/>
          <w:sz w:val="19"/>
          <w:szCs w:val="19"/>
        </w:rPr>
        <w:t xml:space="preserve"> e </w:t>
      </w:r>
      <w:proofErr w:type="spellStart"/>
      <w:r>
        <w:rPr>
          <w:rFonts w:ascii="Palatino Linotype" w:eastAsia="Palatino Linotype" w:hAnsi="Palatino Linotype" w:cs="Palatino Linotype"/>
          <w:color w:val="000000"/>
          <w:sz w:val="19"/>
          <w:szCs w:val="19"/>
        </w:rPr>
        <w:t>EPP’s</w:t>
      </w:r>
      <w:proofErr w:type="spellEnd"/>
      <w:r>
        <w:rPr>
          <w:rFonts w:ascii="Palatino Linotype" w:eastAsia="Palatino Linotype" w:hAnsi="Palatino Linotype" w:cs="Palatino Linotype"/>
          <w:color w:val="000000"/>
          <w:sz w:val="19"/>
          <w:szCs w:val="19"/>
        </w:rPr>
        <w:t>, por ocasião da participação nesta Inexigibilidade de Licitação Pública, deverá apresentar toda a documentação exigida para efeito de comprovação de regularidade fiscal e trabalhista, mesmo que estas apresentem alguma restrição.</w:t>
      </w:r>
    </w:p>
    <w:p w14:paraId="2928AD72" w14:textId="77777777" w:rsidR="000963D0" w:rsidRDefault="000963D0">
      <w:pPr>
        <w:rPr>
          <w:rFonts w:ascii="Palatino Linotype" w:eastAsia="Palatino Linotype" w:hAnsi="Palatino Linotype" w:cs="Palatino Linotype"/>
          <w:sz w:val="19"/>
          <w:szCs w:val="19"/>
        </w:rPr>
      </w:pPr>
    </w:p>
    <w:p w14:paraId="1892B992"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9.9.3.1. Havendo alguma restrição na comprovação da regularidade fiscal e trabalhista, será assegurado o prazo de 05 (cinco) dias úteis, cujo termo inicial corresponderá ao momento da autorização desta Inexigibilidade de Licitação Pública, prorrogável por igual período, a critério da Administração, para regularização da documentação, para pagamento ou parcelamento do débito e para emissão de eventuais certidões negativas ou positivas com efeito de certidão negativa.</w:t>
      </w:r>
    </w:p>
    <w:p w14:paraId="4FE5D0A2" w14:textId="77777777" w:rsidR="000963D0" w:rsidRDefault="000963D0">
      <w:pPr>
        <w:rPr>
          <w:rFonts w:ascii="Palatino Linotype" w:eastAsia="Palatino Linotype" w:hAnsi="Palatino Linotype" w:cs="Palatino Linotype"/>
          <w:sz w:val="19"/>
          <w:szCs w:val="19"/>
        </w:rPr>
      </w:pPr>
    </w:p>
    <w:p w14:paraId="3E81B257"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9.9.3.2. A não regularização da documentação, no prazo previsto no item 8.9.3.1., implicará a decadência do direito à contratação, sem prejuízo das sanções previstas na Lei nº. 14.133/2021.</w:t>
      </w:r>
    </w:p>
    <w:p w14:paraId="10A38521" w14:textId="77777777" w:rsidR="000963D0" w:rsidRDefault="000963D0">
      <w:pPr>
        <w:rPr>
          <w:rFonts w:ascii="Palatino Linotype" w:eastAsia="Palatino Linotype" w:hAnsi="Palatino Linotype" w:cs="Palatino Linotype"/>
          <w:sz w:val="19"/>
          <w:szCs w:val="19"/>
        </w:rPr>
      </w:pPr>
    </w:p>
    <w:tbl>
      <w:tblPr>
        <w:tblStyle w:val="a9"/>
        <w:tblW w:w="8642" w:type="dxa"/>
        <w:tblInd w:w="0" w:type="dxa"/>
        <w:tblLayout w:type="fixed"/>
        <w:tblLook w:val="0400" w:firstRow="0" w:lastRow="0" w:firstColumn="0" w:lastColumn="0" w:noHBand="0" w:noVBand="1"/>
      </w:tblPr>
      <w:tblGrid>
        <w:gridCol w:w="8642"/>
      </w:tblGrid>
      <w:tr w:rsidR="000963D0" w14:paraId="1731DB85" w14:textId="77777777">
        <w:tc>
          <w:tcPr>
            <w:tcW w:w="8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370E70" w14:textId="77777777" w:rsidR="000963D0" w:rsidRDefault="00000000">
            <w:pPr>
              <w:jc w:val="both"/>
              <w:rPr>
                <w:sz w:val="24"/>
                <w:szCs w:val="24"/>
              </w:rPr>
            </w:pPr>
            <w:r>
              <w:rPr>
                <w:b/>
                <w:i/>
                <w:color w:val="000000"/>
                <w:sz w:val="18"/>
                <w:szCs w:val="18"/>
              </w:rPr>
              <w:t>10 – Da estimativa do valor da contratação administrativa</w:t>
            </w:r>
          </w:p>
        </w:tc>
      </w:tr>
    </w:tbl>
    <w:p w14:paraId="6EBF4878" w14:textId="77777777" w:rsidR="000963D0" w:rsidRDefault="000963D0">
      <w:pPr>
        <w:rPr>
          <w:sz w:val="24"/>
          <w:szCs w:val="24"/>
        </w:rPr>
      </w:pPr>
    </w:p>
    <w:p w14:paraId="3B4C048D" w14:textId="77777777" w:rsidR="000963D0" w:rsidRDefault="00000000">
      <w:pPr>
        <w:jc w:val="both"/>
        <w:rPr>
          <w:sz w:val="24"/>
          <w:szCs w:val="24"/>
        </w:rPr>
      </w:pPr>
      <w:r>
        <w:rPr>
          <w:rFonts w:ascii="Palatino Linotype" w:eastAsia="Palatino Linotype" w:hAnsi="Palatino Linotype" w:cs="Palatino Linotype"/>
          <w:b/>
          <w:color w:val="000000"/>
          <w:sz w:val="19"/>
          <w:szCs w:val="19"/>
        </w:rPr>
        <w:t>10.1.</w:t>
      </w:r>
      <w:r>
        <w:rPr>
          <w:rFonts w:ascii="Palatino Linotype" w:eastAsia="Palatino Linotype" w:hAnsi="Palatino Linotype" w:cs="Palatino Linotype"/>
          <w:color w:val="000000"/>
          <w:sz w:val="19"/>
          <w:szCs w:val="19"/>
        </w:rPr>
        <w:t xml:space="preserve"> A estimativa do valor da contratação administrativa está no ETP (inciso VI do § 1º do art. 18 da Lei nº. 14.133/2021</w:t>
      </w:r>
      <w:r>
        <w:rPr>
          <w:color w:val="000000"/>
          <w:sz w:val="18"/>
          <w:szCs w:val="18"/>
        </w:rPr>
        <w:t>).</w:t>
      </w:r>
    </w:p>
    <w:p w14:paraId="6E5770DC" w14:textId="77777777" w:rsidR="000963D0" w:rsidRDefault="000963D0">
      <w:pPr>
        <w:rPr>
          <w:sz w:val="24"/>
          <w:szCs w:val="24"/>
        </w:rPr>
      </w:pPr>
    </w:p>
    <w:tbl>
      <w:tblPr>
        <w:tblStyle w:val="aa"/>
        <w:tblW w:w="8642" w:type="dxa"/>
        <w:tblInd w:w="0" w:type="dxa"/>
        <w:tblLayout w:type="fixed"/>
        <w:tblLook w:val="0400" w:firstRow="0" w:lastRow="0" w:firstColumn="0" w:lastColumn="0" w:noHBand="0" w:noVBand="1"/>
      </w:tblPr>
      <w:tblGrid>
        <w:gridCol w:w="8642"/>
      </w:tblGrid>
      <w:tr w:rsidR="000963D0" w14:paraId="09037DF7" w14:textId="77777777">
        <w:tc>
          <w:tcPr>
            <w:tcW w:w="8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18762" w14:textId="77777777" w:rsidR="000963D0" w:rsidRDefault="00000000">
            <w:pPr>
              <w:jc w:val="both"/>
              <w:rPr>
                <w:sz w:val="24"/>
                <w:szCs w:val="24"/>
              </w:rPr>
            </w:pPr>
            <w:r>
              <w:rPr>
                <w:b/>
                <w:i/>
                <w:color w:val="000000"/>
                <w:sz w:val="18"/>
                <w:szCs w:val="18"/>
              </w:rPr>
              <w:t>11– Da adequação orçamentária</w:t>
            </w:r>
          </w:p>
        </w:tc>
      </w:tr>
    </w:tbl>
    <w:p w14:paraId="66042B85" w14:textId="77777777" w:rsidR="000963D0" w:rsidRDefault="000963D0">
      <w:pPr>
        <w:rPr>
          <w:sz w:val="24"/>
          <w:szCs w:val="24"/>
        </w:rPr>
      </w:pPr>
    </w:p>
    <w:p w14:paraId="49066F66"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lastRenderedPageBreak/>
        <w:t>11.1. As despesas decorrentes desta contratação administrativa correrão à conta de recursos específicos consignados no orçamento geral do Município de Conceição de Ipanema/MG.</w:t>
      </w:r>
    </w:p>
    <w:p w14:paraId="16EC6CFB" w14:textId="77777777" w:rsidR="000963D0" w:rsidRDefault="000963D0">
      <w:pPr>
        <w:rPr>
          <w:sz w:val="24"/>
          <w:szCs w:val="24"/>
        </w:rPr>
      </w:pPr>
    </w:p>
    <w:p w14:paraId="071D9342"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11.2. A contratação administrativa será atendida pela seguinte dotação orçamentária:</w:t>
      </w:r>
    </w:p>
    <w:p w14:paraId="14A6F5B0" w14:textId="77777777" w:rsidR="000963D0" w:rsidRDefault="000963D0">
      <w:pPr>
        <w:rPr>
          <w:rFonts w:ascii="Palatino Linotype" w:eastAsia="Palatino Linotype" w:hAnsi="Palatino Linotype" w:cs="Palatino Linotype"/>
          <w:sz w:val="19"/>
          <w:szCs w:val="19"/>
        </w:rPr>
      </w:pPr>
    </w:p>
    <w:p w14:paraId="642C28F1" w14:textId="27A4D47A" w:rsidR="000963D0" w:rsidRDefault="00183D97">
      <w:pPr>
        <w:pBdr>
          <w:top w:val="nil"/>
          <w:left w:val="nil"/>
          <w:bottom w:val="nil"/>
          <w:right w:val="nil"/>
          <w:between w:val="nil"/>
        </w:pBdr>
        <w:ind w:left="-2" w:hanging="2"/>
        <w:jc w:val="both"/>
        <w:rPr>
          <w:rFonts w:ascii="Palatino Linotype" w:eastAsia="Palatino Linotype" w:hAnsi="Palatino Linotype" w:cs="Palatino Linotype"/>
          <w:i/>
          <w:color w:val="000000"/>
          <w:sz w:val="19"/>
          <w:szCs w:val="19"/>
        </w:rPr>
      </w:pPr>
      <w:r>
        <w:rPr>
          <w:rFonts w:ascii="Palatino Linotype" w:eastAsia="Palatino Linotype" w:hAnsi="Palatino Linotype" w:cs="Palatino Linotype"/>
          <w:i/>
          <w:color w:val="000000"/>
          <w:sz w:val="19"/>
          <w:szCs w:val="19"/>
        </w:rPr>
        <w:t>02 08 02 27 813 0011 2.024 3 3 90 39 – Ficha 897 – Outros Serviços de Terceiros-Pessoa Jurídica – Secretaria Municipal de Esporte, Lazer, Cultura e Turismo.</w:t>
      </w:r>
    </w:p>
    <w:p w14:paraId="249A90C9" w14:textId="4B2E21E2" w:rsidR="00183D97" w:rsidRPr="00183D97" w:rsidRDefault="00183D97" w:rsidP="00183D97">
      <w:pPr>
        <w:pBdr>
          <w:top w:val="nil"/>
          <w:left w:val="nil"/>
          <w:bottom w:val="nil"/>
          <w:right w:val="nil"/>
          <w:between w:val="nil"/>
        </w:pBdr>
        <w:ind w:left="-2" w:hanging="2"/>
        <w:jc w:val="both"/>
        <w:rPr>
          <w:rFonts w:ascii="Palatino Linotype" w:eastAsia="Palatino Linotype" w:hAnsi="Palatino Linotype" w:cs="Palatino Linotype"/>
          <w:i/>
          <w:color w:val="000000"/>
          <w:sz w:val="19"/>
          <w:szCs w:val="19"/>
        </w:rPr>
      </w:pPr>
      <w:r>
        <w:rPr>
          <w:rFonts w:ascii="Palatino Linotype" w:eastAsia="Palatino Linotype" w:hAnsi="Palatino Linotype" w:cs="Palatino Linotype"/>
          <w:color w:val="000000"/>
          <w:sz w:val="19"/>
          <w:szCs w:val="19"/>
        </w:rPr>
        <w:t xml:space="preserve">02 08 02 27 813 0011 2.024 3 3 90 36 – Ficha 895 - </w:t>
      </w:r>
      <w:r>
        <w:rPr>
          <w:rFonts w:ascii="Palatino Linotype" w:eastAsia="Palatino Linotype" w:hAnsi="Palatino Linotype" w:cs="Palatino Linotype"/>
          <w:i/>
          <w:color w:val="000000"/>
          <w:sz w:val="19"/>
          <w:szCs w:val="19"/>
        </w:rPr>
        <w:t>Outros Serviços de Terceiros-Pessoa Física - Secretaria Municipal de Esporte, Lazer, Cultura e Turismo.</w:t>
      </w:r>
    </w:p>
    <w:p w14:paraId="0D2B94BF" w14:textId="77777777" w:rsidR="000963D0" w:rsidRDefault="000963D0">
      <w:pPr>
        <w:rPr>
          <w:rFonts w:ascii="Palatino Linotype" w:eastAsia="Palatino Linotype" w:hAnsi="Palatino Linotype" w:cs="Palatino Linotype"/>
          <w:sz w:val="19"/>
          <w:szCs w:val="19"/>
        </w:rPr>
      </w:pPr>
    </w:p>
    <w:p w14:paraId="5BF62C24" w14:textId="77777777" w:rsidR="000963D0" w:rsidRDefault="00000000">
      <w:pPr>
        <w:jc w:val="both"/>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11.3. A dotação relativa aos exercícios financeiros subsequentes será indicada após aprovação da Lei Orçamentária respectiva e liberação dos créditos correspondentes, mediante apostilamento.</w:t>
      </w:r>
    </w:p>
    <w:p w14:paraId="0E08493B" w14:textId="77777777" w:rsidR="000963D0" w:rsidRDefault="000963D0">
      <w:pPr>
        <w:spacing w:after="240"/>
        <w:rPr>
          <w:sz w:val="24"/>
          <w:szCs w:val="24"/>
        </w:rPr>
      </w:pPr>
    </w:p>
    <w:tbl>
      <w:tblPr>
        <w:tblStyle w:val="ab"/>
        <w:tblW w:w="8494" w:type="dxa"/>
        <w:tblInd w:w="0" w:type="dxa"/>
        <w:tblLayout w:type="fixed"/>
        <w:tblLook w:val="0400" w:firstRow="0" w:lastRow="0" w:firstColumn="0" w:lastColumn="0" w:noHBand="0" w:noVBand="1"/>
      </w:tblPr>
      <w:tblGrid>
        <w:gridCol w:w="8494"/>
      </w:tblGrid>
      <w:tr w:rsidR="000963D0" w14:paraId="40A84F81" w14:textId="77777777">
        <w:tc>
          <w:tcPr>
            <w:tcW w:w="84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EE2257" w14:textId="77777777" w:rsidR="000963D0" w:rsidRDefault="00000000">
            <w:pPr>
              <w:jc w:val="both"/>
              <w:rPr>
                <w:sz w:val="24"/>
                <w:szCs w:val="24"/>
              </w:rPr>
            </w:pPr>
            <w:r>
              <w:rPr>
                <w:b/>
                <w:i/>
                <w:color w:val="000000"/>
                <w:sz w:val="18"/>
                <w:szCs w:val="18"/>
              </w:rPr>
              <w:t>12 – Da especificação da garantia exigida e das condições de manutenção e assistência técnica, quando for o caso</w:t>
            </w:r>
          </w:p>
        </w:tc>
      </w:tr>
    </w:tbl>
    <w:p w14:paraId="13FED0EC" w14:textId="77777777" w:rsidR="000963D0" w:rsidRDefault="000963D0">
      <w:pPr>
        <w:rPr>
          <w:sz w:val="24"/>
          <w:szCs w:val="24"/>
        </w:rPr>
      </w:pPr>
    </w:p>
    <w:p w14:paraId="31A1A508" w14:textId="77777777" w:rsidR="000963D0" w:rsidRDefault="00000000">
      <w:pPr>
        <w:ind w:right="68"/>
        <w:jc w:val="both"/>
        <w:rPr>
          <w:rFonts w:ascii="Palatino Linotype" w:eastAsia="Palatino Linotype" w:hAnsi="Palatino Linotype" w:cs="Palatino Linotype"/>
          <w:sz w:val="19"/>
          <w:szCs w:val="19"/>
        </w:rPr>
      </w:pPr>
      <w:r>
        <w:rPr>
          <w:rFonts w:ascii="Palatino Linotype" w:eastAsia="Palatino Linotype" w:hAnsi="Palatino Linotype" w:cs="Palatino Linotype"/>
          <w:b/>
          <w:color w:val="000000"/>
          <w:sz w:val="19"/>
          <w:szCs w:val="19"/>
        </w:rPr>
        <w:t xml:space="preserve">12.1. </w:t>
      </w:r>
      <w:r>
        <w:rPr>
          <w:rFonts w:ascii="Palatino Linotype" w:eastAsia="Palatino Linotype" w:hAnsi="Palatino Linotype" w:cs="Palatino Linotype"/>
          <w:color w:val="000000"/>
          <w:sz w:val="19"/>
          <w:szCs w:val="19"/>
        </w:rPr>
        <w:t>A especificação da garantia exigida e das condições de manutenção e assistência técnica está no ETP (inciso VI do § 1º do art. 18 da Lei nº. 14.133/2021).</w:t>
      </w:r>
    </w:p>
    <w:p w14:paraId="2144FFB2" w14:textId="77777777" w:rsidR="000963D0" w:rsidRDefault="000963D0">
      <w:pPr>
        <w:rPr>
          <w:rFonts w:ascii="Palatino Linotype" w:eastAsia="Palatino Linotype" w:hAnsi="Palatino Linotype" w:cs="Palatino Linotype"/>
          <w:sz w:val="19"/>
          <w:szCs w:val="19"/>
        </w:rPr>
      </w:pPr>
    </w:p>
    <w:p w14:paraId="6F1216B2" w14:textId="060C15C8" w:rsidR="000963D0" w:rsidRDefault="00000000">
      <w:pPr>
        <w:jc w:val="right"/>
        <w:rPr>
          <w:rFonts w:ascii="Palatino Linotype" w:eastAsia="Palatino Linotype" w:hAnsi="Palatino Linotype" w:cs="Palatino Linotype"/>
          <w:color w:val="000000"/>
          <w:sz w:val="19"/>
          <w:szCs w:val="19"/>
        </w:rPr>
      </w:pPr>
      <w:r>
        <w:rPr>
          <w:rFonts w:ascii="Palatino Linotype" w:eastAsia="Palatino Linotype" w:hAnsi="Palatino Linotype" w:cs="Palatino Linotype"/>
          <w:color w:val="000000"/>
          <w:sz w:val="19"/>
          <w:szCs w:val="19"/>
        </w:rPr>
        <w:t xml:space="preserve">Conceição de Ipanema /MG, </w:t>
      </w:r>
      <w:r w:rsidR="00183D97">
        <w:rPr>
          <w:rFonts w:ascii="Palatino Linotype" w:eastAsia="Palatino Linotype" w:hAnsi="Palatino Linotype" w:cs="Palatino Linotype"/>
          <w:color w:val="000000"/>
          <w:sz w:val="19"/>
          <w:szCs w:val="19"/>
        </w:rPr>
        <w:t>01</w:t>
      </w:r>
      <w:r>
        <w:rPr>
          <w:rFonts w:ascii="Palatino Linotype" w:eastAsia="Palatino Linotype" w:hAnsi="Palatino Linotype" w:cs="Palatino Linotype"/>
          <w:color w:val="000000"/>
          <w:sz w:val="19"/>
          <w:szCs w:val="19"/>
        </w:rPr>
        <w:t xml:space="preserve"> de</w:t>
      </w:r>
      <w:r w:rsidR="002C224F">
        <w:rPr>
          <w:rFonts w:ascii="Palatino Linotype" w:eastAsia="Palatino Linotype" w:hAnsi="Palatino Linotype" w:cs="Palatino Linotype"/>
          <w:color w:val="000000"/>
          <w:sz w:val="19"/>
          <w:szCs w:val="19"/>
        </w:rPr>
        <w:t xml:space="preserve"> </w:t>
      </w:r>
      <w:r w:rsidR="00183D97">
        <w:rPr>
          <w:rFonts w:ascii="Palatino Linotype" w:eastAsia="Palatino Linotype" w:hAnsi="Palatino Linotype" w:cs="Palatino Linotype"/>
          <w:color w:val="000000"/>
          <w:sz w:val="19"/>
          <w:szCs w:val="19"/>
        </w:rPr>
        <w:t>agosto</w:t>
      </w:r>
      <w:r>
        <w:rPr>
          <w:rFonts w:ascii="Palatino Linotype" w:eastAsia="Palatino Linotype" w:hAnsi="Palatino Linotype" w:cs="Palatino Linotype"/>
          <w:color w:val="000000"/>
          <w:sz w:val="19"/>
          <w:szCs w:val="19"/>
        </w:rPr>
        <w:t xml:space="preserve"> de 2025.</w:t>
      </w:r>
    </w:p>
    <w:p w14:paraId="4E7B28C9" w14:textId="77777777" w:rsidR="002C224F" w:rsidRDefault="002C224F">
      <w:pPr>
        <w:jc w:val="right"/>
        <w:rPr>
          <w:rFonts w:ascii="Palatino Linotype" w:eastAsia="Palatino Linotype" w:hAnsi="Palatino Linotype" w:cs="Palatino Linotype"/>
          <w:sz w:val="19"/>
          <w:szCs w:val="19"/>
        </w:rPr>
      </w:pPr>
    </w:p>
    <w:p w14:paraId="23FD8BFF" w14:textId="77777777" w:rsidR="000963D0" w:rsidRDefault="000963D0">
      <w:pPr>
        <w:rPr>
          <w:rFonts w:ascii="Palatino Linotype" w:eastAsia="Palatino Linotype" w:hAnsi="Palatino Linotype" w:cs="Palatino Linotype"/>
          <w:sz w:val="19"/>
          <w:szCs w:val="19"/>
        </w:rPr>
      </w:pPr>
    </w:p>
    <w:p w14:paraId="50F08DAD" w14:textId="77777777" w:rsidR="000963D0" w:rsidRDefault="00000000">
      <w:pPr>
        <w:jc w:val="center"/>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DANILIA FRANCISCA DA SILVA SOUZA</w:t>
      </w:r>
    </w:p>
    <w:p w14:paraId="37781019" w14:textId="77777777" w:rsidR="000963D0" w:rsidRDefault="00000000">
      <w:pPr>
        <w:jc w:val="center"/>
        <w:rPr>
          <w:rFonts w:ascii="Palatino Linotype" w:eastAsia="Palatino Linotype" w:hAnsi="Palatino Linotype" w:cs="Palatino Linotype"/>
          <w:sz w:val="19"/>
          <w:szCs w:val="19"/>
        </w:rPr>
      </w:pPr>
      <w:r>
        <w:rPr>
          <w:rFonts w:ascii="Palatino Linotype" w:eastAsia="Palatino Linotype" w:hAnsi="Palatino Linotype" w:cs="Palatino Linotype"/>
          <w:color w:val="000000"/>
          <w:sz w:val="19"/>
          <w:szCs w:val="19"/>
        </w:rPr>
        <w:t>Responsável pela Elaboração do Termo de Referência</w:t>
      </w:r>
    </w:p>
    <w:p w14:paraId="140E584A" w14:textId="77777777" w:rsidR="000963D0" w:rsidRDefault="000963D0">
      <w:pPr>
        <w:pBdr>
          <w:top w:val="nil"/>
          <w:left w:val="nil"/>
          <w:bottom w:val="nil"/>
          <w:right w:val="nil"/>
          <w:between w:val="nil"/>
        </w:pBdr>
        <w:tabs>
          <w:tab w:val="center" w:pos="4252"/>
          <w:tab w:val="right" w:pos="8504"/>
        </w:tabs>
        <w:rPr>
          <w:rFonts w:ascii="Palatino Linotype" w:eastAsia="Palatino Linotype" w:hAnsi="Palatino Linotype" w:cs="Palatino Linotype"/>
          <w:color w:val="000000"/>
          <w:sz w:val="19"/>
          <w:szCs w:val="19"/>
        </w:rPr>
      </w:pPr>
    </w:p>
    <w:p w14:paraId="055DD41F" w14:textId="77777777" w:rsidR="000963D0" w:rsidRDefault="000963D0"/>
    <w:sectPr w:rsidR="000963D0" w:rsidSect="002C224F">
      <w:headerReference w:type="default" r:id="rId8"/>
      <w:pgSz w:w="11906" w:h="16838"/>
      <w:pgMar w:top="1560" w:right="1701" w:bottom="1135" w:left="1701" w:header="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0BA86" w14:textId="77777777" w:rsidR="00E7661B" w:rsidRDefault="00E7661B">
      <w:r>
        <w:separator/>
      </w:r>
    </w:p>
  </w:endnote>
  <w:endnote w:type="continuationSeparator" w:id="0">
    <w:p w14:paraId="357676C4" w14:textId="77777777" w:rsidR="00E7661B" w:rsidRDefault="00E76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6AC86B8D-5532-4822-9722-D74638AD8803}"/>
    <w:embedItalic r:id="rId2" w:fontKey="{AC15F2EF-B27C-4D8D-8CB8-612D0A1BBDE6}"/>
  </w:font>
  <w:font w:name="Calibri">
    <w:panose1 w:val="020F0502020204030204"/>
    <w:charset w:val="00"/>
    <w:family w:val="swiss"/>
    <w:pitch w:val="variable"/>
    <w:sig w:usb0="E4002EFF" w:usb1="C200247B" w:usb2="00000009" w:usb3="00000000" w:csb0="000001FF" w:csb1="00000000"/>
    <w:embedRegular r:id="rId3" w:fontKey="{C610BED4-D316-4CF8-980C-E098EAA1B908}"/>
  </w:font>
  <w:font w:name="Palatino Linotype">
    <w:panose1 w:val="02040502050505030304"/>
    <w:charset w:val="00"/>
    <w:family w:val="roman"/>
    <w:pitch w:val="variable"/>
    <w:sig w:usb0="E0000287" w:usb1="40000013" w:usb2="00000000" w:usb3="00000000" w:csb0="0000019F" w:csb1="00000000"/>
    <w:embedRegular r:id="rId4" w:fontKey="{A9473045-786D-4C69-A6D9-239D29E7E5C2}"/>
    <w:embedBold r:id="rId5" w:fontKey="{6BA38A58-1F32-4B4B-9705-DEA549D4FD54}"/>
    <w:embedItalic r:id="rId6" w:fontKey="{E8E28C7B-068F-4B1A-A813-5D71E3399DD9}"/>
    <w:embedBoldItalic r:id="rId7" w:fontKey="{3E1E8CCD-C3B9-4DEC-BEE8-2DB10F361181}"/>
  </w:font>
  <w:font w:name="Lustria">
    <w:charset w:val="00"/>
    <w:family w:val="auto"/>
    <w:pitch w:val="default"/>
    <w:embedRegular r:id="rId8" w:fontKey="{EF01672A-720F-463B-B84C-B0E0533E2A55}"/>
    <w:embedBold r:id="rId9" w:fontKey="{9CDAF8F2-2D8D-4BD0-A247-1A13E0530404}"/>
  </w:font>
  <w:font w:name="Calibri Light">
    <w:panose1 w:val="020F0302020204030204"/>
    <w:charset w:val="00"/>
    <w:family w:val="swiss"/>
    <w:pitch w:val="variable"/>
    <w:sig w:usb0="E4002EFF" w:usb1="C200247B" w:usb2="00000009" w:usb3="00000000" w:csb0="000001FF" w:csb1="00000000"/>
    <w:embedRegular r:id="rId10" w:fontKey="{BC124EB4-A247-4E17-BEFA-BA7E70F8DDC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31F6E" w14:textId="77777777" w:rsidR="00E7661B" w:rsidRDefault="00E7661B">
      <w:r>
        <w:separator/>
      </w:r>
    </w:p>
  </w:footnote>
  <w:footnote w:type="continuationSeparator" w:id="0">
    <w:p w14:paraId="7EAF8834" w14:textId="77777777" w:rsidR="00E7661B" w:rsidRDefault="00E766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EEE3E" w14:textId="77777777" w:rsidR="000963D0" w:rsidRDefault="00000000">
    <w:pPr>
      <w:spacing w:line="500" w:lineRule="auto"/>
      <w:jc w:val="center"/>
      <w:rPr>
        <w:rFonts w:ascii="Lustria" w:eastAsia="Lustria" w:hAnsi="Lustria" w:cs="Lustria"/>
        <w:b/>
        <w:color w:val="000000"/>
        <w:sz w:val="40"/>
        <w:szCs w:val="40"/>
      </w:rPr>
    </w:pPr>
    <w:r>
      <w:rPr>
        <w:rFonts w:ascii="Lustria" w:eastAsia="Lustria" w:hAnsi="Lustria" w:cs="Lustria"/>
        <w:b/>
        <w:color w:val="000000"/>
        <w:sz w:val="40"/>
        <w:szCs w:val="40"/>
      </w:rPr>
      <w:t>PREFEITURA MUNICIPAL</w:t>
    </w:r>
    <w:r>
      <w:rPr>
        <w:noProof/>
      </w:rPr>
      <w:drawing>
        <wp:anchor distT="0" distB="0" distL="114300" distR="114300" simplePos="0" relativeHeight="251658240" behindDoc="0" locked="0" layoutInCell="1" hidden="0" allowOverlap="1" wp14:anchorId="21C7A65F" wp14:editId="034660FC">
          <wp:simplePos x="0" y="0"/>
          <wp:positionH relativeFrom="column">
            <wp:posOffset>-390524</wp:posOffset>
          </wp:positionH>
          <wp:positionV relativeFrom="paragraph">
            <wp:posOffset>9525</wp:posOffset>
          </wp:positionV>
          <wp:extent cx="1285875" cy="1012190"/>
          <wp:effectExtent l="0" t="0" r="0" b="0"/>
          <wp:wrapSquare wrapText="bothSides" distT="0" distB="0" distL="114300" distR="114300"/>
          <wp:docPr id="382069463" name="image1.png" descr="emblema"/>
          <wp:cNvGraphicFramePr/>
          <a:graphic xmlns:a="http://schemas.openxmlformats.org/drawingml/2006/main">
            <a:graphicData uri="http://schemas.openxmlformats.org/drawingml/2006/picture">
              <pic:pic xmlns:pic="http://schemas.openxmlformats.org/drawingml/2006/picture">
                <pic:nvPicPr>
                  <pic:cNvPr id="0" name="image1.png" descr="emblema"/>
                  <pic:cNvPicPr preferRelativeResize="0"/>
                </pic:nvPicPr>
                <pic:blipFill>
                  <a:blip r:embed="rId1"/>
                  <a:srcRect/>
                  <a:stretch>
                    <a:fillRect/>
                  </a:stretch>
                </pic:blipFill>
                <pic:spPr>
                  <a:xfrm>
                    <a:off x="0" y="0"/>
                    <a:ext cx="1285875" cy="1012190"/>
                  </a:xfrm>
                  <a:prstGeom prst="rect">
                    <a:avLst/>
                  </a:prstGeom>
                  <a:ln/>
                </pic:spPr>
              </pic:pic>
            </a:graphicData>
          </a:graphic>
        </wp:anchor>
      </w:drawing>
    </w:r>
  </w:p>
  <w:p w14:paraId="1D869558" w14:textId="77777777" w:rsidR="000963D0" w:rsidRDefault="00000000">
    <w:pPr>
      <w:ind w:left="-140"/>
      <w:jc w:val="center"/>
      <w:rPr>
        <w:rFonts w:ascii="Lustria" w:eastAsia="Lustria" w:hAnsi="Lustria" w:cs="Lustria"/>
        <w:b/>
        <w:sz w:val="40"/>
        <w:szCs w:val="40"/>
      </w:rPr>
    </w:pPr>
    <w:r>
      <w:rPr>
        <w:rFonts w:ascii="Lustria" w:eastAsia="Lustria" w:hAnsi="Lustria" w:cs="Lustria"/>
        <w:b/>
        <w:sz w:val="40"/>
        <w:szCs w:val="40"/>
      </w:rPr>
      <w:t>CONCEIÇÃO DE IPANEMA – MG</w:t>
    </w:r>
  </w:p>
  <w:p w14:paraId="4F1C1C1F" w14:textId="77777777" w:rsidR="000963D0" w:rsidRDefault="00000000">
    <w:pPr>
      <w:ind w:left="-140"/>
      <w:jc w:val="center"/>
      <w:rPr>
        <w:rFonts w:ascii="Lustria" w:eastAsia="Lustria" w:hAnsi="Lustria" w:cs="Lustria"/>
        <w:b/>
        <w:sz w:val="40"/>
        <w:szCs w:val="40"/>
      </w:rPr>
    </w:pPr>
    <w:r>
      <w:rPr>
        <w:rFonts w:ascii="Lustria" w:eastAsia="Lustria" w:hAnsi="Lustria" w:cs="Lustria"/>
        <w:b/>
        <w:sz w:val="40"/>
        <w:szCs w:val="40"/>
      </w:rPr>
      <w:t>CNPJ: 18.334.300/0001-72</w:t>
    </w:r>
  </w:p>
  <w:p w14:paraId="046FB239" w14:textId="77777777" w:rsidR="000963D0" w:rsidRDefault="000963D0">
    <w:pPr>
      <w:pBdr>
        <w:top w:val="nil"/>
        <w:left w:val="nil"/>
        <w:bottom w:val="nil"/>
        <w:right w:val="nil"/>
        <w:between w:val="nil"/>
      </w:pBdr>
      <w:tabs>
        <w:tab w:val="center" w:pos="4252"/>
        <w:tab w:val="right" w:pos="8504"/>
      </w:tabs>
      <w:ind w:left="709"/>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5B3991"/>
    <w:multiLevelType w:val="multilevel"/>
    <w:tmpl w:val="3BC09CA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47DC1050"/>
    <w:multiLevelType w:val="multilevel"/>
    <w:tmpl w:val="FDB6E6B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92036770">
    <w:abstractNumId w:val="1"/>
  </w:num>
  <w:num w:numId="2" w16cid:durableId="1876387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3D0"/>
    <w:rsid w:val="000963D0"/>
    <w:rsid w:val="00183D97"/>
    <w:rsid w:val="002C224F"/>
    <w:rsid w:val="00376D98"/>
    <w:rsid w:val="0050032D"/>
    <w:rsid w:val="005D5314"/>
    <w:rsid w:val="008A2395"/>
    <w:rsid w:val="009F2DD1"/>
    <w:rsid w:val="00AA7FDA"/>
    <w:rsid w:val="00B56794"/>
    <w:rsid w:val="00CB1121"/>
    <w:rsid w:val="00CC5C1F"/>
    <w:rsid w:val="00E766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52C76"/>
  <w15:docId w15:val="{034DB7B3-ED06-4271-9528-A1E2BEE3D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765ED4"/>
    <w:pPr>
      <w:tabs>
        <w:tab w:val="center" w:pos="4252"/>
        <w:tab w:val="right" w:pos="8504"/>
      </w:tabs>
    </w:pPr>
  </w:style>
  <w:style w:type="character" w:customStyle="1" w:styleId="CabealhoChar">
    <w:name w:val="Cabeçalho Char"/>
    <w:basedOn w:val="Fontepargpadro"/>
    <w:link w:val="Cabealho"/>
    <w:uiPriority w:val="99"/>
    <w:rsid w:val="00765ED4"/>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E82"/>
    <w:pPr>
      <w:tabs>
        <w:tab w:val="center" w:pos="4252"/>
        <w:tab w:val="right" w:pos="8504"/>
      </w:tabs>
    </w:pPr>
  </w:style>
  <w:style w:type="character" w:customStyle="1" w:styleId="RodapChar">
    <w:name w:val="Rodapé Char"/>
    <w:basedOn w:val="Fontepargpadro"/>
    <w:link w:val="Rodap"/>
    <w:uiPriority w:val="99"/>
    <w:rsid w:val="00817E82"/>
    <w:rPr>
      <w:rFonts w:ascii="Times New Roman" w:eastAsia="Times New Roman" w:hAnsi="Times New Roman" w:cs="Times New Roman"/>
      <w:sz w:val="20"/>
      <w:szCs w:val="20"/>
      <w:lang w:eastAsia="pt-BR"/>
    </w:rPr>
  </w:style>
  <w:style w:type="paragraph" w:styleId="NormalWeb">
    <w:name w:val="Normal (Web)"/>
    <w:basedOn w:val="Normal"/>
    <w:uiPriority w:val="99"/>
    <w:semiHidden/>
    <w:unhideWhenUsed/>
    <w:rsid w:val="003D0DA2"/>
    <w:pPr>
      <w:spacing w:before="100" w:beforeAutospacing="1" w:after="100" w:afterAutospacing="1"/>
    </w:pPr>
    <w:rPr>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top w:w="15" w:type="dxa"/>
        <w:left w:w="15" w:type="dxa"/>
        <w:bottom w:w="15" w:type="dxa"/>
        <w:right w:w="15" w:type="dxa"/>
      </w:tblCellMar>
    </w:tblPr>
  </w:style>
  <w:style w:type="paragraph" w:styleId="PargrafodaLista">
    <w:name w:val="List Paragraph"/>
    <w:basedOn w:val="Normal"/>
    <w:uiPriority w:val="34"/>
    <w:qFormat/>
    <w:rsid w:val="002C224F"/>
    <w:pPr>
      <w:ind w:left="720"/>
      <w:contextualSpacing/>
    </w:pPr>
  </w:style>
  <w:style w:type="table" w:styleId="Tabelacomgrade">
    <w:name w:val="Table Grid"/>
    <w:basedOn w:val="Tabelanormal"/>
    <w:uiPriority w:val="39"/>
    <w:rsid w:val="002C224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86136">
      <w:bodyDiv w:val="1"/>
      <w:marLeft w:val="0"/>
      <w:marRight w:val="0"/>
      <w:marTop w:val="0"/>
      <w:marBottom w:val="0"/>
      <w:divBdr>
        <w:top w:val="none" w:sz="0" w:space="0" w:color="auto"/>
        <w:left w:val="none" w:sz="0" w:space="0" w:color="auto"/>
        <w:bottom w:val="none" w:sz="0" w:space="0" w:color="auto"/>
        <w:right w:val="none" w:sz="0" w:space="0" w:color="auto"/>
      </w:divBdr>
      <w:divsChild>
        <w:div w:id="2032337316">
          <w:marLeft w:val="-20"/>
          <w:marRight w:val="0"/>
          <w:marTop w:val="0"/>
          <w:marBottom w:val="0"/>
          <w:divBdr>
            <w:top w:val="none" w:sz="0" w:space="0" w:color="auto"/>
            <w:left w:val="none" w:sz="0" w:space="0" w:color="auto"/>
            <w:bottom w:val="none" w:sz="0" w:space="0" w:color="auto"/>
            <w:right w:val="none" w:sz="0" w:space="0" w:color="auto"/>
          </w:divBdr>
        </w:div>
      </w:divsChild>
    </w:div>
    <w:div w:id="541751987">
      <w:bodyDiv w:val="1"/>
      <w:marLeft w:val="0"/>
      <w:marRight w:val="0"/>
      <w:marTop w:val="0"/>
      <w:marBottom w:val="0"/>
      <w:divBdr>
        <w:top w:val="none" w:sz="0" w:space="0" w:color="auto"/>
        <w:left w:val="none" w:sz="0" w:space="0" w:color="auto"/>
        <w:bottom w:val="none" w:sz="0" w:space="0" w:color="auto"/>
        <w:right w:val="none" w:sz="0" w:space="0" w:color="auto"/>
      </w:divBdr>
      <w:divsChild>
        <w:div w:id="1895772801">
          <w:marLeft w:val="-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pRAaddqi3BY/KSoBdz2WbvLTkQ==">CgMxLjAyDmguOTV0Mnh1YzRvaXJ6OAByITFhM0w0WEFCRi1vLTRYM3dxblZKTm5YaUtOME1RY0ZlTA==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4636</Words>
  <Characters>25039</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dc:creator>
  <cp:lastModifiedBy>Lucas Henrique</cp:lastModifiedBy>
  <cp:revision>5</cp:revision>
  <dcterms:created xsi:type="dcterms:W3CDTF">2025-07-17T12:02:00Z</dcterms:created>
  <dcterms:modified xsi:type="dcterms:W3CDTF">2025-08-07T23:49:00Z</dcterms:modified>
</cp:coreProperties>
</file>