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B0C9F" w14:textId="77777777" w:rsidR="004B5F85" w:rsidRDefault="00000000">
      <w:pPr>
        <w:spacing w:line="312" w:lineRule="auto"/>
        <w:jc w:val="center"/>
        <w:rPr>
          <w:rFonts w:ascii="Bookman Old Style" w:eastAsia="Bookman Old Style" w:hAnsi="Bookman Old Style" w:cs="Bookman Old Style"/>
          <w:sz w:val="18"/>
          <w:szCs w:val="18"/>
          <w:u w:val="single"/>
        </w:rPr>
      </w:pPr>
      <w:r>
        <w:rPr>
          <w:rFonts w:ascii="Bookman Old Style" w:eastAsia="Bookman Old Style" w:hAnsi="Bookman Old Style" w:cs="Bookman Old Style"/>
          <w:b/>
          <w:sz w:val="18"/>
          <w:szCs w:val="18"/>
          <w:u w:val="single"/>
        </w:rPr>
        <w:t>ESTUDO TÉCNICO PRELIMINAR</w:t>
      </w:r>
    </w:p>
    <w:p w14:paraId="052FF4B3" w14:textId="77777777" w:rsidR="004B5F85" w:rsidRDefault="00000000">
      <w:pPr>
        <w:spacing w:line="312" w:lineRule="auto"/>
        <w:jc w:val="center"/>
        <w:rPr>
          <w:rFonts w:ascii="Bookman Old Style" w:eastAsia="Bookman Old Style" w:hAnsi="Bookman Old Style" w:cs="Bookman Old Style"/>
          <w:sz w:val="18"/>
          <w:szCs w:val="18"/>
          <w:u w:val="single"/>
        </w:rPr>
      </w:pPr>
      <w:r>
        <w:rPr>
          <w:rFonts w:ascii="Bookman Old Style" w:eastAsia="Bookman Old Style" w:hAnsi="Bookman Old Style" w:cs="Bookman Old Style"/>
          <w:b/>
          <w:sz w:val="18"/>
          <w:szCs w:val="18"/>
          <w:u w:val="single"/>
        </w:rPr>
        <w:t>Lei nº 14.133/2021</w:t>
      </w:r>
    </w:p>
    <w:p w14:paraId="1BCB2EB4" w14:textId="77777777" w:rsidR="004B5F85" w:rsidRDefault="004B5F85">
      <w:pPr>
        <w:spacing w:line="312" w:lineRule="auto"/>
        <w:jc w:val="center"/>
        <w:rPr>
          <w:rFonts w:ascii="Bookman Old Style" w:eastAsia="Bookman Old Style" w:hAnsi="Bookman Old Style" w:cs="Bookman Old Style"/>
          <w:sz w:val="18"/>
          <w:szCs w:val="18"/>
        </w:rPr>
      </w:pPr>
    </w:p>
    <w:p w14:paraId="0924661A" w14:textId="54814FBA" w:rsidR="00F11A6D" w:rsidRP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Descrição da necessidade da contratação, considerando o problema a ser resolvido sob a perspectiva do interesse público</w:t>
      </w:r>
    </w:p>
    <w:p w14:paraId="15E8A141"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1.1. O Município de Conceição de Ipanema/MG, na condição de empregador público, tem a obrigação legal e institucional de assegurar a saúde e a segurança de seus servidores, por meio da implementação do Programa de Controle Médico de Saúde Ocupacional – PCMSO, previsto na Norma Regulamentadora nº 7 (NR-7) do Ministério do Trabalho e Emprego. A ausência de acompanhamento médico ocupacional compromete não apenas a integridade física e mental dos trabalhadores, mas também a eficiência e a continuidade dos serviços públicos prestados à população.</w:t>
      </w:r>
    </w:p>
    <w:p w14:paraId="187EF1B0" w14:textId="77777777" w:rsidR="00530929" w:rsidRPr="00530929" w:rsidRDefault="00530929" w:rsidP="00530929">
      <w:pPr>
        <w:spacing w:line="312" w:lineRule="auto"/>
        <w:jc w:val="both"/>
        <w:rPr>
          <w:rFonts w:ascii="Bookman Old Style" w:hAnsi="Bookman Old Style" w:cs="Segoe UI"/>
          <w:bCs/>
          <w:sz w:val="18"/>
          <w:szCs w:val="18"/>
        </w:rPr>
      </w:pPr>
    </w:p>
    <w:p w14:paraId="590AB3D2"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1.2. Atualmente, a Administração enfrenta dificuldades na gestão da saúde ocupacional dos servidores, em razão da inexistência de estrutura própria de Medicina do Trabalho no âmbito municipal. Essa lacuna expõe a municipalidade a riscos jurídicos, administrativos e trabalhistas, como ações judiciais, afastamentos prolongados, concessões de benefícios previdenciários e penalidades impostas pelos órgãos de fiscalização trabalhista.</w:t>
      </w:r>
    </w:p>
    <w:p w14:paraId="0AA152B0" w14:textId="77777777" w:rsidR="00530929" w:rsidRPr="00530929" w:rsidRDefault="00530929" w:rsidP="00530929">
      <w:pPr>
        <w:spacing w:line="312" w:lineRule="auto"/>
        <w:jc w:val="both"/>
        <w:rPr>
          <w:rFonts w:ascii="Bookman Old Style" w:hAnsi="Bookman Old Style" w:cs="Segoe UI"/>
          <w:bCs/>
          <w:sz w:val="18"/>
          <w:szCs w:val="18"/>
        </w:rPr>
      </w:pPr>
    </w:p>
    <w:p w14:paraId="69EDE3C8"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1.3. A contratação de pessoas jurídicas especializadas em Medicina do Trabalho, por meio de credenciamento, permitirá a execução regular de exames admissionais, periódicos, de retorno ao trabalho, de mudança de função e demissionais, bem como a emissão de Atestados de Saúde Ocupacional (ASO) e a homologação de atestados médicos. Tais medidas são indispensáveis para garantir que os servidores desempenhem suas atividades em condições seguras e compatíveis com sua saúde, preservando o interesse público e a continuidade dos serviços essenciais.</w:t>
      </w:r>
    </w:p>
    <w:p w14:paraId="6648522F" w14:textId="77777777" w:rsidR="00530929" w:rsidRPr="00530929" w:rsidRDefault="00530929" w:rsidP="00530929">
      <w:pPr>
        <w:spacing w:line="312" w:lineRule="auto"/>
        <w:jc w:val="both"/>
        <w:rPr>
          <w:rFonts w:ascii="Bookman Old Style" w:hAnsi="Bookman Old Style" w:cs="Segoe UI"/>
          <w:bCs/>
          <w:sz w:val="18"/>
          <w:szCs w:val="18"/>
        </w:rPr>
      </w:pPr>
    </w:p>
    <w:p w14:paraId="7F85CFCE"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1.4. Além da obrigatoriedade legal, a adoção de um programa estruturado de saúde ocupacional reflete diretamente na eficiência administrativa e na redução de custos indiretos para o erário, ao minimizar afastamentos, absenteísmo e indenizações decorrentes de doenças ocupacionais. Dessa forma, a Administração atende aos princípios constitucionais da eficiência, economicidade e proteção ao interesse coletivo, fortalecendo a confiança da sociedade nos serviços prestados.</w:t>
      </w:r>
    </w:p>
    <w:p w14:paraId="4B81FFE8" w14:textId="77777777" w:rsidR="00530929" w:rsidRPr="00530929" w:rsidRDefault="00530929" w:rsidP="00530929">
      <w:pPr>
        <w:spacing w:line="312" w:lineRule="auto"/>
        <w:jc w:val="both"/>
        <w:rPr>
          <w:rFonts w:ascii="Bookman Old Style" w:hAnsi="Bookman Old Style" w:cs="Segoe UI"/>
          <w:bCs/>
          <w:sz w:val="18"/>
          <w:szCs w:val="18"/>
        </w:rPr>
      </w:pPr>
    </w:p>
    <w:p w14:paraId="7ED92849" w14:textId="55433AAD" w:rsidR="00F11A6D"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1.5. O credenciamento é o modelo mais vantajoso, pois permite que clínicas e empresas médicas se cadastrem para prestar os serviços de forma paralela e não excludente, ampliando a rede de atendimento aos servidores e garantindo maior disponibilidade e agilidade nos procedimentos. Essa modalidade assegura a universalidade do acesso, a isonomia entre os prestadores e a continuidade da política pública de saúde ocupacional, sem dependência exclusiva de um único fornecedor.</w:t>
      </w:r>
    </w:p>
    <w:p w14:paraId="142FFE9F" w14:textId="77777777" w:rsidR="00530929" w:rsidRPr="00F11A6D" w:rsidRDefault="00530929" w:rsidP="00530929">
      <w:pPr>
        <w:spacing w:line="312" w:lineRule="auto"/>
        <w:jc w:val="both"/>
        <w:rPr>
          <w:rFonts w:ascii="Bookman Old Style" w:hAnsi="Bookman Old Style" w:cs="Segoe UI"/>
          <w:b/>
          <w:sz w:val="18"/>
          <w:szCs w:val="18"/>
        </w:rPr>
      </w:pPr>
    </w:p>
    <w:p w14:paraId="495405FE" w14:textId="578C86D8" w:rsidR="00F11A6D" w:rsidRP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Demonstração da previsão da contratação no plano de contratações anual, sempre que elaborado, de modo a indicar o seu alinhamento com o planejamento da Administração</w:t>
      </w:r>
    </w:p>
    <w:p w14:paraId="4097C494"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2.1. Considerando que o Plano de Contratações Anual – PCA – é facultativo (inciso VII do art. 12 da Lei nº. 14.133/2021), esta Administração não fizera para este exercício financeiro.</w:t>
      </w:r>
    </w:p>
    <w:p w14:paraId="195D3F81" w14:textId="77777777" w:rsidR="00F11A6D" w:rsidRPr="00F11A6D" w:rsidRDefault="00F11A6D" w:rsidP="00F11A6D">
      <w:pPr>
        <w:spacing w:line="312" w:lineRule="auto"/>
        <w:jc w:val="both"/>
        <w:rPr>
          <w:rFonts w:ascii="Bookman Old Style" w:hAnsi="Bookman Old Style" w:cs="Segoe UI"/>
          <w:b/>
          <w:sz w:val="18"/>
          <w:szCs w:val="18"/>
        </w:rPr>
      </w:pPr>
    </w:p>
    <w:p w14:paraId="297A9AF5" w14:textId="06447F03" w:rsidR="00F11A6D" w:rsidRP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Dos requisitos da contratação administrativa</w:t>
      </w:r>
    </w:p>
    <w:p w14:paraId="7AFC4AE2"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lastRenderedPageBreak/>
        <w:t>3.1. A contratação administrativa deverá observar os seguintes requisitos:</w:t>
      </w:r>
    </w:p>
    <w:p w14:paraId="3BD1C82C"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3.1.1. sustentabilidade ambiental.</w:t>
      </w:r>
    </w:p>
    <w:p w14:paraId="79F9146D" w14:textId="646E448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 xml:space="preserve">3.2. </w:t>
      </w:r>
      <w:r w:rsidR="00041D15" w:rsidRPr="00041D15">
        <w:rPr>
          <w:rFonts w:ascii="Bookman Old Style" w:hAnsi="Bookman Old Style" w:cs="Segoe UI"/>
          <w:bCs/>
          <w:sz w:val="18"/>
          <w:szCs w:val="18"/>
        </w:rPr>
        <w:t>É vedada a subcontratação do núcleo essencial dos atos médicos. Admite-se a utilização de rede de apoio para exames complementares, sob responsabilidade e RT da credenciada, com comprovação de habilitação sanitária.</w:t>
      </w:r>
    </w:p>
    <w:p w14:paraId="63918EA2" w14:textId="3FDD04EE"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w:t>
      </w:r>
      <w:r>
        <w:rPr>
          <w:rFonts w:ascii="Bookman Old Style" w:hAnsi="Bookman Old Style" w:cs="Segoe UI"/>
          <w:bCs/>
          <w:sz w:val="18"/>
          <w:szCs w:val="18"/>
        </w:rPr>
        <w:t>3</w:t>
      </w:r>
      <w:r w:rsidRPr="00F11A6D">
        <w:rPr>
          <w:rFonts w:ascii="Bookman Old Style" w:hAnsi="Bookman Old Style" w:cs="Segoe UI"/>
          <w:bCs/>
          <w:sz w:val="18"/>
          <w:szCs w:val="18"/>
        </w:rPr>
        <w:t>. Não haverá exigência da garantia da contratação de que trata o art. 96 e seguintes da Lei nº. 14.133/2021 em razão de ser um</w:t>
      </w:r>
      <w:r w:rsidR="00041D15">
        <w:rPr>
          <w:rFonts w:ascii="Bookman Old Style" w:hAnsi="Bookman Old Style" w:cs="Segoe UI"/>
          <w:bCs/>
          <w:sz w:val="18"/>
          <w:szCs w:val="18"/>
        </w:rPr>
        <w:t>a prestação de serviços comuns</w:t>
      </w:r>
      <w:r w:rsidRPr="00F11A6D">
        <w:rPr>
          <w:rFonts w:ascii="Bookman Old Style" w:hAnsi="Bookman Old Style" w:cs="Segoe UI"/>
          <w:bCs/>
          <w:sz w:val="18"/>
          <w:szCs w:val="18"/>
        </w:rPr>
        <w:t>.</w:t>
      </w:r>
    </w:p>
    <w:p w14:paraId="6219D290" w14:textId="77777777" w:rsidR="00F11A6D" w:rsidRPr="00F11A6D" w:rsidRDefault="00F11A6D" w:rsidP="00F11A6D">
      <w:pPr>
        <w:spacing w:line="312" w:lineRule="auto"/>
        <w:jc w:val="both"/>
        <w:rPr>
          <w:rFonts w:ascii="Bookman Old Style" w:hAnsi="Bookman Old Style" w:cs="Segoe UI"/>
          <w:b/>
          <w:sz w:val="18"/>
          <w:szCs w:val="18"/>
        </w:rPr>
      </w:pPr>
    </w:p>
    <w:p w14:paraId="36F85290" w14:textId="6714AB07" w:rsidR="00F11A6D" w:rsidRDefault="00F11A6D" w:rsidP="00F11A6D">
      <w:pPr>
        <w:pStyle w:val="PargrafodaLista"/>
        <w:numPr>
          <w:ilvl w:val="0"/>
          <w:numId w:val="3"/>
        </w:num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Das estimativas das quantidades para a contratação, acompanhadas das memórias de cálculo e dos documentos que lhes dão suporte, que considerem interdependências com outras contratações, de modo a possibilitar economia de escala</w:t>
      </w:r>
    </w:p>
    <w:p w14:paraId="46F8E46F" w14:textId="77777777" w:rsidR="00F11A6D" w:rsidRPr="00F11A6D" w:rsidRDefault="00F11A6D" w:rsidP="00F11A6D">
      <w:pPr>
        <w:pStyle w:val="PargrafodaLista"/>
        <w:spacing w:line="312" w:lineRule="auto"/>
        <w:jc w:val="both"/>
        <w:rPr>
          <w:rFonts w:ascii="Bookman Old Style" w:hAnsi="Bookman Old Style" w:cs="Segoe UI"/>
          <w:b/>
          <w:sz w:val="18"/>
          <w:szCs w:val="18"/>
        </w:rPr>
      </w:pPr>
    </w:p>
    <w:p w14:paraId="59468A2C" w14:textId="568C8E17" w:rsidR="00F11A6D" w:rsidRPr="00F11A6D" w:rsidRDefault="00F11A6D" w:rsidP="00F11A6D">
      <w:pPr>
        <w:pStyle w:val="PargrafodaLista"/>
        <w:numPr>
          <w:ilvl w:val="1"/>
          <w:numId w:val="3"/>
        </w:num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As estimativas das quantidades para a contratação são as seguintes:</w:t>
      </w:r>
    </w:p>
    <w:p w14:paraId="5D1054A8" w14:textId="77777777" w:rsidR="00F11A6D" w:rsidRPr="00F11A6D" w:rsidRDefault="00F11A6D" w:rsidP="00F11A6D">
      <w:pPr>
        <w:spacing w:line="312" w:lineRule="auto"/>
        <w:ind w:left="360"/>
        <w:jc w:val="both"/>
        <w:rPr>
          <w:rFonts w:ascii="Bookman Old Style" w:hAnsi="Bookman Old Style" w:cs="Segoe UI"/>
          <w:bCs/>
          <w:sz w:val="18"/>
          <w:szCs w:val="18"/>
        </w:rPr>
      </w:pPr>
    </w:p>
    <w:tbl>
      <w:tblPr>
        <w:tblStyle w:val="Tabelacomgrade"/>
        <w:tblW w:w="0" w:type="auto"/>
        <w:jc w:val="center"/>
        <w:tblLook w:val="04A0" w:firstRow="1" w:lastRow="0" w:firstColumn="1" w:lastColumn="0" w:noHBand="0" w:noVBand="1"/>
      </w:tblPr>
      <w:tblGrid>
        <w:gridCol w:w="713"/>
        <w:gridCol w:w="5551"/>
        <w:gridCol w:w="1073"/>
        <w:gridCol w:w="1682"/>
      </w:tblGrid>
      <w:tr w:rsidR="00F11A6D" w:rsidRPr="00F11A6D" w14:paraId="1AFED30F" w14:textId="77777777" w:rsidTr="00F11A6D">
        <w:trPr>
          <w:jc w:val="center"/>
        </w:trPr>
        <w:tc>
          <w:tcPr>
            <w:tcW w:w="0" w:type="auto"/>
            <w:tcBorders>
              <w:top w:val="single" w:sz="4" w:space="0" w:color="auto"/>
              <w:left w:val="single" w:sz="4" w:space="0" w:color="auto"/>
              <w:bottom w:val="single" w:sz="4" w:space="0" w:color="auto"/>
              <w:right w:val="single" w:sz="4" w:space="0" w:color="auto"/>
            </w:tcBorders>
            <w:hideMark/>
          </w:tcPr>
          <w:p w14:paraId="56619ADC"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ITEM</w:t>
            </w:r>
          </w:p>
        </w:tc>
        <w:tc>
          <w:tcPr>
            <w:tcW w:w="0" w:type="auto"/>
            <w:tcBorders>
              <w:top w:val="single" w:sz="4" w:space="0" w:color="auto"/>
              <w:left w:val="single" w:sz="4" w:space="0" w:color="auto"/>
              <w:bottom w:val="single" w:sz="4" w:space="0" w:color="auto"/>
              <w:right w:val="single" w:sz="4" w:space="0" w:color="auto"/>
            </w:tcBorders>
            <w:hideMark/>
          </w:tcPr>
          <w:p w14:paraId="797EE015"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SERVIÇOS</w:t>
            </w:r>
          </w:p>
        </w:tc>
        <w:tc>
          <w:tcPr>
            <w:tcW w:w="0" w:type="auto"/>
            <w:tcBorders>
              <w:top w:val="single" w:sz="4" w:space="0" w:color="auto"/>
              <w:left w:val="single" w:sz="4" w:space="0" w:color="auto"/>
              <w:bottom w:val="single" w:sz="4" w:space="0" w:color="auto"/>
              <w:right w:val="single" w:sz="4" w:space="0" w:color="auto"/>
            </w:tcBorders>
            <w:hideMark/>
          </w:tcPr>
          <w:p w14:paraId="136770A1"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UNID. DE MEDIDA</w:t>
            </w:r>
          </w:p>
        </w:tc>
        <w:tc>
          <w:tcPr>
            <w:tcW w:w="0" w:type="auto"/>
            <w:tcBorders>
              <w:top w:val="single" w:sz="4" w:space="0" w:color="auto"/>
              <w:left w:val="single" w:sz="4" w:space="0" w:color="auto"/>
              <w:bottom w:val="single" w:sz="4" w:space="0" w:color="auto"/>
              <w:right w:val="single" w:sz="4" w:space="0" w:color="auto"/>
            </w:tcBorders>
            <w:hideMark/>
          </w:tcPr>
          <w:p w14:paraId="025892A7" w14:textId="77777777" w:rsidR="00F11A6D" w:rsidRPr="00F11A6D" w:rsidRDefault="00F11A6D" w:rsidP="00F11A6D">
            <w:pPr>
              <w:spacing w:line="312" w:lineRule="auto"/>
              <w:jc w:val="both"/>
              <w:rPr>
                <w:rFonts w:ascii="Bookman Old Style" w:hAnsi="Bookman Old Style" w:cs="Segoe UI"/>
                <w:b/>
                <w:bCs/>
                <w:sz w:val="18"/>
                <w:szCs w:val="18"/>
                <w:lang w:val="pt-BR"/>
              </w:rPr>
            </w:pPr>
            <w:r w:rsidRPr="00F11A6D">
              <w:rPr>
                <w:rFonts w:ascii="Bookman Old Style" w:hAnsi="Bookman Old Style" w:cs="Segoe UI"/>
                <w:b/>
                <w:bCs/>
                <w:sz w:val="18"/>
                <w:szCs w:val="18"/>
                <w:lang w:val="pt-BR"/>
              </w:rPr>
              <w:t>QUANTITATIVO</w:t>
            </w:r>
          </w:p>
        </w:tc>
      </w:tr>
      <w:tr w:rsidR="00F11A6D" w:rsidRPr="00F11A6D" w14:paraId="656AE7E3" w14:textId="77777777" w:rsidTr="00F11A6D">
        <w:trPr>
          <w:jc w:val="center"/>
        </w:trPr>
        <w:tc>
          <w:tcPr>
            <w:tcW w:w="0" w:type="auto"/>
            <w:tcBorders>
              <w:top w:val="single" w:sz="4" w:space="0" w:color="auto"/>
              <w:left w:val="single" w:sz="4" w:space="0" w:color="auto"/>
              <w:bottom w:val="single" w:sz="4" w:space="0" w:color="auto"/>
              <w:right w:val="single" w:sz="4" w:space="0" w:color="auto"/>
            </w:tcBorders>
            <w:hideMark/>
          </w:tcPr>
          <w:p w14:paraId="3CF39761" w14:textId="77777777" w:rsidR="00F11A6D" w:rsidRPr="00F11A6D" w:rsidRDefault="00F11A6D" w:rsidP="00F11A6D">
            <w:pPr>
              <w:spacing w:line="312" w:lineRule="auto"/>
              <w:jc w:val="both"/>
              <w:rPr>
                <w:rFonts w:ascii="Bookman Old Style" w:hAnsi="Bookman Old Style" w:cs="Segoe UI"/>
                <w:bCs/>
                <w:sz w:val="18"/>
                <w:szCs w:val="18"/>
                <w:lang w:val="pt-BR"/>
              </w:rPr>
            </w:pPr>
            <w:r w:rsidRPr="00F11A6D">
              <w:rPr>
                <w:rFonts w:ascii="Bookman Old Style" w:hAnsi="Bookman Old Style" w:cs="Segoe UI"/>
                <w:bCs/>
                <w:sz w:val="18"/>
                <w:szCs w:val="18"/>
                <w:lang w:val="pt-BR"/>
              </w:rPr>
              <w:t>01</w:t>
            </w:r>
          </w:p>
        </w:tc>
        <w:tc>
          <w:tcPr>
            <w:tcW w:w="0" w:type="auto"/>
            <w:tcBorders>
              <w:top w:val="single" w:sz="4" w:space="0" w:color="auto"/>
              <w:left w:val="single" w:sz="4" w:space="0" w:color="auto"/>
              <w:bottom w:val="single" w:sz="4" w:space="0" w:color="auto"/>
              <w:right w:val="single" w:sz="4" w:space="0" w:color="auto"/>
            </w:tcBorders>
            <w:hideMark/>
          </w:tcPr>
          <w:p w14:paraId="6803462B" w14:textId="154DAE6D" w:rsidR="00F11A6D" w:rsidRPr="00530929" w:rsidRDefault="00530929" w:rsidP="00530929">
            <w:pPr>
              <w:pStyle w:val="NormalWeb"/>
              <w:ind w:hanging="2"/>
              <w:jc w:val="both"/>
            </w:pPr>
            <w:r>
              <w:rPr>
                <w:b/>
                <w:bCs/>
                <w:color w:val="000000"/>
              </w:rPr>
              <w:t xml:space="preserve">MÉDICO DO TRABALHO </w:t>
            </w:r>
            <w:r>
              <w:rPr>
                <w:color w:val="000000"/>
              </w:rPr>
              <w:t>com RQE (Registro de qualificação de especialista) atua na prevenção, diagnóstico e tratamento de doenças relacionadas ao trabalho. Sua função principal é proteger a saúde dos trabalhadores, identificando riscos ocupacionais e implementando medidas para minimizar esses riscos.  1. Consulta de Admissão: Avaliação da saúde do trabalhador antes de iniciar uma nova atividade laboral. 2. Consulta de Periódica: Avaliação regular da saúde do trabalhador para detectar possíveis problemas de saúde relacionados ao trabalho. 3. Consulta de Retorno ao Trabalho: Avaliação da saúde do trabalhador após uma ausência por doença ou acidente de trabalho. 4. Consulta de Mudança de Função: Avaliação da saúde do trabalhador antes de assumir uma nova função ou tarefa. 5. Consulta de Demissão: Avaliação da saúde do trabalhador antes da demissão. 6. Consultas de Orientação junto a gestão: Orientação sobre saúde e segurança no trabalho para trabalhadores e empregadores.7.  Homologação Atestado: Avaliará atestados médicos fornecidos por outros médicos do município previamente acordado, para abonar a falta e avaliar veracidade do mesmo e periodicidade junto ao Rh. 8. O período de duração de cada serviço será de 4 horas, sendo 2 atendimentos semanais.</w:t>
            </w:r>
          </w:p>
        </w:tc>
        <w:tc>
          <w:tcPr>
            <w:tcW w:w="0" w:type="auto"/>
            <w:tcBorders>
              <w:top w:val="single" w:sz="4" w:space="0" w:color="auto"/>
              <w:left w:val="single" w:sz="4" w:space="0" w:color="auto"/>
              <w:bottom w:val="single" w:sz="4" w:space="0" w:color="auto"/>
              <w:right w:val="single" w:sz="4" w:space="0" w:color="auto"/>
            </w:tcBorders>
            <w:hideMark/>
          </w:tcPr>
          <w:p w14:paraId="60A7C8F8" w14:textId="71F491C7" w:rsidR="00F11A6D" w:rsidRPr="00F11A6D" w:rsidRDefault="00530929" w:rsidP="00F11A6D">
            <w:pPr>
              <w:spacing w:line="312" w:lineRule="auto"/>
              <w:jc w:val="both"/>
              <w:rPr>
                <w:rFonts w:ascii="Bookman Old Style" w:hAnsi="Bookman Old Style" w:cs="Segoe UI"/>
                <w:bCs/>
                <w:sz w:val="18"/>
                <w:szCs w:val="18"/>
                <w:lang w:val="pt-BR"/>
              </w:rPr>
            </w:pPr>
            <w:r>
              <w:rPr>
                <w:rFonts w:ascii="Bookman Old Style" w:hAnsi="Bookman Old Style" w:cs="Segoe UI"/>
                <w:bCs/>
                <w:sz w:val="18"/>
                <w:szCs w:val="18"/>
                <w:lang w:val="pt-BR"/>
              </w:rPr>
              <w:t>Serv.</w:t>
            </w:r>
          </w:p>
        </w:tc>
        <w:tc>
          <w:tcPr>
            <w:tcW w:w="0" w:type="auto"/>
            <w:tcBorders>
              <w:top w:val="single" w:sz="4" w:space="0" w:color="auto"/>
              <w:left w:val="single" w:sz="4" w:space="0" w:color="auto"/>
              <w:bottom w:val="single" w:sz="4" w:space="0" w:color="auto"/>
              <w:right w:val="single" w:sz="4" w:space="0" w:color="auto"/>
            </w:tcBorders>
            <w:hideMark/>
          </w:tcPr>
          <w:p w14:paraId="1FD5BAC5" w14:textId="108210BC" w:rsidR="00F11A6D" w:rsidRPr="00F11A6D" w:rsidRDefault="00530929" w:rsidP="00F11A6D">
            <w:pPr>
              <w:spacing w:line="312" w:lineRule="auto"/>
              <w:jc w:val="both"/>
              <w:rPr>
                <w:rFonts w:ascii="Bookman Old Style" w:hAnsi="Bookman Old Style" w:cs="Segoe UI"/>
                <w:bCs/>
                <w:sz w:val="18"/>
                <w:szCs w:val="18"/>
                <w:lang w:val="pt-BR"/>
              </w:rPr>
            </w:pPr>
            <w:r>
              <w:rPr>
                <w:rFonts w:ascii="Bookman Old Style" w:hAnsi="Bookman Old Style" w:cs="Segoe UI"/>
                <w:bCs/>
                <w:sz w:val="18"/>
                <w:szCs w:val="18"/>
                <w:lang w:val="pt-BR"/>
              </w:rPr>
              <w:t>104</w:t>
            </w:r>
          </w:p>
        </w:tc>
      </w:tr>
    </w:tbl>
    <w:p w14:paraId="00723799" w14:textId="77777777" w:rsidR="00F11A6D" w:rsidRPr="00F11A6D" w:rsidRDefault="00F11A6D" w:rsidP="00F11A6D">
      <w:pPr>
        <w:spacing w:line="312" w:lineRule="auto"/>
        <w:jc w:val="both"/>
        <w:rPr>
          <w:rFonts w:ascii="Bookman Old Style" w:hAnsi="Bookman Old Style" w:cs="Segoe UI"/>
          <w:bCs/>
          <w:sz w:val="18"/>
          <w:szCs w:val="18"/>
        </w:rPr>
      </w:pPr>
    </w:p>
    <w:p w14:paraId="633EFFE1" w14:textId="77777777" w:rsidR="00F11A6D" w:rsidRPr="00F11A6D" w:rsidRDefault="00F11A6D" w:rsidP="00F11A6D">
      <w:pPr>
        <w:spacing w:line="312" w:lineRule="auto"/>
        <w:jc w:val="both"/>
        <w:rPr>
          <w:rFonts w:ascii="Bookman Old Style" w:hAnsi="Bookman Old Style" w:cs="Segoe UI"/>
          <w:b/>
          <w:sz w:val="18"/>
          <w:szCs w:val="18"/>
        </w:rPr>
      </w:pPr>
    </w:p>
    <w:p w14:paraId="02EB3A6D" w14:textId="77777777"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lastRenderedPageBreak/>
        <w:t>4.2. Considerando que se trata de serviço comum não há memórias de cálculo e outros documentos.</w:t>
      </w:r>
    </w:p>
    <w:p w14:paraId="152D195A" w14:textId="77777777" w:rsidR="00F11A6D" w:rsidRPr="00F11A6D" w:rsidRDefault="00F11A6D" w:rsidP="00F11A6D">
      <w:pPr>
        <w:spacing w:line="312" w:lineRule="auto"/>
        <w:jc w:val="both"/>
        <w:rPr>
          <w:rFonts w:ascii="Bookman Old Style" w:hAnsi="Bookman Old Style" w:cs="Segoe UI"/>
          <w:b/>
          <w:sz w:val="18"/>
          <w:szCs w:val="18"/>
        </w:rPr>
      </w:pPr>
    </w:p>
    <w:p w14:paraId="162551E0" w14:textId="206E7BB9" w:rsidR="009B79D8" w:rsidRPr="009B79D8" w:rsidRDefault="00F11A6D" w:rsidP="009B79D8">
      <w:pPr>
        <w:pStyle w:val="PargrafodaLista"/>
        <w:numPr>
          <w:ilvl w:val="0"/>
          <w:numId w:val="3"/>
        </w:numPr>
        <w:spacing w:line="312" w:lineRule="auto"/>
        <w:jc w:val="both"/>
        <w:rPr>
          <w:rFonts w:ascii="Bookman Old Style" w:hAnsi="Bookman Old Style" w:cs="Segoe UI"/>
          <w:b/>
          <w:sz w:val="18"/>
          <w:szCs w:val="18"/>
        </w:rPr>
      </w:pPr>
      <w:r w:rsidRPr="009B79D8">
        <w:rPr>
          <w:rFonts w:ascii="Bookman Old Style" w:hAnsi="Bookman Old Style" w:cs="Segoe UI"/>
          <w:b/>
          <w:sz w:val="18"/>
          <w:szCs w:val="18"/>
        </w:rPr>
        <w:t>Do levantamento de mercado, que consiste na análise das alternativas possíveis, e justificativa técnica e econômica da escolha do tipo de solução a contratar</w:t>
      </w:r>
    </w:p>
    <w:p w14:paraId="4325CEDF"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5.1. Após levantamento de mercado, identificaram-se as seguintes alternativas possíveis:</w:t>
      </w:r>
    </w:p>
    <w:p w14:paraId="1C7E23FF" w14:textId="77777777" w:rsidR="00530929" w:rsidRPr="00530929" w:rsidRDefault="00530929" w:rsidP="00530929">
      <w:pPr>
        <w:spacing w:line="312" w:lineRule="auto"/>
        <w:jc w:val="both"/>
        <w:rPr>
          <w:rFonts w:ascii="Bookman Old Style" w:hAnsi="Bookman Old Style" w:cs="Segoe UI"/>
          <w:bCs/>
          <w:sz w:val="18"/>
          <w:szCs w:val="18"/>
        </w:rPr>
      </w:pPr>
    </w:p>
    <w:p w14:paraId="2E379F17" w14:textId="77777777" w:rsidR="00530929" w:rsidRPr="00530929" w:rsidRDefault="00530929" w:rsidP="00530929">
      <w:pPr>
        <w:pStyle w:val="PargrafodaLista"/>
        <w:numPr>
          <w:ilvl w:val="0"/>
          <w:numId w:val="4"/>
        </w:num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contratação direta de empresa única para execução integral dos serviços de Medicina do Trabalho;</w:t>
      </w:r>
    </w:p>
    <w:p w14:paraId="26DF0AB3" w14:textId="77777777" w:rsidR="00530929" w:rsidRPr="00530929" w:rsidRDefault="00530929" w:rsidP="00530929">
      <w:pPr>
        <w:spacing w:line="312" w:lineRule="auto"/>
        <w:jc w:val="both"/>
        <w:rPr>
          <w:rFonts w:ascii="Bookman Old Style" w:hAnsi="Bookman Old Style" w:cs="Segoe UI"/>
          <w:bCs/>
          <w:sz w:val="18"/>
          <w:szCs w:val="18"/>
        </w:rPr>
      </w:pPr>
    </w:p>
    <w:p w14:paraId="55AA4A98" w14:textId="77777777" w:rsidR="00530929" w:rsidRPr="00530929" w:rsidRDefault="00530929" w:rsidP="00530929">
      <w:pPr>
        <w:pStyle w:val="PargrafodaLista"/>
        <w:numPr>
          <w:ilvl w:val="0"/>
          <w:numId w:val="4"/>
        </w:num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realização de licitação convencional, por meio de pregão ou concorrência, para selecionar uma única prestadora.</w:t>
      </w:r>
    </w:p>
    <w:p w14:paraId="00FC93B2" w14:textId="77777777" w:rsidR="00530929" w:rsidRPr="00530929" w:rsidRDefault="00530929" w:rsidP="00530929">
      <w:pPr>
        <w:spacing w:line="312" w:lineRule="auto"/>
        <w:jc w:val="both"/>
        <w:rPr>
          <w:rFonts w:ascii="Bookman Old Style" w:hAnsi="Bookman Old Style" w:cs="Segoe UI"/>
          <w:bCs/>
          <w:sz w:val="18"/>
          <w:szCs w:val="18"/>
        </w:rPr>
      </w:pPr>
    </w:p>
    <w:p w14:paraId="74BACB68" w14:textId="77777777" w:rsidR="00530929" w:rsidRPr="00530929" w:rsidRDefault="00530929" w:rsidP="00530929">
      <w:pPr>
        <w:pStyle w:val="PargrafodaLista"/>
        <w:numPr>
          <w:ilvl w:val="0"/>
          <w:numId w:val="4"/>
        </w:num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Tendo em vista as peculiaridades do objeto e o interesse público, foi escolhida como tipo de solução a ser adotada o credenciamento de pessoas jurídicas especializadas em Medicina do Trabalho, garantindo-se a participação paralela e não excludente de diversas clínicas e profissionais habilitados.</w:t>
      </w:r>
    </w:p>
    <w:p w14:paraId="3D1A5A61" w14:textId="77777777" w:rsidR="00530929" w:rsidRPr="00530929" w:rsidRDefault="00530929" w:rsidP="00530929">
      <w:pPr>
        <w:spacing w:line="312" w:lineRule="auto"/>
        <w:jc w:val="both"/>
        <w:rPr>
          <w:rFonts w:ascii="Bookman Old Style" w:hAnsi="Bookman Old Style" w:cs="Segoe UI"/>
          <w:bCs/>
          <w:sz w:val="18"/>
          <w:szCs w:val="18"/>
        </w:rPr>
      </w:pPr>
    </w:p>
    <w:p w14:paraId="370A1B86"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5.1.1. A justificativa técnica da escolha do credenciamento decorre da necessidade de assegurar a ampla cobertura dos exames ocupacionais obrigatórios (admissionais, periódicos, de retorno ao trabalho, de mudança de função e demissionais), com disponibilidade contínua, maior flexibilidade de horários e possibilidade de atendimento por múltiplos prestadores, de forma a evitar descontinuidade no acompanhamento da saúde dos servidores. Essa solução também permite atender com mais rapidez às demandas urgentes, reduzindo riscos à saúde ocupacional e ao cumprimento das normas trabalhistas e previdenciárias.</w:t>
      </w:r>
    </w:p>
    <w:p w14:paraId="19CEA6D1" w14:textId="77777777" w:rsidR="00530929" w:rsidRPr="00530929" w:rsidRDefault="00530929" w:rsidP="00530929">
      <w:pPr>
        <w:spacing w:line="312" w:lineRule="auto"/>
        <w:jc w:val="both"/>
        <w:rPr>
          <w:rFonts w:ascii="Bookman Old Style" w:hAnsi="Bookman Old Style" w:cs="Segoe UI"/>
          <w:bCs/>
          <w:sz w:val="18"/>
          <w:szCs w:val="18"/>
        </w:rPr>
      </w:pPr>
    </w:p>
    <w:p w14:paraId="775965FC" w14:textId="27E2702D" w:rsidR="009B79D8"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5.1.2. A justificativa econômica da escolha do credenciamento está fundamentada no fato de que o modelo permite a fixação de um preço-teto de referência, previamente definido pela Administração a partir de pesquisa de mercado, assegurando o controle orçamentário e a economicidade. Ademais, como a remuneração ocorrerá apenas pelos plantões efetivamente realizados e atestados, o Município não assume obrigação de consumo mínimo, eliminando custos desnecessários e reduzindo a possibilidade de onerar os cofres públicos com serviços não utilizados.</w:t>
      </w:r>
    </w:p>
    <w:p w14:paraId="6492E9C2" w14:textId="77777777" w:rsidR="00530929" w:rsidRPr="00F11A6D" w:rsidRDefault="00530929" w:rsidP="00530929">
      <w:pPr>
        <w:spacing w:line="312" w:lineRule="auto"/>
        <w:jc w:val="both"/>
        <w:rPr>
          <w:rFonts w:ascii="Bookman Old Style" w:hAnsi="Bookman Old Style" w:cs="Segoe UI"/>
          <w:b/>
          <w:sz w:val="18"/>
          <w:szCs w:val="18"/>
        </w:rPr>
      </w:pPr>
    </w:p>
    <w:p w14:paraId="6DB0D9EC"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9684C56" w14:textId="77777777" w:rsidR="009B79D8" w:rsidRDefault="009B79D8" w:rsidP="00F11A6D">
      <w:pPr>
        <w:spacing w:line="312" w:lineRule="auto"/>
        <w:jc w:val="both"/>
        <w:rPr>
          <w:rFonts w:ascii="Bookman Old Style" w:hAnsi="Bookman Old Style" w:cs="Segoe UI"/>
          <w:bCs/>
          <w:sz w:val="18"/>
          <w:szCs w:val="18"/>
        </w:rPr>
      </w:pPr>
    </w:p>
    <w:p w14:paraId="34A51D95" w14:textId="498D3648"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6.1. A estimativa do valor da contratação administrativa será calculada na etapa subsequente deste processo administrativo (art. 23 c/c inciso II do art. 72 da Lei nº. 14.133/2021).</w:t>
      </w:r>
    </w:p>
    <w:p w14:paraId="3D6CB7DE" w14:textId="77777777" w:rsidR="00F11A6D" w:rsidRPr="00F11A6D" w:rsidRDefault="00F11A6D" w:rsidP="00F11A6D">
      <w:pPr>
        <w:spacing w:line="312" w:lineRule="auto"/>
        <w:jc w:val="both"/>
        <w:rPr>
          <w:rFonts w:ascii="Bookman Old Style" w:hAnsi="Bookman Old Style" w:cs="Segoe UI"/>
          <w:b/>
          <w:sz w:val="18"/>
          <w:szCs w:val="18"/>
        </w:rPr>
      </w:pPr>
    </w:p>
    <w:p w14:paraId="0ED69838" w14:textId="77777777" w:rsid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7. Da descrição da solução como um todo, inclusive das exigências relacionadas à manutenção e à assistência técnica, quando for o caso</w:t>
      </w:r>
    </w:p>
    <w:p w14:paraId="4E653C2B" w14:textId="77777777" w:rsidR="009B79D8" w:rsidRPr="00F11A6D" w:rsidRDefault="009B79D8" w:rsidP="00F11A6D">
      <w:pPr>
        <w:spacing w:line="312" w:lineRule="auto"/>
        <w:jc w:val="both"/>
        <w:rPr>
          <w:rFonts w:ascii="Bookman Old Style" w:hAnsi="Bookman Old Style" w:cs="Segoe UI"/>
          <w:b/>
          <w:sz w:val="18"/>
          <w:szCs w:val="18"/>
        </w:rPr>
      </w:pPr>
    </w:p>
    <w:p w14:paraId="70215CDE"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7.1. A solução proposta compreende o credenciamento de pessoas jurídicas especializadas em Medicina do Trabalho, com responsável técnico médico devidamente registrado no CRM e com RQE em Medicina do Trabalho, para execução do Programa de Controle Médico de Saúde Ocupacional – PCMSO, nos termos da NR-7.</w:t>
      </w:r>
    </w:p>
    <w:p w14:paraId="4AF4B712" w14:textId="77777777" w:rsidR="00530929" w:rsidRPr="00530929" w:rsidRDefault="00530929" w:rsidP="00530929">
      <w:pPr>
        <w:spacing w:line="312" w:lineRule="auto"/>
        <w:jc w:val="both"/>
        <w:rPr>
          <w:rFonts w:ascii="Bookman Old Style" w:hAnsi="Bookman Old Style" w:cs="Segoe UI"/>
          <w:bCs/>
          <w:sz w:val="18"/>
          <w:szCs w:val="18"/>
        </w:rPr>
      </w:pPr>
    </w:p>
    <w:p w14:paraId="29200249"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7.2. O ciclo de vida do objeto abrange: (i) publicação do edital de chamamento público; (ii) apresentação da documentação de habilitação e qualificação técnica pelas interessadas; (iii) análise e deferimento dos pedidos de credenciamento; (iv) assinatura dos termos de credenciamento; (v) execução periódica dos serviços contratados mediante agendamento e convocação; (vi) emissão de relatórios médicos e administrativos; e (vii) avaliação da execução por parte do gestor e fiscal do contrato.</w:t>
      </w:r>
    </w:p>
    <w:p w14:paraId="4C046EB4" w14:textId="77777777" w:rsidR="00530929" w:rsidRPr="00530929" w:rsidRDefault="00530929" w:rsidP="00530929">
      <w:pPr>
        <w:spacing w:line="312" w:lineRule="auto"/>
        <w:jc w:val="both"/>
        <w:rPr>
          <w:rFonts w:ascii="Bookman Old Style" w:hAnsi="Bookman Old Style" w:cs="Segoe UI"/>
          <w:bCs/>
          <w:sz w:val="18"/>
          <w:szCs w:val="18"/>
        </w:rPr>
      </w:pPr>
    </w:p>
    <w:p w14:paraId="6117D478"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7.3. A execução contratual contemplará a realização de exames ocupacionais admissionais, periódicos, de retorno ao trabalho, de mudança de função e demissionais, bem como homologação de atestados médicos, emissão de Atestados de Saúde Ocupacional (ASO), elaboração de relatórios anuais do PCMSO e assessoramento técnico à Administração.</w:t>
      </w:r>
    </w:p>
    <w:p w14:paraId="6A3EDAB4" w14:textId="77777777" w:rsidR="00530929" w:rsidRPr="00530929" w:rsidRDefault="00530929" w:rsidP="00530929">
      <w:pPr>
        <w:spacing w:line="312" w:lineRule="auto"/>
        <w:jc w:val="both"/>
        <w:rPr>
          <w:rFonts w:ascii="Bookman Old Style" w:hAnsi="Bookman Old Style" w:cs="Segoe UI"/>
          <w:bCs/>
          <w:sz w:val="18"/>
          <w:szCs w:val="18"/>
        </w:rPr>
      </w:pPr>
    </w:p>
    <w:p w14:paraId="085926CD"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7.4. As empresas credenciadas deverão assegurar a disponibilidade de estrutura física adequada para realização dos atendimentos, devendo manter consultórios em conformidade com as normas sanitárias vigentes, além de prover equipe de apoio administrativo capaz de organizar agendas, prontuários e relatórios.</w:t>
      </w:r>
    </w:p>
    <w:p w14:paraId="5F32402A" w14:textId="77777777" w:rsidR="00530929" w:rsidRPr="00530929" w:rsidRDefault="00530929" w:rsidP="00530929">
      <w:pPr>
        <w:spacing w:line="312" w:lineRule="auto"/>
        <w:jc w:val="both"/>
        <w:rPr>
          <w:rFonts w:ascii="Bookman Old Style" w:hAnsi="Bookman Old Style" w:cs="Segoe UI"/>
          <w:bCs/>
          <w:sz w:val="18"/>
          <w:szCs w:val="18"/>
        </w:rPr>
      </w:pPr>
    </w:p>
    <w:p w14:paraId="25D48638"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7.5. As exigências de manutenção e assistência técnica relacionam-se à garantia de funcionamento contínuo dos sistemas de gestão médica adotados pelas empresas credenciadas, especialmente no tocante ao armazenamento digital seguro de prontuários médicos, emissão de relatórios compatíveis com o eSocial (evento S-2220) e preservação da integridade dos dados, de acordo com a Lei Geral de Proteção de Dados – LGPD (Lei nº 13.709/2018).</w:t>
      </w:r>
    </w:p>
    <w:p w14:paraId="652DC897" w14:textId="77777777" w:rsidR="00530929" w:rsidRPr="00530929" w:rsidRDefault="00530929" w:rsidP="00530929">
      <w:pPr>
        <w:spacing w:line="312" w:lineRule="auto"/>
        <w:jc w:val="both"/>
        <w:rPr>
          <w:rFonts w:ascii="Bookman Old Style" w:hAnsi="Bookman Old Style" w:cs="Segoe UI"/>
          <w:bCs/>
          <w:sz w:val="18"/>
          <w:szCs w:val="18"/>
        </w:rPr>
      </w:pPr>
    </w:p>
    <w:p w14:paraId="2875362D" w14:textId="77777777" w:rsidR="00530929" w:rsidRPr="00530929"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7.6. Em caso de utilização de equipamentos de apoio diagnóstico (como audiômetros, espirômetros ou aparelhos de acuidade visual), a empresa credenciada deverá assegurar a manutenção preventiva e corretiva dos mesmos, responsabilizando-se pela calibração periódica e pelo cumprimento das normas técnicas de funcionamento e segurança.</w:t>
      </w:r>
    </w:p>
    <w:p w14:paraId="33AC36B6" w14:textId="77777777" w:rsidR="00530929" w:rsidRPr="00530929" w:rsidRDefault="00530929" w:rsidP="00530929">
      <w:pPr>
        <w:spacing w:line="312" w:lineRule="auto"/>
        <w:jc w:val="both"/>
        <w:rPr>
          <w:rFonts w:ascii="Bookman Old Style" w:hAnsi="Bookman Old Style" w:cs="Segoe UI"/>
          <w:bCs/>
          <w:sz w:val="18"/>
          <w:szCs w:val="18"/>
        </w:rPr>
      </w:pPr>
    </w:p>
    <w:p w14:paraId="600BD649" w14:textId="70BBC034" w:rsidR="009B79D8" w:rsidRDefault="00530929" w:rsidP="00530929">
      <w:pPr>
        <w:spacing w:line="312" w:lineRule="auto"/>
        <w:jc w:val="both"/>
        <w:rPr>
          <w:rFonts w:ascii="Bookman Old Style" w:hAnsi="Bookman Old Style" w:cs="Segoe UI"/>
          <w:bCs/>
          <w:sz w:val="18"/>
          <w:szCs w:val="18"/>
        </w:rPr>
      </w:pPr>
      <w:r w:rsidRPr="00530929">
        <w:rPr>
          <w:rFonts w:ascii="Bookman Old Style" w:hAnsi="Bookman Old Style" w:cs="Segoe UI"/>
          <w:bCs/>
          <w:sz w:val="18"/>
          <w:szCs w:val="18"/>
        </w:rPr>
        <w:t>7.7. A solução como um todo garante não apenas a conformidade legal e regulatória, mas também a continuidade e a confiabilidade dos serviços, assegurando ao Município de Conceição de Ipanema/MG uma rede de prestadores apta a atender às demandas de saúde ocupacional dos servidores de forma eficiente, transparente e economicamente vantajosa.</w:t>
      </w:r>
    </w:p>
    <w:p w14:paraId="6385FBF5" w14:textId="77777777" w:rsidR="00530929" w:rsidRPr="00F11A6D" w:rsidRDefault="00530929" w:rsidP="00530929">
      <w:pPr>
        <w:spacing w:line="312" w:lineRule="auto"/>
        <w:jc w:val="both"/>
        <w:rPr>
          <w:rFonts w:ascii="Bookman Old Style" w:hAnsi="Bookman Old Style" w:cs="Segoe UI"/>
          <w:b/>
          <w:sz w:val="18"/>
          <w:szCs w:val="18"/>
        </w:rPr>
      </w:pPr>
    </w:p>
    <w:p w14:paraId="3C6AE19F"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8. Da justificativa para o parcelamento ou não da contratação</w:t>
      </w:r>
    </w:p>
    <w:p w14:paraId="0E3D2340" w14:textId="77777777" w:rsidR="00D90A78" w:rsidRDefault="00D90A78" w:rsidP="00D90A78">
      <w:pPr>
        <w:spacing w:line="312" w:lineRule="auto"/>
        <w:jc w:val="both"/>
        <w:rPr>
          <w:rFonts w:ascii="Bookman Old Style" w:hAnsi="Bookman Old Style" w:cs="Segoe UI"/>
          <w:bCs/>
          <w:sz w:val="18"/>
          <w:szCs w:val="18"/>
        </w:rPr>
      </w:pPr>
    </w:p>
    <w:p w14:paraId="30C74D61" w14:textId="77777777" w:rsidR="002B0512" w:rsidRPr="002B0512"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 xml:space="preserve">8.1. O parcelamento não será adotado, pois o objeto a ser contratado configura um sistema único e integrado de serviços de Medicina do Trabalho, que deve ser prestado de maneira padronizada e contínua, em conformidade com as diretrizes da NR-7 (PCMSO). A fragmentação da contratação em </w:t>
      </w:r>
      <w:r w:rsidRPr="002B0512">
        <w:rPr>
          <w:rFonts w:ascii="Bookman Old Style" w:hAnsi="Bookman Old Style" w:cs="Segoe UI"/>
          <w:bCs/>
          <w:sz w:val="18"/>
          <w:szCs w:val="18"/>
        </w:rPr>
        <w:lastRenderedPageBreak/>
        <w:t>lotes distintos poderia comprometer a integralidade do acompanhamento médico ocupacional dos servidores, trazendo risco ao conjunto do objeto pretendido.</w:t>
      </w:r>
    </w:p>
    <w:p w14:paraId="68F061C5" w14:textId="77777777" w:rsidR="002B0512" w:rsidRPr="002B0512" w:rsidRDefault="002B0512" w:rsidP="002B0512">
      <w:pPr>
        <w:spacing w:line="312" w:lineRule="auto"/>
        <w:jc w:val="both"/>
        <w:rPr>
          <w:rFonts w:ascii="Bookman Old Style" w:hAnsi="Bookman Old Style" w:cs="Segoe UI"/>
          <w:bCs/>
          <w:sz w:val="18"/>
          <w:szCs w:val="18"/>
        </w:rPr>
      </w:pPr>
    </w:p>
    <w:p w14:paraId="68E3B31B" w14:textId="77777777" w:rsidR="002B0512" w:rsidRPr="002B0512"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8.1.1. Além disso, a adoção de um modelo unificado de credenciamento possibilita redução de custos de gestão contratual, ao centralizar a fiscalização em condições técnicas e econômicas previamente estabelecidas, evitando multiplicidade de regras e controles distintos para serviços que, por sua natureza, são interdependentes.</w:t>
      </w:r>
    </w:p>
    <w:p w14:paraId="025B0C45" w14:textId="77777777" w:rsidR="002B0512" w:rsidRPr="002B0512" w:rsidRDefault="002B0512" w:rsidP="002B0512">
      <w:pPr>
        <w:spacing w:line="312" w:lineRule="auto"/>
        <w:jc w:val="both"/>
        <w:rPr>
          <w:rFonts w:ascii="Bookman Old Style" w:hAnsi="Bookman Old Style" w:cs="Segoe UI"/>
          <w:bCs/>
          <w:sz w:val="18"/>
          <w:szCs w:val="18"/>
        </w:rPr>
      </w:pPr>
    </w:p>
    <w:p w14:paraId="2EF28FCC" w14:textId="79F27766" w:rsidR="00D90A78"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8.1.2. A solução também garante maior vantagem administrativa e econômica, uma vez que o credenciamento assegura a participação paralela de diversas clínicas e profissionais sob o mesmo padrão de qualidade e preço-teto, ampliando a rede de atendimento sem a necessidade de dividir a contratação em lotes.</w:t>
      </w:r>
    </w:p>
    <w:p w14:paraId="2F73D76A" w14:textId="77777777" w:rsidR="002B0512" w:rsidRPr="00F11A6D" w:rsidRDefault="002B0512" w:rsidP="002B0512">
      <w:pPr>
        <w:spacing w:line="312" w:lineRule="auto"/>
        <w:jc w:val="both"/>
        <w:rPr>
          <w:rFonts w:ascii="Bookman Old Style" w:hAnsi="Bookman Old Style" w:cs="Segoe UI"/>
          <w:b/>
          <w:sz w:val="18"/>
          <w:szCs w:val="18"/>
        </w:rPr>
      </w:pPr>
    </w:p>
    <w:p w14:paraId="3DFCA7A6" w14:textId="77777777" w:rsid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9. Do demonstrativo dos resultados pretendidos em termo de economicidade e de melhor aproveitamento dos recursos humanos, materiais e financeiros disponíveis</w:t>
      </w:r>
    </w:p>
    <w:p w14:paraId="7403EA68" w14:textId="77777777" w:rsidR="002B0512" w:rsidRPr="00F11A6D" w:rsidRDefault="002B0512" w:rsidP="00F11A6D">
      <w:pPr>
        <w:spacing w:line="312" w:lineRule="auto"/>
        <w:jc w:val="both"/>
        <w:rPr>
          <w:rFonts w:ascii="Bookman Old Style" w:hAnsi="Bookman Old Style" w:cs="Segoe UI"/>
          <w:b/>
          <w:sz w:val="18"/>
          <w:szCs w:val="18"/>
        </w:rPr>
      </w:pPr>
    </w:p>
    <w:p w14:paraId="3245D1BD" w14:textId="77777777" w:rsidR="002B0512" w:rsidRPr="002B0512"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9.1. A adoção do credenciamento para serviços de Medicina do Trabalho proporcionará significativa economicidade à Administração, uma vez que o pagamento se dará exclusivamente pelos plantões efetivamente realizados e atestados pela fiscalização, sem previsão de consumo mínimo obrigatório. Dessa forma, eliminam-se gastos desnecessários e preservam-se os recursos públicos, alinhando a execução contratual ao princípio da eficiência previsto no art. 37 da Constituição Federal.</w:t>
      </w:r>
    </w:p>
    <w:p w14:paraId="3B8C11A2" w14:textId="77777777" w:rsidR="002B0512" w:rsidRPr="002B0512" w:rsidRDefault="002B0512" w:rsidP="002B0512">
      <w:pPr>
        <w:spacing w:line="312" w:lineRule="auto"/>
        <w:jc w:val="both"/>
        <w:rPr>
          <w:rFonts w:ascii="Bookman Old Style" w:hAnsi="Bookman Old Style" w:cs="Segoe UI"/>
          <w:bCs/>
          <w:sz w:val="18"/>
          <w:szCs w:val="18"/>
        </w:rPr>
      </w:pPr>
    </w:p>
    <w:p w14:paraId="078D42C1" w14:textId="77777777" w:rsidR="002B0512" w:rsidRPr="002B0512"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9.2. Do ponto de vista dos recursos humanos, a medida permitirá que os servidores municipais sejam monitorados de forma regular e preventiva, reduzindo afastamentos por motivos de saúde ocupacional e garantindo maior produtividade no ambiente de trabalho. A disponibilidade de médicos do trabalho habilitados para realização de exames admissionais, periódicos, de retorno ao trabalho, de mudança de função e demissionais gera maior segurança jurídica e funcional para a Administração.</w:t>
      </w:r>
    </w:p>
    <w:p w14:paraId="5146A3DA" w14:textId="77777777" w:rsidR="002B0512" w:rsidRPr="002B0512" w:rsidRDefault="002B0512" w:rsidP="002B0512">
      <w:pPr>
        <w:spacing w:line="312" w:lineRule="auto"/>
        <w:jc w:val="both"/>
        <w:rPr>
          <w:rFonts w:ascii="Bookman Old Style" w:hAnsi="Bookman Old Style" w:cs="Segoe UI"/>
          <w:bCs/>
          <w:sz w:val="18"/>
          <w:szCs w:val="18"/>
        </w:rPr>
      </w:pPr>
    </w:p>
    <w:p w14:paraId="1E08D5D0" w14:textId="77777777" w:rsidR="002B0512" w:rsidRPr="002B0512"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9.3. Em relação ao aproveitamento dos recursos materiais, a contratação possibilitará que os serviços de saúde ocupacional sejam prestados em infraestrutura já disponibilizada pelas empresas credenciadas, reduzindo a necessidade de investimentos próprios do Município em equipamentos especializados e consultórios médicos. Essa medida evita duplicidade de despesas e maximiza a utilização da rede existente no mercado regional.</w:t>
      </w:r>
    </w:p>
    <w:p w14:paraId="53FF4A74" w14:textId="77777777" w:rsidR="002B0512" w:rsidRPr="002B0512" w:rsidRDefault="002B0512" w:rsidP="002B0512">
      <w:pPr>
        <w:spacing w:line="312" w:lineRule="auto"/>
        <w:jc w:val="both"/>
        <w:rPr>
          <w:rFonts w:ascii="Bookman Old Style" w:hAnsi="Bookman Old Style" w:cs="Segoe UI"/>
          <w:bCs/>
          <w:sz w:val="18"/>
          <w:szCs w:val="18"/>
        </w:rPr>
      </w:pPr>
    </w:p>
    <w:p w14:paraId="03D81F55" w14:textId="77777777" w:rsidR="002B0512" w:rsidRPr="002B0512" w:rsidRDefault="002B0512" w:rsidP="002B0512">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9.4. Quanto aos recursos financeiros, o credenciamento com preço-teto previamente definido assegura previsibilidade orçamentária e controle dos gastos, evitando sobrepreço e garantindo equilíbrio econômico-financeiro. Além disso, o fato de admitir múltiplos prestadores em condições padronizadas fortalece a competitividade e amplia as opções de atendimento, sem custos adicionais para a Administração.</w:t>
      </w:r>
    </w:p>
    <w:p w14:paraId="1536B588" w14:textId="77777777" w:rsidR="002B0512" w:rsidRPr="002B0512" w:rsidRDefault="002B0512" w:rsidP="002B0512">
      <w:pPr>
        <w:spacing w:line="312" w:lineRule="auto"/>
        <w:jc w:val="both"/>
        <w:rPr>
          <w:rFonts w:ascii="Bookman Old Style" w:hAnsi="Bookman Old Style" w:cs="Segoe UI"/>
          <w:bCs/>
          <w:sz w:val="18"/>
          <w:szCs w:val="18"/>
        </w:rPr>
      </w:pPr>
    </w:p>
    <w:p w14:paraId="3721904F" w14:textId="6EDED7FA" w:rsidR="00F11A6D" w:rsidRPr="00F11A6D" w:rsidRDefault="002B0512" w:rsidP="002B0512">
      <w:pPr>
        <w:spacing w:line="312" w:lineRule="auto"/>
        <w:jc w:val="both"/>
        <w:rPr>
          <w:rFonts w:ascii="Bookman Old Style" w:hAnsi="Bookman Old Style" w:cs="Segoe UI"/>
          <w:b/>
          <w:sz w:val="18"/>
          <w:szCs w:val="18"/>
        </w:rPr>
      </w:pPr>
      <w:r w:rsidRPr="002B0512">
        <w:rPr>
          <w:rFonts w:ascii="Bookman Old Style" w:hAnsi="Bookman Old Style" w:cs="Segoe UI"/>
          <w:bCs/>
          <w:sz w:val="18"/>
          <w:szCs w:val="18"/>
        </w:rPr>
        <w:t>9.5. Portanto, os resultados esperados traduzem-se em: (i) redução de despesas desnecessárias; (ii) aproveitamento da infraestrutura já existente no mercado; (iii) incremento da saúde e da produtividade dos servidores; e (iv) maior racionalidade no uso dos recursos públicos, atendendo plenamente aos princípios da economicidade e da eficiência administrativa.</w:t>
      </w:r>
      <w:r w:rsidR="00F11A6D" w:rsidRPr="00F11A6D">
        <w:rPr>
          <w:rFonts w:ascii="Bookman Old Style" w:hAnsi="Bookman Old Style" w:cs="Segoe UI"/>
          <w:b/>
          <w:sz w:val="18"/>
          <w:szCs w:val="18"/>
        </w:rPr>
        <w:tab/>
      </w:r>
    </w:p>
    <w:p w14:paraId="1DA9ECD6" w14:textId="77777777" w:rsidR="00F11A6D" w:rsidRPr="00F11A6D" w:rsidRDefault="00F11A6D" w:rsidP="00F11A6D">
      <w:pPr>
        <w:spacing w:line="312" w:lineRule="auto"/>
        <w:jc w:val="both"/>
        <w:rPr>
          <w:rFonts w:ascii="Bookman Old Style" w:hAnsi="Bookman Old Style" w:cs="Segoe UI"/>
          <w:b/>
          <w:sz w:val="18"/>
          <w:szCs w:val="18"/>
        </w:rPr>
      </w:pPr>
    </w:p>
    <w:p w14:paraId="1AEF81D2"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10. Das providências a serem adotadas pela Administração previamente à celebração do contrato administrativo, inclusive quanto à capacitação de servidores públicos municipais para fiscalização e gestão contratual</w:t>
      </w:r>
    </w:p>
    <w:p w14:paraId="689B751F" w14:textId="77777777" w:rsidR="00D90A78" w:rsidRDefault="00D90A78" w:rsidP="00F11A6D">
      <w:pPr>
        <w:spacing w:line="312" w:lineRule="auto"/>
        <w:jc w:val="both"/>
        <w:rPr>
          <w:rFonts w:ascii="Bookman Old Style" w:hAnsi="Bookman Old Style" w:cs="Segoe UI"/>
          <w:bCs/>
          <w:sz w:val="18"/>
          <w:szCs w:val="18"/>
        </w:rPr>
      </w:pPr>
    </w:p>
    <w:p w14:paraId="715411FA" w14:textId="08B6D1CE"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10.1. A Administração não possui providências a serem adotadas previamente à celebração do contrato administrativo.</w:t>
      </w:r>
    </w:p>
    <w:p w14:paraId="4142A8F8" w14:textId="77777777" w:rsidR="00F11A6D" w:rsidRPr="00F11A6D" w:rsidRDefault="00F11A6D" w:rsidP="00F11A6D">
      <w:pPr>
        <w:spacing w:line="312" w:lineRule="auto"/>
        <w:jc w:val="both"/>
        <w:rPr>
          <w:rFonts w:ascii="Bookman Old Style" w:hAnsi="Bookman Old Style" w:cs="Segoe UI"/>
          <w:b/>
          <w:sz w:val="18"/>
          <w:szCs w:val="18"/>
        </w:rPr>
      </w:pPr>
    </w:p>
    <w:p w14:paraId="35590364"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 xml:space="preserve">11. Das contratações correlatas e/ou interdependentes </w:t>
      </w:r>
    </w:p>
    <w:p w14:paraId="3C31518F" w14:textId="77777777" w:rsidR="00D90A78" w:rsidRDefault="00D90A78" w:rsidP="00F11A6D">
      <w:pPr>
        <w:spacing w:line="312" w:lineRule="auto"/>
        <w:jc w:val="both"/>
        <w:rPr>
          <w:rFonts w:ascii="Bookman Old Style" w:hAnsi="Bookman Old Style" w:cs="Segoe UI"/>
          <w:bCs/>
          <w:sz w:val="18"/>
          <w:szCs w:val="18"/>
        </w:rPr>
      </w:pPr>
    </w:p>
    <w:p w14:paraId="32E3F03E" w14:textId="2EE90353"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 xml:space="preserve">11.1. Não existiu ou existem contratações correlatas e/ou interdependentes no âmbito da Administração. </w:t>
      </w:r>
    </w:p>
    <w:p w14:paraId="6D8436FD" w14:textId="77777777" w:rsidR="00F11A6D" w:rsidRPr="00F11A6D" w:rsidRDefault="00F11A6D" w:rsidP="00F11A6D">
      <w:pPr>
        <w:spacing w:line="312" w:lineRule="auto"/>
        <w:jc w:val="both"/>
        <w:rPr>
          <w:rFonts w:ascii="Bookman Old Style" w:hAnsi="Bookman Old Style" w:cs="Segoe UI"/>
          <w:b/>
          <w:sz w:val="18"/>
          <w:szCs w:val="18"/>
        </w:rPr>
      </w:pPr>
    </w:p>
    <w:p w14:paraId="043E7828"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240E04D4" w14:textId="77777777" w:rsidR="00D90A78" w:rsidRDefault="00D90A78" w:rsidP="00F11A6D">
      <w:pPr>
        <w:spacing w:line="312" w:lineRule="auto"/>
        <w:jc w:val="both"/>
        <w:rPr>
          <w:rFonts w:ascii="Bookman Old Style" w:hAnsi="Bookman Old Style" w:cs="Segoe UI"/>
          <w:bCs/>
          <w:sz w:val="18"/>
          <w:szCs w:val="18"/>
        </w:rPr>
      </w:pPr>
    </w:p>
    <w:p w14:paraId="6B944DE7" w14:textId="4B129C96"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12.1. Não existe impactos ambientais e respectivas medidas mitigadoras.</w:t>
      </w:r>
    </w:p>
    <w:p w14:paraId="337D79AD" w14:textId="77777777" w:rsidR="00F11A6D" w:rsidRPr="00F11A6D" w:rsidRDefault="00F11A6D" w:rsidP="00F11A6D">
      <w:pPr>
        <w:spacing w:line="312" w:lineRule="auto"/>
        <w:jc w:val="both"/>
        <w:rPr>
          <w:rFonts w:ascii="Bookman Old Style" w:hAnsi="Bookman Old Style" w:cs="Segoe UI"/>
          <w:b/>
          <w:sz w:val="18"/>
          <w:szCs w:val="18"/>
        </w:rPr>
      </w:pPr>
    </w:p>
    <w:p w14:paraId="6FB1A4E8" w14:textId="77777777"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13. Do posicionamento conclusivo sobre a adequação da contratação para o atendimento da necessidade a que se destina</w:t>
      </w:r>
    </w:p>
    <w:p w14:paraId="3BFD620D" w14:textId="77777777" w:rsidR="00D90A78" w:rsidRDefault="00D90A78" w:rsidP="00F11A6D">
      <w:pPr>
        <w:spacing w:line="312" w:lineRule="auto"/>
        <w:jc w:val="both"/>
        <w:rPr>
          <w:rFonts w:ascii="Bookman Old Style" w:hAnsi="Bookman Old Style" w:cs="Segoe UI"/>
          <w:bCs/>
          <w:sz w:val="18"/>
          <w:szCs w:val="18"/>
        </w:rPr>
      </w:pPr>
    </w:p>
    <w:p w14:paraId="44A41B73" w14:textId="7EA3DC3C" w:rsidR="00F11A6D" w:rsidRDefault="002B0512" w:rsidP="00D90A78">
      <w:pPr>
        <w:spacing w:line="312" w:lineRule="auto"/>
        <w:jc w:val="both"/>
        <w:rPr>
          <w:rFonts w:ascii="Bookman Old Style" w:hAnsi="Bookman Old Style" w:cs="Segoe UI"/>
          <w:bCs/>
          <w:sz w:val="18"/>
          <w:szCs w:val="18"/>
        </w:rPr>
      </w:pPr>
      <w:r w:rsidRPr="002B0512">
        <w:rPr>
          <w:rFonts w:ascii="Bookman Old Style" w:hAnsi="Bookman Old Style" w:cs="Segoe UI"/>
          <w:bCs/>
          <w:sz w:val="18"/>
          <w:szCs w:val="18"/>
        </w:rPr>
        <w:t>13.1. Considerando a necessidade de assegurar a execução contínua e regular dos serviços de Medicina do Trabalho, especialmente para cumprimento do Programa de Controle Médico de Saúde Ocupacional – PCMSO (NR-7), a conclusão que se chega neste ETP é de que o mais adequado é o credenciamento de pessoas jurídicas especializadas em Medicina do Trabalho, para prestação de serviços consistentes na realização de exames ocupacionais admissionais, periódicos, de retorno ao trabalho, de mudança de função e demissionais, bem como emissão de ASO e homologação de atestados médicos, através de Inexigibilidade de Licitação Pública (inciso XLIII do art. 6º da Lei nº 14.133/2021).</w:t>
      </w:r>
    </w:p>
    <w:p w14:paraId="2404CCEF" w14:textId="77777777" w:rsidR="00D90A78" w:rsidRPr="00F11A6D" w:rsidRDefault="00D90A78" w:rsidP="00D90A78">
      <w:pPr>
        <w:spacing w:line="312" w:lineRule="auto"/>
        <w:jc w:val="both"/>
        <w:rPr>
          <w:rFonts w:ascii="Bookman Old Style" w:hAnsi="Bookman Old Style" w:cs="Segoe UI"/>
          <w:bCs/>
          <w:sz w:val="18"/>
          <w:szCs w:val="18"/>
        </w:rPr>
      </w:pPr>
    </w:p>
    <w:p w14:paraId="66BDE823" w14:textId="6DC76C35" w:rsidR="00F11A6D" w:rsidRPr="00F11A6D" w:rsidRDefault="00F11A6D" w:rsidP="00F11A6D">
      <w:pPr>
        <w:spacing w:line="312" w:lineRule="auto"/>
        <w:jc w:val="both"/>
        <w:rPr>
          <w:rFonts w:ascii="Bookman Old Style" w:hAnsi="Bookman Old Style" w:cs="Segoe UI"/>
          <w:b/>
          <w:sz w:val="18"/>
          <w:szCs w:val="18"/>
        </w:rPr>
      </w:pPr>
      <w:r w:rsidRPr="00F11A6D">
        <w:rPr>
          <w:rFonts w:ascii="Bookman Old Style" w:hAnsi="Bookman Old Style" w:cs="Segoe UI"/>
          <w:b/>
          <w:sz w:val="18"/>
          <w:szCs w:val="18"/>
        </w:rPr>
        <w:t>14. Das disposições gerais</w:t>
      </w:r>
    </w:p>
    <w:p w14:paraId="6CB7413B" w14:textId="77777777" w:rsidR="00D90A78" w:rsidRDefault="00D90A78" w:rsidP="00F11A6D">
      <w:pPr>
        <w:spacing w:line="312" w:lineRule="auto"/>
        <w:jc w:val="both"/>
        <w:rPr>
          <w:rFonts w:ascii="Bookman Old Style" w:hAnsi="Bookman Old Style" w:cs="Segoe UI"/>
          <w:bCs/>
          <w:sz w:val="18"/>
          <w:szCs w:val="18"/>
        </w:rPr>
      </w:pPr>
    </w:p>
    <w:p w14:paraId="23BADC38" w14:textId="02A7716E" w:rsid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14.1. Admite-se que os elementos constantes do ETP sejam retificados durante a elaboração dos eventuais Termo de Referência – TR –, anteprojeto, projeto básico e projeto executivo.</w:t>
      </w:r>
    </w:p>
    <w:p w14:paraId="3F876E21" w14:textId="77777777" w:rsidR="002B0512" w:rsidRPr="00F11A6D" w:rsidRDefault="002B0512" w:rsidP="00F11A6D">
      <w:pPr>
        <w:spacing w:line="312" w:lineRule="auto"/>
        <w:jc w:val="both"/>
        <w:rPr>
          <w:rFonts w:ascii="Bookman Old Style" w:hAnsi="Bookman Old Style" w:cs="Segoe UI"/>
          <w:bCs/>
          <w:sz w:val="18"/>
          <w:szCs w:val="18"/>
        </w:rPr>
      </w:pPr>
    </w:p>
    <w:p w14:paraId="529F1008" w14:textId="1FCA717C" w:rsidR="00F11A6D" w:rsidRPr="00F11A6D" w:rsidRDefault="00F11A6D" w:rsidP="00F11A6D">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 xml:space="preserve">14.2. Estima-se que </w:t>
      </w:r>
      <w:r w:rsidR="002B0512">
        <w:rPr>
          <w:rFonts w:ascii="Bookman Old Style" w:hAnsi="Bookman Old Style" w:cs="Segoe UI"/>
          <w:bCs/>
          <w:sz w:val="18"/>
          <w:szCs w:val="18"/>
        </w:rPr>
        <w:t>3</w:t>
      </w:r>
      <w:r w:rsidRPr="00F11A6D">
        <w:rPr>
          <w:rFonts w:ascii="Bookman Old Style" w:hAnsi="Bookman Old Style" w:cs="Segoe UI"/>
          <w:bCs/>
          <w:sz w:val="18"/>
          <w:szCs w:val="18"/>
        </w:rPr>
        <w:t xml:space="preserve"> credenciado(a)(s) </w:t>
      </w:r>
      <w:r w:rsidR="00923BD0">
        <w:rPr>
          <w:rFonts w:ascii="Bookman Old Style" w:hAnsi="Bookman Old Style" w:cs="Segoe UI"/>
          <w:bCs/>
          <w:sz w:val="18"/>
          <w:szCs w:val="18"/>
        </w:rPr>
        <w:t xml:space="preserve">por item </w:t>
      </w:r>
      <w:r w:rsidRPr="00F11A6D">
        <w:rPr>
          <w:rFonts w:ascii="Bookman Old Style" w:hAnsi="Bookman Old Style" w:cs="Segoe UI"/>
          <w:bCs/>
          <w:sz w:val="18"/>
          <w:szCs w:val="18"/>
        </w:rPr>
        <w:t>são necessários para a realização do serviços.</w:t>
      </w:r>
    </w:p>
    <w:p w14:paraId="3B36EBE2" w14:textId="77777777" w:rsidR="00F11A6D" w:rsidRPr="00F11A6D" w:rsidRDefault="00F11A6D" w:rsidP="00F11A6D">
      <w:pPr>
        <w:spacing w:line="312" w:lineRule="auto"/>
        <w:jc w:val="both"/>
        <w:rPr>
          <w:rFonts w:ascii="Bookman Old Style" w:hAnsi="Bookman Old Style" w:cs="Segoe UI"/>
          <w:b/>
          <w:sz w:val="18"/>
          <w:szCs w:val="18"/>
        </w:rPr>
      </w:pPr>
    </w:p>
    <w:p w14:paraId="479F2668" w14:textId="67C8907F" w:rsidR="004B5F85" w:rsidRPr="00F11A6D" w:rsidRDefault="00F11A6D" w:rsidP="00960362">
      <w:pPr>
        <w:spacing w:line="312" w:lineRule="auto"/>
        <w:jc w:val="right"/>
        <w:rPr>
          <w:rFonts w:ascii="Bookman Old Style" w:hAnsi="Bookman Old Style" w:cs="Segoe UI"/>
          <w:b/>
          <w:sz w:val="18"/>
          <w:szCs w:val="18"/>
        </w:rPr>
      </w:pPr>
      <w:r>
        <w:rPr>
          <w:rFonts w:ascii="Bookman Old Style" w:hAnsi="Bookman Old Style" w:cs="Segoe UI"/>
          <w:b/>
          <w:sz w:val="18"/>
          <w:szCs w:val="18"/>
        </w:rPr>
        <w:t>Conceição de Ipanema</w:t>
      </w:r>
      <w:r w:rsidRPr="00F11A6D">
        <w:rPr>
          <w:rFonts w:ascii="Bookman Old Style" w:hAnsi="Bookman Old Style" w:cs="Segoe UI"/>
          <w:b/>
          <w:sz w:val="18"/>
          <w:szCs w:val="18"/>
        </w:rPr>
        <w:t xml:space="preserve"> – MG, </w:t>
      </w:r>
      <w:r w:rsidR="002B0512">
        <w:rPr>
          <w:rFonts w:ascii="Bookman Old Style" w:hAnsi="Bookman Old Style" w:cs="Segoe UI"/>
          <w:b/>
          <w:sz w:val="18"/>
          <w:szCs w:val="18"/>
        </w:rPr>
        <w:t>04</w:t>
      </w:r>
      <w:r w:rsidRPr="00F11A6D">
        <w:rPr>
          <w:rFonts w:ascii="Bookman Old Style" w:hAnsi="Bookman Old Style" w:cs="Segoe UI"/>
          <w:b/>
          <w:sz w:val="18"/>
          <w:szCs w:val="18"/>
        </w:rPr>
        <w:t xml:space="preserve"> de</w:t>
      </w:r>
      <w:r>
        <w:rPr>
          <w:rFonts w:ascii="Bookman Old Style" w:hAnsi="Bookman Old Style" w:cs="Segoe UI"/>
          <w:b/>
          <w:sz w:val="18"/>
          <w:szCs w:val="18"/>
        </w:rPr>
        <w:t xml:space="preserve"> </w:t>
      </w:r>
      <w:r w:rsidR="002B0512">
        <w:rPr>
          <w:rFonts w:ascii="Bookman Old Style" w:hAnsi="Bookman Old Style" w:cs="Segoe UI"/>
          <w:b/>
          <w:sz w:val="18"/>
          <w:szCs w:val="18"/>
        </w:rPr>
        <w:t>agosto</w:t>
      </w:r>
      <w:r w:rsidRPr="00F11A6D">
        <w:rPr>
          <w:rFonts w:ascii="Bookman Old Style" w:hAnsi="Bookman Old Style" w:cs="Segoe UI"/>
          <w:b/>
          <w:sz w:val="18"/>
          <w:szCs w:val="18"/>
        </w:rPr>
        <w:t xml:space="preserve"> de 20</w:t>
      </w:r>
      <w:r>
        <w:rPr>
          <w:rFonts w:ascii="Bookman Old Style" w:hAnsi="Bookman Old Style" w:cs="Segoe UI"/>
          <w:b/>
          <w:sz w:val="18"/>
          <w:szCs w:val="18"/>
        </w:rPr>
        <w:t>25</w:t>
      </w:r>
      <w:r w:rsidRPr="00F11A6D">
        <w:rPr>
          <w:rFonts w:ascii="Bookman Old Style" w:hAnsi="Bookman Old Style" w:cs="Segoe UI"/>
          <w:b/>
          <w:sz w:val="18"/>
          <w:szCs w:val="18"/>
        </w:rPr>
        <w:t xml:space="preserve">. </w:t>
      </w:r>
    </w:p>
    <w:p w14:paraId="3F913F32" w14:textId="77777777" w:rsidR="004B5F85" w:rsidRDefault="004B5F85">
      <w:pPr>
        <w:spacing w:line="312" w:lineRule="auto"/>
        <w:jc w:val="both"/>
        <w:rPr>
          <w:rFonts w:ascii="Bookman Old Style" w:eastAsia="Bookman Old Style" w:hAnsi="Bookman Old Style" w:cs="Bookman Old Style"/>
          <w:sz w:val="18"/>
          <w:szCs w:val="18"/>
        </w:rPr>
      </w:pPr>
    </w:p>
    <w:p w14:paraId="4C5C22F8"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05B64F7A"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3E13A475" w14:textId="77777777" w:rsidR="00F11A6D" w:rsidRDefault="00F11A6D" w:rsidP="00F11A6D">
      <w:pPr>
        <w:spacing w:line="240" w:lineRule="auto"/>
        <w:jc w:val="center"/>
        <w:rPr>
          <w:rFonts w:ascii="Bookman Old Style" w:eastAsia="Bookman Old Style" w:hAnsi="Bookman Old Style" w:cs="Bookman Old Style"/>
          <w:sz w:val="18"/>
          <w:szCs w:val="18"/>
        </w:rPr>
      </w:pPr>
      <w:r>
        <w:rPr>
          <w:rFonts w:ascii="Bookman Old Style" w:eastAsia="Bookman Old Style" w:hAnsi="Bookman Old Style" w:cs="Bookman Old Style"/>
          <w:sz w:val="18"/>
          <w:szCs w:val="18"/>
        </w:rPr>
        <w:t>Alessandra Ferreira Dutra Knaip</w:t>
      </w:r>
    </w:p>
    <w:p w14:paraId="1298EBA2" w14:textId="77777777" w:rsidR="00F11A6D" w:rsidRDefault="00F11A6D" w:rsidP="00F11A6D">
      <w:pPr>
        <w:spacing w:line="240" w:lineRule="auto"/>
        <w:jc w:val="center"/>
        <w:rPr>
          <w:rFonts w:ascii="Bookman Old Style" w:eastAsia="Bookman Old Style" w:hAnsi="Bookman Old Style" w:cs="Bookman Old Style"/>
          <w:sz w:val="18"/>
          <w:szCs w:val="18"/>
        </w:rPr>
      </w:pPr>
      <w:r w:rsidRPr="003349CA">
        <w:rPr>
          <w:rFonts w:ascii="Bookman Old Style" w:eastAsia="Bookman Old Style" w:hAnsi="Bookman Old Style" w:cs="Bookman Old Style"/>
          <w:sz w:val="18"/>
          <w:szCs w:val="18"/>
        </w:rPr>
        <w:t>Secretaria Municipal de Saúde</w:t>
      </w:r>
    </w:p>
    <w:p w14:paraId="0F945223"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481FC99A" w14:textId="77777777" w:rsidR="00F11A6D" w:rsidRDefault="00F11A6D" w:rsidP="00F11A6D">
      <w:pPr>
        <w:spacing w:line="240" w:lineRule="auto"/>
        <w:jc w:val="center"/>
        <w:rPr>
          <w:rFonts w:ascii="Bookman Old Style" w:eastAsia="Bookman Old Style" w:hAnsi="Bookman Old Style" w:cs="Bookman Old Style"/>
          <w:sz w:val="18"/>
          <w:szCs w:val="18"/>
        </w:rPr>
      </w:pPr>
    </w:p>
    <w:p w14:paraId="6C444141" w14:textId="77777777" w:rsidR="004B5F85" w:rsidRDefault="004B5F85"/>
    <w:sectPr w:rsidR="004B5F85">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A312" w14:textId="77777777" w:rsidR="006B3BA4" w:rsidRDefault="006B3BA4">
      <w:pPr>
        <w:spacing w:line="240" w:lineRule="auto"/>
      </w:pPr>
      <w:r>
        <w:separator/>
      </w:r>
    </w:p>
  </w:endnote>
  <w:endnote w:type="continuationSeparator" w:id="0">
    <w:p w14:paraId="01685958" w14:textId="77777777" w:rsidR="006B3BA4" w:rsidRDefault="006B3B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stria">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B95B0" w14:textId="77777777" w:rsidR="006B3BA4" w:rsidRDefault="006B3BA4">
      <w:pPr>
        <w:spacing w:line="240" w:lineRule="auto"/>
      </w:pPr>
      <w:r>
        <w:separator/>
      </w:r>
    </w:p>
  </w:footnote>
  <w:footnote w:type="continuationSeparator" w:id="0">
    <w:p w14:paraId="0C9039FA" w14:textId="77777777" w:rsidR="006B3BA4" w:rsidRDefault="006B3BA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A9A52" w14:textId="1F206744" w:rsidR="00F55585" w:rsidRDefault="00F55585" w:rsidP="00F55585">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9264" behindDoc="0" locked="0" layoutInCell="1" hidden="0" allowOverlap="1" wp14:anchorId="3DCA6671" wp14:editId="18C8DA44">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06089891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0B5EE947" w14:textId="77777777" w:rsidR="00F55585" w:rsidRDefault="00F55585" w:rsidP="00F55585">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671B8E75" w14:textId="69BFAD9C" w:rsidR="004B5F85" w:rsidRPr="00F55585" w:rsidRDefault="00F55585" w:rsidP="00F55585">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273519EA" w14:textId="77777777" w:rsidR="004B5F85" w:rsidRDefault="004B5F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053E3"/>
    <w:multiLevelType w:val="hybridMultilevel"/>
    <w:tmpl w:val="0B46E1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F9C1462"/>
    <w:multiLevelType w:val="multilevel"/>
    <w:tmpl w:val="60FAD18C"/>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abstractNum w:abstractNumId="2" w15:restartNumberingAfterBreak="0">
    <w:nsid w:val="23D259D7"/>
    <w:multiLevelType w:val="multilevel"/>
    <w:tmpl w:val="28E8A376"/>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EDB0E1B"/>
    <w:multiLevelType w:val="multilevel"/>
    <w:tmpl w:val="92069810"/>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num w:numId="1" w16cid:durableId="1821460584">
    <w:abstractNumId w:val="1"/>
  </w:num>
  <w:num w:numId="2" w16cid:durableId="395711356">
    <w:abstractNumId w:val="3"/>
  </w:num>
  <w:num w:numId="3" w16cid:durableId="1833787193">
    <w:abstractNumId w:val="2"/>
  </w:num>
  <w:num w:numId="4" w16cid:durableId="155577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85"/>
    <w:rsid w:val="00041D15"/>
    <w:rsid w:val="001144B5"/>
    <w:rsid w:val="001634AC"/>
    <w:rsid w:val="00175CD3"/>
    <w:rsid w:val="002330E0"/>
    <w:rsid w:val="002B0512"/>
    <w:rsid w:val="002C5D4D"/>
    <w:rsid w:val="003204A5"/>
    <w:rsid w:val="003238BE"/>
    <w:rsid w:val="003815B5"/>
    <w:rsid w:val="00393E6F"/>
    <w:rsid w:val="00463C80"/>
    <w:rsid w:val="004B5F85"/>
    <w:rsid w:val="004F5CD4"/>
    <w:rsid w:val="00530929"/>
    <w:rsid w:val="005B4E3F"/>
    <w:rsid w:val="005E45AB"/>
    <w:rsid w:val="006B3BA4"/>
    <w:rsid w:val="006F4444"/>
    <w:rsid w:val="00720FEC"/>
    <w:rsid w:val="008138CA"/>
    <w:rsid w:val="009061DC"/>
    <w:rsid w:val="00923BD0"/>
    <w:rsid w:val="00960362"/>
    <w:rsid w:val="009B79D8"/>
    <w:rsid w:val="00A34911"/>
    <w:rsid w:val="00AC69C3"/>
    <w:rsid w:val="00BC5532"/>
    <w:rsid w:val="00BE6281"/>
    <w:rsid w:val="00BF62E4"/>
    <w:rsid w:val="00D90A78"/>
    <w:rsid w:val="00E91F14"/>
    <w:rsid w:val="00EA1485"/>
    <w:rsid w:val="00F11A6D"/>
    <w:rsid w:val="00F3094B"/>
    <w:rsid w:val="00F55585"/>
    <w:rsid w:val="00FA1542"/>
    <w:rsid w:val="00FD02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5BDB"/>
  <w15:docId w15:val="{CC36CEB3-9D6F-4665-A9C5-E7FCD070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F55585"/>
    <w:pPr>
      <w:tabs>
        <w:tab w:val="center" w:pos="4252"/>
        <w:tab w:val="right" w:pos="8504"/>
      </w:tabs>
      <w:spacing w:line="240" w:lineRule="auto"/>
    </w:pPr>
  </w:style>
  <w:style w:type="character" w:customStyle="1" w:styleId="CabealhoChar">
    <w:name w:val="Cabeçalho Char"/>
    <w:basedOn w:val="Fontepargpadro"/>
    <w:link w:val="Cabealho"/>
    <w:uiPriority w:val="99"/>
    <w:rsid w:val="00F55585"/>
  </w:style>
  <w:style w:type="paragraph" w:styleId="Rodap">
    <w:name w:val="footer"/>
    <w:basedOn w:val="Normal"/>
    <w:link w:val="RodapChar"/>
    <w:uiPriority w:val="99"/>
    <w:unhideWhenUsed/>
    <w:rsid w:val="00F55585"/>
    <w:pPr>
      <w:tabs>
        <w:tab w:val="center" w:pos="4252"/>
        <w:tab w:val="right" w:pos="8504"/>
      </w:tabs>
      <w:spacing w:line="240" w:lineRule="auto"/>
    </w:pPr>
  </w:style>
  <w:style w:type="character" w:customStyle="1" w:styleId="RodapChar">
    <w:name w:val="Rodapé Char"/>
    <w:basedOn w:val="Fontepargpadro"/>
    <w:link w:val="Rodap"/>
    <w:uiPriority w:val="99"/>
    <w:rsid w:val="00F55585"/>
  </w:style>
  <w:style w:type="paragraph" w:styleId="PargrafodaLista">
    <w:name w:val="List Paragraph"/>
    <w:basedOn w:val="Normal"/>
    <w:uiPriority w:val="34"/>
    <w:qFormat/>
    <w:rsid w:val="00720FEC"/>
    <w:pPr>
      <w:spacing w:after="200"/>
      <w:ind w:left="720"/>
      <w:contextualSpacing/>
    </w:pPr>
    <w:rPr>
      <w:rFonts w:asciiTheme="minorHAnsi" w:eastAsiaTheme="minorEastAsia" w:hAnsiTheme="minorHAnsi" w:cstheme="minorBidi"/>
      <w:lang w:val="pt-BR"/>
    </w:rPr>
  </w:style>
  <w:style w:type="character" w:customStyle="1" w:styleId="Nivel2Char">
    <w:name w:val="Nivel 2 Char"/>
    <w:basedOn w:val="Fontepargpadro"/>
    <w:link w:val="Nivel2"/>
    <w:locked/>
    <w:rsid w:val="00720FEC"/>
    <w:rPr>
      <w:color w:val="000000"/>
    </w:rPr>
  </w:style>
  <w:style w:type="paragraph" w:customStyle="1" w:styleId="Nivel2">
    <w:name w:val="Nivel 2"/>
    <w:basedOn w:val="Normal"/>
    <w:link w:val="Nivel2Char"/>
    <w:qFormat/>
    <w:rsid w:val="00720FEC"/>
    <w:pPr>
      <w:spacing w:before="120" w:after="120"/>
      <w:jc w:val="both"/>
    </w:pPr>
    <w:rPr>
      <w:color w:val="000000"/>
    </w:rPr>
  </w:style>
  <w:style w:type="table" w:styleId="Tabelacomgrade">
    <w:name w:val="Table Grid"/>
    <w:basedOn w:val="Tabelanormal"/>
    <w:uiPriority w:val="39"/>
    <w:rsid w:val="00F11A6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30929"/>
    <w:pPr>
      <w:spacing w:before="100" w:beforeAutospacing="1" w:after="100" w:afterAutospacing="1" w:line="240" w:lineRule="auto"/>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555">
      <w:bodyDiv w:val="1"/>
      <w:marLeft w:val="0"/>
      <w:marRight w:val="0"/>
      <w:marTop w:val="0"/>
      <w:marBottom w:val="0"/>
      <w:divBdr>
        <w:top w:val="none" w:sz="0" w:space="0" w:color="auto"/>
        <w:left w:val="none" w:sz="0" w:space="0" w:color="auto"/>
        <w:bottom w:val="none" w:sz="0" w:space="0" w:color="auto"/>
        <w:right w:val="none" w:sz="0" w:space="0" w:color="auto"/>
      </w:divBdr>
    </w:div>
    <w:div w:id="144468691">
      <w:bodyDiv w:val="1"/>
      <w:marLeft w:val="0"/>
      <w:marRight w:val="0"/>
      <w:marTop w:val="0"/>
      <w:marBottom w:val="0"/>
      <w:divBdr>
        <w:top w:val="none" w:sz="0" w:space="0" w:color="auto"/>
        <w:left w:val="none" w:sz="0" w:space="0" w:color="auto"/>
        <w:bottom w:val="none" w:sz="0" w:space="0" w:color="auto"/>
        <w:right w:val="none" w:sz="0" w:space="0" w:color="auto"/>
      </w:divBdr>
    </w:div>
    <w:div w:id="271790688">
      <w:bodyDiv w:val="1"/>
      <w:marLeft w:val="0"/>
      <w:marRight w:val="0"/>
      <w:marTop w:val="0"/>
      <w:marBottom w:val="0"/>
      <w:divBdr>
        <w:top w:val="none" w:sz="0" w:space="0" w:color="auto"/>
        <w:left w:val="none" w:sz="0" w:space="0" w:color="auto"/>
        <w:bottom w:val="none" w:sz="0" w:space="0" w:color="auto"/>
        <w:right w:val="none" w:sz="0" w:space="0" w:color="auto"/>
      </w:divBdr>
    </w:div>
    <w:div w:id="345207342">
      <w:bodyDiv w:val="1"/>
      <w:marLeft w:val="0"/>
      <w:marRight w:val="0"/>
      <w:marTop w:val="0"/>
      <w:marBottom w:val="0"/>
      <w:divBdr>
        <w:top w:val="none" w:sz="0" w:space="0" w:color="auto"/>
        <w:left w:val="none" w:sz="0" w:space="0" w:color="auto"/>
        <w:bottom w:val="none" w:sz="0" w:space="0" w:color="auto"/>
        <w:right w:val="none" w:sz="0" w:space="0" w:color="auto"/>
      </w:divBdr>
    </w:div>
    <w:div w:id="479079698">
      <w:bodyDiv w:val="1"/>
      <w:marLeft w:val="0"/>
      <w:marRight w:val="0"/>
      <w:marTop w:val="0"/>
      <w:marBottom w:val="0"/>
      <w:divBdr>
        <w:top w:val="none" w:sz="0" w:space="0" w:color="auto"/>
        <w:left w:val="none" w:sz="0" w:space="0" w:color="auto"/>
        <w:bottom w:val="none" w:sz="0" w:space="0" w:color="auto"/>
        <w:right w:val="none" w:sz="0" w:space="0" w:color="auto"/>
      </w:divBdr>
    </w:div>
    <w:div w:id="491141814">
      <w:bodyDiv w:val="1"/>
      <w:marLeft w:val="0"/>
      <w:marRight w:val="0"/>
      <w:marTop w:val="0"/>
      <w:marBottom w:val="0"/>
      <w:divBdr>
        <w:top w:val="none" w:sz="0" w:space="0" w:color="auto"/>
        <w:left w:val="none" w:sz="0" w:space="0" w:color="auto"/>
        <w:bottom w:val="none" w:sz="0" w:space="0" w:color="auto"/>
        <w:right w:val="none" w:sz="0" w:space="0" w:color="auto"/>
      </w:divBdr>
    </w:div>
    <w:div w:id="685903798">
      <w:bodyDiv w:val="1"/>
      <w:marLeft w:val="0"/>
      <w:marRight w:val="0"/>
      <w:marTop w:val="0"/>
      <w:marBottom w:val="0"/>
      <w:divBdr>
        <w:top w:val="none" w:sz="0" w:space="0" w:color="auto"/>
        <w:left w:val="none" w:sz="0" w:space="0" w:color="auto"/>
        <w:bottom w:val="none" w:sz="0" w:space="0" w:color="auto"/>
        <w:right w:val="none" w:sz="0" w:space="0" w:color="auto"/>
      </w:divBdr>
    </w:div>
    <w:div w:id="792481267">
      <w:bodyDiv w:val="1"/>
      <w:marLeft w:val="0"/>
      <w:marRight w:val="0"/>
      <w:marTop w:val="0"/>
      <w:marBottom w:val="0"/>
      <w:divBdr>
        <w:top w:val="none" w:sz="0" w:space="0" w:color="auto"/>
        <w:left w:val="none" w:sz="0" w:space="0" w:color="auto"/>
        <w:bottom w:val="none" w:sz="0" w:space="0" w:color="auto"/>
        <w:right w:val="none" w:sz="0" w:space="0" w:color="auto"/>
      </w:divBdr>
    </w:div>
    <w:div w:id="957567955">
      <w:bodyDiv w:val="1"/>
      <w:marLeft w:val="0"/>
      <w:marRight w:val="0"/>
      <w:marTop w:val="0"/>
      <w:marBottom w:val="0"/>
      <w:divBdr>
        <w:top w:val="none" w:sz="0" w:space="0" w:color="auto"/>
        <w:left w:val="none" w:sz="0" w:space="0" w:color="auto"/>
        <w:bottom w:val="none" w:sz="0" w:space="0" w:color="auto"/>
        <w:right w:val="none" w:sz="0" w:space="0" w:color="auto"/>
      </w:divBdr>
    </w:div>
    <w:div w:id="999773122">
      <w:bodyDiv w:val="1"/>
      <w:marLeft w:val="0"/>
      <w:marRight w:val="0"/>
      <w:marTop w:val="0"/>
      <w:marBottom w:val="0"/>
      <w:divBdr>
        <w:top w:val="none" w:sz="0" w:space="0" w:color="auto"/>
        <w:left w:val="none" w:sz="0" w:space="0" w:color="auto"/>
        <w:bottom w:val="none" w:sz="0" w:space="0" w:color="auto"/>
        <w:right w:val="none" w:sz="0" w:space="0" w:color="auto"/>
      </w:divBdr>
    </w:div>
    <w:div w:id="1023441981">
      <w:bodyDiv w:val="1"/>
      <w:marLeft w:val="0"/>
      <w:marRight w:val="0"/>
      <w:marTop w:val="0"/>
      <w:marBottom w:val="0"/>
      <w:divBdr>
        <w:top w:val="none" w:sz="0" w:space="0" w:color="auto"/>
        <w:left w:val="none" w:sz="0" w:space="0" w:color="auto"/>
        <w:bottom w:val="none" w:sz="0" w:space="0" w:color="auto"/>
        <w:right w:val="none" w:sz="0" w:space="0" w:color="auto"/>
      </w:divBdr>
    </w:div>
    <w:div w:id="1086875853">
      <w:bodyDiv w:val="1"/>
      <w:marLeft w:val="0"/>
      <w:marRight w:val="0"/>
      <w:marTop w:val="0"/>
      <w:marBottom w:val="0"/>
      <w:divBdr>
        <w:top w:val="none" w:sz="0" w:space="0" w:color="auto"/>
        <w:left w:val="none" w:sz="0" w:space="0" w:color="auto"/>
        <w:bottom w:val="none" w:sz="0" w:space="0" w:color="auto"/>
        <w:right w:val="none" w:sz="0" w:space="0" w:color="auto"/>
      </w:divBdr>
    </w:div>
    <w:div w:id="1321499694">
      <w:bodyDiv w:val="1"/>
      <w:marLeft w:val="0"/>
      <w:marRight w:val="0"/>
      <w:marTop w:val="0"/>
      <w:marBottom w:val="0"/>
      <w:divBdr>
        <w:top w:val="none" w:sz="0" w:space="0" w:color="auto"/>
        <w:left w:val="none" w:sz="0" w:space="0" w:color="auto"/>
        <w:bottom w:val="none" w:sz="0" w:space="0" w:color="auto"/>
        <w:right w:val="none" w:sz="0" w:space="0" w:color="auto"/>
      </w:divBdr>
    </w:div>
    <w:div w:id="1455293152">
      <w:bodyDiv w:val="1"/>
      <w:marLeft w:val="0"/>
      <w:marRight w:val="0"/>
      <w:marTop w:val="0"/>
      <w:marBottom w:val="0"/>
      <w:divBdr>
        <w:top w:val="none" w:sz="0" w:space="0" w:color="auto"/>
        <w:left w:val="none" w:sz="0" w:space="0" w:color="auto"/>
        <w:bottom w:val="none" w:sz="0" w:space="0" w:color="auto"/>
        <w:right w:val="none" w:sz="0" w:space="0" w:color="auto"/>
      </w:divBdr>
    </w:div>
    <w:div w:id="1513104839">
      <w:bodyDiv w:val="1"/>
      <w:marLeft w:val="0"/>
      <w:marRight w:val="0"/>
      <w:marTop w:val="0"/>
      <w:marBottom w:val="0"/>
      <w:divBdr>
        <w:top w:val="none" w:sz="0" w:space="0" w:color="auto"/>
        <w:left w:val="none" w:sz="0" w:space="0" w:color="auto"/>
        <w:bottom w:val="none" w:sz="0" w:space="0" w:color="auto"/>
        <w:right w:val="none" w:sz="0" w:space="0" w:color="auto"/>
      </w:divBdr>
    </w:div>
    <w:div w:id="1667707958">
      <w:bodyDiv w:val="1"/>
      <w:marLeft w:val="0"/>
      <w:marRight w:val="0"/>
      <w:marTop w:val="0"/>
      <w:marBottom w:val="0"/>
      <w:divBdr>
        <w:top w:val="none" w:sz="0" w:space="0" w:color="auto"/>
        <w:left w:val="none" w:sz="0" w:space="0" w:color="auto"/>
        <w:bottom w:val="none" w:sz="0" w:space="0" w:color="auto"/>
        <w:right w:val="none" w:sz="0" w:space="0" w:color="auto"/>
      </w:divBdr>
    </w:div>
    <w:div w:id="1808862004">
      <w:bodyDiv w:val="1"/>
      <w:marLeft w:val="0"/>
      <w:marRight w:val="0"/>
      <w:marTop w:val="0"/>
      <w:marBottom w:val="0"/>
      <w:divBdr>
        <w:top w:val="none" w:sz="0" w:space="0" w:color="auto"/>
        <w:left w:val="none" w:sz="0" w:space="0" w:color="auto"/>
        <w:bottom w:val="none" w:sz="0" w:space="0" w:color="auto"/>
        <w:right w:val="none" w:sz="0" w:space="0" w:color="auto"/>
      </w:divBdr>
    </w:div>
    <w:div w:id="1988897574">
      <w:bodyDiv w:val="1"/>
      <w:marLeft w:val="0"/>
      <w:marRight w:val="0"/>
      <w:marTop w:val="0"/>
      <w:marBottom w:val="0"/>
      <w:divBdr>
        <w:top w:val="none" w:sz="0" w:space="0" w:color="auto"/>
        <w:left w:val="none" w:sz="0" w:space="0" w:color="auto"/>
        <w:bottom w:val="none" w:sz="0" w:space="0" w:color="auto"/>
        <w:right w:val="none" w:sz="0" w:space="0" w:color="auto"/>
      </w:divBdr>
    </w:div>
    <w:div w:id="2136175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819</TotalTime>
  <Pages>6</Pages>
  <Words>2471</Words>
  <Characters>13349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Lucas Henrique</cp:lastModifiedBy>
  <cp:revision>11</cp:revision>
  <dcterms:created xsi:type="dcterms:W3CDTF">2025-02-02T18:58:00Z</dcterms:created>
  <dcterms:modified xsi:type="dcterms:W3CDTF">2025-08-19T13:45:00Z</dcterms:modified>
</cp:coreProperties>
</file>