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17B0" w14:textId="77777777" w:rsidR="00D4144B" w:rsidRPr="009C0A13" w:rsidRDefault="00000000">
      <w:pPr>
        <w:spacing w:line="312" w:lineRule="auto"/>
        <w:jc w:val="center"/>
        <w:rPr>
          <w:rFonts w:ascii="Times New Roman" w:eastAsia="Bookman Old Style" w:hAnsi="Times New Roman" w:cs="Times New Roman"/>
          <w:sz w:val="18"/>
          <w:szCs w:val="18"/>
          <w:u w:val="single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  <w:u w:val="single"/>
        </w:rPr>
        <w:t>ESTUDO TÉCNICO PRELIMINAR</w:t>
      </w:r>
    </w:p>
    <w:p w14:paraId="4727B6A5" w14:textId="77777777" w:rsidR="00D4144B" w:rsidRPr="009C0A13" w:rsidRDefault="00000000">
      <w:pPr>
        <w:spacing w:line="312" w:lineRule="auto"/>
        <w:jc w:val="center"/>
        <w:rPr>
          <w:rFonts w:ascii="Times New Roman" w:eastAsia="Bookman Old Style" w:hAnsi="Times New Roman" w:cs="Times New Roman"/>
          <w:sz w:val="18"/>
          <w:szCs w:val="18"/>
          <w:u w:val="single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  <w:u w:val="single"/>
        </w:rPr>
        <w:t>Lei nº 14.133/2021</w:t>
      </w:r>
    </w:p>
    <w:p w14:paraId="5996AD82" w14:textId="77777777" w:rsidR="00D4144B" w:rsidRPr="009C0A13" w:rsidRDefault="00D4144B">
      <w:pPr>
        <w:spacing w:line="312" w:lineRule="auto"/>
        <w:jc w:val="center"/>
        <w:rPr>
          <w:rFonts w:ascii="Times New Roman" w:eastAsia="Bookman Old Style" w:hAnsi="Times New Roman" w:cs="Times New Roman"/>
          <w:sz w:val="18"/>
          <w:szCs w:val="18"/>
        </w:rPr>
      </w:pPr>
    </w:p>
    <w:p w14:paraId="048B3EB4" w14:textId="61DA6E09" w:rsidR="00D4144B" w:rsidRPr="009C0A13" w:rsidRDefault="009C0A13" w:rsidP="009C0A13">
      <w:pPr>
        <w:pBdr>
          <w:top w:val="nil"/>
          <w:left w:val="nil"/>
          <w:bottom w:val="nil"/>
          <w:right w:val="nil"/>
          <w:between w:val="nil"/>
        </w:pBdr>
        <w:spacing w:after="200" w:line="312" w:lineRule="auto"/>
        <w:jc w:val="both"/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  <w:t>1. Descrição da necessidade da contratação, considerando o problema a ser resolvido sob a perspectiva do interesse público</w:t>
      </w:r>
    </w:p>
    <w:p w14:paraId="6CF13723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 xml:space="preserve">1.1. A Secretaria Municipal de Saúde de Conceição de Ipanema/MG identificou a necessidade urgente de ampliação da oferta de serviços ambulatoriais especializados em Fisioterapia destinados a pacientes com disfunções músculo-esqueléticas e neurológicas. </w:t>
      </w:r>
    </w:p>
    <w:p w14:paraId="7CDD18F2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4912F705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1.2. Trata-se de uma demanda crescente que não encontra atualmente resposta satisfatória dentro da estrutura própria do SUS municipal, em razão da ausência de servidores efetivos com formação em Fisioterapia.</w:t>
      </w:r>
    </w:p>
    <w:p w14:paraId="779B6570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1F8F65BD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 xml:space="preserve">1.3. A não prestação continuada e especializada de serviços de Fisioterapia  implica em  fila de espera e postergamento de tratamento oportuno, piora funcional dos pacientes com consequencia em sua capacidade laborativa e em sua qualidade de vida, elevação da demanda por consultas de urgencia, internaçoes e procedimentos de maior complexidades. Esses efeitos impactam diretamente a eficiencia, a equidade e a integridade do cuidado preconizadas pelo SUS, justificando a intervenção administrativa para regular e mpliar a rede prestadora. </w:t>
      </w:r>
    </w:p>
    <w:p w14:paraId="5B3EB470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F9D100C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1.4. A prestação do serviço especializado permitirá ampliar e qualificar a oferta de fisioterapia ambulatorial para usuários com disfuncões músculo-esqueléticas, reduzir tempo de espera e garantir continuidade do cuidado conforme fluxos de referência e contra-referências, promover a reabilitação funcional e a reinserção social, reduzir internações e procedimentos evitáveis por meios de intervenção precoce, assegurar padrão mínimo de qualidade, segurança e controle técnico dos serviços prestados pelo SUS.</w:t>
      </w:r>
    </w:p>
    <w:p w14:paraId="177D4A4B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3C97DFFC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1.5. Sob a perspectiva do interesse público, a contratação viabiliza o cumprimento do princípio da universalidade e integralidade do SUS (art. 198 da Constituição Federal), promovendo o acesso equânime a um serviço essencial à saúde e à qualidade de vida das crianças em idade escolar, público prioritário das ações de desenvolvimento humano no município.</w:t>
      </w:r>
    </w:p>
    <w:p w14:paraId="29789DFD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1351CBC7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1.6. Além disso, a medida atende ao disposto na Lei nº 14.231/2021, que passou a prever expressamente a possibilidade de inclusão de fisioterapeutas na Estratégia de Saúde da Família e nas ações da Atenção Primária, conferindo respaldo normativo para a atuação desses profissionais dentro da rede municipal de saúde.</w:t>
      </w:r>
    </w:p>
    <w:p w14:paraId="4403551A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4EE4AF0B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1.7. Diante da essencialidade do serviço, da impossibilidade de prestação direta e da natureza predominantemente intelectual e personalizada da atuação profissional requerida, a solução jurídica mais eficiente e legalmente adequada é a adoção do credenciamento por inexigibilidade de licitação, na forma do art. 74, inciso II, combinado com o art. 79 da Lei nº 14.133/2021.</w:t>
      </w:r>
    </w:p>
    <w:p w14:paraId="361C28B7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7152C7A6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1.8. O credenciamento permitirá a contratação paralela e não excludente de diversos fisioterapeutas  habilitados, garantindo capilaridade, flexibilidade e resposta imediata à demanda de atendimentos ambulatoriais, com remuneração padronizada e agendamento sob coordenação da Secretaria Municipal de Saúde.</w:t>
      </w:r>
    </w:p>
    <w:p w14:paraId="371E5D9B" w14:textId="77777777" w:rsidR="009C0A13" w:rsidRPr="009C0A13" w:rsidRDefault="009C0A13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0FC21CF9" w14:textId="6101C0DF" w:rsidR="00D4144B" w:rsidRPr="009C0A13" w:rsidRDefault="009C0A13" w:rsidP="009C0A13">
      <w:pPr>
        <w:pBdr>
          <w:top w:val="nil"/>
          <w:left w:val="nil"/>
          <w:bottom w:val="nil"/>
          <w:right w:val="nil"/>
          <w:between w:val="nil"/>
        </w:pBdr>
        <w:spacing w:after="200" w:line="312" w:lineRule="auto"/>
        <w:jc w:val="both"/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  <w:t>2. Demonstração da previsão da contratação no plano de contratações anual, sempre que elaborado, de modo a indicar o seu alinhamento com o planejamento da Administração</w:t>
      </w:r>
    </w:p>
    <w:p w14:paraId="24DE4511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lastRenderedPageBreak/>
        <w:t>2.1. Considerando que o Plano de Contratações Anual – PCA – é facultativo (inciso VII do art. 12 da Lei nº. 14.133/2021), esta Administração não fizera para este exercício financeiro.</w:t>
      </w:r>
    </w:p>
    <w:p w14:paraId="7E0C5106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398D47B2" w14:textId="68FF8493" w:rsidR="00D4144B" w:rsidRPr="009C0A13" w:rsidRDefault="009C0A13" w:rsidP="009C0A1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  <w:t>3. Dos requisitos da contratação administrativa</w:t>
      </w:r>
    </w:p>
    <w:p w14:paraId="5C18D861" w14:textId="77777777" w:rsidR="009C0A13" w:rsidRPr="009C0A13" w:rsidRDefault="009C0A13" w:rsidP="009C0A1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</w:pPr>
    </w:p>
    <w:p w14:paraId="7C043C85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3.1. A contratação administrativa deverá observar os seguintes requisitos:</w:t>
      </w:r>
    </w:p>
    <w:p w14:paraId="4992B7BF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3.1.1. sustentabilidade ambiental.</w:t>
      </w:r>
    </w:p>
    <w:p w14:paraId="1C9FF6ED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3.2. É vedada a subcontratação.</w:t>
      </w:r>
    </w:p>
    <w:p w14:paraId="3FD0A216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3.3. Não haverá exigência da garantia da contratação de que trata o art. 96 e seguintes da Lei nº. 14.133/2021 em razão de ser um fornecimento de bem comum.</w:t>
      </w:r>
    </w:p>
    <w:p w14:paraId="41E7047A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56A39808" w14:textId="3D66CE72" w:rsidR="00D4144B" w:rsidRPr="009C0A13" w:rsidRDefault="009C0A13" w:rsidP="009C0A1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  <w:t>4. Das estimativas das quantidades para a contratação, acompanhadas das memórias de cálculo e dos documentos que lhes dão suporte, que considerem interdependências com outras contratações, de modo a possibilitar economia de escala</w:t>
      </w:r>
    </w:p>
    <w:p w14:paraId="5D0C5155" w14:textId="77777777" w:rsidR="00D4144B" w:rsidRPr="009C0A13" w:rsidRDefault="00D4144B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720"/>
        <w:jc w:val="both"/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</w:pPr>
    </w:p>
    <w:p w14:paraId="3C990F55" w14:textId="77777777" w:rsidR="00D4144B" w:rsidRPr="009C0A13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312" w:lineRule="auto"/>
        <w:jc w:val="both"/>
        <w:rPr>
          <w:rFonts w:ascii="Times New Roman" w:eastAsia="Bookman Old Style" w:hAnsi="Times New Roman" w:cs="Times New Roman"/>
          <w:color w:val="000000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color w:val="000000"/>
          <w:sz w:val="18"/>
          <w:szCs w:val="18"/>
        </w:rPr>
        <w:t>As estimativas das quantidades para a contratação são as seguintes:</w:t>
      </w:r>
    </w:p>
    <w:p w14:paraId="56EE0778" w14:textId="77777777" w:rsidR="00D4144B" w:rsidRPr="009C0A13" w:rsidRDefault="00D4144B">
      <w:pPr>
        <w:spacing w:line="312" w:lineRule="auto"/>
        <w:ind w:left="360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tbl>
      <w:tblPr>
        <w:tblStyle w:val="a"/>
        <w:tblW w:w="662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"/>
        <w:gridCol w:w="2297"/>
        <w:gridCol w:w="1930"/>
        <w:gridCol w:w="1682"/>
      </w:tblGrid>
      <w:tr w:rsidR="00D4144B" w:rsidRPr="009C0A13" w14:paraId="7DF23D27" w14:textId="77777777">
        <w:trPr>
          <w:jc w:val="center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6D66" w14:textId="77777777" w:rsidR="00D4144B" w:rsidRPr="009C0A13" w:rsidRDefault="00000000">
            <w:pPr>
              <w:spacing w:line="312" w:lineRule="auto"/>
              <w:jc w:val="both"/>
              <w:rPr>
                <w:rFonts w:ascii="Times New Roman" w:eastAsia="Bookman Old Style" w:hAnsi="Times New Roman" w:cs="Times New Roman"/>
                <w:b/>
                <w:sz w:val="18"/>
                <w:szCs w:val="18"/>
              </w:rPr>
            </w:pPr>
            <w:r w:rsidRPr="009C0A13">
              <w:rPr>
                <w:rFonts w:ascii="Times New Roman" w:eastAsia="Bookman Old Style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9D9F" w14:textId="77777777" w:rsidR="00D4144B" w:rsidRPr="009C0A13" w:rsidRDefault="00000000">
            <w:pPr>
              <w:spacing w:line="312" w:lineRule="auto"/>
              <w:jc w:val="both"/>
              <w:rPr>
                <w:rFonts w:ascii="Times New Roman" w:eastAsia="Bookman Old Style" w:hAnsi="Times New Roman" w:cs="Times New Roman"/>
                <w:b/>
                <w:sz w:val="18"/>
                <w:szCs w:val="18"/>
              </w:rPr>
            </w:pPr>
            <w:r w:rsidRPr="009C0A13">
              <w:rPr>
                <w:rFonts w:ascii="Times New Roman" w:eastAsia="Bookman Old Style" w:hAnsi="Times New Roman" w:cs="Times New Roman"/>
                <w:b/>
                <w:sz w:val="18"/>
                <w:szCs w:val="18"/>
              </w:rPr>
              <w:t>SERVIÇOS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1C61C" w14:textId="77777777" w:rsidR="00D4144B" w:rsidRPr="009C0A13" w:rsidRDefault="00000000">
            <w:pPr>
              <w:spacing w:line="312" w:lineRule="auto"/>
              <w:jc w:val="both"/>
              <w:rPr>
                <w:rFonts w:ascii="Times New Roman" w:eastAsia="Bookman Old Style" w:hAnsi="Times New Roman" w:cs="Times New Roman"/>
                <w:b/>
                <w:sz w:val="18"/>
                <w:szCs w:val="18"/>
              </w:rPr>
            </w:pPr>
            <w:r w:rsidRPr="009C0A13">
              <w:rPr>
                <w:rFonts w:ascii="Times New Roman" w:eastAsia="Bookman Old Style" w:hAnsi="Times New Roman" w:cs="Times New Roman"/>
                <w:b/>
                <w:sz w:val="18"/>
                <w:szCs w:val="18"/>
              </w:rPr>
              <w:t>UNID. DE MEDIDA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A08D8" w14:textId="77777777" w:rsidR="00D4144B" w:rsidRPr="009C0A13" w:rsidRDefault="00000000">
            <w:pPr>
              <w:spacing w:line="312" w:lineRule="auto"/>
              <w:jc w:val="both"/>
              <w:rPr>
                <w:rFonts w:ascii="Times New Roman" w:eastAsia="Bookman Old Style" w:hAnsi="Times New Roman" w:cs="Times New Roman"/>
                <w:b/>
                <w:sz w:val="18"/>
                <w:szCs w:val="18"/>
              </w:rPr>
            </w:pPr>
            <w:r w:rsidRPr="009C0A13">
              <w:rPr>
                <w:rFonts w:ascii="Times New Roman" w:eastAsia="Bookman Old Style" w:hAnsi="Times New Roman" w:cs="Times New Roman"/>
                <w:b/>
                <w:sz w:val="18"/>
                <w:szCs w:val="18"/>
              </w:rPr>
              <w:t>QUANTITATIVO</w:t>
            </w:r>
          </w:p>
        </w:tc>
      </w:tr>
      <w:tr w:rsidR="00D4144B" w:rsidRPr="009C0A13" w14:paraId="300C9111" w14:textId="77777777">
        <w:trPr>
          <w:jc w:val="center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0F694" w14:textId="77777777" w:rsidR="00D4144B" w:rsidRPr="009C0A13" w:rsidRDefault="00000000">
            <w:pPr>
              <w:spacing w:line="312" w:lineRule="auto"/>
              <w:jc w:val="both"/>
              <w:rPr>
                <w:rFonts w:ascii="Times New Roman" w:eastAsia="Bookman Old Style" w:hAnsi="Times New Roman" w:cs="Times New Roman"/>
                <w:sz w:val="18"/>
                <w:szCs w:val="18"/>
              </w:rPr>
            </w:pPr>
            <w:r w:rsidRPr="009C0A13">
              <w:rPr>
                <w:rFonts w:ascii="Times New Roman" w:eastAsia="Bookman Old Style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7DE1" w14:textId="0DD61436" w:rsidR="00D4144B" w:rsidRPr="009C0A13" w:rsidRDefault="00150071">
            <w:pPr>
              <w:spacing w:line="312" w:lineRule="auto"/>
              <w:jc w:val="both"/>
              <w:rPr>
                <w:rFonts w:ascii="Times New Roman" w:eastAsia="Bookman Old Style" w:hAnsi="Times New Roman" w:cs="Times New Roman"/>
                <w:sz w:val="18"/>
                <w:szCs w:val="18"/>
              </w:rPr>
            </w:pPr>
            <w:r w:rsidRPr="00150071">
              <w:rPr>
                <w:rFonts w:ascii="Times New Roman" w:eastAsia="Bookman Old Style" w:hAnsi="Times New Roman" w:cs="Times New Roman"/>
                <w:sz w:val="18"/>
                <w:szCs w:val="18"/>
              </w:rPr>
              <w:t xml:space="preserve">Prestação de serviços especializados em fisioterapia, incluindo a avaliação, atendimento e acompanhamento de pacientes com disfunções musculoesqueléticas e neurológicas, com a emissão de laudos, relatórios e atestados fisioterapêuticos, conforme demanda. O atendimento será realizado exclusivamente a pacientes que tenham, no mínimo, três (03) sessões de fisioterapia, de acordo com prescrição e plano terapêutico individual. Os atendimentos deverão ser realizados utilizando os recursos e equipamentos de fisioterapia disponíveis no município, tais como: Aparelhos de TENS (Estimulação Elétrica Nervosa Transcutânea). FESS (Estimulação Funcional Elétrica). </w:t>
            </w:r>
            <w:r w:rsidRPr="00150071">
              <w:rPr>
                <w:rFonts w:ascii="Times New Roman" w:eastAsia="Bookman Old Style" w:hAnsi="Times New Roman" w:cs="Times New Roman"/>
                <w:sz w:val="18"/>
                <w:szCs w:val="18"/>
              </w:rPr>
              <w:lastRenderedPageBreak/>
              <w:t>Ultrassom terapêutico. Laser terapêutico. Infravermelho. Banho de parafina. Outros equipamentos pertinentes à prática fisioterapêutica. A execução dos serviços deverá seguir os protocolos técnicos e éticos da profissão, conforme as normativas do Conselho Federal de Fisioterapia e Terapia Ocupacional (COFFITO) e demais legislações vigentes. Deverão ser prestados de segunda-feira a sexta-feira, das 07h:00 às 16h:00, a critério da administração na sede do município e em seus distritos, quais sejam: São Barnabé, São Geraldo e São Luís. Cada atendimento terá duração de 01:00, totalizando 63 serviços semanais.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A1314" w14:textId="77777777" w:rsidR="00D4144B" w:rsidRPr="009C0A13" w:rsidRDefault="00000000">
            <w:pPr>
              <w:spacing w:line="312" w:lineRule="auto"/>
              <w:jc w:val="both"/>
              <w:rPr>
                <w:rFonts w:ascii="Times New Roman" w:eastAsia="Bookman Old Style" w:hAnsi="Times New Roman" w:cs="Times New Roman"/>
                <w:sz w:val="18"/>
                <w:szCs w:val="18"/>
              </w:rPr>
            </w:pPr>
            <w:r w:rsidRPr="009C0A13">
              <w:rPr>
                <w:rFonts w:ascii="Times New Roman" w:eastAsia="Bookman Old Style" w:hAnsi="Times New Roman" w:cs="Times New Roman"/>
                <w:sz w:val="18"/>
                <w:szCs w:val="18"/>
              </w:rPr>
              <w:lastRenderedPageBreak/>
              <w:t>SERVIÇO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AC74C" w14:textId="5B226E4D" w:rsidR="00D4144B" w:rsidRPr="009C0A13" w:rsidRDefault="00150071">
            <w:pPr>
              <w:spacing w:line="312" w:lineRule="auto"/>
              <w:jc w:val="both"/>
              <w:rPr>
                <w:rFonts w:ascii="Times New Roman" w:eastAsia="Bookman Old Style" w:hAnsi="Times New Roman" w:cs="Times New Roman"/>
                <w:sz w:val="18"/>
                <w:szCs w:val="18"/>
              </w:rPr>
            </w:pPr>
            <w:r>
              <w:rPr>
                <w:rFonts w:ascii="Times New Roman" w:eastAsia="Bookman Old Style" w:hAnsi="Times New Roman" w:cs="Times New Roman"/>
                <w:sz w:val="18"/>
                <w:szCs w:val="18"/>
              </w:rPr>
              <w:t>3.276</w:t>
            </w:r>
          </w:p>
        </w:tc>
      </w:tr>
    </w:tbl>
    <w:p w14:paraId="6D260693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66D72797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6716C52A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4.2. Considerando que se trata de serviço comum não há memórias de cálculo e outros documentos.</w:t>
      </w:r>
    </w:p>
    <w:p w14:paraId="6F96B904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0444C9B7" w14:textId="1A69F7B0" w:rsidR="00D4144B" w:rsidRPr="009C0A13" w:rsidRDefault="009C0A13" w:rsidP="009C0A13">
      <w:pPr>
        <w:pBdr>
          <w:top w:val="nil"/>
          <w:left w:val="nil"/>
          <w:bottom w:val="nil"/>
          <w:right w:val="nil"/>
          <w:between w:val="nil"/>
        </w:pBdr>
        <w:spacing w:after="200" w:line="312" w:lineRule="auto"/>
        <w:jc w:val="both"/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color w:val="000000"/>
          <w:sz w:val="18"/>
          <w:szCs w:val="18"/>
        </w:rPr>
        <w:t>5. Do levantamento de mercado, que consiste na análise das alternativas possíveis, e justificativa técnica e econômica da escolha do tipo de solução a contratar</w:t>
      </w:r>
    </w:p>
    <w:p w14:paraId="5DFB1D50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5.1. Para análise da viabilidade da contratação pretendida, a Administração realizou levantamento técnico sobre as alternativas disponíveis para suprir a demanda por serviços especializados em Fisioterapia ambulatorial, no âmbito do SUS municipal.</w:t>
      </w:r>
    </w:p>
    <w:p w14:paraId="05A069DF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760A4163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5.2. Inicialmente, foi considerada a possibilidade de criação de cargo efetivo de fisioaterapia no quadro permanente da Prefeitura. No entanto, essa solução mostrou-se inviável em curto e médio prazo, uma vez que dependeria da criação legislativa de cargo público, realização de concurso, provimento e nomeação, com impacto relevante na folha de pagamento e sem garantia de provimento imediato, o que não atende à urgência da demanda reprimida.</w:t>
      </w:r>
    </w:p>
    <w:p w14:paraId="027B67B5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53463E3B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5.3. Avaliou-se também a hipótese de terceirização mediante licitação convencional (Pregão ou Concorrência), com contratação de empresa especializada para fornecimento de profissionais. Contudo, esta alternativa esbarra na característica personalíssima e predominantemente intelectual do serviço, no alto custo indireto da intermediação empresarial e na limitação da concorrência em municípios de pequeno porte como Conceição de Ipanema/MG, onde há escassez de empresas locais ou regionais aptas a prestar o serviço com qualidade técnica e vínculo direto com os usuários.</w:t>
      </w:r>
    </w:p>
    <w:p w14:paraId="48CE2F1C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8F20F34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5.4. Outra hipótese considerada seria a contratação direta por inexigibilidade com seleção pontual de profissional. Entretanto, essa medida seria excludente, contrariando o princípio da isonomia e da eficiência, pois limitaria o atendimento da população a apenas um ou poucos executantes, dificultando o atendimento amplo e rotativo das famílias e a resposta flexível à demanda.</w:t>
      </w:r>
    </w:p>
    <w:p w14:paraId="693E030C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B07D64E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5.5. Diante dessas alternativas, a solução mais adequada e juridicamente segura identificada é a adoção do procedimento de credenciamento, nos termos do art. 79 da Lei nº 14.133/2021, permitindo a contratação de todos os interessados que preencham os requisitos estabelecidos em edital, com remuneração padronizada e atendimento conforme agendamento e necessidade do município.</w:t>
      </w:r>
    </w:p>
    <w:p w14:paraId="46B513E0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BC8524A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5.6. Essa solução possibilita a atuação paralela de diversos profissionais habilitados, sem exclusividade, viabilizando maior capilaridade, acesso contínuo e menor ônus procedimental para a Administração, com pagamento por serviço efetivamente prestada e com base em valores previamente estipulados, o que assegura controle orçamentário, transparência e eficiência.</w:t>
      </w:r>
    </w:p>
    <w:p w14:paraId="3F09B986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731F1EF2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5.7. Do ponto de vista econômico, a contratação por credenciamento permite que o Município arque apenas com os custos efetivos da execução, sem a necessidade de pagamento mínimo garantido ou de estruturação de unidade fixa, adaptando o serviço à demanda real, o que traduz vantajosa relação custo-benefício para o erário.</w:t>
      </w:r>
    </w:p>
    <w:p w14:paraId="0BF31EE1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8F4660C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5.8. Ademais, trata-se de modelo amplamente utilizado na área da saúde pública, especialmente em municípios com estrutura reduzida e elevada demanda por serviços especializados, sendo referendado por normativos federais e pela jurisprudência do Tribunal de Contas da União (TCU) e Tribunais de Contas Estaduais.</w:t>
      </w:r>
    </w:p>
    <w:p w14:paraId="22FB98B4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91DE9AA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5.9. Assim, o levantamento de mercado e a análise técnica e econômica das soluções disponíveis conduzem à inequívoca conclusão de que a forma mais adequada para o atendimento do interesse público no presente caso é o credenciamento por inexigibilidade de licitação, garantindo segurança jurídica, agilidade na prestação dos serviços e atendimento qualificado à população infantil do município.</w:t>
      </w:r>
    </w:p>
    <w:p w14:paraId="7B99E20A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59819E2E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>6. Da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</w:t>
      </w:r>
    </w:p>
    <w:p w14:paraId="5C9E30FD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3BCA316D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6.1. A estimativa do valor da contratação administrativa será calculada na etapa subsequente deste processo administrativo (art. 23 c/c inciso II do art. 72 da Lei nº. 14.133/2021).</w:t>
      </w:r>
    </w:p>
    <w:p w14:paraId="56D7026E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11851C04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>7. Da descrição da solução como um todo, inclusive das exigências relacionadas à manutenção e à assistência técnica, quando for o caso</w:t>
      </w:r>
    </w:p>
    <w:p w14:paraId="3A908811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55C0BA02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7.1. A solução proposta consiste na implantação de um modelo de credenciamento contínuo de fisioterapeutas devidamente habilitados, para a prestação de serviços ambulatoriais especializados no município de Conceição de Ipanema/MG, voltados ao atendimento de pacientes com disfunções músculos esqueléticas e neurológicas, no âmbito do Sistema Único de Saúde – SUS.</w:t>
      </w:r>
    </w:p>
    <w:p w14:paraId="5DACC3A7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47DAD135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7.2. O atendimento será realizado de forma individualizada, mediante encaminhamento da equipe de saúde municipal, em local previamente designado pela Secretaria Municipal de Saúde, dotado de infraestrutura mínima necessária para a execução das atividades, conforme especificado na proposta técnica anexa.</w:t>
      </w:r>
    </w:p>
    <w:p w14:paraId="3098BB8A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6E5F7C70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7.3. O profissional credenciado deverá elaborar plano fisioterapêutico específico para cada paciente, com base em avaliação funcional inicial, considerando aspectos motores, sociais e de desempenho ocupacional, utilizando abordagens clínicas baseadas em evidência e metodologias reconhecidas no campo da Fisioterapia Ambulatorial.</w:t>
      </w:r>
    </w:p>
    <w:p w14:paraId="6035D6B0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C79FD79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bookmarkStart w:id="0" w:name="_heading=h.whi886189zo1" w:colFirst="0" w:colLast="0"/>
      <w:bookmarkEnd w:id="0"/>
      <w:r w:rsidRPr="009C0A13">
        <w:rPr>
          <w:rFonts w:ascii="Times New Roman" w:eastAsia="Bookman Old Style" w:hAnsi="Times New Roman" w:cs="Times New Roman"/>
          <w:sz w:val="18"/>
          <w:szCs w:val="18"/>
        </w:rPr>
        <w:t>7.4. A prestação dos serviços abrangerá, além do atendimento direto ao paciente, a orientação e acompanhamento dos responsáveis legais, com vistas à continuidade e eficácia das intervenções, promovendo a inclusão e o desenvolvimento funcional.</w:t>
      </w:r>
    </w:p>
    <w:p w14:paraId="3EFDD523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AE672D0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7.5. Cada profissional credenciado deverá apresentar relatórios mensais de atendimentos realizados, incluindo evolução dos pacientes e indicadores de resultados assistenciais, conforme modelo a ser fornecido pela Administração, de modo a garantir o controle e a avaliação dos serviços prestados.</w:t>
      </w:r>
    </w:p>
    <w:p w14:paraId="65CF59E5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5EB89934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7.6. O pagamento pelos serviços será realizado com base na quantidade de serviços efetivamente prestadas, conforme valor de referência fixado no edital de credenciamento, mediante apresentação de relatório de atividades e nota fiscal, respeitados os prazos e condições estabelecidos em contrato.</w:t>
      </w:r>
    </w:p>
    <w:p w14:paraId="6ADA591F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5599F66B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7.7. A solução não envolve fornecimento de bens duráveis ou equipamentos de responsabilidade do credenciado, não se aplicando exigências típicas de manutenção técnica ou garantia de funcionamento, uma vez que a execução ocorre exclusivamente por prestação de serviço pessoal e intelectual.</w:t>
      </w:r>
    </w:p>
    <w:p w14:paraId="0E8F3FF7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8959916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7.8. No entanto, a Administração compromete-se a prover o espaço físico apropriado e os insumos mínimos indispensáveis à realização dos atendimentos, como mobiliário adaptado, tatames, materiais lúdico-terapêuticos e recursos auxiliares adequados à prática clínica da Terapia Ocupacional.</w:t>
      </w:r>
    </w:p>
    <w:p w14:paraId="0E1E96DE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468E8D21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7.9. A organização e a gestão da agenda de atendimentos, o chamamento dos usuários, a regulação dos serviços e o controle da demanda serão realizados pela Secretaria Municipal de Saúde, que atuará como gestora do contrato e centralizadora das solicitações de atendimento.</w:t>
      </w:r>
    </w:p>
    <w:p w14:paraId="65C8F398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6935E86E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7.10. O modelo proposto garante elevada flexibilidade, possibilitando que o Município ajuste a quantidade de horas contratadas conforme a evolução da demanda, sem comprometimento orçamentário fixo e sem a necessidade de abertura de novo certame a cada profissional interessado, promovendo economicidade, eficiência e continuidade do serviço público.</w:t>
      </w:r>
    </w:p>
    <w:p w14:paraId="5422B879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530BE51B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>8. Da justificativa para o parcelamento ou não da contratação</w:t>
      </w:r>
    </w:p>
    <w:p w14:paraId="0A610CE9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483900CA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8.1. O objeto da presente contratação refere-se à prestação de serviços técnicos especializados de Fisioterapia Ambulatorional, de natureza predominantemente intelectual e personalizada, destinados ao atendimento de pacientes com disfunções músculos esqueléticas e neurológicas, no âmbito do Sistema ùnico de Saúde-SUS.</w:t>
      </w:r>
    </w:p>
    <w:p w14:paraId="4DE01D6C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9D5A27C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8.2. Considerando a natureza do objeto e o modelo jurídico escolhido — o credenciamento por inexigibilidade de licitação —, não se aplica o conceito clássico de parcelamento, como ocorre nas contratações por pregão ou concorrência. No credenciamento, a Administração habilita todos os interessados que preencham os requisitos legais, não havendo divisão do objeto, mas sim multiplicidade de executantes para uma mesma atividade.</w:t>
      </w:r>
    </w:p>
    <w:p w14:paraId="03C73841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CC5DADA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lastRenderedPageBreak/>
        <w:t>8.3. Todavia, do ponto de vista da lógica operacional da prestação dos serviços, pode-se afirmar que o credenciamento viabiliza, por si só, uma forma de execução fracionada, descentralizada e paralela, uma vez que os atendimentos serão distribuídos entre os diversos profissionais credenciados, conforme a demanda, disponibilidade e organização administrativa da Secretaria Municipal de Saúde.</w:t>
      </w:r>
    </w:p>
    <w:p w14:paraId="1D698A61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74EE7304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8.4. Sob essa perspectiva, a adoção do credenciamento atende ao princípio do parcelamento previsto no art. 40 da Lei nº 14.133/2021, na medida em que evita a concentração da execução contratual em um único prestador, estimula a participação de profissionais locais ou regionais e permite o ajuste da contratação à realidade de pequenos municípios.</w:t>
      </w:r>
    </w:p>
    <w:p w14:paraId="7ABF611A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1AFD1E01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8.5. A não adoção do parcelamento clássico justifica-se, portanto, pela adoção de modelo jurídico específico — o credenciamento — cuja própria essência pressupõe múltiplos prestadores, sem competição direta entre si, com ingresso paralelo, contínuo e não excludente.</w:t>
      </w:r>
    </w:p>
    <w:p w14:paraId="7B74D411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4BF889DC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8.6. Ademais, a fixação de um único contrato com divisão formal do objeto entre diferentes lotes ou frentes de atendimento poderia, inclusive, inviabilizar a contratação, diante da inexistência de empresas locais com estrutura suficiente para coordenar profissionais dessa natureza, além de contrariar os princípios da impessoalidade e da isonomia que regem o credenciamento.</w:t>
      </w:r>
    </w:p>
    <w:p w14:paraId="18CD962A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206898C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8.7. Por todo o exposto, conclui-se que o modelo adotado supre, de maneira mais eficiente, os objetivos buscados com o parcelamento, promovendo a ampliação do acesso, a descentralização da execução e a melhor alocação de recursos, sem comprometer a qualidade técnica dos serviços prestados.</w:t>
      </w:r>
    </w:p>
    <w:p w14:paraId="6FD793DA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3C5003CA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>9. Do demonstrativo dos resultados pretendidos em termo de economicidade e de melhor aproveitamento dos recursos humanos, materiais e financeiros disponíveis</w:t>
      </w:r>
    </w:p>
    <w:p w14:paraId="64AE1DF1" w14:textId="07B36F39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9.1. O resultado pretendido em termo de economicidade ocorre de forma indireta, evitando altos gastos com reparos emergenciais ou acumulados, bem como o prolongamento da vida útil dos bens públicos</w:t>
      </w:r>
      <w:r w:rsidR="009C0A13" w:rsidRPr="009C0A13">
        <w:rPr>
          <w:rFonts w:ascii="Times New Roman" w:eastAsia="Bookman Old Style" w:hAnsi="Times New Roman" w:cs="Times New Roman"/>
          <w:sz w:val="18"/>
          <w:szCs w:val="18"/>
        </w:rPr>
        <w:t>;</w:t>
      </w:r>
    </w:p>
    <w:p w14:paraId="679181DF" w14:textId="77777777" w:rsidR="009C0A13" w:rsidRPr="009C0A13" w:rsidRDefault="009C0A13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6BFA449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9.2. Não há resultado pretendido em termo de melhor aproveitamento dos recursos humanos, considerando que a Administração está justamente contratando mão de obra;</w:t>
      </w:r>
    </w:p>
    <w:p w14:paraId="5697EDF8" w14:textId="77777777" w:rsidR="009C0A13" w:rsidRPr="009C0A13" w:rsidRDefault="009C0A13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10E300F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9.3. Não há resultado pretendido em termo de melhor aproveitamento dos recursos materiais, considerando que a maioria dos serviços serão executados com materiais dos próprios prestados de serviços;</w:t>
      </w:r>
    </w:p>
    <w:p w14:paraId="63AB0783" w14:textId="77777777" w:rsidR="009C0A13" w:rsidRPr="009C0A13" w:rsidRDefault="009C0A13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18565105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9.4. O resultado pretendido e termo de melhor aproveitamento dos recursos financeiros é que os serviços serão contratados conforme a necessidade da Administração, em regime de demanda.</w:t>
      </w: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 xml:space="preserve"> </w:t>
      </w: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ab/>
      </w:r>
    </w:p>
    <w:p w14:paraId="426EEEAE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34C76197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>10. Das providências a serem adotadas pela Administração previamente à celebração do contrato administrativo, inclusive quanto à capacitação de servidores públicos municipais para fiscalização e gestão contratual</w:t>
      </w:r>
    </w:p>
    <w:p w14:paraId="5FF7ADE1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3BD66A47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10.1. A Administração não possui providências a serem adotadas previamente à celebração do contrato administrativo.</w:t>
      </w:r>
    </w:p>
    <w:p w14:paraId="2BB801F5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4D2FD784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 xml:space="preserve">11. Das contratações correlatas e/ou interdependentes </w:t>
      </w:r>
    </w:p>
    <w:p w14:paraId="3F6BAFAE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13F800D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 xml:space="preserve">11.1. Não existiu ou existem contratações correlatas e/ou interdependentes no âmbito da Administração. </w:t>
      </w:r>
    </w:p>
    <w:p w14:paraId="1C204466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1CECB015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lastRenderedPageBreak/>
        <w:t>12. Da descrição de possíveis impactos ambientais e respectivas medidas mitigadoras, incluídos requisitos de baixo consumo de energia e de outros recursos, bem como logística reversa para desfazimento e reciclagem de bens e refugos, quando aplicável</w:t>
      </w:r>
    </w:p>
    <w:p w14:paraId="3F2BE3DB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11D11450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12.1. Não existe impactos ambientais e respectivas medidas mitigadoras.</w:t>
      </w:r>
    </w:p>
    <w:p w14:paraId="1D050D0B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65D21983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>13. Do posicionamento conclusivo sobre a adequação da contratação para o atendimento da necessidade a que se destina</w:t>
      </w:r>
    </w:p>
    <w:p w14:paraId="4829B179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28A449B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13.1. A presente contratação tem por objetivo assegurar a oferta regular, acessível e qualificada de serviços de Fisioterapia ambulatorial à população do Município de Conceição de Ipanema/MG, com foco no atendimento de pacientes com disfunções músculos esqueléticas e neurológicas, no âmbito do Sistema Único de Saúde (SUS).</w:t>
      </w:r>
    </w:p>
    <w:p w14:paraId="0D769307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18F3272C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13.2. A análise técnica, econômica e jurídica realizada ao longo deste Estudo Técnico Preliminar evidenciou que a demanda não pode ser suprida pela estrutura própria da Administração, tampouco por meio de contratação direta ou licitação convencional, dada a natureza intelectual, especializada e personalizada do serviço.</w:t>
      </w:r>
    </w:p>
    <w:p w14:paraId="4332933C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06472CE2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13.3. A adoção do procedimento de credenciamento por inexigibilidade de licitação, previsto no art. 74, inciso II, combinado com o art. 79 da Lei nº 14.133/2021, revelou-se a alternativa mais adequada ao caso concreto, por permitir o atendimento contínuo, descentralizado e flexível, com remuneração padronizada e sem restrição de número de prestadores, garantindo, assim, a universalização do acesso e a observância do princípio da isonomia.</w:t>
      </w:r>
    </w:p>
    <w:p w14:paraId="73918389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307009C5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13.4. O credenciamento, por sua própria natureza, viabiliza a participação de todos os interessados que comprovem habilitação mínima, sem procedimento competitivo, o que assegura maior capilaridade na prestação do serviço, otimização do atendimento e economicidade à Administração, uma vez que os pagamentos se darão exclusivamente pelas horas efetivamente trabalhadas.</w:t>
      </w:r>
    </w:p>
    <w:p w14:paraId="55338CBA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35AAA452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13.5. Além de juridicamente viável, a solução está em consonância com as diretrizes da Política Nacional de Saúde da Pessoa com Deficiência, da Rede de Cuidados à Pessoa com Deficiência no SUS, e com os princípios constitucionais que regem a Administração Pública, em especial a eficiência, a legalidade, a continuidade do serviço público e a supremacia do interesse público.</w:t>
      </w:r>
    </w:p>
    <w:p w14:paraId="6E6EB514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2825B18F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13.6. Por fim, conclui-se que a contratação ora proposta, pela via do credenciamento, é técnica, jurídica e economicamente adequada ao atendimento do interesse público e da política municipal de saúde, estando em plena conformidade com os fundamentos legais e os objetivos institucionais da Secretaria Municipal de Saúde de Conceição de Ipanema/MG.</w:t>
      </w:r>
    </w:p>
    <w:p w14:paraId="49198700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735CF2D9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>14. Das disposições gerais</w:t>
      </w:r>
    </w:p>
    <w:p w14:paraId="4FDD6598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7B8F4E4F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14.1. Admite-se que os elementos constantes do ETP sejam retificados durante a elaboração dos eventuais Termo de Referência – TR –, anteprojeto, projeto básico e projeto executivo.</w:t>
      </w:r>
    </w:p>
    <w:p w14:paraId="6CF75F36" w14:textId="77777777" w:rsidR="009C0A13" w:rsidRPr="009C0A13" w:rsidRDefault="009C0A13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43BC2196" w14:textId="77777777" w:rsidR="00D4144B" w:rsidRPr="009C0A13" w:rsidRDefault="00000000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14.2. Estima-se que 10 credenciado(a)(s) por item são necessários para a realização do serviços.</w:t>
      </w:r>
    </w:p>
    <w:p w14:paraId="23615F1F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b/>
          <w:sz w:val="18"/>
          <w:szCs w:val="18"/>
        </w:rPr>
      </w:pPr>
    </w:p>
    <w:p w14:paraId="698AE3C1" w14:textId="77777777" w:rsidR="00D4144B" w:rsidRPr="009C0A13" w:rsidRDefault="00000000">
      <w:pPr>
        <w:spacing w:line="312" w:lineRule="auto"/>
        <w:jc w:val="right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t xml:space="preserve">Conceição de Ipanema – MG, 31 de julho de 2025. </w:t>
      </w:r>
    </w:p>
    <w:p w14:paraId="1050457F" w14:textId="77777777" w:rsidR="00D4144B" w:rsidRPr="009C0A13" w:rsidRDefault="00D4144B">
      <w:pPr>
        <w:spacing w:line="312" w:lineRule="auto"/>
        <w:jc w:val="both"/>
        <w:rPr>
          <w:rFonts w:ascii="Times New Roman" w:eastAsia="Bookman Old Style" w:hAnsi="Times New Roman" w:cs="Times New Roman"/>
          <w:sz w:val="18"/>
          <w:szCs w:val="18"/>
        </w:rPr>
      </w:pPr>
    </w:p>
    <w:p w14:paraId="7286DF91" w14:textId="77777777" w:rsidR="00D4144B" w:rsidRPr="009C0A13" w:rsidRDefault="00D4144B">
      <w:pPr>
        <w:spacing w:line="240" w:lineRule="auto"/>
        <w:jc w:val="center"/>
        <w:rPr>
          <w:rFonts w:ascii="Times New Roman" w:eastAsia="Bookman Old Style" w:hAnsi="Times New Roman" w:cs="Times New Roman"/>
          <w:sz w:val="18"/>
          <w:szCs w:val="18"/>
        </w:rPr>
      </w:pPr>
    </w:p>
    <w:p w14:paraId="3B3BB3FD" w14:textId="77777777" w:rsidR="00D4144B" w:rsidRPr="009C0A13" w:rsidRDefault="00D4144B">
      <w:pPr>
        <w:spacing w:line="240" w:lineRule="auto"/>
        <w:jc w:val="center"/>
        <w:rPr>
          <w:rFonts w:ascii="Times New Roman" w:eastAsia="Bookman Old Style" w:hAnsi="Times New Roman" w:cs="Times New Roman"/>
          <w:sz w:val="18"/>
          <w:szCs w:val="18"/>
        </w:rPr>
      </w:pPr>
    </w:p>
    <w:p w14:paraId="7C74C38D" w14:textId="77777777" w:rsidR="00D4144B" w:rsidRPr="009C0A13" w:rsidRDefault="00000000">
      <w:pPr>
        <w:spacing w:line="240" w:lineRule="auto"/>
        <w:jc w:val="center"/>
        <w:rPr>
          <w:rFonts w:ascii="Times New Roman" w:eastAsia="Bookman Old Style" w:hAnsi="Times New Roman" w:cs="Times New Roman"/>
          <w:b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b/>
          <w:sz w:val="18"/>
          <w:szCs w:val="18"/>
        </w:rPr>
        <w:lastRenderedPageBreak/>
        <w:t>Alessandra Ferreira Dutra Knaip</w:t>
      </w:r>
    </w:p>
    <w:p w14:paraId="267F05D7" w14:textId="77777777" w:rsidR="00D4144B" w:rsidRPr="009C0A13" w:rsidRDefault="00000000">
      <w:pPr>
        <w:spacing w:line="240" w:lineRule="auto"/>
        <w:jc w:val="center"/>
        <w:rPr>
          <w:rFonts w:ascii="Times New Roman" w:eastAsia="Bookman Old Style" w:hAnsi="Times New Roman" w:cs="Times New Roman"/>
          <w:sz w:val="18"/>
          <w:szCs w:val="18"/>
        </w:rPr>
      </w:pPr>
      <w:r w:rsidRPr="009C0A13">
        <w:rPr>
          <w:rFonts w:ascii="Times New Roman" w:eastAsia="Bookman Old Style" w:hAnsi="Times New Roman" w:cs="Times New Roman"/>
          <w:sz w:val="18"/>
          <w:szCs w:val="18"/>
        </w:rPr>
        <w:t>Secretaria Municipal de Saúde</w:t>
      </w:r>
    </w:p>
    <w:p w14:paraId="720FC844" w14:textId="77777777" w:rsidR="00D4144B" w:rsidRDefault="00D4144B">
      <w:pPr>
        <w:spacing w:line="240" w:lineRule="auto"/>
        <w:jc w:val="center"/>
        <w:rPr>
          <w:rFonts w:ascii="Bookman Old Style" w:eastAsia="Bookman Old Style" w:hAnsi="Bookman Old Style" w:cs="Bookman Old Style"/>
          <w:sz w:val="18"/>
          <w:szCs w:val="18"/>
        </w:rPr>
      </w:pPr>
    </w:p>
    <w:p w14:paraId="6282DDA0" w14:textId="77777777" w:rsidR="00D4144B" w:rsidRDefault="00D4144B">
      <w:pPr>
        <w:spacing w:line="240" w:lineRule="auto"/>
        <w:jc w:val="center"/>
        <w:rPr>
          <w:rFonts w:ascii="Bookman Old Style" w:eastAsia="Bookman Old Style" w:hAnsi="Bookman Old Style" w:cs="Bookman Old Style"/>
          <w:sz w:val="18"/>
          <w:szCs w:val="18"/>
        </w:rPr>
      </w:pPr>
    </w:p>
    <w:p w14:paraId="517D25F4" w14:textId="77777777" w:rsidR="00D4144B" w:rsidRDefault="00D4144B"/>
    <w:sectPr w:rsidR="00D4144B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DB455" w14:textId="77777777" w:rsidR="00821384" w:rsidRDefault="00821384">
      <w:pPr>
        <w:spacing w:line="240" w:lineRule="auto"/>
      </w:pPr>
      <w:r>
        <w:separator/>
      </w:r>
    </w:p>
  </w:endnote>
  <w:endnote w:type="continuationSeparator" w:id="0">
    <w:p w14:paraId="3A75BE2A" w14:textId="77777777" w:rsidR="00821384" w:rsidRDefault="008213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F327453E-8465-45F2-B37A-442862311A6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2" w:fontKey="{A3D55EAA-D5E2-4E0E-A6CE-40BFCAE4615B}"/>
    <w:embedBold r:id="rId3" w:fontKey="{5792CA81-9FB1-46BC-86C9-79B2F75080DB}"/>
  </w:font>
  <w:font w:name="Lustria">
    <w:charset w:val="00"/>
    <w:family w:val="auto"/>
    <w:pitch w:val="default"/>
    <w:embedRegular r:id="rId4" w:fontKey="{AE40EC0E-41E7-4C31-A10B-CA5F35BD1A40}"/>
    <w:embedBold r:id="rId5" w:fontKey="{5A8DFD80-A0D9-4EA3-941C-116A9743837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F94BB97-BE38-4F19-A944-DAB2FAE703C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3BE9A" w14:textId="77777777" w:rsidR="00821384" w:rsidRDefault="00821384">
      <w:pPr>
        <w:spacing w:line="240" w:lineRule="auto"/>
      </w:pPr>
      <w:r>
        <w:separator/>
      </w:r>
    </w:p>
  </w:footnote>
  <w:footnote w:type="continuationSeparator" w:id="0">
    <w:p w14:paraId="426C0705" w14:textId="77777777" w:rsidR="00821384" w:rsidRDefault="0082138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C59E2" w14:textId="77777777" w:rsidR="00D4144B" w:rsidRDefault="00000000">
    <w:pPr>
      <w:spacing w:line="500" w:lineRule="auto"/>
      <w:jc w:val="center"/>
      <w:rPr>
        <w:rFonts w:ascii="Lustria" w:eastAsia="Lustria" w:hAnsi="Lustria" w:cs="Lustria"/>
        <w:b/>
        <w:color w:val="000000"/>
        <w:sz w:val="40"/>
        <w:szCs w:val="40"/>
      </w:rPr>
    </w:pPr>
    <w:r>
      <w:rPr>
        <w:rFonts w:ascii="Lustria" w:eastAsia="Lustria" w:hAnsi="Lustria" w:cs="Lustria"/>
        <w:b/>
        <w:color w:val="000000"/>
        <w:sz w:val="40"/>
        <w:szCs w:val="40"/>
      </w:rPr>
      <w:t>PREFEITURA MUNICIPAL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1CA23A2" wp14:editId="32C5CDBA">
          <wp:simplePos x="0" y="0"/>
          <wp:positionH relativeFrom="column">
            <wp:posOffset>-390523</wp:posOffset>
          </wp:positionH>
          <wp:positionV relativeFrom="paragraph">
            <wp:posOffset>9525</wp:posOffset>
          </wp:positionV>
          <wp:extent cx="1285875" cy="1012190"/>
          <wp:effectExtent l="0" t="0" r="0" b="0"/>
          <wp:wrapSquare wrapText="bothSides" distT="0" distB="0" distL="114300" distR="114300"/>
          <wp:docPr id="2060898914" name="image1.png" descr="emble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mblem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81061F" w14:textId="77777777" w:rsidR="00D4144B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CONCEIÇÃO DE IPANEMA – MG</w:t>
    </w:r>
  </w:p>
  <w:p w14:paraId="17D4B6FE" w14:textId="77777777" w:rsidR="00D4144B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CNPJ: 18.334.300/0001-72</w:t>
    </w:r>
  </w:p>
  <w:p w14:paraId="567CFF0C" w14:textId="77777777" w:rsidR="00D4144B" w:rsidRDefault="00D4144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52B8F"/>
    <w:multiLevelType w:val="multilevel"/>
    <w:tmpl w:val="9C32AB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56" w:hanging="396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1634485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44B"/>
    <w:rsid w:val="00150071"/>
    <w:rsid w:val="005A68CF"/>
    <w:rsid w:val="00821384"/>
    <w:rsid w:val="009C0A13"/>
    <w:rsid w:val="00CD0507"/>
    <w:rsid w:val="00D4144B"/>
    <w:rsid w:val="00EE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29063"/>
  <w15:docId w15:val="{E96C4865-107A-44BB-8142-3906D00D2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5558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5585"/>
  </w:style>
  <w:style w:type="paragraph" w:styleId="Rodap">
    <w:name w:val="footer"/>
    <w:basedOn w:val="Normal"/>
    <w:link w:val="RodapChar"/>
    <w:uiPriority w:val="99"/>
    <w:unhideWhenUsed/>
    <w:rsid w:val="00F5558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5585"/>
  </w:style>
  <w:style w:type="paragraph" w:styleId="PargrafodaLista">
    <w:name w:val="List Paragraph"/>
    <w:basedOn w:val="Normal"/>
    <w:uiPriority w:val="34"/>
    <w:qFormat/>
    <w:rsid w:val="00720FEC"/>
    <w:pPr>
      <w:spacing w:after="200"/>
      <w:ind w:left="720"/>
      <w:contextualSpacing/>
    </w:pPr>
    <w:rPr>
      <w:rFonts w:asciiTheme="minorHAnsi" w:eastAsiaTheme="minorEastAsia" w:hAnsiTheme="minorHAnsi" w:cstheme="minorBidi"/>
      <w:lang w:val="pt-BR"/>
    </w:rPr>
  </w:style>
  <w:style w:type="character" w:customStyle="1" w:styleId="Nivel2Char">
    <w:name w:val="Nivel 2 Char"/>
    <w:basedOn w:val="Fontepargpadro"/>
    <w:link w:val="Nivel2"/>
    <w:locked/>
    <w:rsid w:val="00720FEC"/>
    <w:rPr>
      <w:color w:val="000000"/>
    </w:rPr>
  </w:style>
  <w:style w:type="paragraph" w:customStyle="1" w:styleId="Nivel2">
    <w:name w:val="Nivel 2"/>
    <w:basedOn w:val="Normal"/>
    <w:link w:val="Nivel2Char"/>
    <w:qFormat/>
    <w:rsid w:val="00720FEC"/>
    <w:pPr>
      <w:spacing w:before="120" w:after="120"/>
      <w:jc w:val="both"/>
    </w:pPr>
    <w:rPr>
      <w:color w:val="000000"/>
    </w:rPr>
  </w:style>
  <w:style w:type="table" w:styleId="Tabelacomgrade">
    <w:name w:val="Table Grid"/>
    <w:basedOn w:val="Tabelanormal"/>
    <w:uiPriority w:val="39"/>
    <w:rsid w:val="00F11A6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+4eGyIfMI0Er8R3Qcumx8ml2Xw==">CgMxLjAyDmgud2hpODg2MTg5em8xOAByITFKeEQ3UERQWTNEYkZmX1ItcElNQWdnN0I2UFBYMnZmZA==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3072</Words>
  <Characters>16589</Characters>
  <Application>Microsoft Office Word</Application>
  <DocSecurity>0</DocSecurity>
  <Lines>138</Lines>
  <Paragraphs>39</Paragraphs>
  <ScaleCrop>false</ScaleCrop>
  <Company/>
  <LinksUpToDate>false</LinksUpToDate>
  <CharactersWithSpaces>19622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usuario2</dc:creator>
  <cp:lastModifiedBy>Lucas Henrique</cp:lastModifiedBy>
  <cp:revision>3</cp:revision>
  <dcterms:created xsi:type="dcterms:W3CDTF">2025-02-02T18:58:00Z</dcterms:created>
  <dcterms:modified xsi:type="dcterms:W3CDTF">2025-09-20T16:13:00Z</dcterms:modified>
</cp:coreProperties>
</file>