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0"/>
          <w:tab w:val="left" w:leader="none" w:pos="9497"/>
        </w:tabs>
        <w:spacing w:after="200" w:before="25" w:lineRule="auto"/>
        <w:jc w:val="center"/>
        <w:rPr>
          <w:rFonts w:ascii="Times New Roman" w:cs="Times New Roman" w:eastAsia="Times New Roman" w:hAnsi="Times New Roman"/>
          <w:b w:val="1"/>
          <w:bCs w:val="1"/>
          <w:sz w:val="18"/>
          <w:szCs w:val="18"/>
        </w:rPr>
      </w:pPr>
      <w:r w:rsidDel="00000000" w:rsidR="00000000" w:rsidRPr="00000000">
        <w:rPr>
          <w:rtl w:val="0"/>
        </w:rPr>
      </w:r>
    </w:p>
    <w:p w:rsidR="00000000" w:rsidDel="00000000" w:rsidP="00000000" w:rsidRDefault="00000000" w:rsidRPr="00000000" w14:paraId="00000002">
      <w:pPr>
        <w:tabs>
          <w:tab w:val="left" w:leader="none" w:pos="2268"/>
        </w:tabs>
        <w:spacing w:line="360"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TERMO DE REFERÊNCIA</w:t>
      </w:r>
    </w:p>
    <w:p w:rsidR="00000000" w:rsidDel="00000000" w:rsidP="00000000" w:rsidRDefault="00000000" w:rsidRPr="00000000" w14:paraId="00000003">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4">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 Da definição do objeto</w:t>
      </w:r>
    </w:p>
    <w:p w:rsidR="00000000" w:rsidDel="00000000" w:rsidP="00000000" w:rsidRDefault="00000000" w:rsidRPr="00000000" w14:paraId="00000005">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0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268"/>
        </w:tabs>
        <w:spacing w:after="200" w:before="0" w:line="360" w:lineRule="auto"/>
        <w:ind w:left="360" w:right="0" w:hanging="36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O presente Termo de Referência tem por objeto a contratação de empresa especializada para a prestação de serviços de assessoria e consultoria técnica, objetivando apoio à gestão, estruturação e implementação de programas e políticas públicas nas áreas de Segurança Alimentar e Nutricional (SAN), Desenvolvimento Rural Sustentável (DRS), Agricultura Familiar, Associativismo, Cooperativismo, Agricultura, Pecuária e Abastecimento, bem como a elaboração de projetos estratégicos para captação de recursos estaduais e federais, no âmbito da Secretaria Municipal de Agricultura do Município de Conceição de Ipanema/MG.</w:t>
      </w:r>
    </w:p>
    <w:tbl>
      <w:tblPr>
        <w:tblStyle w:val="Table1"/>
        <w:tblW w:w="9067.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0"/>
        <w:gridCol w:w="1491"/>
        <w:gridCol w:w="1483"/>
        <w:gridCol w:w="4613"/>
        <w:tblGridChange w:id="0">
          <w:tblGrid>
            <w:gridCol w:w="1480"/>
            <w:gridCol w:w="1491"/>
            <w:gridCol w:w="1483"/>
            <w:gridCol w:w="4613"/>
          </w:tblGrid>
        </w:tblGridChange>
      </w:tblGrid>
      <w:tr>
        <w:trPr>
          <w:cantSplit w:val="0"/>
          <w:tblHeader w:val="0"/>
        </w:trPr>
        <w:tc>
          <w:tcPr/>
          <w:p w:rsidR="00000000" w:rsidDel="00000000" w:rsidP="00000000" w:rsidRDefault="00000000" w:rsidRPr="00000000" w14:paraId="00000007">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ITEM</w:t>
            </w:r>
          </w:p>
        </w:tc>
        <w:tc>
          <w:tcPr/>
          <w:p w:rsidR="00000000" w:rsidDel="00000000" w:rsidP="00000000" w:rsidRDefault="00000000" w:rsidRPr="00000000" w14:paraId="00000008">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QUANT.</w:t>
            </w:r>
          </w:p>
        </w:tc>
        <w:tc>
          <w:tcPr/>
          <w:p w:rsidR="00000000" w:rsidDel="00000000" w:rsidP="00000000" w:rsidRDefault="00000000" w:rsidRPr="00000000" w14:paraId="00000009">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UNID.</w:t>
            </w:r>
          </w:p>
        </w:tc>
        <w:tc>
          <w:tcPr/>
          <w:p w:rsidR="00000000" w:rsidDel="00000000" w:rsidP="00000000" w:rsidRDefault="00000000" w:rsidRPr="00000000" w14:paraId="0000000A">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DESCRIÇÃO</w:t>
            </w:r>
          </w:p>
        </w:tc>
      </w:tr>
      <w:tr>
        <w:trPr>
          <w:cantSplit w:val="0"/>
          <w:tblHeader w:val="0"/>
        </w:trPr>
        <w:tc>
          <w:tcPr/>
          <w:p w:rsidR="00000000" w:rsidDel="00000000" w:rsidP="00000000" w:rsidRDefault="00000000" w:rsidRPr="00000000" w14:paraId="0000000B">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p w:rsidR="00000000" w:rsidDel="00000000" w:rsidP="00000000" w:rsidRDefault="00000000" w:rsidRPr="00000000" w14:paraId="0000000C">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w:t>
            </w:r>
          </w:p>
        </w:tc>
        <w:tc>
          <w:tcPr/>
          <w:p w:rsidR="00000000" w:rsidDel="00000000" w:rsidP="00000000" w:rsidRDefault="00000000" w:rsidRPr="00000000" w14:paraId="0000000D">
            <w:pPr>
              <w:tabs>
                <w:tab w:val="left" w:leader="none" w:pos="2268"/>
              </w:tabs>
              <w:spacing w:line="36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MESES</w:t>
            </w:r>
          </w:p>
        </w:tc>
        <w:tc>
          <w:tcPr/>
          <w:p w:rsidR="00000000" w:rsidDel="00000000" w:rsidP="00000000" w:rsidRDefault="00000000" w:rsidRPr="00000000" w14:paraId="0000000E">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Prestação de serviços técnicos especializados de assessoria e consultoria na área de desenvolvimento rural e políticas públicas agrícolas, abrangendo o diagnóstico, planejamento, estruturação, acompanhamento e execução de ações voltadas à Segurança Alimentar e Nutricional (SAN), Desenvolvimento Rural Sustentável (DRS), Agricultura Familiar, Associativismo e Cooperativismo, bem como apoio técnico na elaboração de projetos e captação de recursos junto aos Governos Estadual e Federal. Inclui ainda o suporte técnico na organização administrativa da Secretaria, elaboração de relatórios, planos de trabalho, acompanhamento de programas governamentais e orientação técnica aos produtores rurais e organizações locais.</w:t>
            </w:r>
          </w:p>
        </w:tc>
      </w:tr>
    </w:tbl>
    <w:p w:rsidR="00000000" w:rsidDel="00000000" w:rsidP="00000000" w:rsidRDefault="00000000" w:rsidRPr="00000000" w14:paraId="0000000F">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 Os serviços deverão ser prestados de forma continuada e integrada às ações da Administração Municipal, com o objetivo de fortalecer a capacidade institucional da Secretaria de Agricultura, promover a modernização da gestão pública rural e garantir a efetividade das políticas públicas voltadas ao desenvolvimento do setor agrícola.</w:t>
      </w:r>
    </w:p>
    <w:p w:rsidR="00000000" w:rsidDel="00000000" w:rsidP="00000000" w:rsidRDefault="00000000" w:rsidRPr="00000000" w14:paraId="00000010">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 A execução do objeto abrangerá o apoio técnico nas seguintes frentes:</w:t>
      </w:r>
    </w:p>
    <w:p w:rsidR="00000000" w:rsidDel="00000000" w:rsidP="00000000" w:rsidRDefault="00000000" w:rsidRPr="00000000" w14:paraId="00000011">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Segurança Alimentar e Nutricional (SAN) – apoio na implementação de políticas públicas, programas de abastecimento e acesso à alimentação;</w:t>
      </w:r>
    </w:p>
    <w:p w:rsidR="00000000" w:rsidDel="00000000" w:rsidP="00000000" w:rsidRDefault="00000000" w:rsidRPr="00000000" w14:paraId="00000012">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Desenvolvimento Rural Sustentável (DRS) – elaboração de estratégias voltadas ao fortalecimento da produção rural sustentável;</w:t>
      </w:r>
    </w:p>
    <w:p w:rsidR="00000000" w:rsidDel="00000000" w:rsidP="00000000" w:rsidRDefault="00000000" w:rsidRPr="00000000" w14:paraId="00000014">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 Agricultura Familiar – apoio à organização produtiva, acesso a políticas públicas e programas governamentais;</w:t>
      </w:r>
    </w:p>
    <w:p w:rsidR="00000000" w:rsidDel="00000000" w:rsidP="00000000" w:rsidRDefault="00000000" w:rsidRPr="00000000" w14:paraId="00000015">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 Associativismo e Cooperativismo – orientação técnica para organização de produtores, criação e fortalecimento de associações e cooperativas;</w:t>
      </w:r>
    </w:p>
    <w:p w:rsidR="00000000" w:rsidDel="00000000" w:rsidP="00000000" w:rsidRDefault="00000000" w:rsidRPr="00000000" w14:paraId="00000016">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Captação de Recursos – elaboração de projetos técnicos e acompanhamento de propostas junto a órgãos estaduais e federais;</w:t>
      </w:r>
    </w:p>
    <w:p w:rsidR="00000000" w:rsidDel="00000000" w:rsidP="00000000" w:rsidRDefault="00000000" w:rsidRPr="00000000" w14:paraId="00000017">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 Gestão administrativa e planejamento – elaboração de relatórios, planos, diagnósticos e organização de dados da Secretaria.</w:t>
      </w:r>
    </w:p>
    <w:p w:rsidR="00000000" w:rsidDel="00000000" w:rsidP="00000000" w:rsidRDefault="00000000" w:rsidRPr="00000000" w14:paraId="00000018">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 Inclui-se no escopo o apoio técnico na elaboração de projetos, planos de trabalho, relatórios técnicos e instrumentos de planejamento, bem como o acompanhamento de convênios, programas e políticas públicas vinculadas ao setor agrícola.</w:t>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 O objeto também compreende o apoio técnico e administrativo às atividades da Secretaria Municipal de Agricultura, incluindo organização documental, acompanhamento de programas e integração com demais setores da Administração Pública.</w:t>
      </w:r>
    </w:p>
    <w:p w:rsidR="00000000" w:rsidDel="00000000" w:rsidP="00000000" w:rsidRDefault="00000000" w:rsidRPr="00000000" w14:paraId="0000001A">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 A execução dos serviços será desenvolvida sob orientação e supervisão da Secretaria Municipal de Agricultura, mediante cronograma previamente estabelecido com o Gestor e Fiscal do contrato.</w:t>
      </w:r>
    </w:p>
    <w:p w:rsidR="00000000" w:rsidDel="00000000" w:rsidP="00000000" w:rsidRDefault="00000000" w:rsidRPr="00000000" w14:paraId="0000001B">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 A presente contratação possui natureza de serviço técnico especializado de apoio à gestão pública rural, voltado ao desenvolvimento econômico, fortalecimento da agricultura local e melhoria das políticas públicas agrícolas do Município.</w:t>
      </w:r>
    </w:p>
    <w:p w:rsidR="00000000" w:rsidDel="00000000" w:rsidP="00000000" w:rsidRDefault="00000000" w:rsidRPr="00000000" w14:paraId="0000001C">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D">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 Da fundamentação da contratação administrativa</w:t>
      </w:r>
    </w:p>
    <w:p w:rsidR="00000000" w:rsidDel="00000000" w:rsidP="00000000" w:rsidRDefault="00000000" w:rsidRPr="00000000" w14:paraId="0000001E">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1F">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 A fundamentação da contratação administrativa não está no Estudo Técnico Preliminar – ETP –, considerando que para esta contratação direta este documento não é obrigatório (art. 4º do Decreto nº. 07/2025 (Dispõe sobre o estudo técnico preliminar)).</w:t>
      </w:r>
    </w:p>
    <w:p w:rsidR="00000000" w:rsidDel="00000000" w:rsidP="00000000" w:rsidRDefault="00000000" w:rsidRPr="00000000" w14:paraId="00000020">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 A contratação fundamenta-se na necessidade de fortalecimento das políticas públicas voltadas ao desenvolvimento rural, à segurança alimentar e à agricultura familiar, competências atribuídas aos Municípios nos termos dos arts. 23 e 30 da Constituição Federal.</w:t>
      </w:r>
    </w:p>
    <w:p w:rsidR="00000000" w:rsidDel="00000000" w:rsidP="00000000" w:rsidRDefault="00000000" w:rsidRPr="00000000" w14:paraId="00000021">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2">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3">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 A execução de programas de desenvolvimento rural, segurança alimentar e apoio à agricultura familiar exige planejamento técnico, elaboração de projetos, captação de recursos e acompanhamento de políticas públicas, atividades que demandam conhecimento especializado não disponível de forma suficiente no quadro permanente do Município.</w:t>
      </w:r>
    </w:p>
    <w:p w:rsidR="00000000" w:rsidDel="00000000" w:rsidP="00000000" w:rsidRDefault="00000000" w:rsidRPr="00000000" w14:paraId="00000024">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 Nos termos da Lei nº 14.133/2021, a contratação observa os princípios da eficiência, planejamento e interesse público, sendo adequada a contratação de serviços técnicos especializados para apoio à gestão administrativa.</w:t>
      </w:r>
    </w:p>
    <w:p w:rsidR="00000000" w:rsidDel="00000000" w:rsidP="00000000" w:rsidRDefault="00000000" w:rsidRPr="00000000" w14:paraId="00000025">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A natureza do objeto envolve atividades como: diagnóstico rural, planejamento estratégico, elaboração de projetos técnicos, estruturação de políticas públicas. </w:t>
      </w:r>
    </w:p>
    <w:p w:rsidR="00000000" w:rsidDel="00000000" w:rsidP="00000000" w:rsidRDefault="00000000" w:rsidRPr="00000000" w14:paraId="00000026">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2.6. A contratação permite a melhoria da gestão da Secretaria, o fortalecimento da agricultura local e o aumento da eficiência na execução das políticas públicas, com reflexos diretos no desenvolvimento econômico e social do Município.</w:t>
      </w:r>
    </w:p>
    <w:p w:rsidR="00000000" w:rsidDel="00000000" w:rsidP="00000000" w:rsidRDefault="00000000" w:rsidRPr="00000000" w14:paraId="00000027">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8">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2.7. Quanto à economicidade (art. 11, Lei nº 14.133/2021), a contratação concentra conhecimento especializado, evita retrabalho em diagnósticos e relatórios, potencializa captação de recursos e reduz custos futuros com ações emergenciais mal dimensionadas, pois medidas preventivas e de preparação são comprovadamente mais baratas que respostas tardias.</w:t>
      </w:r>
    </w:p>
    <w:p w:rsidR="00000000" w:rsidDel="00000000" w:rsidP="00000000" w:rsidRDefault="00000000" w:rsidRPr="00000000" w14:paraId="00000029">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 A vantajosidade advém da padronização de métodos e entregáveis, tais como: 1 (um) diagnóstico inicial a ser apresentado em até 30 (trinta) dias; 1 (um) plano de trabalho; relatórios mensais de atividades; e a elaboração mínima de 1 (um) projeto técnico para captação de recursos, com indicadores de desempenho e níveis de serviço definidos neste TR, permitindo avaliação objetiva da execução e controle pelo gestor e fiscal do contrato (arts. 115 e 117 da Lei nº 14.133/2021).</w:t>
      </w:r>
    </w:p>
    <w:p w:rsidR="00000000" w:rsidDel="00000000" w:rsidP="00000000" w:rsidRDefault="00000000" w:rsidRPr="00000000" w14:paraId="0000002B">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C">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2.9. A demanda alinha-se ao planejamento municipal (PPA/LDO/LOA) e às prioridades de proteção social, segurança da população e resiliência urbana/rural (art. 12), registrando-se neste processo a motivação específica e a compatibilidade orçamentária, ainda que o PCA seja facultativo e não elaborado.</w:t>
      </w:r>
    </w:p>
    <w:p w:rsidR="00000000" w:rsidDel="00000000" w:rsidP="00000000" w:rsidRDefault="00000000" w:rsidRPr="00000000" w14:paraId="0000002D">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E">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2.10. A especificação do objeto preserva isonomia e impessoalidade, focando desempenho, resultados e competências técnicas, vedado qualquer direcionamento a marcas, tecnologias proprietárias ou fornecedores específicos (arts. 5º e 11, Lei nº 14.133/2021).</w:t>
      </w:r>
    </w:p>
    <w:p w:rsidR="00000000" w:rsidDel="00000000" w:rsidP="00000000" w:rsidRDefault="00000000" w:rsidRPr="00000000" w14:paraId="0000002F">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0">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2.11. O modelo de execução continuada e o critério de julgamento (a ser definido na seção própria do TR, usualmente menor preço, desde que compatível com a especificidade do serviço e as exigências de qualificação) </w:t>
      </w:r>
    </w:p>
    <w:p w:rsidR="00000000" w:rsidDel="00000000" w:rsidP="00000000" w:rsidRDefault="00000000" w:rsidRPr="00000000" w14:paraId="00000031">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2">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justificam-se por se tratar de serviço comum especializado com escopo delimitado, entregas mensuráveis e rotina permanente junto à Secretaria da Agricultura.</w:t>
      </w:r>
    </w:p>
    <w:p w:rsidR="00000000" w:rsidDel="00000000" w:rsidP="00000000" w:rsidRDefault="00000000" w:rsidRPr="00000000" w14:paraId="00000033">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4">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2.12. A contratação observará as regras de gestão e fiscalização (arts. 117 a 121, Lei nº 14.133/2021), com designação formal de Gestor e Fiscal(is), plano de fiscalização, matriz de responsabilidades e registro de ocorrências, assegurando rastreabilidade e controle interno adequados.</w:t>
      </w:r>
    </w:p>
    <w:p w:rsidR="00000000" w:rsidDel="00000000" w:rsidP="00000000" w:rsidRDefault="00000000" w:rsidRPr="00000000" w14:paraId="00000035">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6">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2.13. Diante da necessidade pública comprovada, da adequação e suficiência da solução, da vantajosidade econômica e operacional e da conformidade legal com a Lei nº 12.608/2012 e com os arts. 72, 74 e 75 da Lei nº 14.133/2021, resta devidamente fundamentada a contratação, dispensado o ETP formal, sem prejuízo da robusta motivação técnica e econômica constante destes autos.</w:t>
      </w:r>
    </w:p>
    <w:p w:rsidR="00000000" w:rsidDel="00000000" w:rsidP="00000000" w:rsidRDefault="00000000" w:rsidRPr="00000000" w14:paraId="00000037">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38">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 Da descrição da solução como um todo, considerando todo o ciclo de vida do objeto</w:t>
      </w:r>
    </w:p>
    <w:p w:rsidR="00000000" w:rsidDel="00000000" w:rsidP="00000000" w:rsidRDefault="00000000" w:rsidRPr="00000000" w14:paraId="00000039">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A solução contratual consiste na prestação de serviços técnicos especializados de assessoria e consultoria voltados ao planejamento, estruturação, implementação, monitoramento e avaliação de políticas públicas rurais, com abordagem sistêmica e integrada, contemplando todo o ciclo de gestão pública no âmbito da Secretaria Municipal de Agricultura.</w:t>
      </w:r>
    </w:p>
    <w:p w:rsidR="00000000" w:rsidDel="00000000" w:rsidP="00000000" w:rsidRDefault="00000000" w:rsidRPr="00000000" w14:paraId="0000003A">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 A execução dos serviços adotará metodologia estruturada em ciclos contínuos de diagnóstico, planejamento, execução, monitoramento e avaliação de resultados, com foco na melhoria da governança pública, na eficiência administrativa e na ampliação da capacidade institucional do Município.</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Na fase inicial (diagnóstico e planejamento), serão desenvolvidas as seguintes atividades:</w:t>
      </w:r>
    </w:p>
    <w:p w:rsidR="00000000" w:rsidDel="00000000" w:rsidP="00000000" w:rsidRDefault="00000000" w:rsidRPr="00000000" w14:paraId="0000003C">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i)levantamento técnico das demandas da Secretaria; ii) mapeamento de programas e políticas públicas existentes; iii) identificação de gargalos administrativos e operacionais; iv) elaboração de plano de trabalho com definição de metas, indicadores e cronograma físico-financeiro; v) estruturação de matriz de prioridades estratégicas para o setor agrícola municipal. </w:t>
      </w:r>
    </w:p>
    <w:p w:rsidR="00000000" w:rsidDel="00000000" w:rsidP="00000000" w:rsidRDefault="00000000" w:rsidRPr="00000000" w14:paraId="0000003D">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No eixo de Segurança Alimentar e Nutricional (SAN), a solução compreenderá: i) apoio à implementação de programas de abastecimento alimentar; ii) estruturação de ações voltadas ao acesso à alimentação adequada; iii) orientação técnica para integração com políticas intersetoriais; iv) elaboração de instrumentos de planejamento e monitoramento. </w:t>
      </w:r>
    </w:p>
    <w:p w:rsidR="00000000" w:rsidDel="00000000" w:rsidP="00000000" w:rsidRDefault="00000000" w:rsidRPr="00000000" w14:paraId="0000003E">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No eixo de Desenvolvimento Rural Sustentável (DRS): i) elaboração de estratégias de desenvolvimento produtivo local; ii) apoio à diversificação das atividades econômicas rurais; iii) incentivo a práticas sustentáveis </w:t>
      </w:r>
    </w:p>
    <w:p w:rsidR="00000000" w:rsidDel="00000000" w:rsidP="00000000" w:rsidRDefault="00000000" w:rsidRPr="00000000" w14:paraId="0000003F">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0">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1">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inovação no campo; iv)estruturação de políticas públicas voltadas à sustentabilidade econômica e ambiental. </w:t>
      </w:r>
    </w:p>
    <w:p w:rsidR="00000000" w:rsidDel="00000000" w:rsidP="00000000" w:rsidRDefault="00000000" w:rsidRPr="00000000" w14:paraId="00000042">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 No eixo de Agricultura Familiar: i)orientação técnica para acesso a programas governamentais; ii) apoio à organização produtiva e comercialização; iii) elaboração de projetos para fortalecimento da produção local; iv) acompanhamento de políticas públicas voltadas ao segmento. </w:t>
      </w:r>
    </w:p>
    <w:p w:rsidR="00000000" w:rsidDel="00000000" w:rsidP="00000000" w:rsidRDefault="00000000" w:rsidRPr="00000000" w14:paraId="00000043">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 No eixo de Associativismo e Cooperativismo: i) assessoria na criação, regularização e fortalecimento de associações e cooperativas; ii) orientação quanto à gestão organizacional e administrativa; iii) apoio técnico para estruturação de redes produtivas locais. </w:t>
      </w:r>
    </w:p>
    <w:p w:rsidR="00000000" w:rsidDel="00000000" w:rsidP="00000000" w:rsidRDefault="00000000" w:rsidRPr="00000000" w14:paraId="00000044">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 No eixo de Captação de Recursos e Projetos Estratégicos, a solução abrangerá: i) identificação de oportunidades de financiamento em âmbito estadual e federal; ii) elaboração de projetos técnicos, planos de trabalho e propostas institucionais; iii) acompanhamento de convênios, contratos de repasse e instrumentos congêneres; iv) apoio na prestação de contas e monitoramento da execução financeira e física dos projetos. </w:t>
      </w:r>
    </w:p>
    <w:p w:rsidR="00000000" w:rsidDel="00000000" w:rsidP="00000000" w:rsidRDefault="00000000" w:rsidRPr="00000000" w14:paraId="00000045">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3.9. No eixo de Gestão Administrativa e Planejamento, inclui-se: i) elaboração de relatórios técnicos e gerenciais; ii) organização e padronização de fluxos administrativos; iii) estruturação de banco de dados e informações estratégicas; iv) definição de indicadores de desempenho e metas institucionais; v) apoio na tomada de decisão por meio de análises técnicas. </w:t>
      </w:r>
    </w:p>
    <w:p w:rsidR="00000000" w:rsidDel="00000000" w:rsidP="00000000" w:rsidRDefault="00000000" w:rsidRPr="00000000" w14:paraId="00000046">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3.10. A solução contempla ainda a transferência de conhecimento à equipe da Secretaria, por meio de orientação técnica contínua, apoio direto nas atividades e compartilhamento de metodologias, visando reduzir a dependência externa e promover a autonomia administrativa do Município.</w:t>
      </w:r>
    </w:p>
    <w:p w:rsidR="00000000" w:rsidDel="00000000" w:rsidP="00000000" w:rsidRDefault="00000000" w:rsidRPr="00000000" w14:paraId="00000047">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3.11. A execução dos serviços será orientada por indicadores de desempenho e metas previamente estabelecidas, possibilitando o acompanhamento sistemático dos resultados, a avaliação da efetividade das ações e a correção de eventuais desvios durante a execução contratual.</w:t>
      </w:r>
    </w:p>
    <w:p w:rsidR="00000000" w:rsidDel="00000000" w:rsidP="00000000" w:rsidRDefault="00000000" w:rsidRPr="00000000" w14:paraId="00000048">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3.12. A gestão da informação será realizada de forma estruturada, com organização documental, padronização de relatórios e registro sistemático das atividades desenvolvidas, garantindo transparência, rastreabilidade e conformidade com os princípios da administração pública.</w:t>
      </w:r>
    </w:p>
    <w:p w:rsidR="00000000" w:rsidDel="00000000" w:rsidP="00000000" w:rsidRDefault="00000000" w:rsidRPr="00000000" w14:paraId="00000049">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3.13. A solução contratual adota abordagem de melhoria contínua, com revisões periódicas do plano de trabalho, reavaliação das prioridades e ajustes estratégicos conforme a evolução das demandas e das políticas públicas aplicáveis ao setor agrícola.</w:t>
      </w:r>
    </w:p>
    <w:p w:rsidR="00000000" w:rsidDel="00000000" w:rsidP="00000000" w:rsidRDefault="00000000" w:rsidRPr="00000000" w14:paraId="0000004A">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B">
      <w:pPr>
        <w:spacing w:after="280" w:before="280"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C">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3.14. Ao final da execução contratual, será apresentado relatório consolidado contendo: i) resultados alcançados; ii) projetos elaborados e submetidos; iii) recursos captados; iv) indicadores de desempenho; v) recomendações técnicas para continuidade das ações.</w:t>
      </w:r>
    </w:p>
    <w:p w:rsidR="00000000" w:rsidDel="00000000" w:rsidP="00000000" w:rsidRDefault="00000000" w:rsidRPr="00000000" w14:paraId="0000004D">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 Dos requisitos da contratação administrativa</w:t>
      </w:r>
    </w:p>
    <w:p w:rsidR="00000000" w:rsidDel="00000000" w:rsidP="00000000" w:rsidRDefault="00000000" w:rsidRPr="00000000" w14:paraId="0000004E">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A contratação administrativa deverá observar os seguintes requisitos específicos para a prestação de serviços de assessoria e consultoria técnica no âmbito da Secretaria Municipal de Agricultura:</w:t>
      </w:r>
    </w:p>
    <w:p w:rsidR="00000000" w:rsidDel="00000000" w:rsidP="00000000" w:rsidRDefault="00000000" w:rsidRPr="00000000" w14:paraId="0000004F">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4.1.1. Sustentabilidade ambiental: priorização de meios digitais para tramitação de documentos, relatórios e projetos (redução do uso de papel), planejamento eficiente de deslocamentos para atendimento em campo (otimização de rotas e redução de emissões), bem como a incorporação de práticas sustentáveis nas orientações técnicas, especialmente no que se refere ao desenvolvimento rural sustentável, uso racional dos recursos naturais e incentivo a práticas agrícolas ambientalmente adequadas.</w:t>
      </w:r>
    </w:p>
    <w:p w:rsidR="00000000" w:rsidDel="00000000" w:rsidP="00000000" w:rsidRDefault="00000000" w:rsidRPr="00000000" w14:paraId="00000050">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Não será admitida a subcontratação do objeto do contrato administrativo, em nenhuma hipótese, considerando o caráter técnico-especializado das atividades e a necessidade de responsabilidade direta da contratada sobre as entregas críticas, tais como: i)elaboração de projetos técnicos; ii) diagnósticos e planejamentos estratégicos; iii) relatórios técnicos e gerenciais; iv) estruturação de políticas públicas rurais; v) apoio na captação de recursos. </w:t>
      </w:r>
    </w:p>
    <w:p w:rsidR="00000000" w:rsidDel="00000000" w:rsidP="00000000" w:rsidRDefault="00000000" w:rsidRPr="00000000" w14:paraId="00000051">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 Não haverá exigência de garantia contratual, em razão do valor estimado e da natureza do objeto, sem prejuízo da responsabilidade integral da contratada pela perfeita execução dos serviços.</w:t>
      </w:r>
    </w:p>
    <w:p w:rsidR="00000000" w:rsidDel="00000000" w:rsidP="00000000" w:rsidRDefault="00000000" w:rsidRPr="00000000" w14:paraId="00000052">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 Não se faz necessária a vistoria prévia do local de execução dos serviços, por se tratar de serviço técnico de assessoramento e consultoria, cujo desempenho ocorre predominantemente em ambiente administrativo (presencial e/ou remoto), bem como por meio de análise documental, reuniões técnicas e atividades de planejamento.</w:t>
      </w:r>
    </w:p>
    <w:p w:rsidR="00000000" w:rsidDel="00000000" w:rsidP="00000000" w:rsidRDefault="00000000" w:rsidRPr="00000000" w14:paraId="00000053">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 Para fins de alinhamento metodológico inicial, poderá ser realizada reunião técnica de kick-off (presencial ou virtual) com o Gestor/Fiscal do contrato, com o objetivo de apresentação do plano de trabalho, definição de prioridades e alinhamento das atividades a serem desenvolvidas.</w:t>
      </w:r>
    </w:p>
    <w:p w:rsidR="00000000" w:rsidDel="00000000" w:rsidP="00000000" w:rsidRDefault="00000000" w:rsidRPr="00000000" w14:paraId="00000054">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4.6. A ausência de reunião técnica inicial não poderá ser utilizada como justificativa para desconhecimento das demandas, fluxos administrativos ou particularidades da Secretaria Municipal de Agricultura, competindo à contratada diligenciar para obtenção das informações necessárias ao pleno cumprimento das obrigações contratuais.</w:t>
      </w:r>
    </w:p>
    <w:p w:rsidR="00000000" w:rsidDel="00000000" w:rsidP="00000000" w:rsidRDefault="00000000" w:rsidRPr="00000000" w14:paraId="00000055">
      <w:pPr>
        <w:spacing w:after="280" w:before="2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4.7. Eventuais atividades de campo, tais como visitas técnicas a propriedades rurais, reuniões com produtores, associações ou cooperativas, e levantamentos in loco, integram o escopo do objeto e serão realizadas conforme demanda da Administração, não constituindo condição prévia de participação ou habilitação no procedimento.</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5. Do modelo de execução do objeto </w:t>
      </w:r>
    </w:p>
    <w:p w:rsidR="00000000" w:rsidDel="00000000" w:rsidP="00000000" w:rsidRDefault="00000000" w:rsidRPr="00000000" w14:paraId="00000058">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9">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 A execução do objeto seguirá a seguinte dinâmica:</w:t>
      </w:r>
    </w:p>
    <w:p w:rsidR="00000000" w:rsidDel="00000000" w:rsidP="00000000" w:rsidRDefault="00000000" w:rsidRPr="00000000" w14:paraId="0000005A">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B">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5.1.1. O início da execução está previsto para data posterior a assinatura do contrato administrativo, conforme Ordem de Início dos Serviços a ser emitida pelo Contratante.</w:t>
      </w:r>
    </w:p>
    <w:p w:rsidR="00000000" w:rsidDel="00000000" w:rsidP="00000000" w:rsidRDefault="00000000" w:rsidRPr="00000000" w14:paraId="0000005C">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5.1.2. Os métodos, rotinas, etapas, tecnologias e periodicidade dos serviços observarão as diretrizes da Secretaria Municipal de Agricultura, bem como as políticas públicas aplicáveis às áreas de Segurança Alimentar e Nutricional (SAN), Desenvolvimento Rural Sustentável (DRS), Agricultura Familiar, Associativismo, Cooperativismo e Captação de Recursos, contemplando:</w:t>
      </w:r>
    </w:p>
    <w:p w:rsidR="00000000" w:rsidDel="00000000" w:rsidP="00000000" w:rsidRDefault="00000000" w:rsidRPr="00000000" w14:paraId="0000005E">
      <w:pPr>
        <w:pStyle w:val="Heading3"/>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5.1.2.1. Locais e horários de prestação dos serviços: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Presencial</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na sede da Prefeitura Municipal de Conceição de Ipanema/MG (Secretaria Municipal de Agricultura) e em locais de campo no território municipal, incluindo propriedades rurais, associações, cooperativas e demais espaços vinculados ao setor agrícola, no horário de 08h às 16h em dia a ser combinado com a secretaria;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b) Remoto (home office)</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prestação de suporte técnico, elaboração de projetos, relatórios e acompanhamento de demandas administrativas em dias úteis, com disponibilidade para atendimento de demandas urgentes devidamente justificadas pelo Gestor/Fiscal do contrato.</w:t>
      </w:r>
    </w:p>
    <w:p w:rsidR="00000000" w:rsidDel="00000000" w:rsidP="00000000" w:rsidRDefault="00000000" w:rsidRPr="00000000" w14:paraId="00000061">
      <w:pPr>
        <w:pStyle w:val="Heading3"/>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5.1.2.2. Frequência mínima presencial:</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contratada deverá realizar, no mínimo, 1 (uma) visita técnica presencial mensal</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com duração mínima de 8 (oito) horas cada, destinadas prioritariamente a: reuniões de alinhamento com a Secretaria Municipal de Agricultura, levantamento de demandas e diagnóstico técnico, acompanhamento de programas e projetos em execução, atendimento a produtores rurais, associações e cooperativas, consolidação e entrega de produtos previstos no plano de trabalho.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pStyle w:val="Heading3"/>
        <w:spacing w:line="360" w:lineRule="auto"/>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66">
      <w:pPr>
        <w:pStyle w:val="Heading3"/>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5.1.2.3. Frentes de atuação e principais rotinas: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a) Planejamento e gestão pública rural</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elaboração de diagnósticos técnicos, estruturação de planos, programas e políticas públicas voltadas ao desenvolvimento rural sustentável e à segurança alimentar;</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b) Agricultura familiar e desenvolvimento rural</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assessoramento técnico na implementação de ações voltadas ao fortalecimento da agricultura familiar, incentivo à produção rural, organização produtiva e acesso a mercados institucionais;</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c) Associativismo e cooperativismo</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apoio técnico na estruturação, fortalecimento e acompanhamento de associações e cooperativas rurais, incluindo orientação administrativa e organizacional;</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d) Segurança alimentar e nutricional (SAN</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suporte na formulação, implementação e acompanhamento de políticas públicas relacionadas à segurança alimentar;</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 Relatórios técnicos e gerenciais</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elaboração de relatórios periódicos, pareceres técnicos, diagnósticos situacionais e documentos de apoio à tomada de decisão;</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f) Apoio administrativo e técnico: organização de documentos, elaboração de ofícios, planilhas, fluxos administrativos e suporte às atividades institucionais da Secretaria;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g) Atividades de campo</w:t>
      </w: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realização de visita técnicas, levantamentos in loco, reuniões com produtores e acompanhamento de projetos em execução.</w:t>
      </w:r>
    </w:p>
    <w:p w:rsidR="00000000" w:rsidDel="00000000" w:rsidP="00000000" w:rsidRDefault="00000000" w:rsidRPr="00000000" w14:paraId="0000006F">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 Caso não seja possível cumprir o prazo assinalado para determinada entrega, a contratada deverá comunicar formalmente as razões com antecedência mínima de 2 (dois) dias úteis para análise de eventual prorrogação, ressalvadas hipóteses de caso fortuito ou força maior, que deverão ser imediatamente informadas e comprovadas.</w:t>
      </w:r>
    </w:p>
    <w:p w:rsidR="00000000" w:rsidDel="00000000" w:rsidP="00000000" w:rsidRDefault="00000000" w:rsidRPr="00000000" w14:paraId="00000071">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2">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 Os serviços/produtos serão recebidos provisoriamente, de forma sumária, no prazo de 5 (cinco) dias úteis, pelo(a) servidor(a) responsável pelo acompanhamento e fiscalização do contrato, para posterior verificação de conformidade com este TR e a proposta.</w:t>
      </w:r>
    </w:p>
    <w:p w:rsidR="00000000" w:rsidDel="00000000" w:rsidP="00000000" w:rsidRDefault="00000000" w:rsidRPr="00000000" w14:paraId="00000073">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4">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5.3.1. O recebimento provisório poderá ser efetivado mediante atesto na nota fiscal ou em documento de controle interno equivalente, pelo(a) Fiscal do contrato.</w:t>
      </w:r>
    </w:p>
    <w:p w:rsidR="00000000" w:rsidDel="00000000" w:rsidP="00000000" w:rsidRDefault="00000000" w:rsidRPr="00000000" w14:paraId="00000075">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6">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5.4. Os serviços/produtos poderão ser rejeitados, no todo ou em parte, quando em desacordo com as especificações deste TR e da proposta, devendo a contratada corrigir/substituir em até 5 (cinco) dias úteis contados da notificação, às suas expensas, sem prejuízo da aplicação das penalidades cabíveis.</w:t>
      </w:r>
    </w:p>
    <w:p w:rsidR="00000000" w:rsidDel="00000000" w:rsidP="00000000" w:rsidRDefault="00000000" w:rsidRPr="00000000" w14:paraId="00000077">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8">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9">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A">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 Os serviços/produtos serão recebidos definitivamente no prazo de 10 (dez) dias úteis, pelo(a) servidor(a) competente ou comissão, contados do recebimento provisório, após verificação da efetiva prestação e conformidade técnica.</w:t>
      </w:r>
    </w:p>
    <w:p w:rsidR="00000000" w:rsidDel="00000000" w:rsidP="00000000" w:rsidRDefault="00000000" w:rsidRPr="00000000" w14:paraId="0000007C">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5.5.1. O recebimento definitivo poderá ser efetivado no atesto da nota fiscal pelo(a) servidor(a)/comissão, após manifestação do(a) Fiscal do contrato quanto à aderência aos requisitos.</w:t>
      </w:r>
    </w:p>
    <w:p w:rsidR="00000000" w:rsidDel="00000000" w:rsidP="00000000" w:rsidRDefault="00000000" w:rsidRPr="00000000" w14:paraId="0000007D">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E">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5.7. Não sendo realizada a verificação de que trata o item anterior no prazo fixado, considerar-se-á tácita a aceitação, reputando-se realizado o recebimento definitivo no dia do esgotamento do prazo.</w:t>
      </w:r>
    </w:p>
    <w:p w:rsidR="00000000" w:rsidDel="00000000" w:rsidP="00000000" w:rsidRDefault="00000000" w:rsidRPr="00000000" w14:paraId="0000007F">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0">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5.8. O recebimento provisório ou definitivo não exclui a responsabilidade civil pela solidez, segurança e funcionalidade dos serviços, nem a responsabilidade ético-profissional pela perfeita execução do contrato, permanecendo a contratada responsável pela correção de vícios, falhas e desconformidades identificadas durante a vigência contratual.</w:t>
      </w:r>
    </w:p>
    <w:p w:rsidR="00000000" w:rsidDel="00000000" w:rsidP="00000000" w:rsidRDefault="00000000" w:rsidRPr="00000000" w14:paraId="00000081">
      <w:pPr>
        <w:tabs>
          <w:tab w:val="left" w:leader="none" w:pos="2268"/>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 Do modelo de gestão do contrato administrativo</w:t>
      </w:r>
    </w:p>
    <w:p w:rsidR="00000000" w:rsidDel="00000000" w:rsidP="00000000" w:rsidRDefault="00000000" w:rsidRPr="00000000" w14:paraId="00000083">
      <w:pPr>
        <w:tabs>
          <w:tab w:val="left" w:leader="none" w:pos="2268"/>
        </w:tabs>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6.1. O contrato administrativo deverá ser executado fielmente pelas partes, de acordo com as cláusulas avençadas e as normas da Lei nº. 14.133/2021, e cada parte responderá pelas consequências de sua inexecução total ou parcial (art. 115 da Lei nº 14.133/2021).</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91ug1arv7vq" w:id="0"/>
    <w:bookmarkEnd w:id="0"/>
    <w:bookmarkStart w:colFirst="0" w:colLast="0" w:name="bookmark=id.j2nyjs49nwn2" w:id="1"/>
    <w:bookmarkEnd w:id="1"/>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6.3. A execução do contrato administrativo deverá ser acompanhada e fiscalizada pelo (a) fiscal do contrato administrativos, ou pelos respectivos substitutos (art. 117 da Lei nº. 14.133/2021).</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6.4. O (A)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g3gjvshcrszp" w:id="2"/>
    <w:bookmarkEnd w:id="2"/>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6.5. O (A) fiscal do contrato administrativo informará a seus superiores, em tempo hábil para a adoção das medidas convenientes, a situação que demandar decisão ou providência que ultrapasse sua competência (§ 2º do art. 117 da Lei nº. 14.133/2021).</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6.6. O Contratado (a)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bookmarkStart w:colFirst="0" w:colLast="0" w:name="bookmark=id.eyalsqhfd7w" w:id="3"/>
    <w:bookmarkEnd w:id="3"/>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6.7. O Contratado (a)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colFirst="0" w:colLast="0" w:name="bookmark=id.r9d8u1czfeyg" w:id="4"/>
      <w:bookmarkEnd w:id="4"/>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6.8. Somente o (a) contratado (a) será responsável pelos encargos trabalhistas, previdenciários, fiscais e comerciais resultantes da execução do contrato administrativo (art. 121 da Lei nº. 14.133/2021).</w:t>
      </w:r>
    </w:p>
    <w:bookmarkStart w:colFirst="0" w:colLast="0" w:name="bookmark=id.2vo7eqt67mys" w:id="5"/>
    <w:bookmarkEnd w:id="5"/>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6.9. A inadimplência do (a) contratado (a) em relação aos encargos trabalhistas, fiscais e comerciais não transferirá à Administração a responsabilidade pelo seu pagamento e não poderá onerar o objeto do contrato administrativo (§ 1º do art. 121 da Lei nº. 14.133/2021).</w:t>
      </w:r>
      <w:bookmarkStart w:colFirst="0" w:colLast="0" w:name="bookmark=id.iy4cugtu59xh" w:id="6"/>
      <w:bookmarkEnd w:id="6"/>
      <w:bookmarkStart w:colFirst="0" w:colLast="0" w:name="bookmark=id.c6un6zvvonpf" w:id="7"/>
      <w:bookmarkEnd w:id="7"/>
      <w:bookmarkStart w:colFirst="0" w:colLast="0" w:name="bookmark=id.r7l92j80xthk" w:id="8"/>
      <w:bookmarkEnd w:id="8"/>
      <w:bookmarkStart w:colFirst="0" w:colLast="0" w:name="bookmark=id.ke7ll9hqoswi" w:id="9"/>
      <w:bookmarkEnd w:id="9"/>
      <w:bookmarkStart w:colFirst="0" w:colLast="0" w:name="bookmark=id.v7oyj5mt34v1" w:id="10"/>
      <w:bookmarkEnd w:id="10"/>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6.10. As comunicações entre a Administração e o (a) contratado (a) devem ser realizadas por escrito sempre que o ato exigir tal formalidade, admitindo-se, excepcionalmente, o uso de mensagem eletrônica para esse fim, tal como: e-mail.</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6.11. A Administração poderá convocar representante do (a) licitante para adoção de providências que devam ser cumpridas de imediato.</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tabs>
          <w:tab w:val="left" w:leader="none" w:pos="1134"/>
        </w:tabs>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6.12. </w:t>
      </w:r>
      <w:r w:rsidDel="00000000" w:rsidR="00000000" w:rsidRPr="00000000">
        <w:rPr>
          <w:rFonts w:ascii="Times New Roman" w:cs="Times New Roman" w:eastAsia="Times New Roman" w:hAnsi="Times New Roman"/>
          <w:color w:val="000000"/>
          <w:sz w:val="20"/>
          <w:szCs w:val="20"/>
          <w:rtl w:val="0"/>
        </w:rPr>
        <w:t xml:space="preserve">O Contratado (a) deverá manter preposto aceito pela Administração no local do serviço para </w:t>
      </w:r>
      <w:r w:rsidDel="00000000" w:rsidR="00000000" w:rsidRPr="00000000">
        <w:rPr>
          <w:rFonts w:ascii="Times New Roman" w:cs="Times New Roman" w:eastAsia="Times New Roman" w:hAnsi="Times New Roman"/>
          <w:sz w:val="20"/>
          <w:szCs w:val="20"/>
          <w:rtl w:val="0"/>
        </w:rPr>
        <w:t xml:space="preserve">representá</w:t>
      </w:r>
      <w:r w:rsidDel="00000000" w:rsidR="00000000" w:rsidRPr="00000000">
        <w:rPr>
          <w:rFonts w:ascii="Times New Roman" w:cs="Times New Roman" w:eastAsia="Times New Roman" w:hAnsi="Times New Roman"/>
          <w:color w:val="000000"/>
          <w:sz w:val="20"/>
          <w:szCs w:val="20"/>
          <w:rtl w:val="0"/>
        </w:rPr>
        <w:t xml:space="preserve">-lo na execução do contrato administrativo (art. 118 da Lei nº 14.133/2021).</w:t>
      </w:r>
    </w:p>
    <w:p w:rsidR="00000000" w:rsidDel="00000000" w:rsidP="00000000" w:rsidRDefault="00000000" w:rsidRPr="00000000" w14:paraId="0000009E">
      <w:pPr>
        <w:tabs>
          <w:tab w:val="left" w:leader="none" w:pos="1134"/>
        </w:tabs>
        <w:spacing w:line="360" w:lineRule="auto"/>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9F">
      <w:pPr>
        <w:tabs>
          <w:tab w:val="left" w:leader="none" w:pos="1134"/>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6.13. </w:t>
      </w:r>
      <w:r w:rsidDel="00000000" w:rsidR="00000000" w:rsidRPr="00000000">
        <w:rPr>
          <w:rFonts w:ascii="Times New Roman" w:cs="Times New Roman" w:eastAsia="Times New Roman" w:hAnsi="Times New Roman"/>
          <w:sz w:val="20"/>
          <w:szCs w:val="20"/>
          <w:rtl w:val="0"/>
        </w:rPr>
        <w:t xml:space="preserve">A indicação ou a manutenção do preposto do(a) Contratado(a) poderá ser recusada pelo contratante, desde que devidamente justificada, devendo o(a) contratado(a) designar outro para o exercício da atividade, no prazo indicado pelo fiscal.</w:t>
      </w:r>
    </w:p>
    <w:p w:rsidR="00000000" w:rsidDel="00000000" w:rsidP="00000000" w:rsidRDefault="00000000" w:rsidRPr="00000000" w14:paraId="000000A0">
      <w:pPr>
        <w:tabs>
          <w:tab w:val="left" w:leader="none" w:pos="1134"/>
        </w:tabs>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1">
      <w:pPr>
        <w:tabs>
          <w:tab w:val="left" w:leader="none" w:pos="1134"/>
        </w:tabs>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7. Dos critérios de medição e de pagamento</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 A avaliação da execução do objeto utilizará a aceite, atesto ou recebimento, ainda que por e-mail, sem qualquer oposição, da nota fiscal com a descrição dos serviços prestados;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7.2. O pagamento será mensalmente e em até 30 (trinta) dias úteis do recebimento da nota fiscal, acompanhado da comprovação de regularidade fiscal, trabalhista e social;</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0"/>
          <w:szCs w:val="20"/>
          <w:rtl w:val="0"/>
        </w:rPr>
        <w:t xml:space="preserve">7.3. O pagamento somente será realizado mediante a efetiva prestação dos serviços nas condições estabelecidas, o que poderá ser comprovado por meio de aceite ou atestado na nota fiscal correspondente, entregáveis mensais, relatórios aprovados e metas cumpridas;</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7.4. Havendo erro na apresentação da nota fiscal ou dos documentos pertinentes à contratação administrativa, ou, ainda, circunstância que impeça a liquidação da despesa, como, por exemplo, obrigação financeira pendente, </w:t>
      </w:r>
    </w:p>
    <w:p w:rsidR="00000000" w:rsidDel="00000000" w:rsidP="00000000" w:rsidRDefault="00000000" w:rsidRPr="00000000" w14:paraId="000000AD">
      <w:pPr>
        <w:spacing w:line="3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000000" w:rsidDel="00000000" w:rsidP="00000000" w:rsidRDefault="00000000" w:rsidRPr="00000000" w14:paraId="000000AE">
      <w:pPr>
        <w:spacing w:line="360" w:lineRule="auto"/>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AF">
      <w:pPr>
        <w:spacing w:line="360" w:lineRule="auto"/>
        <w:ind w:right="-1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 O pagamento devido pelo Contratante será efetuado por meio ordem bancária, para crédito em banco, agência e conta corrente indicados pelo(a) contratante, ou, eventualmente, por outra forma que vier a ser convencionada entre as partes.</w:t>
      </w:r>
    </w:p>
    <w:p w:rsidR="00000000" w:rsidDel="00000000" w:rsidP="00000000" w:rsidRDefault="00000000" w:rsidRPr="00000000" w14:paraId="000000B0">
      <w:pPr>
        <w:spacing w:line="360" w:lineRule="auto"/>
        <w:ind w:right="-17"/>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1">
      <w:pPr>
        <w:spacing w:line="360" w:lineRule="auto"/>
        <w:ind w:right="-1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7.6. Será considerada data do pagamento o dia em que constar como emitida a ordem bancária para pagamento. </w:t>
      </w:r>
    </w:p>
    <w:p w:rsidR="00000000" w:rsidDel="00000000" w:rsidP="00000000" w:rsidRDefault="00000000" w:rsidRPr="00000000" w14:paraId="000000B2">
      <w:pPr>
        <w:spacing w:line="360" w:lineRule="auto"/>
        <w:ind w:right="-17"/>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3">
      <w:pPr>
        <w:spacing w:line="360" w:lineRule="auto"/>
        <w:ind w:right="-1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7.7. Paga a importância discriminada na nota fiscal, o(a) Contratado(a) dará ao contratante plena, geral e irretratável quitação dos valores nela discriminados, para nada mais vir a reclamar ou exigir a qualquer título, tempo ou forma.</w:t>
      </w:r>
    </w:p>
    <w:p w:rsidR="00000000" w:rsidDel="00000000" w:rsidP="00000000" w:rsidRDefault="00000000" w:rsidRPr="00000000" w14:paraId="000000B4">
      <w:pPr>
        <w:spacing w:line="360" w:lineRule="auto"/>
        <w:ind w:right="-17"/>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5">
      <w:pPr>
        <w:spacing w:line="360" w:lineRule="auto"/>
        <w:ind w:right="-1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7.8. Todo pagamento que vier a ser considerado contratualmente indevido será objeto de ajuste nos pagamentos futuros, quando devidos, ou cobrados diretamente do(a) Contratado(a).</w:t>
      </w:r>
    </w:p>
    <w:p w:rsidR="00000000" w:rsidDel="00000000" w:rsidP="00000000" w:rsidRDefault="00000000" w:rsidRPr="00000000" w14:paraId="000000B6">
      <w:pPr>
        <w:spacing w:line="360" w:lineRule="auto"/>
        <w:ind w:right="-17"/>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7.9. Deverão ser excluídas do faturamento todas e quaisquer ocorrências que não forem de responsabilidade do contratante, assim como aquelas que não correspondem a bens entregues.</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7.10. Os documentos comprobatórios dos pagamentos relativos a tributos, encargos ou contribuições de responsabilidade do(a) Contratado(a), deverão ser enviados ao contratante mensalmente.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7.11. O(A) Contratado(a) deverá entregar os serviços acompanhado da correspondente nota fiscal.</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7.12. A nota fiscal deverá ser emitida pelo(a) Contratado(a) em inteira conformidade com as exigências legais e contratuais, especialmente as de natureza fiscal, com destaque, quando exigíveis, das retenções tributárias ou previdenciárias.</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7.13. Antes de cada pagamento a(o) Contratado(a) será realizada consulta para verificar a manutenção das regularidades fiscal, social e trabalhista.</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7.16. Persistindo a irregularidade, o Contratante deverá adotar as medidas necessárias à rescisão contratual nos autos do processo administrativo correspondente, assegurada à contratada a ampla defesa. </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7.17. Havendo a efetiva execução do objeto, os pagamentos serão realizados normalmente, até que se decida pela rescisão do contrato administrativo, caso o(a) Contratado(a) não regularize sua situação.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7.18. Somente por motivo de economicidade ou outro interesse público de alta relevância, devidamente justificado, em qualquer caso, pelo(a) Prefeito(a) Municipal, não será rescindido o contrato administrativo em execução com a contratada inadimplente.</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7.19. Quando do pagamento, será efetuada a retenção tributária prevista na legislação aplicável.</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17"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8. Da forma e critérios de seleção do(a) fornecedor(a)</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8.1. O(A) licitante será selecionado por meio da realização de procedimento de dispensa de licitação pública (inciso II do art. 75 da Lei n.º 14.133/2021), tendo como critério de julgamento: menor preço por item.</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8.2. O modo de disputa será:aberto.</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8.3. Habilitação jurídica:</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8.3.1. Empresário individual: inscrição no Registro Público de Empresas Mercantis, a cargo da Junta Comercial respectiva;</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8.3.2. Microempreendedor Individual – MEI: Certificado da Condição de Microempreendedor Individual – CCMEI;</w:t>
      </w:r>
    </w:p>
    <w:p w:rsidR="00000000" w:rsidDel="00000000" w:rsidP="00000000" w:rsidRDefault="00000000" w:rsidRPr="00000000" w14:paraId="000000DC">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D">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00000" w:rsidDel="00000000" w:rsidP="00000000" w:rsidRDefault="00000000" w:rsidRPr="00000000" w14:paraId="000000DE">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F">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8.3.4. Sociedade empresária estrangeira com atuação permanente no país: Decreto de autorização para funcionamento no Brasil;</w:t>
      </w:r>
    </w:p>
    <w:p w:rsidR="00000000" w:rsidDel="00000000" w:rsidP="00000000" w:rsidRDefault="00000000" w:rsidRPr="00000000" w14:paraId="000000E0">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1">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8.3.5. Sociedade simples: inscrição do ato constitutivo no Registro Civil de Pessoas Jurídicas do local de sua sede, acompanhada de documento comprobatório de seus administradores;</w:t>
      </w:r>
    </w:p>
    <w:p w:rsidR="00000000" w:rsidDel="00000000" w:rsidP="00000000" w:rsidRDefault="00000000" w:rsidRPr="00000000" w14:paraId="000000E2">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3">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00000" w:rsidDel="00000000" w:rsidP="00000000" w:rsidRDefault="00000000" w:rsidRPr="00000000" w14:paraId="000000E4">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5">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8.3.7. Cadastro de Pessoa Física – CPF;</w:t>
      </w:r>
    </w:p>
    <w:p w:rsidR="00000000" w:rsidDel="00000000" w:rsidP="00000000" w:rsidRDefault="00000000" w:rsidRPr="00000000" w14:paraId="000000E6">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7">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8.3.8. Os documentos apresentados deverão estar acompanhados de todas as alterações ou da consolidação respectiva.</w:t>
      </w:r>
    </w:p>
    <w:p w:rsidR="00000000" w:rsidDel="00000000" w:rsidP="00000000" w:rsidRDefault="00000000" w:rsidRPr="00000000" w14:paraId="000000E8">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9">
      <w:pPr>
        <w:spacing w:line="360" w:lineRule="auto"/>
        <w:jc w:val="both"/>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8.4. Habilitação fiscal, social e trabalhista:</w:t>
      </w:r>
    </w:p>
    <w:p w:rsidR="00000000" w:rsidDel="00000000" w:rsidP="00000000" w:rsidRDefault="00000000" w:rsidRPr="00000000" w14:paraId="000000EA">
      <w:pPr>
        <w:spacing w:line="360" w:lineRule="auto"/>
        <w:jc w:val="both"/>
        <w:rPr>
          <w:rFonts w:ascii="Times New Roman" w:cs="Times New Roman" w:eastAsia="Times New Roman" w:hAnsi="Times New Roman"/>
          <w:b w:val="1"/>
          <w:bCs w:val="1"/>
          <w:sz w:val="20"/>
          <w:szCs w:val="20"/>
        </w:rPr>
      </w:pPr>
      <w:r w:rsidDel="00000000" w:rsidR="00000000" w:rsidRPr="00000000">
        <w:rPr>
          <w:rtl w:val="0"/>
        </w:rPr>
      </w:r>
    </w:p>
    <w:p w:rsidR="00000000" w:rsidDel="00000000" w:rsidP="00000000" w:rsidRDefault="00000000" w:rsidRPr="00000000" w14:paraId="000000EB">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8.4.1. Cadastro Nacional de Pessoa Jurídica – CNPJ;</w:t>
      </w:r>
    </w:p>
    <w:p w:rsidR="00000000" w:rsidDel="00000000" w:rsidP="00000000" w:rsidRDefault="00000000" w:rsidRPr="00000000" w14:paraId="000000EC">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D">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8.4.2. Inscrição no cadastro de contribuintes municipal, relativo ao domicílio ou sede do(a) licitante, pertinente ao seu ramo de atividade e compatível com o objeto contratual;</w:t>
      </w:r>
    </w:p>
    <w:p w:rsidR="00000000" w:rsidDel="00000000" w:rsidP="00000000" w:rsidRDefault="00000000" w:rsidRPr="00000000" w14:paraId="000000EE">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8.4.3. Prova de regularidade perante a Fazenda Federal;</w:t>
      </w:r>
    </w:p>
    <w:p w:rsidR="00000000" w:rsidDel="00000000" w:rsidP="00000000" w:rsidRDefault="00000000" w:rsidRPr="00000000" w14:paraId="000000F0">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1">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8.3.4. Prova de regularidade perante a Fazenda Estadual;</w:t>
      </w:r>
    </w:p>
    <w:p w:rsidR="00000000" w:rsidDel="00000000" w:rsidP="00000000" w:rsidRDefault="00000000" w:rsidRPr="00000000" w14:paraId="000000F2">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3">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8.4.5. Prova de regularidade perante a Fazenda Municipal;</w:t>
      </w:r>
    </w:p>
    <w:p w:rsidR="00000000" w:rsidDel="00000000" w:rsidP="00000000" w:rsidRDefault="00000000" w:rsidRPr="00000000" w14:paraId="000000F4">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5">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8.4.6. Prova de regularidade relativo à Seguridade Social e ao Fundo de Garantia de Tempo de Serviço – FGTS –, que demonstre cumprimento dos encargos sociais instituídos por lei;</w:t>
      </w:r>
    </w:p>
    <w:p w:rsidR="00000000" w:rsidDel="00000000" w:rsidP="00000000" w:rsidRDefault="00000000" w:rsidRPr="00000000" w14:paraId="000000F6">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7">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8.4.7. Prova de regularidade perante a Justiça do Trabalho;</w:t>
      </w:r>
    </w:p>
    <w:p w:rsidR="00000000" w:rsidDel="00000000" w:rsidP="00000000" w:rsidRDefault="00000000" w:rsidRPr="00000000" w14:paraId="000000F8">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9">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8.4.8. Cumprimento do disposto no inciso XXXIII do art. 7º da Constituição da República de 1988 – CR88;</w:t>
      </w:r>
    </w:p>
    <w:p w:rsidR="00000000" w:rsidDel="00000000" w:rsidP="00000000" w:rsidRDefault="00000000" w:rsidRPr="00000000" w14:paraId="000000FA">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B">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rsidR="00000000" w:rsidDel="00000000" w:rsidP="00000000" w:rsidRDefault="00000000" w:rsidRPr="00000000" w14:paraId="000000FC">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8.5.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8.6.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00000" w:rsidDel="00000000" w:rsidP="00000000" w:rsidRDefault="00000000" w:rsidRPr="00000000" w14:paraId="00000100">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1">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8.7. Após a entrega dos documentos para habilitação, não será permitida a substituição ou apresentação de novos documentos, salvo em sede de diligência, para:</w:t>
      </w:r>
    </w:p>
    <w:p w:rsidR="00000000" w:rsidDel="00000000" w:rsidP="00000000" w:rsidRDefault="00000000" w:rsidRPr="00000000" w14:paraId="00000102">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3">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8.7.1. Complementação de informações acerca dos documentos já apresentados pelo (a)(s) licitante(s) e desde que necessária para apurar fatos existentes à época da abertura do certame;</w:t>
      </w:r>
    </w:p>
    <w:p w:rsidR="00000000" w:rsidDel="00000000" w:rsidP="00000000" w:rsidRDefault="00000000" w:rsidRPr="00000000" w14:paraId="00000104">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5">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8.7.2. Atualização de documentos cuja validade tenha expirado após a data de recebimento das propostas.</w:t>
      </w:r>
    </w:p>
    <w:p w:rsidR="00000000" w:rsidDel="00000000" w:rsidP="00000000" w:rsidRDefault="00000000" w:rsidRPr="00000000" w14:paraId="00000106">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7">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8.8. Na análise dos documentos de habilitação, a comissão de licitação, após provocação do (a) agente de contratação, poderá sanar erros ou falhas que não alterem a substância dos documentos e sua validade jurídica, </w:t>
      </w:r>
    </w:p>
    <w:p w:rsidR="00000000" w:rsidDel="00000000" w:rsidP="00000000" w:rsidRDefault="00000000" w:rsidRPr="00000000" w14:paraId="00000108">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9">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A">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mediante despacho fundamentado registrado e acessível a todos, atribuindo-lhes eficácia para fins de habilitação e classificação. </w:t>
      </w:r>
    </w:p>
    <w:p w:rsidR="00000000" w:rsidDel="00000000" w:rsidP="00000000" w:rsidRDefault="00000000" w:rsidRPr="00000000" w14:paraId="0000010B">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C">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8.9. Os documentos de habilitação poderá ser:</w:t>
      </w:r>
    </w:p>
    <w:p w:rsidR="00000000" w:rsidDel="00000000" w:rsidP="00000000" w:rsidRDefault="00000000" w:rsidRPr="00000000" w14:paraId="0000010D">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E">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8.9.1. Apresentada em original, por cópia ou por qualquer outro meio expressamente admitido pela Administração;</w:t>
      </w:r>
    </w:p>
    <w:p w:rsidR="00000000" w:rsidDel="00000000" w:rsidP="00000000" w:rsidRDefault="00000000" w:rsidRPr="00000000" w14:paraId="0000010F">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0">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8.9.2. Substituída por registro cadastral emitido pela Administração, desde que o registro tenha sido feito em obediência ao disposta na Lei nº. 14.133/2021.</w:t>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9. Da estimativa do valor da contratação administrativa</w:t>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9.1. A estimativa do valor da contratação administrativa será calculada na etapa subsequente deste processo administrativo (art. 23 c/c inciso II do art. 72 da Lei nº. 14.133/2021).</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0"/>
          <w:szCs w:val="20"/>
          <w:u w:val="none"/>
          <w:shd w:fill="auto" w:val="clear"/>
          <w:vertAlign w:val="baseline"/>
          <w:rtl w:val="0"/>
        </w:rPr>
        <w:t xml:space="preserve">10. Da adequação orçamentária</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10.1. As despesas decorrentes desta contratação administrativa correrão à conta de recursos específicos consignados no orçamento geral do Município de Conceição de Ipanema.</w:t>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10.2. A contratação administrativa será atendida pela seguinte dotação orçamentária:</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C">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 03 04 122 0002 2.011 3 3 90 39 – Ficha 55 – Outros Serviços de Terceiro – Pessoa Juridica – Secretraria Municipal de Agricultura.</w:t>
      </w:r>
    </w:p>
    <w:p w:rsidR="00000000" w:rsidDel="00000000" w:rsidP="00000000" w:rsidRDefault="00000000" w:rsidRPr="00000000" w14:paraId="0000011D">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E">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10.3.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11F">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0">
      <w:pPr>
        <w:spacing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10.4. Para este contrato não haverá garantia. </w:t>
      </w:r>
    </w:p>
    <w:p w:rsidR="00000000" w:rsidDel="00000000" w:rsidP="00000000" w:rsidRDefault="00000000" w:rsidRPr="00000000" w14:paraId="00000121">
      <w:pPr>
        <w:spacing w:line="36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2">
      <w:pPr>
        <w:tabs>
          <w:tab w:val="left" w:leader="none" w:pos="2268"/>
        </w:tabs>
        <w:spacing w:line="36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Conceição de Ipanema/MG, 27 de março de 2026.</w:t>
      </w:r>
    </w:p>
    <w:p w:rsidR="00000000" w:rsidDel="00000000" w:rsidP="00000000" w:rsidRDefault="00000000" w:rsidRPr="00000000" w14:paraId="00000123">
      <w:pPr>
        <w:spacing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24">
      <w:pPr>
        <w:spacing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125">
      <w:pPr>
        <w:spacing w:line="240" w:lineRule="auto"/>
        <w:ind w:firstLine="2268"/>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_____________________________________________</w:t>
      </w:r>
    </w:p>
    <w:p w:rsidR="00000000" w:rsidDel="00000000" w:rsidP="00000000" w:rsidRDefault="00000000" w:rsidRPr="00000000" w14:paraId="00000126">
      <w:pPr>
        <w:spacing w:line="240" w:lineRule="auto"/>
        <w:jc w:val="center"/>
        <w:rPr>
          <w:rFonts w:ascii="Times New Roman" w:cs="Times New Roman" w:eastAsia="Times New Roman" w:hAnsi="Times New Roman"/>
          <w:b w:val="1"/>
          <w:bCs w:val="1"/>
          <w:sz w:val="23"/>
          <w:szCs w:val="23"/>
        </w:rPr>
      </w:pPr>
      <w:r w:rsidDel="00000000" w:rsidR="00000000" w:rsidRPr="00000000">
        <w:rPr>
          <w:rFonts w:ascii="Times New Roman" w:cs="Times New Roman" w:eastAsia="Times New Roman" w:hAnsi="Times New Roman"/>
          <w:b w:val="1"/>
          <w:bCs w:val="1"/>
          <w:sz w:val="23"/>
          <w:szCs w:val="23"/>
          <w:rtl w:val="0"/>
        </w:rPr>
        <w:t xml:space="preserve">SEVERIANO COUTO DE OLIVEIRA</w:t>
      </w:r>
    </w:p>
    <w:p w:rsidR="00000000" w:rsidDel="00000000" w:rsidP="00000000" w:rsidRDefault="00000000" w:rsidRPr="00000000" w14:paraId="00000127">
      <w:pPr>
        <w:spacing w:line="240" w:lineRule="auto"/>
        <w:jc w:val="center"/>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Secretário Municipal de Agricultura.</w:t>
      </w:r>
    </w:p>
    <w:p w:rsidR="00000000" w:rsidDel="00000000" w:rsidP="00000000" w:rsidRDefault="00000000" w:rsidRPr="00000000" w14:paraId="00000128">
      <w:pPr>
        <w:tabs>
          <w:tab w:val="left" w:leader="none" w:pos="0"/>
          <w:tab w:val="left" w:leader="none" w:pos="9497"/>
        </w:tabs>
        <w:spacing w:after="200" w:before="25" w:lineRule="auto"/>
        <w:jc w:val="center"/>
        <w:rPr>
          <w:rFonts w:ascii="Times New Roman" w:cs="Times New Roman" w:eastAsia="Times New Roman" w:hAnsi="Times New Roman"/>
        </w:rPr>
      </w:pPr>
      <w:r w:rsidDel="00000000" w:rsidR="00000000" w:rsidRPr="00000000">
        <w:rPr>
          <w:rtl w:val="0"/>
        </w:rPr>
      </w:r>
    </w:p>
    <w:sectPr>
      <w:headerReference r:id="rId7" w:type="default"/>
      <w:pgSz w:h="16834" w:w="11909" w:orient="portrait"/>
      <w:pgMar w:bottom="1276" w:top="2410" w:left="1440" w:right="1440" w:header="850" w:footer="85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Lustria">
    <w:embedRegular w:fontKey="{00000000-0000-0000-0000-000000000000}" r:id="rId1"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spacing w:line="240" w:lineRule="auto"/>
      <w:ind w:hanging="2"/>
      <w:jc w:val="center"/>
      <w:rPr>
        <w:rFonts w:ascii="Times New Roman" w:cs="Times New Roman" w:eastAsia="Times New Roman" w:hAnsi="Times New Roman"/>
        <w:sz w:val="20"/>
        <w:szCs w:val="20"/>
      </w:rPr>
    </w:pPr>
    <w:r w:rsidDel="00000000" w:rsidR="00000000" w:rsidRPr="00000000">
      <w:rPr>
        <w:rFonts w:ascii="Lustria" w:cs="Lustria" w:eastAsia="Lustria" w:hAnsi="Lustria"/>
        <w:b w:val="1"/>
        <w:bCs w:val="1"/>
        <w:sz w:val="40"/>
        <w:szCs w:val="40"/>
        <w:rtl w:val="0"/>
      </w:rPr>
      <w:t xml:space="preserve">PREFEITURA MUNICIPAL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-590548</wp:posOffset>
          </wp:positionH>
          <wp:positionV relativeFrom="paragraph">
            <wp:posOffset>-123823</wp:posOffset>
          </wp:positionV>
          <wp:extent cx="1285875" cy="1009650"/>
          <wp:effectExtent b="0" l="0" r="0" t="0"/>
          <wp:wrapSquare wrapText="bothSides" distB="0" distT="0" distL="114300" distR="114300"/>
          <wp:docPr id="206668026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285875" cy="1009650"/>
                  </a:xfrm>
                  <a:prstGeom prst="rect"/>
                  <a:ln/>
                </pic:spPr>
              </pic:pic>
            </a:graphicData>
          </a:graphic>
        </wp:anchor>
      </w:drawing>
    </w:r>
  </w:p>
  <w:p w:rsidR="00000000" w:rsidDel="00000000" w:rsidP="00000000" w:rsidRDefault="00000000" w:rsidRPr="00000000" w14:paraId="0000012A">
    <w:pPr>
      <w:spacing w:line="240" w:lineRule="auto"/>
      <w:ind w:left="-140" w:firstLine="0"/>
      <w:jc w:val="center"/>
      <w:rPr>
        <w:rFonts w:ascii="Times New Roman" w:cs="Times New Roman" w:eastAsia="Times New Roman" w:hAnsi="Times New Roman"/>
        <w:sz w:val="20"/>
        <w:szCs w:val="20"/>
      </w:rPr>
    </w:pPr>
    <w:r w:rsidDel="00000000" w:rsidR="00000000" w:rsidRPr="00000000">
      <w:rPr>
        <w:rFonts w:ascii="Lustria" w:cs="Lustria" w:eastAsia="Lustria" w:hAnsi="Lustria"/>
        <w:b w:val="1"/>
        <w:bCs w:val="1"/>
        <w:sz w:val="40"/>
        <w:szCs w:val="40"/>
        <w:rtl w:val="0"/>
      </w:rPr>
      <w:t xml:space="preserve">CONCEIÇÃO DE IPANEMA – MG</w:t>
    </w:r>
    <w:r w:rsidDel="00000000" w:rsidR="00000000" w:rsidRPr="00000000">
      <w:rPr>
        <w:rtl w:val="0"/>
      </w:rPr>
    </w:r>
  </w:p>
  <w:p w:rsidR="00000000" w:rsidDel="00000000" w:rsidP="00000000" w:rsidRDefault="00000000" w:rsidRPr="00000000" w14:paraId="0000012B">
    <w:pPr>
      <w:tabs>
        <w:tab w:val="center" w:leader="none" w:pos="4252"/>
        <w:tab w:val="right" w:leader="none" w:pos="8504"/>
      </w:tabs>
      <w:spacing w:line="240" w:lineRule="auto"/>
      <w:jc w:val="both"/>
      <w:rPr/>
    </w:pPr>
    <w:r w:rsidDel="00000000" w:rsidR="00000000" w:rsidRPr="00000000">
      <w:rPr>
        <w:rFonts w:ascii="Lustria" w:cs="Lustria" w:eastAsia="Lustria" w:hAnsi="Lustria"/>
        <w:b w:val="1"/>
        <w:bCs w:val="1"/>
        <w:sz w:val="40"/>
        <w:szCs w:val="40"/>
        <w:rtl w:val="0"/>
      </w:rPr>
      <w:t xml:space="preserve">                 CNPJ: 18.334.300/0001-72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080" w:hanging="108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rsid w:val="0021351C"/>
    <w:tblPr>
      <w:tblCellMar>
        <w:top w:w="0.0" w:type="dxa"/>
        <w:left w:w="0.0" w:type="dxa"/>
        <w:bottom w:w="0.0" w:type="dxa"/>
        <w:right w:w="0.0" w:type="dxa"/>
      </w:tblCellMar>
    </w:tblPr>
  </w:style>
  <w:style w:type="table" w:styleId="TableNormal1" w:customStyle="1">
    <w:name w:val="Table Normal1"/>
    <w:rsid w:val="0021351C"/>
    <w:tblPr>
      <w:tblCellMar>
        <w:top w:w="0.0" w:type="dxa"/>
        <w:left w:w="0.0" w:type="dxa"/>
        <w:bottom w:w="0.0" w:type="dxa"/>
        <w:right w:w="0.0" w:type="dxa"/>
      </w:tblCellMar>
    </w:tblPr>
  </w:style>
  <w:style w:type="table" w:styleId="2" w:customStyle="1">
    <w:name w:val="2"/>
    <w:basedOn w:val="TableNormal1"/>
    <w:rsid w:val="0021351C"/>
    <w:tblPr>
      <w:tblStyleRowBandSize w:val="1"/>
      <w:tblStyleColBandSize w:val="1"/>
      <w:tblCellMar>
        <w:top w:w="0.0" w:type="dxa"/>
        <w:left w:w="115.0" w:type="dxa"/>
        <w:bottom w:w="0.0" w:type="dxa"/>
        <w:right w:w="115.0" w:type="dxa"/>
      </w:tblCellMar>
    </w:tblPr>
  </w:style>
  <w:style w:type="table" w:styleId="1" w:customStyle="1">
    <w:name w:val="1"/>
    <w:basedOn w:val="TableNormal1"/>
    <w:rsid w:val="0021351C"/>
    <w:tblPr>
      <w:tblStyleRowBandSize w:val="1"/>
      <w:tblStyleColBandSize w:val="1"/>
      <w:tblCellMar>
        <w:top w:w="0.0" w:type="dxa"/>
        <w:left w:w="115.0" w:type="dxa"/>
        <w:bottom w:w="0.0" w:type="dxa"/>
        <w:right w:w="115.0" w:type="dxa"/>
      </w:tblCellMar>
    </w:tblPr>
  </w:style>
  <w:style w:type="paragraph" w:styleId="PargrafodaLista">
    <w:name w:val="List Paragraph"/>
    <w:basedOn w:val="Normal"/>
    <w:uiPriority w:val="34"/>
    <w:qFormat w:val="1"/>
    <w:rsid w:val="00FB73A7"/>
    <w:pPr>
      <w:spacing w:after="200"/>
      <w:ind w:left="720"/>
      <w:contextualSpacing w:val="1"/>
    </w:pPr>
    <w:rPr>
      <w:rFonts w:asciiTheme="minorHAnsi" w:cstheme="minorBidi" w:eastAsiaTheme="minorEastAsia" w:hAnsiTheme="minorHAnsi"/>
      <w:lang w:val="pt-BR"/>
    </w:rPr>
  </w:style>
  <w:style w:type="character" w:styleId="Nivel2Char" w:customStyle="1">
    <w:name w:val="Nivel 2 Char"/>
    <w:basedOn w:val="Fontepargpadro"/>
    <w:link w:val="Nivel2"/>
    <w:locked w:val="1"/>
    <w:rsid w:val="00FB73A7"/>
    <w:rPr>
      <w:color w:val="000000"/>
    </w:rPr>
  </w:style>
  <w:style w:type="paragraph" w:styleId="Nivel2" w:customStyle="1">
    <w:name w:val="Nivel 2"/>
    <w:basedOn w:val="Normal"/>
    <w:link w:val="Nivel2Char"/>
    <w:qFormat w:val="1"/>
    <w:rsid w:val="00FB73A7"/>
    <w:pPr>
      <w:spacing w:after="120" w:before="120"/>
      <w:jc w:val="both"/>
    </w:pPr>
    <w:rPr>
      <w:color w:val="000000"/>
    </w:rPr>
  </w:style>
  <w:style w:type="paragraph" w:styleId="Nivel3" w:customStyle="1">
    <w:name w:val="Nivel 3"/>
    <w:basedOn w:val="PargrafodaLista"/>
    <w:qFormat w:val="1"/>
    <w:rsid w:val="00FB73A7"/>
    <w:pPr>
      <w:tabs>
        <w:tab w:val="num" w:pos="360"/>
      </w:tabs>
      <w:spacing w:after="120" w:before="120"/>
      <w:ind w:left="425"/>
      <w:jc w:val="both"/>
    </w:pPr>
    <w:rPr>
      <w:rFonts w:ascii="Arial" w:cs="Arial" w:eastAsia="Times New Roman" w:hAnsi="Arial"/>
      <w:sz w:val="20"/>
      <w:szCs w:val="20"/>
    </w:rPr>
  </w:style>
  <w:style w:type="paragraph" w:styleId="Cabealho">
    <w:name w:val="header"/>
    <w:basedOn w:val="Normal"/>
    <w:link w:val="CabealhoChar"/>
    <w:uiPriority w:val="99"/>
    <w:unhideWhenUsed w:val="1"/>
    <w:rsid w:val="008971FC"/>
    <w:pPr>
      <w:tabs>
        <w:tab w:val="center" w:pos="4252"/>
        <w:tab w:val="right" w:pos="8504"/>
      </w:tabs>
      <w:spacing w:line="240" w:lineRule="auto"/>
    </w:pPr>
  </w:style>
  <w:style w:type="character" w:styleId="CabealhoChar" w:customStyle="1">
    <w:name w:val="Cabeçalho Char"/>
    <w:basedOn w:val="Fontepargpadro"/>
    <w:link w:val="Cabealho"/>
    <w:uiPriority w:val="99"/>
    <w:rsid w:val="008971FC"/>
  </w:style>
  <w:style w:type="paragraph" w:styleId="Rodap">
    <w:name w:val="footer"/>
    <w:basedOn w:val="Normal"/>
    <w:link w:val="RodapChar"/>
    <w:uiPriority w:val="99"/>
    <w:unhideWhenUsed w:val="1"/>
    <w:rsid w:val="008971FC"/>
    <w:pPr>
      <w:tabs>
        <w:tab w:val="center" w:pos="4252"/>
        <w:tab w:val="right" w:pos="8504"/>
      </w:tabs>
      <w:spacing w:line="240" w:lineRule="auto"/>
    </w:pPr>
  </w:style>
  <w:style w:type="character" w:styleId="RodapChar" w:customStyle="1">
    <w:name w:val="Rodapé Char"/>
    <w:basedOn w:val="Fontepargpadro"/>
    <w:link w:val="Rodap"/>
    <w:uiPriority w:val="99"/>
    <w:rsid w:val="008971FC"/>
  </w:style>
  <w:style w:type="paragraph" w:styleId="NormalWeb">
    <w:name w:val="Normal (Web)"/>
    <w:basedOn w:val="Normal"/>
    <w:uiPriority w:val="99"/>
    <w:unhideWhenUsed w:val="1"/>
    <w:rsid w:val="000C0D26"/>
    <w:rPr>
      <w:rFonts w:ascii="Times New Roman" w:cs="Times New Roman" w:hAnsi="Times New Roman"/>
      <w:sz w:val="24"/>
      <w:szCs w:val="24"/>
    </w:rPr>
  </w:style>
  <w:style w:type="table" w:styleId="Tabelacomgrade">
    <w:name w:val="Table Grid"/>
    <w:basedOn w:val="Tabelanormal"/>
    <w:uiPriority w:val="39"/>
    <w:rsid w:val="00F870B8"/>
    <w:pPr>
      <w:spacing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Forte">
    <w:name w:val="Strong"/>
    <w:basedOn w:val="Fontepargpadro"/>
    <w:uiPriority w:val="22"/>
    <w:qFormat w:val="1"/>
    <w:rsid w:val="00E14CF7"/>
    <w:rPr>
      <w:b w:val="1"/>
      <w:bCs w:val="1"/>
    </w:rPr>
  </w:style>
  <w:style w:type="character" w:styleId="whitespace-normal" w:customStyle="1">
    <w:name w:val="whitespace-normal"/>
    <w:basedOn w:val="Fontepargpadro"/>
    <w:rsid w:val="00703D6B"/>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J2sFVpYlkg9hKlSypECoA46xtA==">CgMxLjAyDmlkLjkxdWcxYXJ2N3ZxMg9pZC5qMm55anM0OW53bjIyD2lkLmczZ2p2c2hjcnN6cDIOaWQuZXlhbHNxaGZkN3cyD2lkLnI5ZDh1MWN6ZmV5ZzIPaWQuMnZvN2VxdDY3bXlzMg9pZC5peTRjdWd0dTU5eGgyD2lkLmM2dW42enZ2b25wZjIPaWQucjdsOTJqODB4dGhrMg9pZC5rZTdsbDlocW9zd2kyD2lkLnY3b3lqNW10MzR2MTgAciExclpTb09tbHNpZTVzZ20tRFBOZ0dDdEN6SUIwSlZfa1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2025-02-25T12:43:00Z</dcterms:created>
  <dc:creator>Lucas Henrique</dc:creator>
</cp:coreProperties>
</file>